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94E3FB">
      <w:pPr>
        <w:pStyle w:val="4"/>
        <w:jc w:val="left"/>
        <w:outlineLvl w:val="2"/>
      </w:pPr>
      <w:r>
        <w:rPr>
          <w:rFonts w:ascii="仿宋_GB2312" w:hAnsi="仿宋_GB2312" w:eastAsia="仿宋_GB2312" w:cs="仿宋_GB2312"/>
          <w:b/>
          <w:sz w:val="28"/>
        </w:rPr>
        <w:t>3.2.技术要求</w:t>
      </w:r>
    </w:p>
    <w:p w14:paraId="1EA1D50C">
      <w:pPr>
        <w:pStyle w:val="4"/>
        <w:jc w:val="left"/>
      </w:pPr>
      <w:r>
        <w:rPr>
          <w:rFonts w:ascii="仿宋_GB2312" w:hAnsi="仿宋_GB2312" w:eastAsia="仿宋_GB2312" w:cs="仿宋_GB2312"/>
        </w:rPr>
        <w:t>采购包1：</w:t>
      </w:r>
    </w:p>
    <w:p w14:paraId="5EBD7B6D">
      <w:pPr>
        <w:pStyle w:val="4"/>
        <w:jc w:val="left"/>
      </w:pPr>
      <w:r>
        <w:rPr>
          <w:rFonts w:ascii="仿宋_GB2312" w:hAnsi="仿宋_GB2312" w:eastAsia="仿宋_GB2312" w:cs="仿宋_GB2312"/>
        </w:rPr>
        <w:t>标的名称：四川省双流棠湖中学安保服务采购项目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EE9CB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2D1CFD">
            <w:pPr>
              <w:pStyle w:val="4"/>
              <w:jc w:val="center"/>
            </w:pPr>
            <w:r>
              <w:rPr>
                <w:rFonts w:ascii="仿宋_GB2312" w:hAnsi="仿宋_GB2312" w:eastAsia="仿宋_GB2312" w:cs="仿宋_GB2312"/>
              </w:rPr>
              <w:t>序号</w:t>
            </w:r>
          </w:p>
        </w:tc>
        <w:tc>
          <w:tcPr>
            <w:tcW w:w="581" w:type="dxa"/>
          </w:tcPr>
          <w:p w14:paraId="3C900D93">
            <w:pPr>
              <w:pStyle w:val="4"/>
              <w:jc w:val="center"/>
            </w:pPr>
            <w:r>
              <w:rPr>
                <w:rFonts w:ascii="仿宋_GB2312" w:hAnsi="仿宋_GB2312" w:eastAsia="仿宋_GB2312" w:cs="仿宋_GB2312"/>
              </w:rPr>
              <w:t>符号标识</w:t>
            </w:r>
          </w:p>
        </w:tc>
        <w:tc>
          <w:tcPr>
            <w:tcW w:w="1495" w:type="dxa"/>
          </w:tcPr>
          <w:p w14:paraId="50E16BF1">
            <w:pPr>
              <w:pStyle w:val="4"/>
              <w:jc w:val="center"/>
            </w:pPr>
            <w:r>
              <w:rPr>
                <w:rFonts w:ascii="仿宋_GB2312" w:hAnsi="仿宋_GB2312" w:eastAsia="仿宋_GB2312" w:cs="仿宋_GB2312"/>
              </w:rPr>
              <w:t>技术要求名称</w:t>
            </w:r>
          </w:p>
        </w:tc>
        <w:tc>
          <w:tcPr>
            <w:tcW w:w="5814" w:type="dxa"/>
          </w:tcPr>
          <w:p w14:paraId="73F56C90">
            <w:pPr>
              <w:pStyle w:val="4"/>
              <w:jc w:val="center"/>
            </w:pPr>
            <w:r>
              <w:rPr>
                <w:rFonts w:ascii="仿宋_GB2312" w:hAnsi="仿宋_GB2312" w:eastAsia="仿宋_GB2312" w:cs="仿宋_GB2312"/>
              </w:rPr>
              <w:t>技术参数与性能指标</w:t>
            </w:r>
          </w:p>
        </w:tc>
      </w:tr>
      <w:tr w14:paraId="2526D3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68E947">
            <w:pPr>
              <w:pStyle w:val="4"/>
              <w:jc w:val="center"/>
            </w:pPr>
            <w:r>
              <w:rPr>
                <w:rFonts w:ascii="仿宋_GB2312" w:hAnsi="仿宋_GB2312" w:eastAsia="仿宋_GB2312" w:cs="仿宋_GB2312"/>
              </w:rPr>
              <w:t>1</w:t>
            </w:r>
          </w:p>
        </w:tc>
        <w:tc>
          <w:tcPr>
            <w:tcW w:w="581" w:type="dxa"/>
          </w:tcPr>
          <w:p w14:paraId="22D1330B">
            <w:pPr>
              <w:pStyle w:val="4"/>
              <w:jc w:val="center"/>
            </w:pPr>
            <w:r>
              <w:rPr>
                <w:rFonts w:ascii="仿宋_GB2312" w:hAnsi="仿宋_GB2312" w:eastAsia="仿宋_GB2312" w:cs="仿宋_GB2312"/>
              </w:rPr>
              <w:t>★</w:t>
            </w:r>
          </w:p>
        </w:tc>
        <w:tc>
          <w:tcPr>
            <w:tcW w:w="1495" w:type="dxa"/>
          </w:tcPr>
          <w:p w14:paraId="48085172">
            <w:pPr>
              <w:pStyle w:val="4"/>
              <w:jc w:val="left"/>
            </w:pPr>
            <w:r>
              <w:rPr>
                <w:rFonts w:ascii="仿宋_GB2312" w:hAnsi="仿宋_GB2312" w:eastAsia="仿宋_GB2312" w:cs="仿宋_GB2312"/>
              </w:rPr>
              <w:t>服务内容及要求</w:t>
            </w:r>
          </w:p>
        </w:tc>
        <w:tc>
          <w:tcPr>
            <w:tcW w:w="5814" w:type="dxa"/>
          </w:tcPr>
          <w:p w14:paraId="0AC39F32">
            <w:pPr>
              <w:pStyle w:val="4"/>
              <w:jc w:val="left"/>
            </w:pPr>
            <w:r>
              <w:rPr>
                <w:rFonts w:ascii="仿宋_GB2312" w:hAnsi="仿宋_GB2312" w:eastAsia="仿宋_GB2312" w:cs="仿宋_GB2312"/>
                <w:b/>
                <w:sz w:val="24"/>
              </w:rPr>
              <w:t>一、服务内容</w:t>
            </w:r>
          </w:p>
          <w:p w14:paraId="74646B4D">
            <w:pPr>
              <w:pStyle w:val="4"/>
              <w:ind w:firstLine="480"/>
              <w:jc w:val="left"/>
            </w:pPr>
            <w:r>
              <w:rPr>
                <w:rFonts w:ascii="仿宋_GB2312" w:hAnsi="仿宋_GB2312" w:eastAsia="仿宋_GB2312" w:cs="仿宋_GB2312"/>
                <w:sz w:val="24"/>
              </w:rPr>
              <w:t>四川省双流棠湖中学棠中路校区、双江路校区两个校区管理区域的综合治理与协助治安：维持校园和管理区域正常工作与秩序；维护校园公共设施、财产安全，做好防盗工作；防止校园出入口商贩摆摊设点；配合校园区域内外各项综合治理工作；大型会议、重大考试的安全防范、安保工作；保障机动/非机动车辆停放有序，防范机动/非机动车辆进出校园时的安全隐患；预防火灾及配合学校各类安全疏散演练、突发事故应急处置、协助学校各类防控等工作。做好学校消防巡查及消防控制室值守等工作。</w:t>
            </w:r>
          </w:p>
          <w:p w14:paraId="042E3D61">
            <w:pPr>
              <w:pStyle w:val="4"/>
              <w:jc w:val="left"/>
            </w:pPr>
            <w:r>
              <w:rPr>
                <w:rFonts w:ascii="仿宋_GB2312" w:hAnsi="仿宋_GB2312" w:eastAsia="仿宋_GB2312" w:cs="仿宋_GB2312"/>
                <w:b/>
                <w:sz w:val="24"/>
              </w:rPr>
              <w:t>二、服务要求</w:t>
            </w:r>
          </w:p>
          <w:p w14:paraId="27DC4410">
            <w:pPr>
              <w:pStyle w:val="4"/>
              <w:jc w:val="left"/>
            </w:pPr>
            <w:r>
              <w:rPr>
                <w:rFonts w:ascii="仿宋_GB2312" w:hAnsi="仿宋_GB2312" w:eastAsia="仿宋_GB2312" w:cs="仿宋_GB2312"/>
                <w:b/>
                <w:sz w:val="24"/>
              </w:rPr>
              <w:t>（一）工作时间要求</w:t>
            </w:r>
          </w:p>
          <w:p w14:paraId="3F616200">
            <w:pPr>
              <w:pStyle w:val="4"/>
              <w:ind w:firstLine="480"/>
              <w:jc w:val="left"/>
            </w:pPr>
            <w:r>
              <w:rPr>
                <w:rFonts w:ascii="仿宋_GB2312" w:hAnsi="仿宋_GB2312" w:eastAsia="仿宋_GB2312" w:cs="仿宋_GB2312"/>
                <w:sz w:val="24"/>
              </w:rPr>
              <w:t>全年365天不间断提供服务，24小时全天服务。</w:t>
            </w:r>
          </w:p>
          <w:p w14:paraId="43A7B00D">
            <w:pPr>
              <w:pStyle w:val="4"/>
              <w:jc w:val="left"/>
            </w:pPr>
            <w:r>
              <w:rPr>
                <w:rFonts w:ascii="仿宋_GB2312" w:hAnsi="仿宋_GB2312" w:eastAsia="仿宋_GB2312" w:cs="仿宋_GB2312"/>
                <w:b/>
                <w:sz w:val="24"/>
              </w:rPr>
              <w:t>（二）工作要求</w:t>
            </w:r>
          </w:p>
          <w:p w14:paraId="61940887">
            <w:pPr>
              <w:pStyle w:val="4"/>
              <w:ind w:firstLine="480"/>
              <w:jc w:val="left"/>
            </w:pPr>
            <w:r>
              <w:rPr>
                <w:rFonts w:ascii="仿宋_GB2312" w:hAnsi="仿宋_GB2312" w:eastAsia="仿宋_GB2312" w:cs="仿宋_GB2312"/>
                <w:sz w:val="24"/>
              </w:rPr>
              <w:t>1.公示24小时服务电话，全年不间断，全天 24 小时负责校园门岗管理、治安巡逻、车辆管理、消防管理等，维护校园安全稳定、校内大型活动秩序，及时发现和消除安全隐患。积极协助学校调查处理校园治安事件，确保全校师生人身安全和财产安全，全面执行学校的门岗管理、校园巡逻、消防巡查、学生管理等安全管理制度。</w:t>
            </w:r>
          </w:p>
          <w:p w14:paraId="6532C4B3">
            <w:pPr>
              <w:pStyle w:val="4"/>
              <w:ind w:firstLine="480"/>
              <w:jc w:val="left"/>
            </w:pPr>
            <w:r>
              <w:rPr>
                <w:rFonts w:ascii="仿宋_GB2312" w:hAnsi="仿宋_GB2312" w:eastAsia="仿宋_GB2312" w:cs="仿宋_GB2312"/>
                <w:sz w:val="24"/>
              </w:rPr>
              <w:t>2.派驻的保安队长负责与学校的对接日常管理、服务、协调等相关工作，有较强的组织协调和沟通管理能力，落实并完善周、月、季、年工作计划并组织实施，充分站在采购人的立场完善管理服务方案，对工作积极主动、服务意识强、爱岗敬业。每月向校方分管领导汇报工作和征求意见。统筹项目全体人员排班、轮休、应急调配。</w:t>
            </w:r>
          </w:p>
          <w:p w14:paraId="3570F879">
            <w:pPr>
              <w:pStyle w:val="4"/>
              <w:ind w:firstLine="480"/>
              <w:jc w:val="left"/>
            </w:pPr>
            <w:r>
              <w:rPr>
                <w:rFonts w:ascii="仿宋_GB2312" w:hAnsi="仿宋_GB2312" w:eastAsia="仿宋_GB2312" w:cs="仿宋_GB2312"/>
                <w:sz w:val="24"/>
              </w:rPr>
              <w:t>3.负责校园内安全重点部位的巡查、预防外来人员私自进入、学生上学放学秩序管理等守护、守卫工作，校园公共部位安全隐患排查并上报。</w:t>
            </w:r>
          </w:p>
          <w:p w14:paraId="2D2F944C">
            <w:pPr>
              <w:pStyle w:val="4"/>
              <w:ind w:firstLine="480"/>
              <w:jc w:val="left"/>
            </w:pPr>
            <w:r>
              <w:rPr>
                <w:rFonts w:ascii="仿宋_GB2312" w:hAnsi="仿宋_GB2312" w:eastAsia="仿宋_GB2312" w:cs="仿宋_GB2312"/>
                <w:sz w:val="24"/>
              </w:rPr>
              <w:t>4.负责对外来人员、机动/非机动车辆、出入校门物质（品）检查、登记等门卫值勤工作，检验出入人员的证件，严格落实来访人员登记制度，办理登记手续，禁止无关人员进入，协助配合学校公共卫生事件的防控工作。</w:t>
            </w:r>
          </w:p>
          <w:p w14:paraId="3DAD11A2">
            <w:pPr>
              <w:pStyle w:val="4"/>
              <w:ind w:firstLine="480"/>
              <w:jc w:val="left"/>
            </w:pPr>
            <w:r>
              <w:rPr>
                <w:rFonts w:ascii="仿宋_GB2312" w:hAnsi="仿宋_GB2312" w:eastAsia="仿宋_GB2312" w:cs="仿宋_GB2312"/>
                <w:sz w:val="24"/>
              </w:rPr>
              <w:t>5.负责治安巡逻，视频巡查、及时发现各类安全隐患，制止校园不文明举止，发现和制止校园暴力事件，随时准备为师生提供紧急救助。</w:t>
            </w:r>
          </w:p>
          <w:p w14:paraId="126B60CA">
            <w:pPr>
              <w:pStyle w:val="4"/>
              <w:ind w:firstLine="480"/>
              <w:jc w:val="left"/>
            </w:pPr>
            <w:r>
              <w:rPr>
                <w:rFonts w:ascii="仿宋_GB2312" w:hAnsi="仿宋_GB2312" w:eastAsia="仿宋_GB2312" w:cs="仿宋_GB2312"/>
                <w:sz w:val="24"/>
              </w:rPr>
              <w:t>6.负责校园出入口周边摊贩、临停车辆的劝离工作。</w:t>
            </w:r>
          </w:p>
          <w:p w14:paraId="557A1C28">
            <w:pPr>
              <w:pStyle w:val="4"/>
              <w:ind w:firstLine="480"/>
              <w:jc w:val="left"/>
            </w:pPr>
            <w:r>
              <w:rPr>
                <w:rFonts w:ascii="仿宋_GB2312" w:hAnsi="仿宋_GB2312" w:eastAsia="仿宋_GB2312" w:cs="仿宋_GB2312"/>
                <w:sz w:val="24"/>
              </w:rPr>
              <w:t>7.结合学校的实际情况，在主要道路及停车场设置交通标志，确保机动车/非机动车停放规范有序、区域道路畅通。</w:t>
            </w:r>
          </w:p>
          <w:p w14:paraId="0CBAB5AA">
            <w:pPr>
              <w:pStyle w:val="4"/>
              <w:ind w:firstLine="480"/>
              <w:jc w:val="left"/>
            </w:pPr>
            <w:r>
              <w:rPr>
                <w:rFonts w:ascii="仿宋_GB2312" w:hAnsi="仿宋_GB2312" w:eastAsia="仿宋_GB2312" w:cs="仿宋_GB2312"/>
                <w:sz w:val="24"/>
              </w:rPr>
              <w:t>8.负责校内的各种设施设备及其他物品的24小时职守。每班在交接班时必须严格依照校方提供的《设备设施及物品清单》进行清点、交接。如安保人员发现损坏、丢失， 应立即报告上级领导及校方主管人员。对于搬运出本服务区域内的物品必须严格按照 《物品搬运管理规定》操作。</w:t>
            </w:r>
          </w:p>
          <w:p w14:paraId="7CC463F1">
            <w:pPr>
              <w:pStyle w:val="4"/>
              <w:ind w:firstLine="480"/>
              <w:jc w:val="left"/>
            </w:pPr>
            <w:r>
              <w:rPr>
                <w:rFonts w:ascii="仿宋_GB2312" w:hAnsi="仿宋_GB2312" w:eastAsia="仿宋_GB2312" w:cs="仿宋_GB2312"/>
                <w:sz w:val="24"/>
              </w:rPr>
              <w:t>9.在学校的组织领导下，做好校园治安及综合治理工作。</w:t>
            </w:r>
          </w:p>
          <w:p w14:paraId="11C37EC6">
            <w:pPr>
              <w:pStyle w:val="4"/>
              <w:ind w:firstLine="480"/>
              <w:jc w:val="left"/>
            </w:pPr>
            <w:r>
              <w:rPr>
                <w:rFonts w:ascii="仿宋_GB2312" w:hAnsi="仿宋_GB2312" w:eastAsia="仿宋_GB2312" w:cs="仿宋_GB2312"/>
                <w:sz w:val="24"/>
              </w:rPr>
              <w:t>10.配合学校及时受理校园内发生的各类案件，应对突发的刑事、治安案件应采取紧急措施，保护好现场，同时立即向采购人保卫部门和其它相关部门告知相关情况并向有关部门报案。</w:t>
            </w:r>
          </w:p>
          <w:p w14:paraId="0C963815">
            <w:pPr>
              <w:pStyle w:val="4"/>
              <w:ind w:firstLine="480"/>
              <w:jc w:val="left"/>
            </w:pPr>
            <w:r>
              <w:rPr>
                <w:rFonts w:ascii="仿宋_GB2312" w:hAnsi="仿宋_GB2312" w:eastAsia="仿宋_GB2312" w:cs="仿宋_GB2312"/>
                <w:sz w:val="24"/>
              </w:rPr>
              <w:t>11.配合学校开展安全防范和安全隐患检查，进行法制、安全教育及消防教育宣传等活动。</w:t>
            </w:r>
          </w:p>
          <w:p w14:paraId="7EF45E11">
            <w:pPr>
              <w:pStyle w:val="4"/>
              <w:ind w:firstLine="480"/>
              <w:jc w:val="left"/>
            </w:pPr>
            <w:r>
              <w:rPr>
                <w:rFonts w:ascii="仿宋_GB2312" w:hAnsi="仿宋_GB2312" w:eastAsia="仿宋_GB2312" w:cs="仿宋_GB2312"/>
                <w:sz w:val="24"/>
              </w:rPr>
              <w:t>12.协助学校制定应对各类突发事件的工作预案，参与应急演练，及时处置突发事件。</w:t>
            </w:r>
          </w:p>
          <w:p w14:paraId="506BFB14">
            <w:pPr>
              <w:pStyle w:val="4"/>
              <w:ind w:firstLine="480"/>
              <w:jc w:val="left"/>
            </w:pPr>
            <w:r>
              <w:rPr>
                <w:rFonts w:ascii="仿宋_GB2312" w:hAnsi="仿宋_GB2312" w:eastAsia="仿宋_GB2312" w:cs="仿宋_GB2312"/>
                <w:sz w:val="24"/>
              </w:rPr>
              <w:t>13.做好学校大型教育教学活动、会议、重大考试及其它临时性安保工作。采购人因紧急业务工作、重大活动保障或突发事件有临时需要时，供应商应主动积极配合，按要求完成相关安保服务。</w:t>
            </w:r>
          </w:p>
          <w:p w14:paraId="7D4A422D">
            <w:pPr>
              <w:pStyle w:val="4"/>
              <w:ind w:firstLine="480"/>
              <w:jc w:val="left"/>
            </w:pPr>
            <w:r>
              <w:rPr>
                <w:rFonts w:ascii="仿宋_GB2312" w:hAnsi="仿宋_GB2312" w:eastAsia="仿宋_GB2312" w:cs="仿宋_GB2312"/>
                <w:sz w:val="24"/>
              </w:rPr>
              <w:t>14.负责校园消防设施设备巡查及消防控制室值守工作，及时处理消防报警，排除安全隐患，并做好相关记录；严禁任何人在防火重点区域吸烟或使用明火。确保校内公共场所消防通道畅通，无消防安全隐患。</w:t>
            </w:r>
          </w:p>
          <w:p w14:paraId="605B027F">
            <w:pPr>
              <w:pStyle w:val="4"/>
              <w:ind w:firstLine="480"/>
              <w:jc w:val="left"/>
            </w:pPr>
            <w:r>
              <w:rPr>
                <w:rFonts w:ascii="仿宋_GB2312" w:hAnsi="仿宋_GB2312" w:eastAsia="仿宋_GB2312" w:cs="仿宋_GB2312"/>
                <w:sz w:val="24"/>
              </w:rPr>
              <w:t>15.协助处理突发事件(如火灾、地震、洪涝灾害，接报治安事件、刑事案件，停电停水，浸、跑、冒、漏水等)，及时报告安全隐患，并按要求紧急处置有关工作。</w:t>
            </w:r>
          </w:p>
          <w:p w14:paraId="10678900">
            <w:pPr>
              <w:pStyle w:val="4"/>
              <w:ind w:firstLine="480"/>
              <w:jc w:val="left"/>
            </w:pPr>
            <w:r>
              <w:rPr>
                <w:rFonts w:ascii="仿宋_GB2312" w:hAnsi="仿宋_GB2312" w:eastAsia="仿宋_GB2312" w:cs="仿宋_GB2312"/>
                <w:sz w:val="24"/>
              </w:rPr>
              <w:t>16.爱惜学校提供的安保工作所使用的设施；故意损坏、恶意使用或丢失须全额赔偿，定期检修、保养、维护设施设备，确保设备完好，正常使用。</w:t>
            </w:r>
          </w:p>
          <w:p w14:paraId="4166EDDB">
            <w:pPr>
              <w:pStyle w:val="4"/>
              <w:ind w:firstLine="480"/>
              <w:jc w:val="left"/>
            </w:pPr>
            <w:r>
              <w:rPr>
                <w:rFonts w:ascii="仿宋_GB2312" w:hAnsi="仿宋_GB2312" w:eastAsia="仿宋_GB2312" w:cs="仿宋_GB2312"/>
                <w:sz w:val="24"/>
              </w:rPr>
              <w:t>17.建立健全学校服务的各种档案，接受采购人的调阅和检查，合同期满后涉及学校的所有档案应完整无缺地移交给采购人。保证值勤记录详细、完备，同时建立安全管理档案。</w:t>
            </w:r>
          </w:p>
          <w:p w14:paraId="321DF49C">
            <w:pPr>
              <w:pStyle w:val="4"/>
              <w:ind w:firstLine="480"/>
              <w:jc w:val="left"/>
            </w:pPr>
            <w:r>
              <w:rPr>
                <w:rFonts w:ascii="仿宋_GB2312" w:hAnsi="仿宋_GB2312" w:eastAsia="仿宋_GB2312" w:cs="仿宋_GB2312"/>
                <w:sz w:val="24"/>
              </w:rPr>
              <w:t>18. 执行《四川省学校物业管理服务规范》(DB51/T 2769—2021)、其它属于安保服务范围内的工作及学校临时安排的任务。</w:t>
            </w:r>
          </w:p>
          <w:p w14:paraId="58D3C5E0">
            <w:pPr>
              <w:pStyle w:val="4"/>
              <w:jc w:val="left"/>
            </w:pPr>
            <w:r>
              <w:rPr>
                <w:rFonts w:ascii="仿宋_GB2312" w:hAnsi="仿宋_GB2312" w:eastAsia="仿宋_GB2312" w:cs="仿宋_GB2312"/>
                <w:b/>
                <w:sz w:val="24"/>
              </w:rPr>
              <w:t>（三）安保人员要求</w:t>
            </w:r>
          </w:p>
          <w:p w14:paraId="4A69B26F">
            <w:pPr>
              <w:pStyle w:val="4"/>
              <w:ind w:firstLine="480"/>
              <w:jc w:val="left"/>
            </w:pPr>
            <w:r>
              <w:rPr>
                <w:rFonts w:ascii="仿宋_GB2312" w:hAnsi="仿宋_GB2312" w:eastAsia="仿宋_GB2312" w:cs="仿宋_GB2312"/>
                <w:sz w:val="24"/>
              </w:rPr>
              <w:t>1.安保人员按规定统一着装上岗，干净整洁，佩戴标志，定期（夏季每日换洗，秋冬隔日换洗）更换工作服，个人卫生达标。仪容整洁、姿态端正。</w:t>
            </w:r>
          </w:p>
          <w:p w14:paraId="5C476DCE">
            <w:pPr>
              <w:pStyle w:val="4"/>
              <w:ind w:firstLine="480"/>
              <w:jc w:val="left"/>
            </w:pPr>
            <w:r>
              <w:rPr>
                <w:rFonts w:ascii="仿宋_GB2312" w:hAnsi="仿宋_GB2312" w:eastAsia="仿宋_GB2312" w:cs="仿宋_GB2312"/>
                <w:sz w:val="24"/>
              </w:rPr>
              <w:t>2.在工作中坚守岗位，不擅离岗位，不嬉笑打闹，上班时间严禁饮酒、看电视、睡觉、玩手机；不得在办公场地聚集用餐，严禁在公共场所做其他与工作无关的事。</w:t>
            </w:r>
          </w:p>
          <w:p w14:paraId="645D684B">
            <w:pPr>
              <w:pStyle w:val="4"/>
              <w:ind w:firstLine="480"/>
              <w:jc w:val="left"/>
            </w:pPr>
            <w:r>
              <w:rPr>
                <w:rFonts w:ascii="仿宋_GB2312" w:hAnsi="仿宋_GB2312" w:eastAsia="仿宋_GB2312" w:cs="仿宋_GB2312"/>
                <w:sz w:val="24"/>
              </w:rPr>
              <w:t>3.在工作中做到文明礼貌、讲礼节，岗位操作时应使用“您好，请，对不起，不客气，谢谢，请让”等礼貌用语，热情咨询解答，规范服务；不得态度冷漠，语言不文明，态度温和耐心，不得与学校职工、学生及家属发生争吵和肢体冲突。服务主动、热情、细致、周到。维护采购人的良好的秩序和形象。</w:t>
            </w:r>
          </w:p>
          <w:p w14:paraId="0D350085">
            <w:pPr>
              <w:pStyle w:val="4"/>
              <w:ind w:firstLine="480"/>
              <w:jc w:val="left"/>
            </w:pPr>
            <w:r>
              <w:rPr>
                <w:rFonts w:ascii="仿宋_GB2312" w:hAnsi="仿宋_GB2312" w:eastAsia="仿宋_GB2312" w:cs="仿宋_GB2312"/>
                <w:sz w:val="24"/>
              </w:rPr>
              <w:t>4.安保室内不得随地吐痰，乱扔纸屑和乱写乱画，物品摆放有序，保持室内整洁卫生；室外严禁摆放清扫工具。</w:t>
            </w:r>
          </w:p>
          <w:p w14:paraId="168ED033">
            <w:pPr>
              <w:pStyle w:val="4"/>
              <w:ind w:firstLine="480"/>
              <w:jc w:val="left"/>
            </w:pPr>
            <w:r>
              <w:rPr>
                <w:rFonts w:ascii="仿宋_GB2312" w:hAnsi="仿宋_GB2312" w:eastAsia="仿宋_GB2312" w:cs="仿宋_GB2312"/>
                <w:sz w:val="24"/>
              </w:rPr>
              <w:t>5.每月至少开展1次岗位技能、职业素质、服务知识、客户文化、绿色节能环保等教育培训，并提供培训照片及简报，并进行适当形式的考核。</w:t>
            </w:r>
          </w:p>
          <w:p w14:paraId="46E1ADF6">
            <w:pPr>
              <w:pStyle w:val="4"/>
              <w:ind w:firstLine="480"/>
              <w:jc w:val="left"/>
            </w:pPr>
            <w:r>
              <w:rPr>
                <w:rFonts w:ascii="仿宋_GB2312" w:hAnsi="仿宋_GB2312" w:eastAsia="仿宋_GB2312" w:cs="仿宋_GB2312"/>
                <w:sz w:val="24"/>
              </w:rPr>
              <w:t>6.根据采购人要求对安保人员进行从业资格审查，审查结果向采购人报备。</w:t>
            </w:r>
          </w:p>
          <w:p w14:paraId="57ED53F7">
            <w:pPr>
              <w:pStyle w:val="4"/>
              <w:ind w:firstLine="480"/>
              <w:jc w:val="left"/>
            </w:pPr>
            <w:r>
              <w:rPr>
                <w:rFonts w:ascii="仿宋_GB2312" w:hAnsi="仿宋_GB2312" w:eastAsia="仿宋_GB2312" w:cs="仿宋_GB2312"/>
                <w:sz w:val="24"/>
              </w:rPr>
              <w:t>7.安保人员的工作经验及资格条件应当与所在岗位能力要求相匹配，到岗前应当经过必要的岗前培训以达到岗位能力要求，国家、行业规定应当取得职业资格证书或特种作业证书的，应当按规定持证上岗。</w:t>
            </w:r>
          </w:p>
          <w:p w14:paraId="4F82DA20">
            <w:pPr>
              <w:pStyle w:val="4"/>
              <w:ind w:firstLine="480"/>
              <w:jc w:val="left"/>
            </w:pPr>
            <w:r>
              <w:rPr>
                <w:rFonts w:ascii="仿宋_GB2312" w:hAnsi="仿宋_GB2312" w:eastAsia="仿宋_GB2312" w:cs="仿宋_GB2312"/>
                <w:sz w:val="24"/>
              </w:rPr>
              <w:t>8.如采购人认为安保人员不适应岗位要求或存在其他影响工作的，可要求供应商进行调换。供应商主动调换人员的，须事先征得采购人书面同意；本项目人员月度更换比例不得超过项目安保人员总人数的20%。本项目所有安保人员仅限服务本项目，严禁跨项目兼职。</w:t>
            </w:r>
          </w:p>
          <w:p w14:paraId="2AE085B0">
            <w:pPr>
              <w:pStyle w:val="4"/>
              <w:ind w:firstLine="480"/>
              <w:jc w:val="left"/>
            </w:pPr>
            <w:r>
              <w:rPr>
                <w:rFonts w:ascii="仿宋_GB2312" w:hAnsi="仿宋_GB2312" w:eastAsia="仿宋_GB2312" w:cs="仿宋_GB2312"/>
                <w:sz w:val="24"/>
              </w:rPr>
              <w:t>9.安保人员应服从采购人和供应商的双重管理。安保人员应认真履行岗位职责，遵守规章制度，服从学校根据工作需要做出的统一安排调配，遇突发紧急事件发生，必须积极作为。采购人有权对安保人员的工作进行检查、督促、考核，对不称职的安保人员提出批评、教育及经济处罚，屡教不改者，采购人有权要求其限期更换安保人员。</w:t>
            </w:r>
          </w:p>
          <w:p w14:paraId="7D6E195D">
            <w:pPr>
              <w:pStyle w:val="4"/>
              <w:ind w:firstLine="480"/>
              <w:jc w:val="left"/>
            </w:pPr>
            <w:r>
              <w:rPr>
                <w:rFonts w:ascii="仿宋_GB2312" w:hAnsi="仿宋_GB2312" w:eastAsia="仿宋_GB2312" w:cs="仿宋_GB2312"/>
                <w:sz w:val="24"/>
              </w:rPr>
              <w:t>10.管理人员和安保人员100%经岗前培训考核合格后方可上岗。供应商需建立长效人员素质提升培训计划与训练考核机制，持续提升安保人员履职能力，杜绝岗位无人管理、无人监督现象。</w:t>
            </w:r>
          </w:p>
          <w:p w14:paraId="212E60A2">
            <w:pPr>
              <w:pStyle w:val="4"/>
              <w:jc w:val="left"/>
            </w:pPr>
            <w:r>
              <w:rPr>
                <w:rFonts w:ascii="仿宋_GB2312" w:hAnsi="仿宋_GB2312" w:eastAsia="仿宋_GB2312" w:cs="仿宋_GB2312"/>
                <w:b/>
                <w:sz w:val="24"/>
              </w:rPr>
              <w:t>（四）设施设备配置要求</w:t>
            </w:r>
          </w:p>
          <w:p w14:paraId="514E16DF">
            <w:pPr>
              <w:pStyle w:val="4"/>
              <w:ind w:firstLine="480"/>
              <w:jc w:val="left"/>
            </w:pPr>
            <w:r>
              <w:rPr>
                <w:rFonts w:ascii="仿宋_GB2312" w:hAnsi="仿宋_GB2312" w:eastAsia="仿宋_GB2312" w:cs="仿宋_GB2312"/>
                <w:sz w:val="24"/>
              </w:rPr>
              <w:t>1.供应商为派驻采购人的安保人员配置统一的保安制服。</w:t>
            </w:r>
          </w:p>
          <w:p w14:paraId="1BE6B146">
            <w:pPr>
              <w:pStyle w:val="4"/>
              <w:ind w:firstLine="480"/>
              <w:jc w:val="left"/>
            </w:pPr>
            <w:r>
              <w:rPr>
                <w:rFonts w:ascii="仿宋_GB2312" w:hAnsi="仿宋_GB2312" w:eastAsia="仿宋_GB2312" w:cs="仿宋_GB2312"/>
                <w:sz w:val="24"/>
              </w:rPr>
              <w:t>2.防暴头盔、强光手电、安全钢叉、防刺背心、防割手套、橡胶警棍、自卫喷雾剂、防护盾牌等安防防护设备由校方统一提供。供应商须妥善保管所有设备，对恶意、故意损毁设备的行为，一律按物品原价照价赔偿。</w:t>
            </w:r>
          </w:p>
          <w:p w14:paraId="53661B54">
            <w:pPr>
              <w:pStyle w:val="4"/>
              <w:jc w:val="left"/>
            </w:pPr>
            <w:r>
              <w:rPr>
                <w:rFonts w:ascii="仿宋_GB2312" w:hAnsi="仿宋_GB2312" w:eastAsia="仿宋_GB2312" w:cs="仿宋_GB2312"/>
                <w:b/>
                <w:sz w:val="24"/>
              </w:rPr>
              <w:t>（五）其他要求</w:t>
            </w:r>
          </w:p>
          <w:p w14:paraId="41425462">
            <w:pPr>
              <w:pStyle w:val="4"/>
              <w:ind w:firstLine="480"/>
              <w:jc w:val="left"/>
            </w:pPr>
            <w:r>
              <w:rPr>
                <w:rFonts w:ascii="仿宋_GB2312" w:hAnsi="仿宋_GB2312" w:eastAsia="仿宋_GB2312" w:cs="仿宋_GB2312"/>
                <w:sz w:val="24"/>
              </w:rPr>
              <w:t>1.供应商应为该项目组建专职的、高素质的项目管理服务人员，保证项目管理服务人员的相对稳定，未经学校同意，供应商不得擅自调离人员，如确需要调整，需提前15 日告知学校。</w:t>
            </w:r>
          </w:p>
          <w:p w14:paraId="40FB8FEF">
            <w:pPr>
              <w:pStyle w:val="4"/>
              <w:ind w:firstLine="480"/>
              <w:jc w:val="left"/>
            </w:pPr>
            <w:r>
              <w:rPr>
                <w:rFonts w:ascii="仿宋_GB2312" w:hAnsi="仿宋_GB2312" w:eastAsia="仿宋_GB2312" w:cs="仿宋_GB2312"/>
                <w:sz w:val="24"/>
              </w:rPr>
              <w:t>2.供应商应负责安保人员工资、社会保险、纳税、商业保险、住房公积金、加班费、过节费等薪酬待遇福利问题和劳动合同权利、纠纷、疑问及相关事项，并符合国家的相关规定，如因供应商原因造成用工纠纷、合同纠纷等相关法律问题，由供应商全部承担相关责任，与采购人无关。</w:t>
            </w:r>
          </w:p>
          <w:p w14:paraId="1D6094B0">
            <w:pPr>
              <w:pStyle w:val="4"/>
              <w:ind w:firstLine="480"/>
              <w:jc w:val="left"/>
            </w:pPr>
            <w:r>
              <w:rPr>
                <w:rFonts w:ascii="仿宋_GB2312" w:hAnsi="仿宋_GB2312" w:eastAsia="仿宋_GB2312" w:cs="仿宋_GB2312"/>
                <w:sz w:val="24"/>
              </w:rPr>
              <w:t>3.供应商派遣的保安工作人员服从采购人的统一指挥、安排和调度。</w:t>
            </w:r>
          </w:p>
          <w:p w14:paraId="1233F0F6">
            <w:pPr>
              <w:pStyle w:val="4"/>
              <w:ind w:firstLine="480"/>
              <w:jc w:val="left"/>
            </w:pPr>
            <w:r>
              <w:rPr>
                <w:rFonts w:ascii="仿宋_GB2312" w:hAnsi="仿宋_GB2312" w:eastAsia="仿宋_GB2312" w:cs="仿宋_GB2312"/>
                <w:sz w:val="24"/>
              </w:rPr>
              <w:t>4.供应商派遣的保安工作人员在国家法定假日期间上班的奖金、加班费由供应商自理。</w:t>
            </w:r>
          </w:p>
          <w:p w14:paraId="4D715918">
            <w:pPr>
              <w:pStyle w:val="4"/>
              <w:ind w:firstLine="480"/>
              <w:jc w:val="left"/>
            </w:pPr>
            <w:r>
              <w:rPr>
                <w:rFonts w:ascii="仿宋_GB2312" w:hAnsi="仿宋_GB2312" w:eastAsia="仿宋_GB2312" w:cs="仿宋_GB2312"/>
                <w:sz w:val="24"/>
              </w:rPr>
              <w:t>5.供应商应采取定期或不定期两种方式对本项目人员进行岗位培训、应急培训及人员的综合素质提升。</w:t>
            </w:r>
          </w:p>
          <w:p w14:paraId="63FA67CB">
            <w:pPr>
              <w:pStyle w:val="4"/>
              <w:ind w:firstLine="480"/>
              <w:jc w:val="left"/>
            </w:pPr>
            <w:r>
              <w:rPr>
                <w:rFonts w:ascii="仿宋_GB2312" w:hAnsi="仿宋_GB2312" w:eastAsia="仿宋_GB2312" w:cs="仿宋_GB2312"/>
                <w:sz w:val="24"/>
              </w:rPr>
              <w:t>6.维护用工人员的正当权益，确保用工合法。因供应商造成的劳资纠纷，由供应商承担全部责任。供应商组织、安排其员工工作，应符合国家相关法规。其员工履行职责致伤、致残、致亡的，或者导致他人人身伤害、财产损失的，由供应商自行承担全部责任，并负责妥善处理善后事宜。供应商的工作人员与采购人之间不存在任何劳动关系。</w:t>
            </w:r>
            <w:r>
              <w:rPr>
                <w:rFonts w:ascii="仿宋_GB2312" w:hAnsi="仿宋_GB2312" w:eastAsia="仿宋_GB2312" w:cs="仿宋_GB2312"/>
                <w:b/>
                <w:sz w:val="24"/>
              </w:rPr>
              <w:t>（供应商须提供承诺函，格式自拟，如未提供视为未实质性响应。）</w:t>
            </w:r>
          </w:p>
          <w:p w14:paraId="68C012F6">
            <w:pPr>
              <w:pStyle w:val="4"/>
              <w:ind w:firstLine="480"/>
              <w:jc w:val="left"/>
            </w:pPr>
            <w:r>
              <w:rPr>
                <w:rFonts w:ascii="仿宋_GB2312" w:hAnsi="仿宋_GB2312" w:eastAsia="仿宋_GB2312" w:cs="仿宋_GB2312"/>
                <w:sz w:val="24"/>
              </w:rPr>
              <w:t>7.保安岗位按照学校要求实现动态调控，保安公司、安保人员均服从学校的安排。</w:t>
            </w:r>
          </w:p>
          <w:p w14:paraId="507A459A">
            <w:pPr>
              <w:pStyle w:val="4"/>
              <w:ind w:firstLine="480"/>
              <w:jc w:val="both"/>
            </w:pPr>
            <w:r>
              <w:rPr>
                <w:rFonts w:ascii="仿宋_GB2312" w:hAnsi="仿宋_GB2312" w:eastAsia="仿宋_GB2312" w:cs="仿宋_GB2312"/>
                <w:sz w:val="24"/>
              </w:rPr>
              <w:t>8.</w:t>
            </w:r>
            <w:r>
              <w:rPr>
                <w:rFonts w:ascii="仿宋_GB2312" w:hAnsi="仿宋_GB2312" w:eastAsia="仿宋_GB2312" w:cs="仿宋_GB2312"/>
                <w:b/>
                <w:sz w:val="28"/>
              </w:rPr>
              <w:t>服务方案（供应商须提供承诺函，格式自拟，对本要求进行响应，如未提供视为未实质性响应）</w:t>
            </w:r>
          </w:p>
          <w:p w14:paraId="0C977E45">
            <w:pPr>
              <w:pStyle w:val="4"/>
              <w:ind w:firstLine="560"/>
              <w:jc w:val="both"/>
            </w:pPr>
            <w:r>
              <w:rPr>
                <w:rFonts w:ascii="仿宋_GB2312" w:hAnsi="仿宋_GB2312" w:eastAsia="仿宋_GB2312" w:cs="仿宋_GB2312"/>
                <w:sz w:val="28"/>
              </w:rPr>
              <w:t>供应商应在取得中标通知书后，10个工作日内和采购人沟通，制定包含以下内容的方案或制度，并承担制度上墙的费用。如供应商未按承诺内容完成相应工作，采购人有权不予其签订合同：</w:t>
            </w:r>
          </w:p>
          <w:p w14:paraId="093A47B8">
            <w:pPr>
              <w:pStyle w:val="4"/>
              <w:ind w:firstLine="560"/>
              <w:jc w:val="both"/>
            </w:pPr>
            <w:r>
              <w:rPr>
                <w:rFonts w:ascii="仿宋_GB2312" w:hAnsi="仿宋_GB2312" w:eastAsia="仿宋_GB2312" w:cs="仿宋_GB2312"/>
                <w:sz w:val="28"/>
              </w:rPr>
              <w:t>（1）整体服务方案，至少包括：①管理制度及服务目标；②项目管理机构运作方法及管理制度；③服务质量保障措施。</w:t>
            </w:r>
          </w:p>
          <w:p w14:paraId="76B76279">
            <w:pPr>
              <w:pStyle w:val="4"/>
              <w:ind w:firstLine="560"/>
              <w:jc w:val="both"/>
            </w:pPr>
            <w:r>
              <w:rPr>
                <w:rFonts w:ascii="仿宋_GB2312" w:hAnsi="仿宋_GB2312" w:eastAsia="仿宋_GB2312" w:cs="仿宋_GB2312"/>
                <w:sz w:val="28"/>
              </w:rPr>
              <w:t>（2）秩序维护方案，至少包括：①秩序维护目标；②服务标准和服务规程；③学校活动秩序维护方案；④常规防范与技术防范相结合的24小时全天候管理方案。</w:t>
            </w:r>
          </w:p>
          <w:p w14:paraId="1C567A18">
            <w:pPr>
              <w:pStyle w:val="4"/>
              <w:ind w:firstLine="560"/>
              <w:jc w:val="both"/>
            </w:pPr>
            <w:r>
              <w:rPr>
                <w:rFonts w:ascii="仿宋_GB2312" w:hAnsi="仿宋_GB2312" w:eastAsia="仿宋_GB2312" w:cs="仿宋_GB2312"/>
                <w:sz w:val="28"/>
              </w:rPr>
              <w:t>（3）应急预案，至少包括：①自然灾害预案；②消防应急方案；③应急保障方案；④重大活动应急预案；⑤对发生安全等事件的应急处置方案（包括学校易发安全事件、大小型活动、迎检安全防范、公共卫生事件等）。</w:t>
            </w:r>
          </w:p>
          <w:p w14:paraId="73E6E2E6">
            <w:pPr>
              <w:pStyle w:val="4"/>
              <w:jc w:val="left"/>
            </w:pPr>
            <w:r>
              <w:rPr>
                <w:rFonts w:ascii="仿宋_GB2312" w:hAnsi="仿宋_GB2312" w:eastAsia="仿宋_GB2312" w:cs="仿宋_GB2312"/>
                <w:b/>
                <w:sz w:val="24"/>
              </w:rPr>
              <w:t>三、岗位最低配置及要求</w:t>
            </w:r>
          </w:p>
          <w:p w14:paraId="74258893">
            <w:pPr>
              <w:pStyle w:val="4"/>
              <w:ind w:firstLine="482"/>
              <w:jc w:val="left"/>
            </w:pPr>
            <w:r>
              <w:rPr>
                <w:rFonts w:ascii="仿宋_GB2312" w:hAnsi="仿宋_GB2312" w:eastAsia="仿宋_GB2312" w:cs="仿宋_GB2312"/>
                <w:b/>
                <w:sz w:val="24"/>
              </w:rPr>
              <w:t>（一）安保岗41个</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10"/>
              <w:gridCol w:w="881"/>
              <w:gridCol w:w="510"/>
              <w:gridCol w:w="3572"/>
            </w:tblGrid>
            <w:tr w14:paraId="4ABB86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B487982">
                  <w:pPr>
                    <w:pStyle w:val="4"/>
                    <w:spacing w:before="105"/>
                    <w:ind w:right="60"/>
                    <w:jc w:val="left"/>
                  </w:pPr>
                  <w:r>
                    <w:rPr>
                      <w:rFonts w:ascii="仿宋_GB2312" w:hAnsi="仿宋_GB2312" w:eastAsia="仿宋_GB2312" w:cs="仿宋_GB2312"/>
                      <w:sz w:val="24"/>
                    </w:rPr>
                    <w:t>序号</w:t>
                  </w:r>
                </w:p>
              </w:tc>
              <w:tc>
                <w:tcPr>
                  <w:tcW w:w="90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92D01B9">
                  <w:pPr>
                    <w:pStyle w:val="4"/>
                    <w:spacing w:before="105"/>
                    <w:ind w:right="60"/>
                    <w:jc w:val="left"/>
                  </w:pPr>
                  <w:r>
                    <w:rPr>
                      <w:rFonts w:ascii="仿宋_GB2312" w:hAnsi="仿宋_GB2312" w:eastAsia="仿宋_GB2312" w:cs="仿宋_GB2312"/>
                      <w:sz w:val="24"/>
                    </w:rPr>
                    <w:t>岗位名称</w:t>
                  </w:r>
                </w:p>
              </w:tc>
              <w:tc>
                <w:tcPr>
                  <w:tcW w:w="50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FBAD370">
                  <w:pPr>
                    <w:pStyle w:val="4"/>
                    <w:spacing w:before="105"/>
                    <w:ind w:right="60"/>
                    <w:jc w:val="left"/>
                  </w:pPr>
                  <w:r>
                    <w:rPr>
                      <w:rFonts w:ascii="仿宋_GB2312" w:hAnsi="仿宋_GB2312" w:eastAsia="仿宋_GB2312" w:cs="仿宋_GB2312"/>
                      <w:sz w:val="24"/>
                    </w:rPr>
                    <w:t>岗位数</w:t>
                  </w:r>
                </w:p>
              </w:tc>
              <w:tc>
                <w:tcPr>
                  <w:tcW w:w="369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CB17163">
                  <w:pPr>
                    <w:pStyle w:val="4"/>
                    <w:spacing w:before="105"/>
                    <w:ind w:right="60" w:firstLine="650"/>
                    <w:jc w:val="left"/>
                  </w:pPr>
                  <w:r>
                    <w:rPr>
                      <w:rFonts w:ascii="仿宋_GB2312" w:hAnsi="仿宋_GB2312" w:eastAsia="仿宋_GB2312" w:cs="仿宋_GB2312"/>
                      <w:sz w:val="24"/>
                    </w:rPr>
                    <w:t>岗位要求</w:t>
                  </w:r>
                </w:p>
              </w:tc>
            </w:tr>
            <w:tr w14:paraId="770749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F9FBDF">
                  <w:pPr>
                    <w:pStyle w:val="4"/>
                    <w:spacing w:before="105"/>
                    <w:ind w:right="60"/>
                    <w:jc w:val="center"/>
                  </w:pPr>
                  <w:r>
                    <w:rPr>
                      <w:rFonts w:ascii="仿宋_GB2312" w:hAnsi="仿宋_GB2312" w:eastAsia="仿宋_GB2312" w:cs="仿宋_GB2312"/>
                      <w:sz w:val="24"/>
                    </w:rPr>
                    <w:t>1</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F272EB">
                  <w:pPr>
                    <w:pStyle w:val="4"/>
                    <w:spacing w:before="105"/>
                    <w:ind w:right="60"/>
                    <w:jc w:val="center"/>
                  </w:pPr>
                  <w:r>
                    <w:rPr>
                      <w:rFonts w:ascii="仿宋_GB2312" w:hAnsi="仿宋_GB2312" w:eastAsia="仿宋_GB2312" w:cs="仿宋_GB2312"/>
                      <w:sz w:val="24"/>
                    </w:rPr>
                    <w:t>双江路校区正大门安保岗位</w:t>
                  </w:r>
                </w:p>
              </w:tc>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C0D830">
                  <w:pPr>
                    <w:pStyle w:val="4"/>
                    <w:spacing w:before="105"/>
                    <w:ind w:right="60"/>
                    <w:jc w:val="center"/>
                  </w:pPr>
                  <w:r>
                    <w:rPr>
                      <w:rFonts w:ascii="仿宋_GB2312" w:hAnsi="仿宋_GB2312" w:eastAsia="仿宋_GB2312" w:cs="仿宋_GB2312"/>
                      <w:sz w:val="24"/>
                    </w:rPr>
                    <w:t>13</w:t>
                  </w:r>
                </w:p>
              </w:tc>
              <w:tc>
                <w:tcPr>
                  <w:tcW w:w="36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6E6034">
                  <w:pPr>
                    <w:pStyle w:val="4"/>
                    <w:spacing w:before="105"/>
                    <w:ind w:right="60"/>
                    <w:jc w:val="left"/>
                  </w:pPr>
                  <w:r>
                    <w:rPr>
                      <w:rFonts w:ascii="仿宋_GB2312" w:hAnsi="仿宋_GB2312" w:eastAsia="仿宋_GB2312" w:cs="仿宋_GB2312"/>
                      <w:sz w:val="24"/>
                    </w:rPr>
                    <w:t>1.白班工作时间：7：00——15：00，中班时间15：00——23：00，夜班工作时间：23：00——次日7:00，白班和中班每班4人4岗，夜班2人2岗。轮休岗3人3岗。各班次不得缺人缺岗。</w:t>
                  </w:r>
                </w:p>
                <w:p w14:paraId="0EC6CE83">
                  <w:pPr>
                    <w:pStyle w:val="4"/>
                    <w:spacing w:before="105"/>
                    <w:ind w:right="60"/>
                    <w:jc w:val="left"/>
                  </w:pPr>
                  <w:r>
                    <w:rPr>
                      <w:rFonts w:ascii="仿宋_GB2312" w:hAnsi="仿宋_GB2312" w:eastAsia="仿宋_GB2312" w:cs="仿宋_GB2312"/>
                      <w:sz w:val="24"/>
                    </w:rPr>
                    <w:t>2.负责学校大门口门岗执勤及安全值守和监控室值守。</w:t>
                  </w:r>
                </w:p>
                <w:p w14:paraId="5EF4D6D7">
                  <w:pPr>
                    <w:pStyle w:val="4"/>
                    <w:spacing w:before="105"/>
                    <w:ind w:right="60"/>
                    <w:jc w:val="left"/>
                  </w:pPr>
                  <w:r>
                    <w:rPr>
                      <w:rFonts w:ascii="仿宋_GB2312" w:hAnsi="仿宋_GB2312" w:eastAsia="仿宋_GB2312" w:cs="仿宋_GB2312"/>
                      <w:sz w:val="24"/>
                    </w:rPr>
                    <w:t>3.按统筹安排，进行巡逻工作。</w:t>
                  </w:r>
                </w:p>
              </w:tc>
            </w:tr>
            <w:tr w14:paraId="7CC69C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F7B139">
                  <w:pPr>
                    <w:pStyle w:val="4"/>
                    <w:spacing w:before="105"/>
                    <w:ind w:right="60"/>
                    <w:jc w:val="center"/>
                  </w:pPr>
                  <w:r>
                    <w:rPr>
                      <w:rFonts w:ascii="仿宋_GB2312" w:hAnsi="仿宋_GB2312" w:eastAsia="仿宋_GB2312" w:cs="仿宋_GB2312"/>
                      <w:sz w:val="24"/>
                    </w:rPr>
                    <w:t>2</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9215E3">
                  <w:pPr>
                    <w:pStyle w:val="4"/>
                    <w:spacing w:before="105"/>
                    <w:ind w:right="60"/>
                    <w:jc w:val="center"/>
                  </w:pPr>
                  <w:r>
                    <w:rPr>
                      <w:rFonts w:ascii="仿宋_GB2312" w:hAnsi="仿宋_GB2312" w:eastAsia="仿宋_GB2312" w:cs="仿宋_GB2312"/>
                      <w:sz w:val="24"/>
                    </w:rPr>
                    <w:t>双江路校区南大门安保岗位</w:t>
                  </w:r>
                </w:p>
              </w:tc>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2A23D2">
                  <w:pPr>
                    <w:pStyle w:val="4"/>
                    <w:spacing w:before="105"/>
                    <w:ind w:right="60"/>
                    <w:jc w:val="center"/>
                  </w:pPr>
                  <w:r>
                    <w:rPr>
                      <w:rFonts w:ascii="仿宋_GB2312" w:hAnsi="仿宋_GB2312" w:eastAsia="仿宋_GB2312" w:cs="仿宋_GB2312"/>
                      <w:sz w:val="24"/>
                    </w:rPr>
                    <w:t>3</w:t>
                  </w:r>
                </w:p>
              </w:tc>
              <w:tc>
                <w:tcPr>
                  <w:tcW w:w="36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7C9DA5">
                  <w:pPr>
                    <w:pStyle w:val="4"/>
                    <w:spacing w:before="105"/>
                    <w:ind w:right="60"/>
                    <w:jc w:val="left"/>
                  </w:pPr>
                  <w:r>
                    <w:rPr>
                      <w:rFonts w:ascii="仿宋_GB2312" w:hAnsi="仿宋_GB2312" w:eastAsia="仿宋_GB2312" w:cs="仿宋_GB2312"/>
                      <w:sz w:val="24"/>
                    </w:rPr>
                    <w:t>1.白班工作时间：7：00——15：00，中班时间15：00——23：00，白班和中班每班1人1岗，轮休岗1人1岗。各班次不得缺人缺岗。</w:t>
                  </w:r>
                </w:p>
                <w:p w14:paraId="6791C44B">
                  <w:pPr>
                    <w:pStyle w:val="4"/>
                    <w:spacing w:before="105"/>
                    <w:ind w:right="60"/>
                    <w:jc w:val="left"/>
                  </w:pPr>
                  <w:r>
                    <w:rPr>
                      <w:rFonts w:ascii="仿宋_GB2312" w:hAnsi="仿宋_GB2312" w:eastAsia="仿宋_GB2312" w:cs="仿宋_GB2312"/>
                      <w:sz w:val="24"/>
                    </w:rPr>
                    <w:t>2.负责学校大门口门岗执勤及安全值守和监控室值守。</w:t>
                  </w:r>
                </w:p>
              </w:tc>
            </w:tr>
            <w:tr w14:paraId="05688B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5FF6D6">
                  <w:pPr>
                    <w:pStyle w:val="4"/>
                    <w:spacing w:before="105"/>
                    <w:ind w:right="60"/>
                    <w:jc w:val="center"/>
                  </w:pPr>
                  <w:r>
                    <w:rPr>
                      <w:rFonts w:ascii="仿宋_GB2312" w:hAnsi="仿宋_GB2312" w:eastAsia="仿宋_GB2312" w:cs="仿宋_GB2312"/>
                      <w:sz w:val="24"/>
                    </w:rPr>
                    <w:t>3</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7D14D9">
                  <w:pPr>
                    <w:pStyle w:val="4"/>
                    <w:spacing w:before="105"/>
                    <w:ind w:right="60"/>
                    <w:jc w:val="center"/>
                  </w:pPr>
                  <w:r>
                    <w:rPr>
                      <w:rFonts w:ascii="仿宋_GB2312" w:hAnsi="仿宋_GB2312" w:eastAsia="仿宋_GB2312" w:cs="仿宋_GB2312"/>
                      <w:sz w:val="24"/>
                    </w:rPr>
                    <w:t>双江路校区北门安保岗位</w:t>
                  </w:r>
                </w:p>
              </w:tc>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31CBA0">
                  <w:pPr>
                    <w:pStyle w:val="4"/>
                    <w:spacing w:before="105"/>
                    <w:ind w:right="60"/>
                    <w:jc w:val="center"/>
                  </w:pPr>
                  <w:r>
                    <w:rPr>
                      <w:rFonts w:ascii="仿宋_GB2312" w:hAnsi="仿宋_GB2312" w:eastAsia="仿宋_GB2312" w:cs="仿宋_GB2312"/>
                      <w:sz w:val="24"/>
                    </w:rPr>
                    <w:t>4</w:t>
                  </w:r>
                </w:p>
              </w:tc>
              <w:tc>
                <w:tcPr>
                  <w:tcW w:w="36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EC9530">
                  <w:pPr>
                    <w:pStyle w:val="4"/>
                    <w:spacing w:before="105"/>
                    <w:ind w:right="60"/>
                    <w:jc w:val="left"/>
                  </w:pPr>
                  <w:r>
                    <w:rPr>
                      <w:rFonts w:ascii="仿宋_GB2312" w:hAnsi="仿宋_GB2312" w:eastAsia="仿宋_GB2312" w:cs="仿宋_GB2312"/>
                      <w:sz w:val="24"/>
                    </w:rPr>
                    <w:t>1.白班工作时间：7：00——15：00，中班时间15：00——23：00，夜班工作时间：23：00——次日7:00，每班1人1岗。轮休岗1人1岗。各班次不得缺人缺岗。</w:t>
                  </w:r>
                </w:p>
                <w:p w14:paraId="5E566745">
                  <w:pPr>
                    <w:pStyle w:val="4"/>
                    <w:spacing w:before="105"/>
                    <w:ind w:right="60"/>
                    <w:jc w:val="left"/>
                  </w:pPr>
                  <w:r>
                    <w:rPr>
                      <w:rFonts w:ascii="仿宋_GB2312" w:hAnsi="仿宋_GB2312" w:eastAsia="仿宋_GB2312" w:cs="仿宋_GB2312"/>
                      <w:sz w:val="24"/>
                    </w:rPr>
                    <w:t>2.负责车道口门岗执勤及安全值守。</w:t>
                  </w:r>
                </w:p>
                <w:p w14:paraId="502B2095">
                  <w:pPr>
                    <w:pStyle w:val="4"/>
                    <w:spacing w:before="105"/>
                    <w:ind w:right="60"/>
                    <w:jc w:val="left"/>
                  </w:pPr>
                  <w:r>
                    <w:rPr>
                      <w:rFonts w:ascii="仿宋_GB2312" w:hAnsi="仿宋_GB2312" w:eastAsia="仿宋_GB2312" w:cs="仿宋_GB2312"/>
                      <w:sz w:val="24"/>
                    </w:rPr>
                    <w:t>3.按统筹安排，进行巡逻工作。</w:t>
                  </w:r>
                </w:p>
              </w:tc>
            </w:tr>
            <w:tr w14:paraId="3F371C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D2EBAC">
                  <w:pPr>
                    <w:pStyle w:val="4"/>
                    <w:spacing w:before="105"/>
                    <w:ind w:right="60"/>
                    <w:jc w:val="center"/>
                  </w:pPr>
                  <w:r>
                    <w:rPr>
                      <w:rFonts w:ascii="仿宋_GB2312" w:hAnsi="仿宋_GB2312" w:eastAsia="仿宋_GB2312" w:cs="仿宋_GB2312"/>
                      <w:sz w:val="24"/>
                    </w:rPr>
                    <w:t>4</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83AB30">
                  <w:pPr>
                    <w:pStyle w:val="4"/>
                    <w:spacing w:before="105"/>
                    <w:ind w:right="60"/>
                    <w:jc w:val="center"/>
                  </w:pPr>
                  <w:r>
                    <w:rPr>
                      <w:rFonts w:ascii="仿宋_GB2312" w:hAnsi="仿宋_GB2312" w:eastAsia="仿宋_GB2312" w:cs="仿宋_GB2312"/>
                      <w:sz w:val="24"/>
                    </w:rPr>
                    <w:t>棠中路校区正大门安保岗位</w:t>
                  </w:r>
                </w:p>
              </w:tc>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D6B650">
                  <w:pPr>
                    <w:pStyle w:val="4"/>
                    <w:spacing w:before="105"/>
                    <w:ind w:right="60"/>
                    <w:jc w:val="center"/>
                  </w:pPr>
                  <w:r>
                    <w:rPr>
                      <w:rFonts w:ascii="仿宋_GB2312" w:hAnsi="仿宋_GB2312" w:eastAsia="仿宋_GB2312" w:cs="仿宋_GB2312"/>
                      <w:sz w:val="24"/>
                    </w:rPr>
                    <w:t>9</w:t>
                  </w:r>
                </w:p>
              </w:tc>
              <w:tc>
                <w:tcPr>
                  <w:tcW w:w="36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9E8DA5">
                  <w:pPr>
                    <w:pStyle w:val="4"/>
                    <w:spacing w:before="105"/>
                    <w:ind w:right="60"/>
                    <w:jc w:val="left"/>
                  </w:pPr>
                  <w:r>
                    <w:rPr>
                      <w:rFonts w:ascii="仿宋_GB2312" w:hAnsi="仿宋_GB2312" w:eastAsia="仿宋_GB2312" w:cs="仿宋_GB2312"/>
                      <w:sz w:val="24"/>
                    </w:rPr>
                    <w:t>1.白班工作时间：7：00——15：00，中班时间15：00——23：00，夜班工作时间：23：00——次日7:00，白班和中班每班3人3岗，夜班1人1岗。轮休岗2人2岗。各班次不得缺人缺岗。</w:t>
                  </w:r>
                </w:p>
                <w:p w14:paraId="6D2061AD">
                  <w:pPr>
                    <w:pStyle w:val="4"/>
                    <w:spacing w:before="105"/>
                    <w:ind w:right="60"/>
                    <w:jc w:val="left"/>
                  </w:pPr>
                  <w:r>
                    <w:rPr>
                      <w:rFonts w:ascii="仿宋_GB2312" w:hAnsi="仿宋_GB2312" w:eastAsia="仿宋_GB2312" w:cs="仿宋_GB2312"/>
                      <w:sz w:val="24"/>
                    </w:rPr>
                    <w:t>2.负责正门门岗执勤及安全值守。</w:t>
                  </w:r>
                </w:p>
                <w:p w14:paraId="5A95CC3A">
                  <w:pPr>
                    <w:pStyle w:val="4"/>
                    <w:spacing w:before="105"/>
                    <w:ind w:right="60"/>
                    <w:jc w:val="left"/>
                  </w:pPr>
                  <w:r>
                    <w:rPr>
                      <w:rFonts w:ascii="仿宋_GB2312" w:hAnsi="仿宋_GB2312" w:eastAsia="仿宋_GB2312" w:cs="仿宋_GB2312"/>
                      <w:sz w:val="24"/>
                    </w:rPr>
                    <w:t>3.按统筹安排，进行巡逻工作。</w:t>
                  </w:r>
                </w:p>
              </w:tc>
            </w:tr>
            <w:tr w14:paraId="3BDB1E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384017">
                  <w:pPr>
                    <w:pStyle w:val="4"/>
                    <w:spacing w:before="105"/>
                    <w:ind w:right="60"/>
                    <w:jc w:val="center"/>
                  </w:pPr>
                  <w:r>
                    <w:rPr>
                      <w:rFonts w:ascii="仿宋_GB2312" w:hAnsi="仿宋_GB2312" w:eastAsia="仿宋_GB2312" w:cs="仿宋_GB2312"/>
                      <w:sz w:val="24"/>
                    </w:rPr>
                    <w:t>5</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7C3010">
                  <w:pPr>
                    <w:pStyle w:val="4"/>
                    <w:spacing w:before="105"/>
                    <w:ind w:right="60"/>
                    <w:jc w:val="center"/>
                  </w:pPr>
                  <w:r>
                    <w:rPr>
                      <w:rFonts w:ascii="仿宋_GB2312" w:hAnsi="仿宋_GB2312" w:eastAsia="仿宋_GB2312" w:cs="仿宋_GB2312"/>
                      <w:sz w:val="24"/>
                    </w:rPr>
                    <w:t>棠中路校区后门安保岗位</w:t>
                  </w:r>
                </w:p>
              </w:tc>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F20901">
                  <w:pPr>
                    <w:pStyle w:val="4"/>
                    <w:spacing w:before="105"/>
                    <w:ind w:right="60"/>
                    <w:jc w:val="center"/>
                  </w:pPr>
                  <w:r>
                    <w:rPr>
                      <w:rFonts w:ascii="仿宋_GB2312" w:hAnsi="仿宋_GB2312" w:eastAsia="仿宋_GB2312" w:cs="仿宋_GB2312"/>
                      <w:sz w:val="24"/>
                    </w:rPr>
                    <w:t>4</w:t>
                  </w:r>
                </w:p>
              </w:tc>
              <w:tc>
                <w:tcPr>
                  <w:tcW w:w="36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54DE7A">
                  <w:pPr>
                    <w:pStyle w:val="4"/>
                    <w:spacing w:before="105"/>
                    <w:ind w:right="60"/>
                    <w:jc w:val="left"/>
                  </w:pPr>
                  <w:r>
                    <w:rPr>
                      <w:rFonts w:ascii="仿宋_GB2312" w:hAnsi="仿宋_GB2312" w:eastAsia="仿宋_GB2312" w:cs="仿宋_GB2312"/>
                      <w:sz w:val="24"/>
                    </w:rPr>
                    <w:t>1.白班工作时间：7：00——15：00，中班时间15：00——23：00，夜班工作时间：23：00——次日7:00，每班1人1岗。轮休岗1人1岗。各班次不得缺人缺岗。</w:t>
                  </w:r>
                </w:p>
                <w:p w14:paraId="78F4FEB3">
                  <w:pPr>
                    <w:pStyle w:val="4"/>
                    <w:spacing w:before="105"/>
                    <w:ind w:right="60"/>
                    <w:jc w:val="left"/>
                  </w:pPr>
                  <w:r>
                    <w:rPr>
                      <w:rFonts w:ascii="仿宋_GB2312" w:hAnsi="仿宋_GB2312" w:eastAsia="仿宋_GB2312" w:cs="仿宋_GB2312"/>
                      <w:sz w:val="24"/>
                    </w:rPr>
                    <w:t>2.负责后门岗执勤及安全值守。</w:t>
                  </w:r>
                </w:p>
                <w:p w14:paraId="337BA950">
                  <w:pPr>
                    <w:pStyle w:val="4"/>
                    <w:spacing w:before="105"/>
                    <w:ind w:right="60"/>
                    <w:jc w:val="left"/>
                  </w:pPr>
                  <w:r>
                    <w:rPr>
                      <w:rFonts w:ascii="仿宋_GB2312" w:hAnsi="仿宋_GB2312" w:eastAsia="仿宋_GB2312" w:cs="仿宋_GB2312"/>
                      <w:sz w:val="24"/>
                    </w:rPr>
                    <w:t>3.按统筹安排，进行巡逻工作。</w:t>
                  </w:r>
                </w:p>
              </w:tc>
            </w:tr>
            <w:tr w14:paraId="7BA4D8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5F0D8A">
                  <w:pPr>
                    <w:pStyle w:val="4"/>
                    <w:spacing w:before="105"/>
                    <w:ind w:right="60"/>
                    <w:jc w:val="center"/>
                  </w:pPr>
                  <w:r>
                    <w:rPr>
                      <w:rFonts w:ascii="仿宋_GB2312" w:hAnsi="仿宋_GB2312" w:eastAsia="仿宋_GB2312" w:cs="仿宋_GB2312"/>
                      <w:sz w:val="24"/>
                    </w:rPr>
                    <w:t>6</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2A523D">
                  <w:pPr>
                    <w:pStyle w:val="4"/>
                    <w:spacing w:before="105"/>
                    <w:ind w:right="60"/>
                    <w:jc w:val="center"/>
                  </w:pPr>
                  <w:r>
                    <w:rPr>
                      <w:rFonts w:ascii="仿宋_GB2312" w:hAnsi="仿宋_GB2312" w:eastAsia="仿宋_GB2312" w:cs="仿宋_GB2312"/>
                      <w:sz w:val="24"/>
                    </w:rPr>
                    <w:t>消防控制室安保岗位</w:t>
                  </w:r>
                </w:p>
              </w:tc>
              <w:tc>
                <w:tcPr>
                  <w:tcW w:w="5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1DE3CC">
                  <w:pPr>
                    <w:pStyle w:val="4"/>
                    <w:spacing w:before="105"/>
                    <w:ind w:right="60"/>
                    <w:jc w:val="center"/>
                  </w:pPr>
                  <w:r>
                    <w:rPr>
                      <w:rFonts w:ascii="仿宋_GB2312" w:hAnsi="仿宋_GB2312" w:eastAsia="仿宋_GB2312" w:cs="仿宋_GB2312"/>
                      <w:sz w:val="24"/>
                    </w:rPr>
                    <w:t>8</w:t>
                  </w:r>
                </w:p>
              </w:tc>
              <w:tc>
                <w:tcPr>
                  <w:tcW w:w="36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1C6699">
                  <w:pPr>
                    <w:pStyle w:val="4"/>
                    <w:spacing w:before="105"/>
                    <w:ind w:right="60"/>
                    <w:jc w:val="left"/>
                  </w:pPr>
                  <w:r>
                    <w:rPr>
                      <w:rFonts w:ascii="仿宋_GB2312" w:hAnsi="仿宋_GB2312" w:eastAsia="仿宋_GB2312" w:cs="仿宋_GB2312"/>
                      <w:sz w:val="24"/>
                    </w:rPr>
                    <w:t>1.负责消防控制室值守。持有行政管理部门颁发的【</w:t>
                  </w:r>
                  <w:r>
                    <w:rPr>
                      <w:rFonts w:ascii="仿宋_GB2312" w:hAnsi="仿宋_GB2312" w:eastAsia="仿宋_GB2312" w:cs="仿宋_GB2312"/>
                      <w:b/>
                      <w:sz w:val="24"/>
                    </w:rPr>
                    <w:t>四级（或中级）或以上消防设施操作员证书复印件</w:t>
                  </w:r>
                  <w:r>
                    <w:rPr>
                      <w:rFonts w:ascii="仿宋_GB2312" w:hAnsi="仿宋_GB2312" w:eastAsia="仿宋_GB2312" w:cs="仿宋_GB2312"/>
                      <w:sz w:val="24"/>
                    </w:rPr>
                    <w:t>】（签订合同前三个工作日提供证书复印件）</w:t>
                  </w:r>
                </w:p>
                <w:p w14:paraId="3A6097A0">
                  <w:pPr>
                    <w:pStyle w:val="4"/>
                    <w:spacing w:before="105"/>
                    <w:ind w:right="60"/>
                    <w:jc w:val="left"/>
                  </w:pPr>
                  <w:r>
                    <w:rPr>
                      <w:rFonts w:ascii="仿宋_GB2312" w:hAnsi="仿宋_GB2312" w:eastAsia="仿宋_GB2312" w:cs="仿宋_GB2312"/>
                      <w:sz w:val="24"/>
                    </w:rPr>
                    <w:t>2.白班工作时间：7：00——15：00，中班15：00——23：00，夜班工作时间：23：00——次日7:00，每班2人2岗。轮休岗2人2岗。各班次不得缺人缺岗。</w:t>
                  </w:r>
                </w:p>
              </w:tc>
            </w:tr>
            <w:tr w14:paraId="6E5F31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68"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4BEE24">
                  <w:pPr>
                    <w:pStyle w:val="4"/>
                    <w:jc w:val="both"/>
                  </w:pPr>
                  <w:r>
                    <w:rPr>
                      <w:rFonts w:ascii="仿宋_GB2312" w:hAnsi="仿宋_GB2312" w:eastAsia="仿宋_GB2312" w:cs="仿宋_GB2312"/>
                      <w:sz w:val="24"/>
                    </w:rPr>
                    <w:t>校园安全巡逻，岗位人员由前述相应岗位统筹协调安排，确保每两小时在校区巡逻一次，白班和中班每次最低2个岗位配置人员参与巡逻，夜班1个岗位配置人员参与巡逻。供应商需合理规划巡逻路线与人员分工，在不新增人员的前提下保障巡逻频次与人员要求。</w:t>
                  </w:r>
                </w:p>
              </w:tc>
            </w:tr>
          </w:tbl>
          <w:p w14:paraId="49A6E31F">
            <w:pPr>
              <w:pStyle w:val="4"/>
              <w:ind w:firstLine="480"/>
              <w:jc w:val="left"/>
            </w:pPr>
            <w:r>
              <w:rPr>
                <w:rFonts w:ascii="仿宋_GB2312" w:hAnsi="仿宋_GB2312" w:eastAsia="仿宋_GB2312" w:cs="仿宋_GB2312"/>
                <w:sz w:val="24"/>
              </w:rPr>
              <w:t>注：</w:t>
            </w:r>
          </w:p>
          <w:p w14:paraId="5237A50A">
            <w:pPr>
              <w:pStyle w:val="4"/>
              <w:jc w:val="both"/>
            </w:pPr>
            <w:r>
              <w:rPr>
                <w:rFonts w:ascii="仿宋_GB2312" w:hAnsi="仿宋_GB2312" w:eastAsia="仿宋_GB2312" w:cs="仿宋_GB2312"/>
                <w:sz w:val="24"/>
              </w:rPr>
              <w:t>（1）上表描述内容为通过岗位数量及要求体现本项目工作量（部分岗位明确要求最低配置人数，供应商在响应时不得低于要求），岗位数量不等同于对实际服务人数的实质性规定，供应商须在遵守相关法律法规的基础之上，根据岗位配置要求、服务要求及自身经营情况，核定所需人数、器材和机具，并进行相应配置。</w:t>
            </w:r>
          </w:p>
          <w:p w14:paraId="0FD841FD">
            <w:pPr>
              <w:pStyle w:val="4"/>
              <w:jc w:val="both"/>
            </w:pPr>
            <w:r>
              <w:rPr>
                <w:rFonts w:ascii="仿宋_GB2312" w:hAnsi="仿宋_GB2312" w:eastAsia="仿宋_GB2312" w:cs="仿宋_GB2312"/>
                <w:sz w:val="24"/>
              </w:rPr>
              <w:t>（2）供应商在响应时须提供人员配置表或配置方案，逐岗位明确配置人员数量及工作机制，确保满足本项目的要求。如未提供或不能满足本项目需求，视为未实质性响应。</w:t>
            </w:r>
          </w:p>
          <w:p w14:paraId="102A7E4D">
            <w:pPr>
              <w:pStyle w:val="4"/>
              <w:jc w:val="both"/>
            </w:pPr>
            <w:r>
              <w:rPr>
                <w:rFonts w:ascii="仿宋_GB2312" w:hAnsi="仿宋_GB2312" w:eastAsia="仿宋_GB2312" w:cs="仿宋_GB2312"/>
                <w:sz w:val="24"/>
              </w:rPr>
              <w:t>（3）所有人员要求无犯罪记录，无吸毒史、无精神病史，项目服务人员须提供无犯罪前科、无违法违纪记录证明并每半年更新一次，供应商签订合同前三个工作日提交上述所有关材料至采购人备案。</w:t>
            </w:r>
          </w:p>
          <w:p w14:paraId="44EB21B8">
            <w:pPr>
              <w:pStyle w:val="4"/>
              <w:spacing w:before="105"/>
              <w:ind w:right="60" w:firstLine="480"/>
              <w:jc w:val="left"/>
            </w:pPr>
            <w:r>
              <w:rPr>
                <w:rFonts w:ascii="仿宋_GB2312" w:hAnsi="仿宋_GB2312" w:eastAsia="仿宋_GB2312" w:cs="仿宋_GB2312"/>
                <w:sz w:val="24"/>
              </w:rPr>
              <w:t>（4）配置的保安人员应系该公司正式员工，年龄不超过50周岁，且只能服务于本项目，持中标后三个月内的健康体检合格证方能上岗，所有保安人员须具备有效的保安员证（签订合同前三个工作日提供证书原件及复印件）。</w:t>
            </w:r>
          </w:p>
          <w:p w14:paraId="6FB30D09">
            <w:pPr>
              <w:pStyle w:val="4"/>
              <w:spacing w:before="105"/>
              <w:ind w:right="60" w:firstLine="480"/>
              <w:jc w:val="left"/>
            </w:pPr>
            <w:r>
              <w:rPr>
                <w:rFonts w:ascii="仿宋_GB2312" w:hAnsi="仿宋_GB2312" w:eastAsia="仿宋_GB2312" w:cs="仿宋_GB2312"/>
                <w:sz w:val="24"/>
              </w:rPr>
              <w:t>（5）供应商签订合同前三个工作日须提供服务团队全体人员清单（清单需包含人员姓名、身份证号和身份证复印件及联系方式），经采购人同意后入场，服务期间若有更换须持同岗位资格证书且需征得采购人同意。供应商如未提供或所提交的材料不能满足采购文件中的要求，采购人有权单方面不予签订合同，不予签订的通知自到达供应商时生效。</w:t>
            </w:r>
          </w:p>
          <w:p w14:paraId="60EC8967">
            <w:pPr>
              <w:pStyle w:val="4"/>
              <w:spacing w:before="105"/>
              <w:ind w:right="60" w:firstLine="480"/>
              <w:jc w:val="left"/>
            </w:pPr>
            <w:r>
              <w:rPr>
                <w:rFonts w:ascii="仿宋_GB2312" w:hAnsi="仿宋_GB2312" w:eastAsia="仿宋_GB2312" w:cs="仿宋_GB2312"/>
                <w:sz w:val="24"/>
              </w:rPr>
              <w:t>（6）供应商对本项目服务所需用工必须符合《中华人民共和国劳动法》等法律法规、规章规定，依法用工。供应商对拟派服务人员工作期间疾病和人身安全、安全责任事故、用工纠纷等各类纠纷负责，采购人不承担任何责任。</w:t>
            </w:r>
          </w:p>
          <w:p w14:paraId="21135746">
            <w:pPr>
              <w:pStyle w:val="4"/>
              <w:spacing w:before="105"/>
              <w:ind w:right="60" w:firstLine="480"/>
              <w:jc w:val="left"/>
            </w:pPr>
            <w:r>
              <w:rPr>
                <w:rFonts w:ascii="仿宋_GB2312" w:hAnsi="仿宋_GB2312" w:eastAsia="仿宋_GB2312" w:cs="仿宋_GB2312"/>
                <w:sz w:val="24"/>
              </w:rPr>
              <w:t>（7）保安人员应具有高度的责任意识和保密意识，签订保密协议；统一着装(说明：每人冬季、夏季、春秋季服装各不低于两套，每人共计不低于六套)，整洁大方，佩证齐全；文明礼貌，行为规范，主动热情；尽职尽责，勤奋工作，规范操作；遵章守纪，厉行节约，爱护公物；工作人员在工作中应保持良好的精神状态，表情自然、亲切，举止大方、有礼，用语文明、规范。</w:t>
            </w:r>
          </w:p>
          <w:p w14:paraId="377D02C0">
            <w:pPr>
              <w:pStyle w:val="4"/>
              <w:spacing w:before="105"/>
              <w:ind w:right="60" w:firstLine="480"/>
              <w:jc w:val="left"/>
            </w:pPr>
            <w:r>
              <w:rPr>
                <w:rFonts w:ascii="仿宋_GB2312" w:hAnsi="仿宋_GB2312" w:eastAsia="仿宋_GB2312" w:cs="仿宋_GB2312"/>
                <w:sz w:val="24"/>
              </w:rPr>
              <w:t>（8）供应商自行解决员工劳保、工作服、胸卡、福利、食宿、交通、办公设备等有关费用；</w:t>
            </w:r>
          </w:p>
          <w:p w14:paraId="4426C539">
            <w:pPr>
              <w:pStyle w:val="4"/>
              <w:spacing w:before="105"/>
              <w:ind w:right="60" w:firstLine="480"/>
              <w:jc w:val="left"/>
            </w:pPr>
            <w:r>
              <w:rPr>
                <w:rFonts w:ascii="仿宋_GB2312" w:hAnsi="仿宋_GB2312" w:eastAsia="仿宋_GB2312" w:cs="仿宋_GB2312"/>
                <w:sz w:val="24"/>
              </w:rPr>
              <w:t>（9）供应商所有服务工作相关的工作人员需为采购人提供不间断的服务，供应商需按照采购人要求进行定岗定员，所有人员在规定上班时间内应在岗并履职到位；如遇特殊情况，供应商应按照采购人要求，统筹安排服务人员。</w:t>
            </w:r>
          </w:p>
          <w:p w14:paraId="18AFFEA7">
            <w:pPr>
              <w:pStyle w:val="4"/>
              <w:ind w:firstLine="480"/>
              <w:jc w:val="left"/>
            </w:pPr>
          </w:p>
        </w:tc>
      </w:tr>
      <w:tr w14:paraId="583013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F8493B">
            <w:pPr>
              <w:pStyle w:val="4"/>
              <w:jc w:val="center"/>
            </w:pPr>
            <w:r>
              <w:rPr>
                <w:rFonts w:ascii="仿宋_GB2312" w:hAnsi="仿宋_GB2312" w:eastAsia="仿宋_GB2312" w:cs="仿宋_GB2312"/>
              </w:rPr>
              <w:t>2</w:t>
            </w:r>
          </w:p>
        </w:tc>
        <w:tc>
          <w:tcPr>
            <w:tcW w:w="581" w:type="dxa"/>
          </w:tcPr>
          <w:p w14:paraId="264B2D19">
            <w:pPr>
              <w:pStyle w:val="4"/>
              <w:jc w:val="center"/>
            </w:pPr>
            <w:r>
              <w:rPr>
                <w:rFonts w:ascii="仿宋_GB2312" w:hAnsi="仿宋_GB2312" w:eastAsia="仿宋_GB2312" w:cs="仿宋_GB2312"/>
              </w:rPr>
              <w:t>★</w:t>
            </w:r>
          </w:p>
        </w:tc>
        <w:tc>
          <w:tcPr>
            <w:tcW w:w="1495" w:type="dxa"/>
          </w:tcPr>
          <w:p w14:paraId="3231D238">
            <w:pPr>
              <w:pStyle w:val="4"/>
              <w:jc w:val="left"/>
            </w:pPr>
            <w:r>
              <w:rPr>
                <w:rFonts w:ascii="仿宋_GB2312" w:hAnsi="仿宋_GB2312" w:eastAsia="仿宋_GB2312" w:cs="仿宋_GB2312"/>
              </w:rPr>
              <w:t>考核标准</w:t>
            </w:r>
          </w:p>
        </w:tc>
        <w:tc>
          <w:tcPr>
            <w:tcW w:w="5814" w:type="dxa"/>
          </w:tcPr>
          <w:p w14:paraId="2D553C89">
            <w:pPr>
              <w:pStyle w:val="4"/>
              <w:jc w:val="left"/>
            </w:pPr>
            <w:r>
              <w:rPr>
                <w:rFonts w:ascii="仿宋_GB2312" w:hAnsi="仿宋_GB2312" w:eastAsia="仿宋_GB2312" w:cs="仿宋_GB2312"/>
                <w:sz w:val="24"/>
              </w:rPr>
              <w:t>由采购人每月根据服务情况对照《四川省双流棠湖中学校园安防服务考核评分细则》（详见附件一，供应商在响应时无须粘贴复制附件内容。）进行打分。综合得分必须达到90分及以上，综合得分每低一个百分点，从当月的付款金额中扣除本月服务费的1%,同时服务公司必须进行整改，拒不整改，采购人有权单方与服务公司解除服务合同；如综合得分低于75分，采购人有权终止服务公司服务资格，单方解除与服务公司签订的服务合同，服务公司需按照采购文件约定的违约责任承担违约金。</w:t>
            </w:r>
          </w:p>
          <w:tbl>
            <w:tblPr>
              <w:tblStyle w:val="2"/>
              <w:tblW w:w="0" w:type="auto"/>
              <w:tblInd w:w="-1754"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90"/>
              <w:gridCol w:w="344"/>
              <w:gridCol w:w="2770"/>
              <w:gridCol w:w="451"/>
              <w:gridCol w:w="892"/>
              <w:gridCol w:w="451"/>
            </w:tblGrid>
            <w:tr w14:paraId="622104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4"/>
                <w:wAfter w:w="874" w:type="dxa"/>
              </w:trPr>
              <w:tc>
                <w:tcPr>
                  <w:tcW w:w="895"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6AFE78F">
                  <w:pPr>
                    <w:pStyle w:val="4"/>
                    <w:jc w:val="center"/>
                  </w:pPr>
                  <w:r>
                    <w:rPr>
                      <w:rFonts w:ascii="仿宋_GB2312" w:hAnsi="仿宋_GB2312" w:eastAsia="仿宋_GB2312" w:cs="仿宋_GB2312"/>
                      <w:b/>
                      <w:color w:val="000000"/>
                      <w:sz w:val="28"/>
                    </w:rPr>
                    <w:t>四川省双流棠湖中学校园安防服务考核评分细则（总分100分）</w:t>
                  </w:r>
                </w:p>
              </w:tc>
            </w:tr>
            <w:tr w14:paraId="383A4B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409"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4476A7">
                  <w:pPr>
                    <w:pStyle w:val="4"/>
                    <w:jc w:val="center"/>
                  </w:pPr>
                  <w:r>
                    <w:rPr>
                      <w:rFonts w:ascii="仿宋_GB2312" w:hAnsi="仿宋_GB2312" w:eastAsia="仿宋_GB2312" w:cs="仿宋_GB2312"/>
                      <w:b/>
                      <w:color w:val="000000"/>
                      <w:sz w:val="24"/>
                    </w:rPr>
                    <w:t>考核指标名称</w:t>
                  </w:r>
                </w:p>
              </w:tc>
              <w:tc>
                <w:tcPr>
                  <w:tcW w:w="-175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36C61F0">
                  <w:pPr>
                    <w:pStyle w:val="4"/>
                    <w:jc w:val="center"/>
                  </w:pPr>
                  <w:r>
                    <w:rPr>
                      <w:rFonts w:ascii="仿宋_GB2312" w:hAnsi="仿宋_GB2312" w:eastAsia="仿宋_GB2312" w:cs="仿宋_GB2312"/>
                      <w:b/>
                      <w:color w:val="000000"/>
                      <w:sz w:val="24"/>
                    </w:rPr>
                    <w:t>分值</w:t>
                  </w:r>
                </w:p>
              </w:tc>
              <w:tc>
                <w:tcPr>
                  <w:tcW w:w="89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0F86AA2">
                  <w:pPr>
                    <w:pStyle w:val="4"/>
                    <w:jc w:val="center"/>
                  </w:pPr>
                  <w:r>
                    <w:rPr>
                      <w:rFonts w:ascii="仿宋_GB2312" w:hAnsi="仿宋_GB2312" w:eastAsia="仿宋_GB2312" w:cs="仿宋_GB2312"/>
                      <w:b/>
                      <w:color w:val="000000"/>
                      <w:sz w:val="24"/>
                    </w:rPr>
                    <w:t>考核标准</w:t>
                  </w:r>
                </w:p>
              </w:tc>
              <w:tc>
                <w:tcPr>
                  <w:tcW w:w="34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9EDACFB">
                  <w:pPr>
                    <w:pStyle w:val="4"/>
                    <w:jc w:val="center"/>
                  </w:pPr>
                  <w:r>
                    <w:rPr>
                      <w:rFonts w:ascii="仿宋_GB2312" w:hAnsi="仿宋_GB2312" w:eastAsia="仿宋_GB2312" w:cs="仿宋_GB2312"/>
                      <w:b/>
                      <w:color w:val="000000"/>
                      <w:sz w:val="24"/>
                    </w:rPr>
                    <w:t>得分</w:t>
                  </w:r>
                </w:p>
              </w:tc>
            </w:tr>
            <w:tr w14:paraId="64679F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B05D98">
                  <w:pPr>
                    <w:pStyle w:val="4"/>
                    <w:jc w:val="center"/>
                  </w:pPr>
                  <w:r>
                    <w:rPr>
                      <w:rFonts w:ascii="仿宋_GB2312" w:hAnsi="仿宋_GB2312" w:eastAsia="仿宋_GB2312" w:cs="仿宋_GB2312"/>
                      <w:color w:val="000000"/>
                      <w:sz w:val="24"/>
                    </w:rPr>
                    <w:t>管理制度（20 分）</w:t>
                  </w:r>
                </w:p>
              </w:tc>
              <w:tc>
                <w:tcPr>
                  <w:tcW w:w="3163" w:type="dxa"/>
                  <w:gridSpan w:val="2"/>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D6C75A">
                  <w:pPr>
                    <w:pStyle w:val="4"/>
                    <w:jc w:val="left"/>
                  </w:pPr>
                  <w:r>
                    <w:rPr>
                      <w:rFonts w:ascii="仿宋_GB2312" w:hAnsi="仿宋_GB2312" w:eastAsia="仿宋_GB2312" w:cs="仿宋_GB2312"/>
                      <w:color w:val="000000"/>
                      <w:sz w:val="24"/>
                    </w:rPr>
                    <w:t>认真履行工作职责，严格执行《棠湖中学保安日常勤务规范》。</w:t>
                  </w:r>
                </w:p>
              </w:tc>
              <w:tc>
                <w:tcPr>
                  <w:tcW w:w="-175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BAFF92">
                  <w:pPr>
                    <w:pStyle w:val="4"/>
                    <w:jc w:val="right"/>
                  </w:pPr>
                  <w:r>
                    <w:rPr>
                      <w:rFonts w:ascii="仿宋_GB2312" w:hAnsi="仿宋_GB2312" w:eastAsia="仿宋_GB2312" w:cs="仿宋_GB2312"/>
                      <w:color w:val="000000"/>
                      <w:sz w:val="24"/>
                    </w:rPr>
                    <w:t>10</w:t>
                  </w:r>
                </w:p>
              </w:tc>
              <w:tc>
                <w:tcPr>
                  <w:tcW w:w="896"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63F7C8">
                  <w:pPr>
                    <w:pStyle w:val="4"/>
                    <w:jc w:val="center"/>
                  </w:pPr>
                  <w:r>
                    <w:rPr>
                      <w:rFonts w:ascii="仿宋_GB2312" w:hAnsi="仿宋_GB2312" w:eastAsia="仿宋_GB2312" w:cs="仿宋_GB2312"/>
                      <w:color w:val="000000"/>
                      <w:sz w:val="24"/>
                    </w:rPr>
                    <w:t>若未按要求，一次扣5分</w:t>
                  </w:r>
                </w:p>
              </w:tc>
              <w:tc>
                <w:tcPr>
                  <w:tcW w:w="344"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0BC698D">
                  <w:pPr>
                    <w:pStyle w:val="4"/>
                    <w:jc w:val="center"/>
                  </w:pPr>
                </w:p>
              </w:tc>
            </w:tr>
            <w:tr w14:paraId="58E3E0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23979B43"/>
              </w:tc>
              <w:tc>
                <w:tcPr>
                  <w:tcW w:w="3163" w:type="dxa"/>
                  <w:gridSpan w:val="2"/>
                  <w:vMerge w:val="continue"/>
                  <w:tcBorders>
                    <w:top w:val="nil"/>
                    <w:left w:val="single" w:color="000000" w:sz="4" w:space="0"/>
                    <w:bottom w:val="single" w:color="000000" w:sz="4" w:space="0"/>
                    <w:right w:val="single" w:color="000000" w:sz="4" w:space="0"/>
                  </w:tcBorders>
                </w:tcPr>
                <w:p w14:paraId="7743058F"/>
              </w:tc>
              <w:tc>
                <w:tcPr>
                  <w:tcW w:w="-1754" w:type="dxa"/>
                  <w:vMerge w:val="continue"/>
                  <w:tcBorders>
                    <w:top w:val="nil"/>
                    <w:left w:val="single" w:color="000000" w:sz="4" w:space="0"/>
                    <w:bottom w:val="single" w:color="000000" w:sz="4" w:space="0"/>
                    <w:right w:val="single" w:color="000000" w:sz="4" w:space="0"/>
                  </w:tcBorders>
                </w:tcPr>
                <w:p w14:paraId="410C86C7"/>
              </w:tc>
              <w:tc>
                <w:tcPr>
                  <w:tcW w:w="896" w:type="dxa"/>
                  <w:vMerge w:val="continue"/>
                  <w:tcBorders>
                    <w:top w:val="nil"/>
                    <w:left w:val="single" w:color="000000" w:sz="4" w:space="0"/>
                    <w:bottom w:val="single" w:color="000000" w:sz="4" w:space="0"/>
                    <w:right w:val="single" w:color="000000" w:sz="4" w:space="0"/>
                  </w:tcBorders>
                </w:tcPr>
                <w:p w14:paraId="3239E9D6"/>
              </w:tc>
              <w:tc>
                <w:tcPr>
                  <w:tcW w:w="344" w:type="dxa"/>
                  <w:vMerge w:val="continue"/>
                  <w:tcBorders>
                    <w:top w:val="single" w:color="000000" w:sz="4" w:space="0"/>
                    <w:left w:val="single" w:color="000000" w:sz="4" w:space="0"/>
                    <w:bottom w:val="single" w:color="000000" w:sz="4" w:space="0"/>
                    <w:right w:val="single" w:color="000000" w:sz="4" w:space="0"/>
                  </w:tcBorders>
                </w:tcPr>
                <w:p w14:paraId="16325D84"/>
              </w:tc>
            </w:tr>
            <w:tr w14:paraId="77B13E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0C3BD8DD"/>
              </w:tc>
              <w:tc>
                <w:tcPr>
                  <w:tcW w:w="316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4A5788">
                  <w:pPr>
                    <w:pStyle w:val="4"/>
                    <w:jc w:val="left"/>
                  </w:pPr>
                  <w:r>
                    <w:rPr>
                      <w:rFonts w:ascii="仿宋_GB2312" w:hAnsi="仿宋_GB2312" w:eastAsia="仿宋_GB2312" w:cs="仿宋_GB2312"/>
                      <w:color w:val="000000"/>
                      <w:sz w:val="24"/>
                    </w:rPr>
                    <w:t>严格遵守公司、学校制定的相关规章制度。</w:t>
                  </w:r>
                </w:p>
              </w:tc>
              <w:tc>
                <w:tcPr>
                  <w:tcW w:w="-17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5F9266">
                  <w:pPr>
                    <w:pStyle w:val="4"/>
                    <w:jc w:val="right"/>
                  </w:pPr>
                  <w:r>
                    <w:rPr>
                      <w:rFonts w:ascii="仿宋_GB2312" w:hAnsi="仿宋_GB2312" w:eastAsia="仿宋_GB2312" w:cs="仿宋_GB2312"/>
                      <w:color w:val="000000"/>
                      <w:sz w:val="24"/>
                    </w:rPr>
                    <w:t>10</w:t>
                  </w:r>
                </w:p>
              </w:tc>
              <w:tc>
                <w:tcPr>
                  <w:tcW w:w="8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5211CD">
                  <w:pPr>
                    <w:pStyle w:val="4"/>
                    <w:jc w:val="center"/>
                  </w:pPr>
                  <w:r>
                    <w:rPr>
                      <w:rFonts w:ascii="仿宋_GB2312" w:hAnsi="仿宋_GB2312" w:eastAsia="仿宋_GB2312" w:cs="仿宋_GB2312"/>
                      <w:color w:val="000000"/>
                      <w:sz w:val="24"/>
                    </w:rPr>
                    <w:t>若未按要求，一次扣5分</w:t>
                  </w:r>
                </w:p>
              </w:tc>
              <w:tc>
                <w:tcPr>
                  <w:tcW w:w="3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43E4F3">
                  <w:pPr>
                    <w:pStyle w:val="4"/>
                    <w:jc w:val="center"/>
                  </w:pPr>
                </w:p>
              </w:tc>
            </w:tr>
            <w:tr w14:paraId="4D7AF8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5636AC">
                  <w:pPr>
                    <w:pStyle w:val="4"/>
                    <w:jc w:val="center"/>
                  </w:pPr>
                  <w:r>
                    <w:rPr>
                      <w:rFonts w:ascii="仿宋_GB2312" w:hAnsi="仿宋_GB2312" w:eastAsia="仿宋_GB2312" w:cs="仿宋_GB2312"/>
                      <w:color w:val="000000"/>
                      <w:sz w:val="24"/>
                    </w:rPr>
                    <w:t>日常管理（80 分）</w:t>
                  </w:r>
                </w:p>
              </w:tc>
              <w:tc>
                <w:tcPr>
                  <w:tcW w:w="3163" w:type="dxa"/>
                  <w:gridSpan w:val="2"/>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CD7136">
                  <w:pPr>
                    <w:pStyle w:val="4"/>
                    <w:jc w:val="left"/>
                  </w:pPr>
                  <w:r>
                    <w:rPr>
                      <w:rFonts w:ascii="仿宋_GB2312" w:hAnsi="仿宋_GB2312" w:eastAsia="仿宋_GB2312" w:cs="仿宋_GB2312"/>
                      <w:color w:val="000000"/>
                      <w:sz w:val="24"/>
                    </w:rPr>
                    <w:t>白班严禁在值班室内和巡逻中玩手机，做与工作无关的事情。</w:t>
                  </w:r>
                </w:p>
              </w:tc>
              <w:tc>
                <w:tcPr>
                  <w:tcW w:w="-175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452D54">
                  <w:pPr>
                    <w:pStyle w:val="4"/>
                    <w:jc w:val="right"/>
                  </w:pPr>
                  <w:r>
                    <w:rPr>
                      <w:rFonts w:ascii="仿宋_GB2312" w:hAnsi="仿宋_GB2312" w:eastAsia="仿宋_GB2312" w:cs="仿宋_GB2312"/>
                      <w:color w:val="000000"/>
                      <w:sz w:val="24"/>
                    </w:rPr>
                    <w:t>5</w:t>
                  </w:r>
                </w:p>
              </w:tc>
              <w:tc>
                <w:tcPr>
                  <w:tcW w:w="896"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E7FA79">
                  <w:pPr>
                    <w:pStyle w:val="4"/>
                    <w:jc w:val="center"/>
                  </w:pPr>
                  <w:r>
                    <w:rPr>
                      <w:rFonts w:ascii="仿宋_GB2312" w:hAnsi="仿宋_GB2312" w:eastAsia="仿宋_GB2312" w:cs="仿宋_GB2312"/>
                      <w:color w:val="000000"/>
                      <w:sz w:val="24"/>
                    </w:rPr>
                    <w:t>若未按要求，一次扣1分</w:t>
                  </w:r>
                </w:p>
              </w:tc>
              <w:tc>
                <w:tcPr>
                  <w:tcW w:w="34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11A7B2">
                  <w:pPr>
                    <w:pStyle w:val="4"/>
                    <w:jc w:val="center"/>
                  </w:pPr>
                </w:p>
              </w:tc>
            </w:tr>
            <w:tr w14:paraId="042BF4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3910F893"/>
              </w:tc>
              <w:tc>
                <w:tcPr>
                  <w:tcW w:w="3163" w:type="dxa"/>
                  <w:gridSpan w:val="2"/>
                  <w:vMerge w:val="continue"/>
                  <w:tcBorders>
                    <w:top w:val="nil"/>
                    <w:left w:val="single" w:color="000000" w:sz="4" w:space="0"/>
                    <w:bottom w:val="single" w:color="000000" w:sz="4" w:space="0"/>
                    <w:right w:val="single" w:color="000000" w:sz="4" w:space="0"/>
                  </w:tcBorders>
                </w:tcPr>
                <w:p w14:paraId="37923694"/>
              </w:tc>
              <w:tc>
                <w:tcPr>
                  <w:tcW w:w="-1754" w:type="dxa"/>
                  <w:vMerge w:val="continue"/>
                  <w:tcBorders>
                    <w:top w:val="nil"/>
                    <w:left w:val="single" w:color="000000" w:sz="4" w:space="0"/>
                    <w:bottom w:val="single" w:color="000000" w:sz="4" w:space="0"/>
                    <w:right w:val="single" w:color="000000" w:sz="4" w:space="0"/>
                  </w:tcBorders>
                </w:tcPr>
                <w:p w14:paraId="117FF010"/>
              </w:tc>
              <w:tc>
                <w:tcPr>
                  <w:tcW w:w="896" w:type="dxa"/>
                  <w:vMerge w:val="continue"/>
                  <w:tcBorders>
                    <w:top w:val="nil"/>
                    <w:left w:val="single" w:color="000000" w:sz="4" w:space="0"/>
                    <w:bottom w:val="single" w:color="000000" w:sz="4" w:space="0"/>
                    <w:right w:val="single" w:color="000000" w:sz="4" w:space="0"/>
                  </w:tcBorders>
                </w:tcPr>
                <w:p w14:paraId="4589A454"/>
              </w:tc>
              <w:tc>
                <w:tcPr>
                  <w:tcW w:w="344" w:type="dxa"/>
                  <w:vMerge w:val="continue"/>
                  <w:tcBorders>
                    <w:top w:val="nil"/>
                    <w:left w:val="single" w:color="000000" w:sz="4" w:space="0"/>
                    <w:bottom w:val="single" w:color="000000" w:sz="4" w:space="0"/>
                    <w:right w:val="single" w:color="000000" w:sz="4" w:space="0"/>
                  </w:tcBorders>
                </w:tcPr>
                <w:p w14:paraId="54311CF2"/>
              </w:tc>
            </w:tr>
            <w:tr w14:paraId="7C7046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65DD24A2"/>
              </w:tc>
              <w:tc>
                <w:tcPr>
                  <w:tcW w:w="3163" w:type="dxa"/>
                  <w:gridSpan w:val="2"/>
                  <w:vMerge w:val="continue"/>
                  <w:tcBorders>
                    <w:top w:val="nil"/>
                    <w:left w:val="single" w:color="000000" w:sz="4" w:space="0"/>
                    <w:bottom w:val="single" w:color="000000" w:sz="4" w:space="0"/>
                    <w:right w:val="single" w:color="000000" w:sz="4" w:space="0"/>
                  </w:tcBorders>
                </w:tcPr>
                <w:p w14:paraId="2456FC0C"/>
              </w:tc>
              <w:tc>
                <w:tcPr>
                  <w:tcW w:w="-1754" w:type="dxa"/>
                  <w:vMerge w:val="continue"/>
                  <w:tcBorders>
                    <w:top w:val="nil"/>
                    <w:left w:val="single" w:color="000000" w:sz="4" w:space="0"/>
                    <w:bottom w:val="single" w:color="000000" w:sz="4" w:space="0"/>
                    <w:right w:val="single" w:color="000000" w:sz="4" w:space="0"/>
                  </w:tcBorders>
                </w:tcPr>
                <w:p w14:paraId="69599A4B"/>
              </w:tc>
              <w:tc>
                <w:tcPr>
                  <w:tcW w:w="896" w:type="dxa"/>
                  <w:vMerge w:val="continue"/>
                  <w:tcBorders>
                    <w:top w:val="nil"/>
                    <w:left w:val="single" w:color="000000" w:sz="4" w:space="0"/>
                    <w:bottom w:val="single" w:color="000000" w:sz="4" w:space="0"/>
                    <w:right w:val="single" w:color="000000" w:sz="4" w:space="0"/>
                  </w:tcBorders>
                </w:tcPr>
                <w:p w14:paraId="5C82B5BB"/>
              </w:tc>
              <w:tc>
                <w:tcPr>
                  <w:tcW w:w="344" w:type="dxa"/>
                  <w:vMerge w:val="continue"/>
                  <w:tcBorders>
                    <w:top w:val="nil"/>
                    <w:left w:val="single" w:color="000000" w:sz="4" w:space="0"/>
                    <w:bottom w:val="single" w:color="000000" w:sz="4" w:space="0"/>
                    <w:right w:val="single" w:color="000000" w:sz="4" w:space="0"/>
                  </w:tcBorders>
                </w:tcPr>
                <w:p w14:paraId="5F65AAB3"/>
              </w:tc>
            </w:tr>
            <w:tr w14:paraId="372349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6DB5C994"/>
              </w:tc>
              <w:tc>
                <w:tcPr>
                  <w:tcW w:w="3163" w:type="dxa"/>
                  <w:gridSpan w:val="2"/>
                  <w:vMerge w:val="continue"/>
                  <w:tcBorders>
                    <w:top w:val="nil"/>
                    <w:left w:val="single" w:color="000000" w:sz="4" w:space="0"/>
                    <w:bottom w:val="single" w:color="000000" w:sz="4" w:space="0"/>
                    <w:right w:val="single" w:color="000000" w:sz="4" w:space="0"/>
                  </w:tcBorders>
                </w:tcPr>
                <w:p w14:paraId="35E1B8BE"/>
              </w:tc>
              <w:tc>
                <w:tcPr>
                  <w:tcW w:w="-1754" w:type="dxa"/>
                  <w:vMerge w:val="continue"/>
                  <w:tcBorders>
                    <w:top w:val="nil"/>
                    <w:left w:val="single" w:color="000000" w:sz="4" w:space="0"/>
                    <w:bottom w:val="single" w:color="000000" w:sz="4" w:space="0"/>
                    <w:right w:val="single" w:color="000000" w:sz="4" w:space="0"/>
                  </w:tcBorders>
                </w:tcPr>
                <w:p w14:paraId="422634B2"/>
              </w:tc>
              <w:tc>
                <w:tcPr>
                  <w:tcW w:w="896" w:type="dxa"/>
                  <w:vMerge w:val="continue"/>
                  <w:tcBorders>
                    <w:top w:val="nil"/>
                    <w:left w:val="single" w:color="000000" w:sz="4" w:space="0"/>
                    <w:bottom w:val="single" w:color="000000" w:sz="4" w:space="0"/>
                    <w:right w:val="single" w:color="000000" w:sz="4" w:space="0"/>
                  </w:tcBorders>
                </w:tcPr>
                <w:p w14:paraId="0C449DBD"/>
              </w:tc>
              <w:tc>
                <w:tcPr>
                  <w:tcW w:w="344" w:type="dxa"/>
                  <w:vMerge w:val="continue"/>
                  <w:tcBorders>
                    <w:top w:val="nil"/>
                    <w:left w:val="single" w:color="000000" w:sz="4" w:space="0"/>
                    <w:bottom w:val="single" w:color="000000" w:sz="4" w:space="0"/>
                    <w:right w:val="single" w:color="000000" w:sz="4" w:space="0"/>
                  </w:tcBorders>
                </w:tcPr>
                <w:p w14:paraId="6C79D7E1"/>
              </w:tc>
            </w:tr>
            <w:tr w14:paraId="013E5F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5747C96B"/>
              </w:tc>
              <w:tc>
                <w:tcPr>
                  <w:tcW w:w="3163" w:type="dxa"/>
                  <w:gridSpan w:val="2"/>
                  <w:vMerge w:val="continue"/>
                  <w:tcBorders>
                    <w:top w:val="nil"/>
                    <w:left w:val="single" w:color="000000" w:sz="4" w:space="0"/>
                    <w:bottom w:val="single" w:color="000000" w:sz="4" w:space="0"/>
                    <w:right w:val="single" w:color="000000" w:sz="4" w:space="0"/>
                  </w:tcBorders>
                </w:tcPr>
                <w:p w14:paraId="36B841DE"/>
              </w:tc>
              <w:tc>
                <w:tcPr>
                  <w:tcW w:w="-1754" w:type="dxa"/>
                  <w:vMerge w:val="continue"/>
                  <w:tcBorders>
                    <w:top w:val="nil"/>
                    <w:left w:val="single" w:color="000000" w:sz="4" w:space="0"/>
                    <w:bottom w:val="single" w:color="000000" w:sz="4" w:space="0"/>
                    <w:right w:val="single" w:color="000000" w:sz="4" w:space="0"/>
                  </w:tcBorders>
                </w:tcPr>
                <w:p w14:paraId="44A27D3B"/>
              </w:tc>
              <w:tc>
                <w:tcPr>
                  <w:tcW w:w="896" w:type="dxa"/>
                  <w:vMerge w:val="continue"/>
                  <w:tcBorders>
                    <w:top w:val="nil"/>
                    <w:left w:val="single" w:color="000000" w:sz="4" w:space="0"/>
                    <w:bottom w:val="single" w:color="000000" w:sz="4" w:space="0"/>
                    <w:right w:val="single" w:color="000000" w:sz="4" w:space="0"/>
                  </w:tcBorders>
                </w:tcPr>
                <w:p w14:paraId="19BCCB62"/>
              </w:tc>
              <w:tc>
                <w:tcPr>
                  <w:tcW w:w="344" w:type="dxa"/>
                  <w:vMerge w:val="continue"/>
                  <w:tcBorders>
                    <w:top w:val="nil"/>
                    <w:left w:val="single" w:color="000000" w:sz="4" w:space="0"/>
                    <w:bottom w:val="single" w:color="000000" w:sz="4" w:space="0"/>
                    <w:right w:val="single" w:color="000000" w:sz="4" w:space="0"/>
                  </w:tcBorders>
                </w:tcPr>
                <w:p w14:paraId="56CEFA50"/>
              </w:tc>
            </w:tr>
            <w:tr w14:paraId="1C5105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220A5316"/>
              </w:tc>
              <w:tc>
                <w:tcPr>
                  <w:tcW w:w="3163" w:type="dxa"/>
                  <w:gridSpan w:val="2"/>
                  <w:vMerge w:val="continue"/>
                  <w:tcBorders>
                    <w:top w:val="nil"/>
                    <w:left w:val="single" w:color="000000" w:sz="4" w:space="0"/>
                    <w:bottom w:val="single" w:color="000000" w:sz="4" w:space="0"/>
                    <w:right w:val="single" w:color="000000" w:sz="4" w:space="0"/>
                  </w:tcBorders>
                </w:tcPr>
                <w:p w14:paraId="519BF6AD"/>
              </w:tc>
              <w:tc>
                <w:tcPr>
                  <w:tcW w:w="-1754" w:type="dxa"/>
                  <w:vMerge w:val="continue"/>
                  <w:tcBorders>
                    <w:top w:val="nil"/>
                    <w:left w:val="single" w:color="000000" w:sz="4" w:space="0"/>
                    <w:bottom w:val="single" w:color="000000" w:sz="4" w:space="0"/>
                    <w:right w:val="single" w:color="000000" w:sz="4" w:space="0"/>
                  </w:tcBorders>
                </w:tcPr>
                <w:p w14:paraId="629D43FC"/>
              </w:tc>
              <w:tc>
                <w:tcPr>
                  <w:tcW w:w="896" w:type="dxa"/>
                  <w:vMerge w:val="continue"/>
                  <w:tcBorders>
                    <w:top w:val="nil"/>
                    <w:left w:val="single" w:color="000000" w:sz="4" w:space="0"/>
                    <w:bottom w:val="single" w:color="000000" w:sz="4" w:space="0"/>
                    <w:right w:val="single" w:color="000000" w:sz="4" w:space="0"/>
                  </w:tcBorders>
                </w:tcPr>
                <w:p w14:paraId="54B70FA5"/>
              </w:tc>
              <w:tc>
                <w:tcPr>
                  <w:tcW w:w="344" w:type="dxa"/>
                  <w:vMerge w:val="continue"/>
                  <w:tcBorders>
                    <w:top w:val="nil"/>
                    <w:left w:val="single" w:color="000000" w:sz="4" w:space="0"/>
                    <w:bottom w:val="single" w:color="000000" w:sz="4" w:space="0"/>
                    <w:right w:val="single" w:color="000000" w:sz="4" w:space="0"/>
                  </w:tcBorders>
                </w:tcPr>
                <w:p w14:paraId="7123B32A"/>
              </w:tc>
            </w:tr>
            <w:tr w14:paraId="625A84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344C47C4"/>
              </w:tc>
              <w:tc>
                <w:tcPr>
                  <w:tcW w:w="3163" w:type="dxa"/>
                  <w:gridSpan w:val="2"/>
                  <w:vMerge w:val="continue"/>
                  <w:tcBorders>
                    <w:top w:val="nil"/>
                    <w:left w:val="single" w:color="000000" w:sz="4" w:space="0"/>
                    <w:bottom w:val="single" w:color="000000" w:sz="4" w:space="0"/>
                    <w:right w:val="single" w:color="000000" w:sz="4" w:space="0"/>
                  </w:tcBorders>
                </w:tcPr>
                <w:p w14:paraId="7662B9B7"/>
              </w:tc>
              <w:tc>
                <w:tcPr>
                  <w:tcW w:w="-1754" w:type="dxa"/>
                  <w:vMerge w:val="continue"/>
                  <w:tcBorders>
                    <w:top w:val="nil"/>
                    <w:left w:val="single" w:color="000000" w:sz="4" w:space="0"/>
                    <w:bottom w:val="single" w:color="000000" w:sz="4" w:space="0"/>
                    <w:right w:val="single" w:color="000000" w:sz="4" w:space="0"/>
                  </w:tcBorders>
                </w:tcPr>
                <w:p w14:paraId="11945AAB"/>
              </w:tc>
              <w:tc>
                <w:tcPr>
                  <w:tcW w:w="896" w:type="dxa"/>
                  <w:vMerge w:val="continue"/>
                  <w:tcBorders>
                    <w:top w:val="nil"/>
                    <w:left w:val="single" w:color="000000" w:sz="4" w:space="0"/>
                    <w:bottom w:val="single" w:color="000000" w:sz="4" w:space="0"/>
                    <w:right w:val="single" w:color="000000" w:sz="4" w:space="0"/>
                  </w:tcBorders>
                </w:tcPr>
                <w:p w14:paraId="4F064B3C"/>
              </w:tc>
              <w:tc>
                <w:tcPr>
                  <w:tcW w:w="344" w:type="dxa"/>
                  <w:vMerge w:val="continue"/>
                  <w:tcBorders>
                    <w:top w:val="nil"/>
                    <w:left w:val="single" w:color="000000" w:sz="4" w:space="0"/>
                    <w:bottom w:val="single" w:color="000000" w:sz="4" w:space="0"/>
                    <w:right w:val="single" w:color="000000" w:sz="4" w:space="0"/>
                  </w:tcBorders>
                </w:tcPr>
                <w:p w14:paraId="0EA5CCF4"/>
              </w:tc>
            </w:tr>
            <w:tr w14:paraId="5C3C44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45FB1817"/>
              </w:tc>
              <w:tc>
                <w:tcPr>
                  <w:tcW w:w="3163" w:type="dxa"/>
                  <w:gridSpan w:val="2"/>
                  <w:vMerge w:val="continue"/>
                  <w:tcBorders>
                    <w:top w:val="nil"/>
                    <w:left w:val="single" w:color="000000" w:sz="4" w:space="0"/>
                    <w:bottom w:val="single" w:color="000000" w:sz="4" w:space="0"/>
                    <w:right w:val="single" w:color="000000" w:sz="4" w:space="0"/>
                  </w:tcBorders>
                </w:tcPr>
                <w:p w14:paraId="724EDCC7"/>
              </w:tc>
              <w:tc>
                <w:tcPr>
                  <w:tcW w:w="-1754" w:type="dxa"/>
                  <w:vMerge w:val="continue"/>
                  <w:tcBorders>
                    <w:top w:val="nil"/>
                    <w:left w:val="single" w:color="000000" w:sz="4" w:space="0"/>
                    <w:bottom w:val="single" w:color="000000" w:sz="4" w:space="0"/>
                    <w:right w:val="single" w:color="000000" w:sz="4" w:space="0"/>
                  </w:tcBorders>
                </w:tcPr>
                <w:p w14:paraId="42D04606"/>
              </w:tc>
              <w:tc>
                <w:tcPr>
                  <w:tcW w:w="896" w:type="dxa"/>
                  <w:vMerge w:val="continue"/>
                  <w:tcBorders>
                    <w:top w:val="nil"/>
                    <w:left w:val="single" w:color="000000" w:sz="4" w:space="0"/>
                    <w:bottom w:val="single" w:color="000000" w:sz="4" w:space="0"/>
                    <w:right w:val="single" w:color="000000" w:sz="4" w:space="0"/>
                  </w:tcBorders>
                </w:tcPr>
                <w:p w14:paraId="12BC23D8"/>
              </w:tc>
              <w:tc>
                <w:tcPr>
                  <w:tcW w:w="344" w:type="dxa"/>
                  <w:vMerge w:val="continue"/>
                  <w:tcBorders>
                    <w:top w:val="nil"/>
                    <w:left w:val="single" w:color="000000" w:sz="4" w:space="0"/>
                    <w:bottom w:val="single" w:color="000000" w:sz="4" w:space="0"/>
                    <w:right w:val="single" w:color="000000" w:sz="4" w:space="0"/>
                  </w:tcBorders>
                </w:tcPr>
                <w:p w14:paraId="0FAD080C"/>
              </w:tc>
            </w:tr>
            <w:tr w14:paraId="748D7B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2B42C89D"/>
              </w:tc>
              <w:tc>
                <w:tcPr>
                  <w:tcW w:w="3163" w:type="dxa"/>
                  <w:gridSpan w:val="2"/>
                  <w:vMerge w:val="continue"/>
                  <w:tcBorders>
                    <w:top w:val="nil"/>
                    <w:left w:val="single" w:color="000000" w:sz="4" w:space="0"/>
                    <w:bottom w:val="single" w:color="000000" w:sz="4" w:space="0"/>
                    <w:right w:val="single" w:color="000000" w:sz="4" w:space="0"/>
                  </w:tcBorders>
                </w:tcPr>
                <w:p w14:paraId="48ACCA9C"/>
              </w:tc>
              <w:tc>
                <w:tcPr>
                  <w:tcW w:w="-1754" w:type="dxa"/>
                  <w:vMerge w:val="continue"/>
                  <w:tcBorders>
                    <w:top w:val="nil"/>
                    <w:left w:val="single" w:color="000000" w:sz="4" w:space="0"/>
                    <w:bottom w:val="single" w:color="000000" w:sz="4" w:space="0"/>
                    <w:right w:val="single" w:color="000000" w:sz="4" w:space="0"/>
                  </w:tcBorders>
                </w:tcPr>
                <w:p w14:paraId="1CF11AC3"/>
              </w:tc>
              <w:tc>
                <w:tcPr>
                  <w:tcW w:w="896" w:type="dxa"/>
                  <w:vMerge w:val="continue"/>
                  <w:tcBorders>
                    <w:top w:val="nil"/>
                    <w:left w:val="single" w:color="000000" w:sz="4" w:space="0"/>
                    <w:bottom w:val="single" w:color="000000" w:sz="4" w:space="0"/>
                    <w:right w:val="single" w:color="000000" w:sz="4" w:space="0"/>
                  </w:tcBorders>
                </w:tcPr>
                <w:p w14:paraId="5BF5EDDF"/>
              </w:tc>
              <w:tc>
                <w:tcPr>
                  <w:tcW w:w="344" w:type="dxa"/>
                  <w:vMerge w:val="continue"/>
                  <w:tcBorders>
                    <w:top w:val="nil"/>
                    <w:left w:val="single" w:color="000000" w:sz="4" w:space="0"/>
                    <w:bottom w:val="single" w:color="000000" w:sz="4" w:space="0"/>
                    <w:right w:val="single" w:color="000000" w:sz="4" w:space="0"/>
                  </w:tcBorders>
                </w:tcPr>
                <w:p w14:paraId="48D3AC8E"/>
              </w:tc>
            </w:tr>
            <w:tr w14:paraId="6A9990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1F22E914"/>
              </w:tc>
              <w:tc>
                <w:tcPr>
                  <w:tcW w:w="3163" w:type="dxa"/>
                  <w:gridSpan w:val="2"/>
                  <w:vMerge w:val="continue"/>
                  <w:tcBorders>
                    <w:top w:val="nil"/>
                    <w:left w:val="single" w:color="000000" w:sz="4" w:space="0"/>
                    <w:bottom w:val="single" w:color="000000" w:sz="4" w:space="0"/>
                    <w:right w:val="single" w:color="000000" w:sz="4" w:space="0"/>
                  </w:tcBorders>
                </w:tcPr>
                <w:p w14:paraId="5056618C"/>
              </w:tc>
              <w:tc>
                <w:tcPr>
                  <w:tcW w:w="-1754" w:type="dxa"/>
                  <w:vMerge w:val="continue"/>
                  <w:tcBorders>
                    <w:top w:val="nil"/>
                    <w:left w:val="single" w:color="000000" w:sz="4" w:space="0"/>
                    <w:bottom w:val="single" w:color="000000" w:sz="4" w:space="0"/>
                    <w:right w:val="single" w:color="000000" w:sz="4" w:space="0"/>
                  </w:tcBorders>
                </w:tcPr>
                <w:p w14:paraId="29D5D8BF"/>
              </w:tc>
              <w:tc>
                <w:tcPr>
                  <w:tcW w:w="896" w:type="dxa"/>
                  <w:vMerge w:val="continue"/>
                  <w:tcBorders>
                    <w:top w:val="nil"/>
                    <w:left w:val="single" w:color="000000" w:sz="4" w:space="0"/>
                    <w:bottom w:val="single" w:color="000000" w:sz="4" w:space="0"/>
                    <w:right w:val="single" w:color="000000" w:sz="4" w:space="0"/>
                  </w:tcBorders>
                </w:tcPr>
                <w:p w14:paraId="7E83F804"/>
              </w:tc>
              <w:tc>
                <w:tcPr>
                  <w:tcW w:w="344" w:type="dxa"/>
                  <w:vMerge w:val="continue"/>
                  <w:tcBorders>
                    <w:top w:val="nil"/>
                    <w:left w:val="single" w:color="000000" w:sz="4" w:space="0"/>
                    <w:bottom w:val="single" w:color="000000" w:sz="4" w:space="0"/>
                    <w:right w:val="single" w:color="000000" w:sz="4" w:space="0"/>
                  </w:tcBorders>
                </w:tcPr>
                <w:p w14:paraId="3FE34F25"/>
              </w:tc>
            </w:tr>
            <w:tr w14:paraId="7F6168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0640F59D"/>
              </w:tc>
              <w:tc>
                <w:tcPr>
                  <w:tcW w:w="3163" w:type="dxa"/>
                  <w:gridSpan w:val="2"/>
                  <w:vMerge w:val="continue"/>
                  <w:tcBorders>
                    <w:top w:val="nil"/>
                    <w:left w:val="single" w:color="000000" w:sz="4" w:space="0"/>
                    <w:bottom w:val="single" w:color="000000" w:sz="4" w:space="0"/>
                    <w:right w:val="single" w:color="000000" w:sz="4" w:space="0"/>
                  </w:tcBorders>
                </w:tcPr>
                <w:p w14:paraId="7EA209A2"/>
              </w:tc>
              <w:tc>
                <w:tcPr>
                  <w:tcW w:w="-1754" w:type="dxa"/>
                  <w:vMerge w:val="continue"/>
                  <w:tcBorders>
                    <w:top w:val="nil"/>
                    <w:left w:val="single" w:color="000000" w:sz="4" w:space="0"/>
                    <w:bottom w:val="single" w:color="000000" w:sz="4" w:space="0"/>
                    <w:right w:val="single" w:color="000000" w:sz="4" w:space="0"/>
                  </w:tcBorders>
                </w:tcPr>
                <w:p w14:paraId="08F23035"/>
              </w:tc>
              <w:tc>
                <w:tcPr>
                  <w:tcW w:w="896" w:type="dxa"/>
                  <w:vMerge w:val="continue"/>
                  <w:tcBorders>
                    <w:top w:val="nil"/>
                    <w:left w:val="single" w:color="000000" w:sz="4" w:space="0"/>
                    <w:bottom w:val="single" w:color="000000" w:sz="4" w:space="0"/>
                    <w:right w:val="single" w:color="000000" w:sz="4" w:space="0"/>
                  </w:tcBorders>
                </w:tcPr>
                <w:p w14:paraId="4F9237FC"/>
              </w:tc>
              <w:tc>
                <w:tcPr>
                  <w:tcW w:w="344" w:type="dxa"/>
                  <w:vMerge w:val="continue"/>
                  <w:tcBorders>
                    <w:top w:val="nil"/>
                    <w:left w:val="single" w:color="000000" w:sz="4" w:space="0"/>
                    <w:bottom w:val="single" w:color="000000" w:sz="4" w:space="0"/>
                    <w:right w:val="single" w:color="000000" w:sz="4" w:space="0"/>
                  </w:tcBorders>
                </w:tcPr>
                <w:p w14:paraId="46614FEA"/>
              </w:tc>
            </w:tr>
            <w:tr w14:paraId="396C85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2C338222"/>
              </w:tc>
              <w:tc>
                <w:tcPr>
                  <w:tcW w:w="3163" w:type="dxa"/>
                  <w:gridSpan w:val="2"/>
                  <w:vMerge w:val="continue"/>
                  <w:tcBorders>
                    <w:top w:val="nil"/>
                    <w:left w:val="single" w:color="000000" w:sz="4" w:space="0"/>
                    <w:bottom w:val="single" w:color="000000" w:sz="4" w:space="0"/>
                    <w:right w:val="single" w:color="000000" w:sz="4" w:space="0"/>
                  </w:tcBorders>
                </w:tcPr>
                <w:p w14:paraId="2C8FD848"/>
              </w:tc>
              <w:tc>
                <w:tcPr>
                  <w:tcW w:w="-1754" w:type="dxa"/>
                  <w:vMerge w:val="continue"/>
                  <w:tcBorders>
                    <w:top w:val="nil"/>
                    <w:left w:val="single" w:color="000000" w:sz="4" w:space="0"/>
                    <w:bottom w:val="single" w:color="000000" w:sz="4" w:space="0"/>
                    <w:right w:val="single" w:color="000000" w:sz="4" w:space="0"/>
                  </w:tcBorders>
                </w:tcPr>
                <w:p w14:paraId="2D6A8271"/>
              </w:tc>
              <w:tc>
                <w:tcPr>
                  <w:tcW w:w="896" w:type="dxa"/>
                  <w:vMerge w:val="continue"/>
                  <w:tcBorders>
                    <w:top w:val="nil"/>
                    <w:left w:val="single" w:color="000000" w:sz="4" w:space="0"/>
                    <w:bottom w:val="single" w:color="000000" w:sz="4" w:space="0"/>
                    <w:right w:val="single" w:color="000000" w:sz="4" w:space="0"/>
                  </w:tcBorders>
                </w:tcPr>
                <w:p w14:paraId="14C5BC0F"/>
              </w:tc>
              <w:tc>
                <w:tcPr>
                  <w:tcW w:w="344" w:type="dxa"/>
                  <w:vMerge w:val="continue"/>
                  <w:tcBorders>
                    <w:top w:val="nil"/>
                    <w:left w:val="single" w:color="000000" w:sz="4" w:space="0"/>
                    <w:bottom w:val="single" w:color="000000" w:sz="4" w:space="0"/>
                    <w:right w:val="single" w:color="000000" w:sz="4" w:space="0"/>
                  </w:tcBorders>
                </w:tcPr>
                <w:p w14:paraId="22F4EE0D"/>
              </w:tc>
            </w:tr>
            <w:tr w14:paraId="536C28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52A4E6F1"/>
              </w:tc>
              <w:tc>
                <w:tcPr>
                  <w:tcW w:w="3163" w:type="dxa"/>
                  <w:gridSpan w:val="2"/>
                  <w:vMerge w:val="continue"/>
                  <w:tcBorders>
                    <w:top w:val="nil"/>
                    <w:left w:val="single" w:color="000000" w:sz="4" w:space="0"/>
                    <w:bottom w:val="single" w:color="000000" w:sz="4" w:space="0"/>
                    <w:right w:val="single" w:color="000000" w:sz="4" w:space="0"/>
                  </w:tcBorders>
                </w:tcPr>
                <w:p w14:paraId="4707A2DB"/>
              </w:tc>
              <w:tc>
                <w:tcPr>
                  <w:tcW w:w="-1754" w:type="dxa"/>
                  <w:vMerge w:val="continue"/>
                  <w:tcBorders>
                    <w:top w:val="nil"/>
                    <w:left w:val="single" w:color="000000" w:sz="4" w:space="0"/>
                    <w:bottom w:val="single" w:color="000000" w:sz="4" w:space="0"/>
                    <w:right w:val="single" w:color="000000" w:sz="4" w:space="0"/>
                  </w:tcBorders>
                </w:tcPr>
                <w:p w14:paraId="3123FD14"/>
              </w:tc>
              <w:tc>
                <w:tcPr>
                  <w:tcW w:w="896" w:type="dxa"/>
                  <w:vMerge w:val="continue"/>
                  <w:tcBorders>
                    <w:top w:val="nil"/>
                    <w:left w:val="single" w:color="000000" w:sz="4" w:space="0"/>
                    <w:bottom w:val="single" w:color="000000" w:sz="4" w:space="0"/>
                    <w:right w:val="single" w:color="000000" w:sz="4" w:space="0"/>
                  </w:tcBorders>
                </w:tcPr>
                <w:p w14:paraId="4732D324"/>
              </w:tc>
              <w:tc>
                <w:tcPr>
                  <w:tcW w:w="344" w:type="dxa"/>
                  <w:vMerge w:val="continue"/>
                  <w:tcBorders>
                    <w:top w:val="nil"/>
                    <w:left w:val="single" w:color="000000" w:sz="4" w:space="0"/>
                    <w:bottom w:val="single" w:color="000000" w:sz="4" w:space="0"/>
                    <w:right w:val="single" w:color="000000" w:sz="4" w:space="0"/>
                  </w:tcBorders>
                </w:tcPr>
                <w:p w14:paraId="192F3EAF"/>
              </w:tc>
            </w:tr>
            <w:tr w14:paraId="1E6E88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05622319"/>
              </w:tc>
              <w:tc>
                <w:tcPr>
                  <w:tcW w:w="3163" w:type="dxa"/>
                  <w:gridSpan w:val="2"/>
                  <w:vMerge w:val="continue"/>
                  <w:tcBorders>
                    <w:top w:val="nil"/>
                    <w:left w:val="single" w:color="000000" w:sz="4" w:space="0"/>
                    <w:bottom w:val="single" w:color="000000" w:sz="4" w:space="0"/>
                    <w:right w:val="single" w:color="000000" w:sz="4" w:space="0"/>
                  </w:tcBorders>
                </w:tcPr>
                <w:p w14:paraId="1510435D"/>
              </w:tc>
              <w:tc>
                <w:tcPr>
                  <w:tcW w:w="-1754" w:type="dxa"/>
                  <w:vMerge w:val="continue"/>
                  <w:tcBorders>
                    <w:top w:val="nil"/>
                    <w:left w:val="single" w:color="000000" w:sz="4" w:space="0"/>
                    <w:bottom w:val="single" w:color="000000" w:sz="4" w:space="0"/>
                    <w:right w:val="single" w:color="000000" w:sz="4" w:space="0"/>
                  </w:tcBorders>
                </w:tcPr>
                <w:p w14:paraId="1F400267"/>
              </w:tc>
              <w:tc>
                <w:tcPr>
                  <w:tcW w:w="896" w:type="dxa"/>
                  <w:vMerge w:val="continue"/>
                  <w:tcBorders>
                    <w:top w:val="nil"/>
                    <w:left w:val="single" w:color="000000" w:sz="4" w:space="0"/>
                    <w:bottom w:val="single" w:color="000000" w:sz="4" w:space="0"/>
                    <w:right w:val="single" w:color="000000" w:sz="4" w:space="0"/>
                  </w:tcBorders>
                </w:tcPr>
                <w:p w14:paraId="4C498428"/>
              </w:tc>
              <w:tc>
                <w:tcPr>
                  <w:tcW w:w="344" w:type="dxa"/>
                  <w:vMerge w:val="continue"/>
                  <w:tcBorders>
                    <w:top w:val="nil"/>
                    <w:left w:val="single" w:color="000000" w:sz="4" w:space="0"/>
                    <w:bottom w:val="single" w:color="000000" w:sz="4" w:space="0"/>
                    <w:right w:val="single" w:color="000000" w:sz="4" w:space="0"/>
                  </w:tcBorders>
                </w:tcPr>
                <w:p w14:paraId="3D0E72AC"/>
              </w:tc>
            </w:tr>
            <w:tr w14:paraId="3799DB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2AC41F97"/>
              </w:tc>
              <w:tc>
                <w:tcPr>
                  <w:tcW w:w="3163" w:type="dxa"/>
                  <w:gridSpan w:val="2"/>
                  <w:vMerge w:val="continue"/>
                  <w:tcBorders>
                    <w:top w:val="nil"/>
                    <w:left w:val="single" w:color="000000" w:sz="4" w:space="0"/>
                    <w:bottom w:val="single" w:color="000000" w:sz="4" w:space="0"/>
                    <w:right w:val="single" w:color="000000" w:sz="4" w:space="0"/>
                  </w:tcBorders>
                </w:tcPr>
                <w:p w14:paraId="279EE7E3"/>
              </w:tc>
              <w:tc>
                <w:tcPr>
                  <w:tcW w:w="-1754" w:type="dxa"/>
                  <w:vMerge w:val="continue"/>
                  <w:tcBorders>
                    <w:top w:val="nil"/>
                    <w:left w:val="single" w:color="000000" w:sz="4" w:space="0"/>
                    <w:bottom w:val="single" w:color="000000" w:sz="4" w:space="0"/>
                    <w:right w:val="single" w:color="000000" w:sz="4" w:space="0"/>
                  </w:tcBorders>
                </w:tcPr>
                <w:p w14:paraId="79261310"/>
              </w:tc>
              <w:tc>
                <w:tcPr>
                  <w:tcW w:w="896" w:type="dxa"/>
                  <w:vMerge w:val="continue"/>
                  <w:tcBorders>
                    <w:top w:val="nil"/>
                    <w:left w:val="single" w:color="000000" w:sz="4" w:space="0"/>
                    <w:bottom w:val="single" w:color="000000" w:sz="4" w:space="0"/>
                    <w:right w:val="single" w:color="000000" w:sz="4" w:space="0"/>
                  </w:tcBorders>
                </w:tcPr>
                <w:p w14:paraId="05F894A9"/>
              </w:tc>
              <w:tc>
                <w:tcPr>
                  <w:tcW w:w="344" w:type="dxa"/>
                  <w:vMerge w:val="continue"/>
                  <w:tcBorders>
                    <w:top w:val="nil"/>
                    <w:left w:val="single" w:color="000000" w:sz="4" w:space="0"/>
                    <w:bottom w:val="single" w:color="000000" w:sz="4" w:space="0"/>
                    <w:right w:val="single" w:color="000000" w:sz="4" w:space="0"/>
                  </w:tcBorders>
                </w:tcPr>
                <w:p w14:paraId="74C8EFBD"/>
              </w:tc>
            </w:tr>
            <w:tr w14:paraId="17D780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6D39C498"/>
              </w:tc>
              <w:tc>
                <w:tcPr>
                  <w:tcW w:w="3163" w:type="dxa"/>
                  <w:gridSpan w:val="2"/>
                  <w:vMerge w:val="continue"/>
                  <w:tcBorders>
                    <w:top w:val="nil"/>
                    <w:left w:val="single" w:color="000000" w:sz="4" w:space="0"/>
                    <w:bottom w:val="single" w:color="000000" w:sz="4" w:space="0"/>
                    <w:right w:val="single" w:color="000000" w:sz="4" w:space="0"/>
                  </w:tcBorders>
                </w:tcPr>
                <w:p w14:paraId="1DAE1E5F"/>
              </w:tc>
              <w:tc>
                <w:tcPr>
                  <w:tcW w:w="-1754" w:type="dxa"/>
                  <w:vMerge w:val="continue"/>
                  <w:tcBorders>
                    <w:top w:val="nil"/>
                    <w:left w:val="single" w:color="000000" w:sz="4" w:space="0"/>
                    <w:bottom w:val="single" w:color="000000" w:sz="4" w:space="0"/>
                    <w:right w:val="single" w:color="000000" w:sz="4" w:space="0"/>
                  </w:tcBorders>
                </w:tcPr>
                <w:p w14:paraId="7F40BC75"/>
              </w:tc>
              <w:tc>
                <w:tcPr>
                  <w:tcW w:w="896" w:type="dxa"/>
                  <w:vMerge w:val="continue"/>
                  <w:tcBorders>
                    <w:top w:val="nil"/>
                    <w:left w:val="single" w:color="000000" w:sz="4" w:space="0"/>
                    <w:bottom w:val="single" w:color="000000" w:sz="4" w:space="0"/>
                    <w:right w:val="single" w:color="000000" w:sz="4" w:space="0"/>
                  </w:tcBorders>
                </w:tcPr>
                <w:p w14:paraId="51A905CB"/>
              </w:tc>
              <w:tc>
                <w:tcPr>
                  <w:tcW w:w="344" w:type="dxa"/>
                  <w:vMerge w:val="continue"/>
                  <w:tcBorders>
                    <w:top w:val="nil"/>
                    <w:left w:val="single" w:color="000000" w:sz="4" w:space="0"/>
                    <w:bottom w:val="single" w:color="000000" w:sz="4" w:space="0"/>
                    <w:right w:val="single" w:color="000000" w:sz="4" w:space="0"/>
                  </w:tcBorders>
                </w:tcPr>
                <w:p w14:paraId="4761CAE3"/>
              </w:tc>
            </w:tr>
            <w:tr w14:paraId="119C61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28E250B8"/>
              </w:tc>
              <w:tc>
                <w:tcPr>
                  <w:tcW w:w="3163" w:type="dxa"/>
                  <w:gridSpan w:val="2"/>
                  <w:vMerge w:val="continue"/>
                  <w:tcBorders>
                    <w:top w:val="nil"/>
                    <w:left w:val="single" w:color="000000" w:sz="4" w:space="0"/>
                    <w:bottom w:val="single" w:color="000000" w:sz="4" w:space="0"/>
                    <w:right w:val="single" w:color="000000" w:sz="4" w:space="0"/>
                  </w:tcBorders>
                </w:tcPr>
                <w:p w14:paraId="40652D63"/>
              </w:tc>
              <w:tc>
                <w:tcPr>
                  <w:tcW w:w="-1754" w:type="dxa"/>
                  <w:vMerge w:val="continue"/>
                  <w:tcBorders>
                    <w:top w:val="nil"/>
                    <w:left w:val="single" w:color="000000" w:sz="4" w:space="0"/>
                    <w:bottom w:val="single" w:color="000000" w:sz="4" w:space="0"/>
                    <w:right w:val="single" w:color="000000" w:sz="4" w:space="0"/>
                  </w:tcBorders>
                </w:tcPr>
                <w:p w14:paraId="739508C4"/>
              </w:tc>
              <w:tc>
                <w:tcPr>
                  <w:tcW w:w="896" w:type="dxa"/>
                  <w:vMerge w:val="continue"/>
                  <w:tcBorders>
                    <w:top w:val="nil"/>
                    <w:left w:val="single" w:color="000000" w:sz="4" w:space="0"/>
                    <w:bottom w:val="single" w:color="000000" w:sz="4" w:space="0"/>
                    <w:right w:val="single" w:color="000000" w:sz="4" w:space="0"/>
                  </w:tcBorders>
                </w:tcPr>
                <w:p w14:paraId="68D911CD"/>
              </w:tc>
              <w:tc>
                <w:tcPr>
                  <w:tcW w:w="344" w:type="dxa"/>
                  <w:vMerge w:val="continue"/>
                  <w:tcBorders>
                    <w:top w:val="nil"/>
                    <w:left w:val="single" w:color="000000" w:sz="4" w:space="0"/>
                    <w:bottom w:val="single" w:color="000000" w:sz="4" w:space="0"/>
                    <w:right w:val="single" w:color="000000" w:sz="4" w:space="0"/>
                  </w:tcBorders>
                </w:tcPr>
                <w:p w14:paraId="0B08B732"/>
              </w:tc>
            </w:tr>
            <w:tr w14:paraId="3A6617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5B74A782"/>
              </w:tc>
              <w:tc>
                <w:tcPr>
                  <w:tcW w:w="3163" w:type="dxa"/>
                  <w:gridSpan w:val="2"/>
                  <w:vMerge w:val="continue"/>
                  <w:tcBorders>
                    <w:top w:val="nil"/>
                    <w:left w:val="single" w:color="000000" w:sz="4" w:space="0"/>
                    <w:bottom w:val="single" w:color="000000" w:sz="4" w:space="0"/>
                    <w:right w:val="single" w:color="000000" w:sz="4" w:space="0"/>
                  </w:tcBorders>
                </w:tcPr>
                <w:p w14:paraId="7CFCC56D"/>
              </w:tc>
              <w:tc>
                <w:tcPr>
                  <w:tcW w:w="-1754" w:type="dxa"/>
                  <w:vMerge w:val="continue"/>
                  <w:tcBorders>
                    <w:top w:val="nil"/>
                    <w:left w:val="single" w:color="000000" w:sz="4" w:space="0"/>
                    <w:bottom w:val="single" w:color="000000" w:sz="4" w:space="0"/>
                    <w:right w:val="single" w:color="000000" w:sz="4" w:space="0"/>
                  </w:tcBorders>
                </w:tcPr>
                <w:p w14:paraId="292BDBA4"/>
              </w:tc>
              <w:tc>
                <w:tcPr>
                  <w:tcW w:w="896" w:type="dxa"/>
                  <w:vMerge w:val="continue"/>
                  <w:tcBorders>
                    <w:top w:val="nil"/>
                    <w:left w:val="single" w:color="000000" w:sz="4" w:space="0"/>
                    <w:bottom w:val="single" w:color="000000" w:sz="4" w:space="0"/>
                    <w:right w:val="single" w:color="000000" w:sz="4" w:space="0"/>
                  </w:tcBorders>
                </w:tcPr>
                <w:p w14:paraId="2C9EC2FE"/>
              </w:tc>
              <w:tc>
                <w:tcPr>
                  <w:tcW w:w="344" w:type="dxa"/>
                  <w:vMerge w:val="continue"/>
                  <w:tcBorders>
                    <w:top w:val="nil"/>
                    <w:left w:val="single" w:color="000000" w:sz="4" w:space="0"/>
                    <w:bottom w:val="single" w:color="000000" w:sz="4" w:space="0"/>
                    <w:right w:val="single" w:color="000000" w:sz="4" w:space="0"/>
                  </w:tcBorders>
                </w:tcPr>
                <w:p w14:paraId="4723F641"/>
              </w:tc>
            </w:tr>
            <w:tr w14:paraId="3A23EE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05EF80B9"/>
              </w:tc>
              <w:tc>
                <w:tcPr>
                  <w:tcW w:w="3163" w:type="dxa"/>
                  <w:gridSpan w:val="2"/>
                  <w:vMerge w:val="continue"/>
                  <w:tcBorders>
                    <w:top w:val="nil"/>
                    <w:left w:val="single" w:color="000000" w:sz="4" w:space="0"/>
                    <w:bottom w:val="single" w:color="000000" w:sz="4" w:space="0"/>
                    <w:right w:val="single" w:color="000000" w:sz="4" w:space="0"/>
                  </w:tcBorders>
                </w:tcPr>
                <w:p w14:paraId="296735E2"/>
              </w:tc>
              <w:tc>
                <w:tcPr>
                  <w:tcW w:w="-1754" w:type="dxa"/>
                  <w:vMerge w:val="continue"/>
                  <w:tcBorders>
                    <w:top w:val="nil"/>
                    <w:left w:val="single" w:color="000000" w:sz="4" w:space="0"/>
                    <w:bottom w:val="single" w:color="000000" w:sz="4" w:space="0"/>
                    <w:right w:val="single" w:color="000000" w:sz="4" w:space="0"/>
                  </w:tcBorders>
                </w:tcPr>
                <w:p w14:paraId="6FE1742F"/>
              </w:tc>
              <w:tc>
                <w:tcPr>
                  <w:tcW w:w="896" w:type="dxa"/>
                  <w:vMerge w:val="continue"/>
                  <w:tcBorders>
                    <w:top w:val="nil"/>
                    <w:left w:val="single" w:color="000000" w:sz="4" w:space="0"/>
                    <w:bottom w:val="single" w:color="000000" w:sz="4" w:space="0"/>
                    <w:right w:val="single" w:color="000000" w:sz="4" w:space="0"/>
                  </w:tcBorders>
                </w:tcPr>
                <w:p w14:paraId="5A6FBE73"/>
              </w:tc>
              <w:tc>
                <w:tcPr>
                  <w:tcW w:w="344" w:type="dxa"/>
                  <w:vMerge w:val="continue"/>
                  <w:tcBorders>
                    <w:top w:val="nil"/>
                    <w:left w:val="single" w:color="000000" w:sz="4" w:space="0"/>
                    <w:bottom w:val="single" w:color="000000" w:sz="4" w:space="0"/>
                    <w:right w:val="single" w:color="000000" w:sz="4" w:space="0"/>
                  </w:tcBorders>
                </w:tcPr>
                <w:p w14:paraId="1A03ACC4"/>
              </w:tc>
            </w:tr>
            <w:tr w14:paraId="2B4E2C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1558E66D"/>
              </w:tc>
              <w:tc>
                <w:tcPr>
                  <w:tcW w:w="3163" w:type="dxa"/>
                  <w:gridSpan w:val="2"/>
                  <w:vMerge w:val="continue"/>
                  <w:tcBorders>
                    <w:top w:val="nil"/>
                    <w:left w:val="single" w:color="000000" w:sz="4" w:space="0"/>
                    <w:bottom w:val="single" w:color="000000" w:sz="4" w:space="0"/>
                    <w:right w:val="single" w:color="000000" w:sz="4" w:space="0"/>
                  </w:tcBorders>
                </w:tcPr>
                <w:p w14:paraId="2F2E25C8"/>
              </w:tc>
              <w:tc>
                <w:tcPr>
                  <w:tcW w:w="-1754" w:type="dxa"/>
                  <w:vMerge w:val="continue"/>
                  <w:tcBorders>
                    <w:top w:val="nil"/>
                    <w:left w:val="single" w:color="000000" w:sz="4" w:space="0"/>
                    <w:bottom w:val="single" w:color="000000" w:sz="4" w:space="0"/>
                    <w:right w:val="single" w:color="000000" w:sz="4" w:space="0"/>
                  </w:tcBorders>
                </w:tcPr>
                <w:p w14:paraId="168DBDE2"/>
              </w:tc>
              <w:tc>
                <w:tcPr>
                  <w:tcW w:w="896" w:type="dxa"/>
                  <w:vMerge w:val="continue"/>
                  <w:tcBorders>
                    <w:top w:val="nil"/>
                    <w:left w:val="single" w:color="000000" w:sz="4" w:space="0"/>
                    <w:bottom w:val="single" w:color="000000" w:sz="4" w:space="0"/>
                    <w:right w:val="single" w:color="000000" w:sz="4" w:space="0"/>
                  </w:tcBorders>
                </w:tcPr>
                <w:p w14:paraId="7735CF04"/>
              </w:tc>
              <w:tc>
                <w:tcPr>
                  <w:tcW w:w="344" w:type="dxa"/>
                  <w:vMerge w:val="continue"/>
                  <w:tcBorders>
                    <w:top w:val="nil"/>
                    <w:left w:val="single" w:color="000000" w:sz="4" w:space="0"/>
                    <w:bottom w:val="single" w:color="000000" w:sz="4" w:space="0"/>
                    <w:right w:val="single" w:color="000000" w:sz="4" w:space="0"/>
                  </w:tcBorders>
                </w:tcPr>
                <w:p w14:paraId="25707CA8"/>
              </w:tc>
            </w:tr>
            <w:tr w14:paraId="599FD8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07022635"/>
              </w:tc>
              <w:tc>
                <w:tcPr>
                  <w:tcW w:w="3163" w:type="dxa"/>
                  <w:gridSpan w:val="2"/>
                  <w:vMerge w:val="continue"/>
                  <w:tcBorders>
                    <w:top w:val="nil"/>
                    <w:left w:val="single" w:color="000000" w:sz="4" w:space="0"/>
                    <w:bottom w:val="single" w:color="000000" w:sz="4" w:space="0"/>
                    <w:right w:val="single" w:color="000000" w:sz="4" w:space="0"/>
                  </w:tcBorders>
                </w:tcPr>
                <w:p w14:paraId="554E1E35"/>
              </w:tc>
              <w:tc>
                <w:tcPr>
                  <w:tcW w:w="-1754" w:type="dxa"/>
                  <w:vMerge w:val="continue"/>
                  <w:tcBorders>
                    <w:top w:val="nil"/>
                    <w:left w:val="single" w:color="000000" w:sz="4" w:space="0"/>
                    <w:bottom w:val="single" w:color="000000" w:sz="4" w:space="0"/>
                    <w:right w:val="single" w:color="000000" w:sz="4" w:space="0"/>
                  </w:tcBorders>
                </w:tcPr>
                <w:p w14:paraId="1C14CDEF"/>
              </w:tc>
              <w:tc>
                <w:tcPr>
                  <w:tcW w:w="896" w:type="dxa"/>
                  <w:vMerge w:val="continue"/>
                  <w:tcBorders>
                    <w:top w:val="nil"/>
                    <w:left w:val="single" w:color="000000" w:sz="4" w:space="0"/>
                    <w:bottom w:val="single" w:color="000000" w:sz="4" w:space="0"/>
                    <w:right w:val="single" w:color="000000" w:sz="4" w:space="0"/>
                  </w:tcBorders>
                </w:tcPr>
                <w:p w14:paraId="2885EC15"/>
              </w:tc>
              <w:tc>
                <w:tcPr>
                  <w:tcW w:w="344" w:type="dxa"/>
                  <w:vMerge w:val="continue"/>
                  <w:tcBorders>
                    <w:top w:val="nil"/>
                    <w:left w:val="single" w:color="000000" w:sz="4" w:space="0"/>
                    <w:bottom w:val="single" w:color="000000" w:sz="4" w:space="0"/>
                    <w:right w:val="single" w:color="000000" w:sz="4" w:space="0"/>
                  </w:tcBorders>
                </w:tcPr>
                <w:p w14:paraId="113B3A3C"/>
              </w:tc>
            </w:tr>
            <w:tr w14:paraId="0CD8A4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0D59B90E"/>
              </w:tc>
              <w:tc>
                <w:tcPr>
                  <w:tcW w:w="316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83C4DC">
                  <w:pPr>
                    <w:pStyle w:val="4"/>
                    <w:jc w:val="left"/>
                  </w:pPr>
                  <w:r>
                    <w:rPr>
                      <w:rFonts w:ascii="仿宋_GB2312" w:hAnsi="仿宋_GB2312" w:eastAsia="仿宋_GB2312" w:cs="仿宋_GB2312"/>
                      <w:color w:val="000000"/>
                      <w:sz w:val="24"/>
                    </w:rPr>
                    <w:t>严禁在岗位上戏笑打闹、吸烟、巡逻或站岗时手不能插入裤兜。严禁上岗前4 小时和值班中喝酒。</w:t>
                  </w:r>
                </w:p>
              </w:tc>
              <w:tc>
                <w:tcPr>
                  <w:tcW w:w="-17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8F82B0">
                  <w:pPr>
                    <w:pStyle w:val="4"/>
                    <w:jc w:val="right"/>
                  </w:pPr>
                  <w:r>
                    <w:rPr>
                      <w:rFonts w:ascii="仿宋_GB2312" w:hAnsi="仿宋_GB2312" w:eastAsia="仿宋_GB2312" w:cs="仿宋_GB2312"/>
                      <w:color w:val="000000"/>
                      <w:sz w:val="24"/>
                    </w:rPr>
                    <w:t>5</w:t>
                  </w:r>
                </w:p>
              </w:tc>
              <w:tc>
                <w:tcPr>
                  <w:tcW w:w="8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C0FD15">
                  <w:pPr>
                    <w:pStyle w:val="4"/>
                    <w:jc w:val="center"/>
                  </w:pPr>
                  <w:r>
                    <w:rPr>
                      <w:rFonts w:ascii="仿宋_GB2312" w:hAnsi="仿宋_GB2312" w:eastAsia="仿宋_GB2312" w:cs="仿宋_GB2312"/>
                      <w:color w:val="000000"/>
                      <w:sz w:val="24"/>
                    </w:rPr>
                    <w:t>若未按要求，一次扣1分</w:t>
                  </w:r>
                </w:p>
              </w:tc>
              <w:tc>
                <w:tcPr>
                  <w:tcW w:w="3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3E7ED9">
                  <w:pPr>
                    <w:pStyle w:val="4"/>
                    <w:jc w:val="center"/>
                  </w:pPr>
                </w:p>
              </w:tc>
            </w:tr>
            <w:tr w14:paraId="4B7757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07062A42"/>
              </w:tc>
              <w:tc>
                <w:tcPr>
                  <w:tcW w:w="3163" w:type="dxa"/>
                  <w:gridSpan w:val="2"/>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AE4A7C">
                  <w:pPr>
                    <w:pStyle w:val="4"/>
                    <w:jc w:val="left"/>
                  </w:pPr>
                  <w:r>
                    <w:rPr>
                      <w:rFonts w:ascii="仿宋_GB2312" w:hAnsi="仿宋_GB2312" w:eastAsia="仿宋_GB2312" w:cs="仿宋_GB2312"/>
                      <w:color w:val="000000"/>
                      <w:sz w:val="24"/>
                    </w:rPr>
                    <w:t>按规定统一着装、衣服干净整洁，佩带执勤标志，不准留长发、胡须、指甲、便服和穿拖鞋上班，岀值班室外必须带帽子。</w:t>
                  </w:r>
                </w:p>
              </w:tc>
              <w:tc>
                <w:tcPr>
                  <w:tcW w:w="-175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FB99A0">
                  <w:pPr>
                    <w:pStyle w:val="4"/>
                    <w:jc w:val="right"/>
                  </w:pPr>
                  <w:r>
                    <w:rPr>
                      <w:rFonts w:ascii="仿宋_GB2312" w:hAnsi="仿宋_GB2312" w:eastAsia="仿宋_GB2312" w:cs="仿宋_GB2312"/>
                      <w:color w:val="000000"/>
                      <w:sz w:val="24"/>
                    </w:rPr>
                    <w:t>5</w:t>
                  </w:r>
                </w:p>
              </w:tc>
              <w:tc>
                <w:tcPr>
                  <w:tcW w:w="896"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88F603">
                  <w:pPr>
                    <w:pStyle w:val="4"/>
                    <w:jc w:val="center"/>
                  </w:pPr>
                  <w:r>
                    <w:rPr>
                      <w:rFonts w:ascii="仿宋_GB2312" w:hAnsi="仿宋_GB2312" w:eastAsia="仿宋_GB2312" w:cs="仿宋_GB2312"/>
                      <w:color w:val="000000"/>
                      <w:sz w:val="24"/>
                    </w:rPr>
                    <w:t>若未按要求，一次扣1分</w:t>
                  </w:r>
                </w:p>
              </w:tc>
              <w:tc>
                <w:tcPr>
                  <w:tcW w:w="34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6DBB06">
                  <w:pPr>
                    <w:pStyle w:val="4"/>
                    <w:jc w:val="center"/>
                  </w:pPr>
                </w:p>
              </w:tc>
            </w:tr>
            <w:tr w14:paraId="15DF16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0DA3909B"/>
              </w:tc>
              <w:tc>
                <w:tcPr>
                  <w:tcW w:w="3163" w:type="dxa"/>
                  <w:gridSpan w:val="2"/>
                  <w:vMerge w:val="continue"/>
                  <w:tcBorders>
                    <w:top w:val="nil"/>
                    <w:left w:val="single" w:color="000000" w:sz="4" w:space="0"/>
                    <w:bottom w:val="single" w:color="000000" w:sz="4" w:space="0"/>
                    <w:right w:val="single" w:color="000000" w:sz="4" w:space="0"/>
                  </w:tcBorders>
                </w:tcPr>
                <w:p w14:paraId="3AAD2F79"/>
              </w:tc>
              <w:tc>
                <w:tcPr>
                  <w:tcW w:w="-1754" w:type="dxa"/>
                  <w:vMerge w:val="continue"/>
                  <w:tcBorders>
                    <w:top w:val="nil"/>
                    <w:left w:val="single" w:color="000000" w:sz="4" w:space="0"/>
                    <w:bottom w:val="single" w:color="000000" w:sz="4" w:space="0"/>
                    <w:right w:val="single" w:color="000000" w:sz="4" w:space="0"/>
                  </w:tcBorders>
                </w:tcPr>
                <w:p w14:paraId="15D3FAB5"/>
              </w:tc>
              <w:tc>
                <w:tcPr>
                  <w:tcW w:w="896" w:type="dxa"/>
                  <w:vMerge w:val="continue"/>
                  <w:tcBorders>
                    <w:top w:val="nil"/>
                    <w:left w:val="single" w:color="000000" w:sz="4" w:space="0"/>
                    <w:bottom w:val="single" w:color="000000" w:sz="4" w:space="0"/>
                    <w:right w:val="single" w:color="000000" w:sz="4" w:space="0"/>
                  </w:tcBorders>
                </w:tcPr>
                <w:p w14:paraId="15E981E1"/>
              </w:tc>
              <w:tc>
                <w:tcPr>
                  <w:tcW w:w="344" w:type="dxa"/>
                  <w:vMerge w:val="continue"/>
                  <w:tcBorders>
                    <w:top w:val="nil"/>
                    <w:left w:val="single" w:color="000000" w:sz="4" w:space="0"/>
                    <w:bottom w:val="single" w:color="000000" w:sz="4" w:space="0"/>
                    <w:right w:val="single" w:color="000000" w:sz="4" w:space="0"/>
                  </w:tcBorders>
                </w:tcPr>
                <w:p w14:paraId="351FFDFF"/>
              </w:tc>
            </w:tr>
            <w:tr w14:paraId="6C7936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15685AAD"/>
              </w:tc>
              <w:tc>
                <w:tcPr>
                  <w:tcW w:w="316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8EB255">
                  <w:pPr>
                    <w:pStyle w:val="4"/>
                    <w:jc w:val="left"/>
                  </w:pPr>
                  <w:r>
                    <w:rPr>
                      <w:rFonts w:ascii="仿宋_GB2312" w:hAnsi="仿宋_GB2312" w:eastAsia="仿宋_GB2312" w:cs="仿宋_GB2312"/>
                      <w:color w:val="000000"/>
                      <w:sz w:val="24"/>
                    </w:rPr>
                    <w:t>正常工作(办公)时间，每班次必须保持一人按礼仪站立姿势站岗。</w:t>
                  </w:r>
                </w:p>
              </w:tc>
              <w:tc>
                <w:tcPr>
                  <w:tcW w:w="-17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6BB967">
                  <w:pPr>
                    <w:pStyle w:val="4"/>
                    <w:jc w:val="right"/>
                  </w:pPr>
                  <w:r>
                    <w:rPr>
                      <w:rFonts w:ascii="仿宋_GB2312" w:hAnsi="仿宋_GB2312" w:eastAsia="仿宋_GB2312" w:cs="仿宋_GB2312"/>
                      <w:color w:val="000000"/>
                      <w:sz w:val="24"/>
                    </w:rPr>
                    <w:t>5</w:t>
                  </w:r>
                </w:p>
              </w:tc>
              <w:tc>
                <w:tcPr>
                  <w:tcW w:w="8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BE04AD">
                  <w:pPr>
                    <w:pStyle w:val="4"/>
                    <w:jc w:val="center"/>
                  </w:pPr>
                  <w:r>
                    <w:rPr>
                      <w:rFonts w:ascii="仿宋_GB2312" w:hAnsi="仿宋_GB2312" w:eastAsia="仿宋_GB2312" w:cs="仿宋_GB2312"/>
                      <w:color w:val="000000"/>
                      <w:sz w:val="24"/>
                    </w:rPr>
                    <w:t>若未按要求，一次扣1分</w:t>
                  </w:r>
                </w:p>
              </w:tc>
              <w:tc>
                <w:tcPr>
                  <w:tcW w:w="3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6FABE0">
                  <w:pPr>
                    <w:pStyle w:val="4"/>
                    <w:jc w:val="center"/>
                  </w:pPr>
                </w:p>
              </w:tc>
            </w:tr>
            <w:tr w14:paraId="631C6A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6BB8FFD6"/>
              </w:tc>
              <w:tc>
                <w:tcPr>
                  <w:tcW w:w="316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0F717B">
                  <w:pPr>
                    <w:pStyle w:val="4"/>
                    <w:jc w:val="left"/>
                  </w:pPr>
                  <w:r>
                    <w:rPr>
                      <w:rFonts w:ascii="仿宋_GB2312" w:hAnsi="仿宋_GB2312" w:eastAsia="仿宋_GB2312" w:cs="仿宋_GB2312"/>
                      <w:color w:val="000000"/>
                      <w:sz w:val="24"/>
                    </w:rPr>
                    <w:t>道闸常处于关闭状态，必须实行一车一杆</w:t>
                  </w:r>
                </w:p>
              </w:tc>
              <w:tc>
                <w:tcPr>
                  <w:tcW w:w="-17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5997D0">
                  <w:pPr>
                    <w:pStyle w:val="4"/>
                    <w:jc w:val="right"/>
                  </w:pPr>
                  <w:r>
                    <w:rPr>
                      <w:rFonts w:ascii="仿宋_GB2312" w:hAnsi="仿宋_GB2312" w:eastAsia="仿宋_GB2312" w:cs="仿宋_GB2312"/>
                      <w:color w:val="000000"/>
                      <w:sz w:val="24"/>
                    </w:rPr>
                    <w:t>5</w:t>
                  </w:r>
                </w:p>
              </w:tc>
              <w:tc>
                <w:tcPr>
                  <w:tcW w:w="8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8ABAB9">
                  <w:pPr>
                    <w:pStyle w:val="4"/>
                    <w:jc w:val="center"/>
                  </w:pPr>
                  <w:r>
                    <w:rPr>
                      <w:rFonts w:ascii="仿宋_GB2312" w:hAnsi="仿宋_GB2312" w:eastAsia="仿宋_GB2312" w:cs="仿宋_GB2312"/>
                      <w:color w:val="000000"/>
                      <w:sz w:val="24"/>
                    </w:rPr>
                    <w:t>若未按要求，一次扣1分</w:t>
                  </w:r>
                </w:p>
              </w:tc>
              <w:tc>
                <w:tcPr>
                  <w:tcW w:w="3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055B83">
                  <w:pPr>
                    <w:pStyle w:val="4"/>
                    <w:jc w:val="center"/>
                  </w:pPr>
                </w:p>
              </w:tc>
            </w:tr>
            <w:tr w14:paraId="5B1A69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1F1E0847"/>
              </w:tc>
              <w:tc>
                <w:tcPr>
                  <w:tcW w:w="3163" w:type="dxa"/>
                  <w:gridSpan w:val="2"/>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065E19">
                  <w:pPr>
                    <w:pStyle w:val="4"/>
                    <w:jc w:val="left"/>
                  </w:pPr>
                  <w:r>
                    <w:rPr>
                      <w:rFonts w:ascii="仿宋_GB2312" w:hAnsi="仿宋_GB2312" w:eastAsia="仿宋_GB2312" w:cs="仿宋_GB2312"/>
                      <w:color w:val="000000"/>
                      <w:sz w:val="24"/>
                    </w:rPr>
                    <w:t>严格按照学校外来人员和车辆管理制度或通知要求开展服务，外来办事人员和车辆入校门，必须仔细询问和登记，并电话告知对方确认后方可入校，告知车辆有序停放。</w:t>
                  </w:r>
                </w:p>
              </w:tc>
              <w:tc>
                <w:tcPr>
                  <w:tcW w:w="-175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F90BCA">
                  <w:pPr>
                    <w:pStyle w:val="4"/>
                    <w:jc w:val="right"/>
                  </w:pPr>
                  <w:r>
                    <w:rPr>
                      <w:rFonts w:ascii="仿宋_GB2312" w:hAnsi="仿宋_GB2312" w:eastAsia="仿宋_GB2312" w:cs="仿宋_GB2312"/>
                      <w:color w:val="000000"/>
                      <w:sz w:val="24"/>
                    </w:rPr>
                    <w:t>5</w:t>
                  </w:r>
                </w:p>
              </w:tc>
              <w:tc>
                <w:tcPr>
                  <w:tcW w:w="896"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42EBCB">
                  <w:pPr>
                    <w:pStyle w:val="4"/>
                    <w:jc w:val="center"/>
                  </w:pPr>
                  <w:r>
                    <w:rPr>
                      <w:rFonts w:ascii="仿宋_GB2312" w:hAnsi="仿宋_GB2312" w:eastAsia="仿宋_GB2312" w:cs="仿宋_GB2312"/>
                      <w:color w:val="000000"/>
                      <w:sz w:val="24"/>
                    </w:rPr>
                    <w:t>若未按要求，一次扣1分</w:t>
                  </w:r>
                </w:p>
              </w:tc>
              <w:tc>
                <w:tcPr>
                  <w:tcW w:w="34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3C698D">
                  <w:pPr>
                    <w:pStyle w:val="4"/>
                    <w:jc w:val="center"/>
                  </w:pPr>
                </w:p>
              </w:tc>
            </w:tr>
            <w:tr w14:paraId="6D919D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5C396FE8"/>
              </w:tc>
              <w:tc>
                <w:tcPr>
                  <w:tcW w:w="3163" w:type="dxa"/>
                  <w:gridSpan w:val="2"/>
                  <w:vMerge w:val="continue"/>
                  <w:tcBorders>
                    <w:top w:val="nil"/>
                    <w:left w:val="single" w:color="000000" w:sz="4" w:space="0"/>
                    <w:bottom w:val="single" w:color="000000" w:sz="4" w:space="0"/>
                    <w:right w:val="single" w:color="000000" w:sz="4" w:space="0"/>
                  </w:tcBorders>
                </w:tcPr>
                <w:p w14:paraId="2683CD28"/>
              </w:tc>
              <w:tc>
                <w:tcPr>
                  <w:tcW w:w="-1754" w:type="dxa"/>
                  <w:vMerge w:val="continue"/>
                  <w:tcBorders>
                    <w:top w:val="nil"/>
                    <w:left w:val="single" w:color="000000" w:sz="4" w:space="0"/>
                    <w:bottom w:val="single" w:color="000000" w:sz="4" w:space="0"/>
                    <w:right w:val="single" w:color="000000" w:sz="4" w:space="0"/>
                  </w:tcBorders>
                </w:tcPr>
                <w:p w14:paraId="0261B954"/>
              </w:tc>
              <w:tc>
                <w:tcPr>
                  <w:tcW w:w="896" w:type="dxa"/>
                  <w:vMerge w:val="continue"/>
                  <w:tcBorders>
                    <w:top w:val="nil"/>
                    <w:left w:val="single" w:color="000000" w:sz="4" w:space="0"/>
                    <w:bottom w:val="single" w:color="000000" w:sz="4" w:space="0"/>
                    <w:right w:val="single" w:color="000000" w:sz="4" w:space="0"/>
                  </w:tcBorders>
                </w:tcPr>
                <w:p w14:paraId="29FAB505"/>
              </w:tc>
              <w:tc>
                <w:tcPr>
                  <w:tcW w:w="344" w:type="dxa"/>
                  <w:vMerge w:val="continue"/>
                  <w:tcBorders>
                    <w:top w:val="nil"/>
                    <w:left w:val="single" w:color="000000" w:sz="4" w:space="0"/>
                    <w:bottom w:val="single" w:color="000000" w:sz="4" w:space="0"/>
                    <w:right w:val="single" w:color="000000" w:sz="4" w:space="0"/>
                  </w:tcBorders>
                </w:tcPr>
                <w:p w14:paraId="04612EFC"/>
              </w:tc>
            </w:tr>
            <w:tr w14:paraId="698754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4A564A34"/>
              </w:tc>
              <w:tc>
                <w:tcPr>
                  <w:tcW w:w="3163" w:type="dxa"/>
                  <w:gridSpan w:val="2"/>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A1CAF1">
                  <w:pPr>
                    <w:pStyle w:val="4"/>
                    <w:jc w:val="left"/>
                  </w:pPr>
                  <w:r>
                    <w:rPr>
                      <w:rFonts w:ascii="仿宋_GB2312" w:hAnsi="仿宋_GB2312" w:eastAsia="仿宋_GB2312" w:cs="仿宋_GB2312"/>
                      <w:color w:val="000000"/>
                      <w:sz w:val="24"/>
                    </w:rPr>
                    <w:t>正确劝阻和制止扰乱学校治安秩序的违法行为，先控制好局面和保护好现场，及时向值</w:t>
                  </w:r>
                </w:p>
              </w:tc>
              <w:tc>
                <w:tcPr>
                  <w:tcW w:w="-175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A96B56">
                  <w:pPr>
                    <w:pStyle w:val="4"/>
                    <w:jc w:val="right"/>
                  </w:pPr>
                  <w:r>
                    <w:rPr>
                      <w:rFonts w:ascii="仿宋_GB2312" w:hAnsi="仿宋_GB2312" w:eastAsia="仿宋_GB2312" w:cs="仿宋_GB2312"/>
                      <w:color w:val="000000"/>
                      <w:sz w:val="24"/>
                    </w:rPr>
                    <w:t>10</w:t>
                  </w:r>
                </w:p>
              </w:tc>
              <w:tc>
                <w:tcPr>
                  <w:tcW w:w="896"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C18743">
                  <w:pPr>
                    <w:pStyle w:val="4"/>
                    <w:jc w:val="center"/>
                  </w:pPr>
                  <w:r>
                    <w:rPr>
                      <w:rFonts w:ascii="仿宋_GB2312" w:hAnsi="仿宋_GB2312" w:eastAsia="仿宋_GB2312" w:cs="仿宋_GB2312"/>
                      <w:color w:val="000000"/>
                      <w:sz w:val="24"/>
                    </w:rPr>
                    <w:t>若未按要求，一次扣5分</w:t>
                  </w:r>
                </w:p>
              </w:tc>
              <w:tc>
                <w:tcPr>
                  <w:tcW w:w="34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19998F">
                  <w:pPr>
                    <w:pStyle w:val="4"/>
                    <w:jc w:val="center"/>
                  </w:pPr>
                </w:p>
              </w:tc>
            </w:tr>
            <w:tr w14:paraId="121F62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3B3E1C6B"/>
              </w:tc>
              <w:tc>
                <w:tcPr>
                  <w:tcW w:w="3163" w:type="dxa"/>
                  <w:gridSpan w:val="2"/>
                  <w:vMerge w:val="continue"/>
                  <w:tcBorders>
                    <w:top w:val="nil"/>
                    <w:left w:val="single" w:color="000000" w:sz="4" w:space="0"/>
                    <w:bottom w:val="single" w:color="000000" w:sz="4" w:space="0"/>
                    <w:right w:val="single" w:color="000000" w:sz="4" w:space="0"/>
                  </w:tcBorders>
                </w:tcPr>
                <w:p w14:paraId="03298F70"/>
              </w:tc>
              <w:tc>
                <w:tcPr>
                  <w:tcW w:w="-1754" w:type="dxa"/>
                  <w:vMerge w:val="continue"/>
                  <w:tcBorders>
                    <w:top w:val="nil"/>
                    <w:left w:val="single" w:color="000000" w:sz="4" w:space="0"/>
                    <w:bottom w:val="single" w:color="000000" w:sz="4" w:space="0"/>
                    <w:right w:val="single" w:color="000000" w:sz="4" w:space="0"/>
                  </w:tcBorders>
                </w:tcPr>
                <w:p w14:paraId="3C1117FF"/>
              </w:tc>
              <w:tc>
                <w:tcPr>
                  <w:tcW w:w="896" w:type="dxa"/>
                  <w:vMerge w:val="continue"/>
                  <w:tcBorders>
                    <w:top w:val="nil"/>
                    <w:left w:val="single" w:color="000000" w:sz="4" w:space="0"/>
                    <w:bottom w:val="single" w:color="000000" w:sz="4" w:space="0"/>
                    <w:right w:val="single" w:color="000000" w:sz="4" w:space="0"/>
                  </w:tcBorders>
                </w:tcPr>
                <w:p w14:paraId="005ECA67"/>
              </w:tc>
              <w:tc>
                <w:tcPr>
                  <w:tcW w:w="344" w:type="dxa"/>
                  <w:vMerge w:val="continue"/>
                  <w:tcBorders>
                    <w:top w:val="nil"/>
                    <w:left w:val="single" w:color="000000" w:sz="4" w:space="0"/>
                    <w:bottom w:val="single" w:color="000000" w:sz="4" w:space="0"/>
                    <w:right w:val="single" w:color="000000" w:sz="4" w:space="0"/>
                  </w:tcBorders>
                </w:tcPr>
                <w:p w14:paraId="75E88D08"/>
              </w:tc>
            </w:tr>
            <w:tr w14:paraId="4D1407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4A6D4B85"/>
              </w:tc>
              <w:tc>
                <w:tcPr>
                  <w:tcW w:w="316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1DB297">
                  <w:pPr>
                    <w:pStyle w:val="4"/>
                    <w:jc w:val="left"/>
                  </w:pPr>
                  <w:r>
                    <w:rPr>
                      <w:rFonts w:ascii="仿宋_GB2312" w:hAnsi="仿宋_GB2312" w:eastAsia="仿宋_GB2312" w:cs="仿宋_GB2312"/>
                      <w:color w:val="000000"/>
                      <w:sz w:val="24"/>
                    </w:rPr>
                    <w:t>在校学生出入校门口时，必须刷门禁卡(请假条)方可放行</w:t>
                  </w:r>
                </w:p>
              </w:tc>
              <w:tc>
                <w:tcPr>
                  <w:tcW w:w="-17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ACD47B">
                  <w:pPr>
                    <w:pStyle w:val="4"/>
                    <w:jc w:val="right"/>
                  </w:pPr>
                  <w:r>
                    <w:rPr>
                      <w:rFonts w:ascii="仿宋_GB2312" w:hAnsi="仿宋_GB2312" w:eastAsia="仿宋_GB2312" w:cs="仿宋_GB2312"/>
                      <w:color w:val="000000"/>
                      <w:sz w:val="24"/>
                    </w:rPr>
                    <w:t>10</w:t>
                  </w:r>
                </w:p>
              </w:tc>
              <w:tc>
                <w:tcPr>
                  <w:tcW w:w="8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5887C4">
                  <w:pPr>
                    <w:pStyle w:val="4"/>
                    <w:jc w:val="center"/>
                  </w:pPr>
                  <w:r>
                    <w:rPr>
                      <w:rFonts w:ascii="仿宋_GB2312" w:hAnsi="仿宋_GB2312" w:eastAsia="仿宋_GB2312" w:cs="仿宋_GB2312"/>
                      <w:color w:val="000000"/>
                      <w:sz w:val="24"/>
                    </w:rPr>
                    <w:t>若未按要求，一次扣2分</w:t>
                  </w:r>
                </w:p>
              </w:tc>
              <w:tc>
                <w:tcPr>
                  <w:tcW w:w="3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7F97DC">
                  <w:pPr>
                    <w:pStyle w:val="4"/>
                    <w:jc w:val="center"/>
                  </w:pPr>
                </w:p>
              </w:tc>
            </w:tr>
            <w:tr w14:paraId="0B9A51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6BC03542"/>
              </w:tc>
              <w:tc>
                <w:tcPr>
                  <w:tcW w:w="316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5EA3FF">
                  <w:pPr>
                    <w:pStyle w:val="4"/>
                    <w:jc w:val="left"/>
                  </w:pPr>
                  <w:r>
                    <w:rPr>
                      <w:rFonts w:ascii="仿宋_GB2312" w:hAnsi="仿宋_GB2312" w:eastAsia="仿宋_GB2312" w:cs="仿宋_GB2312"/>
                      <w:color w:val="000000"/>
                      <w:sz w:val="24"/>
                    </w:rPr>
                    <w:t>对记录及投诉必须实是求是上报，不得隐瞒涂改、撕毁伪造。</w:t>
                  </w:r>
                </w:p>
              </w:tc>
              <w:tc>
                <w:tcPr>
                  <w:tcW w:w="-17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E641A4">
                  <w:pPr>
                    <w:pStyle w:val="4"/>
                    <w:jc w:val="right"/>
                  </w:pPr>
                  <w:r>
                    <w:rPr>
                      <w:rFonts w:ascii="仿宋_GB2312" w:hAnsi="仿宋_GB2312" w:eastAsia="仿宋_GB2312" w:cs="仿宋_GB2312"/>
                      <w:color w:val="000000"/>
                      <w:sz w:val="24"/>
                    </w:rPr>
                    <w:t>5</w:t>
                  </w:r>
                </w:p>
              </w:tc>
              <w:tc>
                <w:tcPr>
                  <w:tcW w:w="8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DB92E6">
                  <w:pPr>
                    <w:pStyle w:val="4"/>
                    <w:jc w:val="center"/>
                  </w:pPr>
                  <w:r>
                    <w:rPr>
                      <w:rFonts w:ascii="仿宋_GB2312" w:hAnsi="仿宋_GB2312" w:eastAsia="仿宋_GB2312" w:cs="仿宋_GB2312"/>
                      <w:color w:val="000000"/>
                      <w:sz w:val="24"/>
                    </w:rPr>
                    <w:t>若未按要求，一次扣1分</w:t>
                  </w:r>
                </w:p>
              </w:tc>
              <w:tc>
                <w:tcPr>
                  <w:tcW w:w="3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FC9074">
                  <w:pPr>
                    <w:pStyle w:val="4"/>
                    <w:jc w:val="center"/>
                  </w:pPr>
                </w:p>
              </w:tc>
            </w:tr>
            <w:tr w14:paraId="3BE161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7B216250"/>
              </w:tc>
              <w:tc>
                <w:tcPr>
                  <w:tcW w:w="3163" w:type="dxa"/>
                  <w:gridSpan w:val="2"/>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A6E405">
                  <w:pPr>
                    <w:pStyle w:val="4"/>
                    <w:jc w:val="left"/>
                  </w:pPr>
                  <w:r>
                    <w:rPr>
                      <w:rFonts w:ascii="仿宋_GB2312" w:hAnsi="仿宋_GB2312" w:eastAsia="仿宋_GB2312" w:cs="仿宋_GB2312"/>
                      <w:color w:val="000000"/>
                      <w:sz w:val="24"/>
                    </w:rPr>
                    <w:t>严格遵守请示汇报制度，遇到重要情况要立即请示、汇报和处理结果，并做好详细记录登记</w:t>
                  </w:r>
                </w:p>
              </w:tc>
              <w:tc>
                <w:tcPr>
                  <w:tcW w:w="-175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61B96B">
                  <w:pPr>
                    <w:pStyle w:val="4"/>
                    <w:jc w:val="right"/>
                  </w:pPr>
                  <w:r>
                    <w:rPr>
                      <w:rFonts w:ascii="仿宋_GB2312" w:hAnsi="仿宋_GB2312" w:eastAsia="仿宋_GB2312" w:cs="仿宋_GB2312"/>
                      <w:color w:val="000000"/>
                      <w:sz w:val="24"/>
                    </w:rPr>
                    <w:t>5</w:t>
                  </w:r>
                </w:p>
              </w:tc>
              <w:tc>
                <w:tcPr>
                  <w:tcW w:w="896"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6CAB47">
                  <w:pPr>
                    <w:pStyle w:val="4"/>
                    <w:jc w:val="center"/>
                  </w:pPr>
                  <w:r>
                    <w:rPr>
                      <w:rFonts w:ascii="仿宋_GB2312" w:hAnsi="仿宋_GB2312" w:eastAsia="仿宋_GB2312" w:cs="仿宋_GB2312"/>
                      <w:color w:val="000000"/>
                      <w:sz w:val="24"/>
                    </w:rPr>
                    <w:t>若未按要求，一次扣1分</w:t>
                  </w:r>
                </w:p>
              </w:tc>
              <w:tc>
                <w:tcPr>
                  <w:tcW w:w="34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5D167B">
                  <w:pPr>
                    <w:pStyle w:val="4"/>
                    <w:jc w:val="center"/>
                  </w:pPr>
                </w:p>
              </w:tc>
            </w:tr>
            <w:tr w14:paraId="171761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43315765"/>
              </w:tc>
              <w:tc>
                <w:tcPr>
                  <w:tcW w:w="3163" w:type="dxa"/>
                  <w:gridSpan w:val="2"/>
                  <w:vMerge w:val="continue"/>
                  <w:tcBorders>
                    <w:top w:val="nil"/>
                    <w:left w:val="single" w:color="000000" w:sz="4" w:space="0"/>
                    <w:bottom w:val="single" w:color="000000" w:sz="4" w:space="0"/>
                    <w:right w:val="single" w:color="000000" w:sz="4" w:space="0"/>
                  </w:tcBorders>
                </w:tcPr>
                <w:p w14:paraId="23171008"/>
              </w:tc>
              <w:tc>
                <w:tcPr>
                  <w:tcW w:w="-1754" w:type="dxa"/>
                  <w:vMerge w:val="continue"/>
                  <w:tcBorders>
                    <w:top w:val="nil"/>
                    <w:left w:val="single" w:color="000000" w:sz="4" w:space="0"/>
                    <w:bottom w:val="single" w:color="000000" w:sz="4" w:space="0"/>
                    <w:right w:val="single" w:color="000000" w:sz="4" w:space="0"/>
                  </w:tcBorders>
                </w:tcPr>
                <w:p w14:paraId="6C7E70CC"/>
              </w:tc>
              <w:tc>
                <w:tcPr>
                  <w:tcW w:w="896" w:type="dxa"/>
                  <w:vMerge w:val="continue"/>
                  <w:tcBorders>
                    <w:top w:val="nil"/>
                    <w:left w:val="single" w:color="000000" w:sz="4" w:space="0"/>
                    <w:bottom w:val="single" w:color="000000" w:sz="4" w:space="0"/>
                    <w:right w:val="single" w:color="000000" w:sz="4" w:space="0"/>
                  </w:tcBorders>
                </w:tcPr>
                <w:p w14:paraId="56788308"/>
              </w:tc>
              <w:tc>
                <w:tcPr>
                  <w:tcW w:w="344" w:type="dxa"/>
                  <w:vMerge w:val="continue"/>
                  <w:tcBorders>
                    <w:top w:val="nil"/>
                    <w:left w:val="single" w:color="000000" w:sz="4" w:space="0"/>
                    <w:bottom w:val="single" w:color="000000" w:sz="4" w:space="0"/>
                    <w:right w:val="single" w:color="000000" w:sz="4" w:space="0"/>
                  </w:tcBorders>
                </w:tcPr>
                <w:p w14:paraId="4A4B47C0"/>
              </w:tc>
            </w:tr>
            <w:tr w14:paraId="6EF522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18A743E4"/>
              </w:tc>
              <w:tc>
                <w:tcPr>
                  <w:tcW w:w="3163" w:type="dxa"/>
                  <w:gridSpan w:val="2"/>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AE99BE">
                  <w:pPr>
                    <w:pStyle w:val="4"/>
                    <w:jc w:val="left"/>
                  </w:pPr>
                  <w:r>
                    <w:rPr>
                      <w:rFonts w:ascii="仿宋_GB2312" w:hAnsi="仿宋_GB2312" w:eastAsia="仿宋_GB2312" w:cs="仿宋_GB2312"/>
                      <w:color w:val="000000"/>
                      <w:sz w:val="24"/>
                    </w:rPr>
                    <w:t>熟悉校园内情况，发生火警、盗窃或其他突发事件。及时上报，听从指挥密切配合，积极参加抢救和缉拿工作等。</w:t>
                  </w:r>
                </w:p>
              </w:tc>
              <w:tc>
                <w:tcPr>
                  <w:tcW w:w="-175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8C2CB3">
                  <w:pPr>
                    <w:pStyle w:val="4"/>
                    <w:jc w:val="right"/>
                  </w:pPr>
                  <w:r>
                    <w:rPr>
                      <w:rFonts w:ascii="仿宋_GB2312" w:hAnsi="仿宋_GB2312" w:eastAsia="仿宋_GB2312" w:cs="仿宋_GB2312"/>
                      <w:color w:val="000000"/>
                      <w:sz w:val="24"/>
                    </w:rPr>
                    <w:t>5</w:t>
                  </w:r>
                </w:p>
              </w:tc>
              <w:tc>
                <w:tcPr>
                  <w:tcW w:w="896"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FDE8A1">
                  <w:pPr>
                    <w:pStyle w:val="4"/>
                    <w:jc w:val="center"/>
                  </w:pPr>
                  <w:r>
                    <w:rPr>
                      <w:rFonts w:ascii="仿宋_GB2312" w:hAnsi="仿宋_GB2312" w:eastAsia="仿宋_GB2312" w:cs="仿宋_GB2312"/>
                      <w:color w:val="000000"/>
                      <w:sz w:val="24"/>
                    </w:rPr>
                    <w:t>若未按要求，一次扣1分</w:t>
                  </w:r>
                </w:p>
              </w:tc>
              <w:tc>
                <w:tcPr>
                  <w:tcW w:w="34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BF2C76">
                  <w:pPr>
                    <w:pStyle w:val="4"/>
                    <w:jc w:val="center"/>
                  </w:pPr>
                </w:p>
              </w:tc>
            </w:tr>
            <w:tr w14:paraId="0460B8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0EFF8CDE"/>
              </w:tc>
              <w:tc>
                <w:tcPr>
                  <w:tcW w:w="3163" w:type="dxa"/>
                  <w:gridSpan w:val="2"/>
                  <w:vMerge w:val="continue"/>
                  <w:tcBorders>
                    <w:top w:val="nil"/>
                    <w:left w:val="single" w:color="000000" w:sz="4" w:space="0"/>
                    <w:bottom w:val="single" w:color="000000" w:sz="4" w:space="0"/>
                    <w:right w:val="single" w:color="000000" w:sz="4" w:space="0"/>
                  </w:tcBorders>
                </w:tcPr>
                <w:p w14:paraId="7379694B"/>
              </w:tc>
              <w:tc>
                <w:tcPr>
                  <w:tcW w:w="-1754" w:type="dxa"/>
                  <w:vMerge w:val="continue"/>
                  <w:tcBorders>
                    <w:top w:val="nil"/>
                    <w:left w:val="single" w:color="000000" w:sz="4" w:space="0"/>
                    <w:bottom w:val="single" w:color="000000" w:sz="4" w:space="0"/>
                    <w:right w:val="single" w:color="000000" w:sz="4" w:space="0"/>
                  </w:tcBorders>
                </w:tcPr>
                <w:p w14:paraId="7C119856"/>
              </w:tc>
              <w:tc>
                <w:tcPr>
                  <w:tcW w:w="896" w:type="dxa"/>
                  <w:vMerge w:val="continue"/>
                  <w:tcBorders>
                    <w:top w:val="nil"/>
                    <w:left w:val="single" w:color="000000" w:sz="4" w:space="0"/>
                    <w:bottom w:val="single" w:color="000000" w:sz="4" w:space="0"/>
                    <w:right w:val="single" w:color="000000" w:sz="4" w:space="0"/>
                  </w:tcBorders>
                </w:tcPr>
                <w:p w14:paraId="4899B6BC"/>
              </w:tc>
              <w:tc>
                <w:tcPr>
                  <w:tcW w:w="344" w:type="dxa"/>
                  <w:vMerge w:val="continue"/>
                  <w:tcBorders>
                    <w:top w:val="nil"/>
                    <w:left w:val="single" w:color="000000" w:sz="4" w:space="0"/>
                    <w:bottom w:val="single" w:color="000000" w:sz="4" w:space="0"/>
                    <w:right w:val="single" w:color="000000" w:sz="4" w:space="0"/>
                  </w:tcBorders>
                </w:tcPr>
                <w:p w14:paraId="56DB694D"/>
              </w:tc>
            </w:tr>
            <w:tr w14:paraId="3184CE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40E1EAFF"/>
              </w:tc>
              <w:tc>
                <w:tcPr>
                  <w:tcW w:w="3163" w:type="dxa"/>
                  <w:gridSpan w:val="2"/>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B2B90C">
                  <w:pPr>
                    <w:pStyle w:val="4"/>
                    <w:jc w:val="left"/>
                  </w:pPr>
                  <w:r>
                    <w:rPr>
                      <w:rFonts w:ascii="仿宋_GB2312" w:hAnsi="仿宋_GB2312" w:eastAsia="仿宋_GB2312" w:cs="仿宋_GB2312"/>
                      <w:color w:val="000000"/>
                      <w:sz w:val="24"/>
                    </w:rPr>
                    <w:t>尊重领导团结同事，在执勤和巡逻中遇见校领导，要主动敬礼和问好。爱岗敬业、尽职履责遵守客户单位的各项规章制度。</w:t>
                  </w:r>
                </w:p>
              </w:tc>
              <w:tc>
                <w:tcPr>
                  <w:tcW w:w="-175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BCD852">
                  <w:pPr>
                    <w:pStyle w:val="4"/>
                    <w:jc w:val="right"/>
                  </w:pPr>
                  <w:r>
                    <w:rPr>
                      <w:rFonts w:ascii="仿宋_GB2312" w:hAnsi="仿宋_GB2312" w:eastAsia="仿宋_GB2312" w:cs="仿宋_GB2312"/>
                      <w:color w:val="000000"/>
                      <w:sz w:val="24"/>
                    </w:rPr>
                    <w:t>5</w:t>
                  </w:r>
                </w:p>
              </w:tc>
              <w:tc>
                <w:tcPr>
                  <w:tcW w:w="896"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81E76A">
                  <w:pPr>
                    <w:pStyle w:val="4"/>
                    <w:jc w:val="center"/>
                  </w:pPr>
                  <w:r>
                    <w:rPr>
                      <w:rFonts w:ascii="仿宋_GB2312" w:hAnsi="仿宋_GB2312" w:eastAsia="仿宋_GB2312" w:cs="仿宋_GB2312"/>
                      <w:color w:val="000000"/>
                      <w:sz w:val="24"/>
                    </w:rPr>
                    <w:t>若未按要求，一次扣1分</w:t>
                  </w:r>
                </w:p>
              </w:tc>
              <w:tc>
                <w:tcPr>
                  <w:tcW w:w="34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32E9CB">
                  <w:pPr>
                    <w:pStyle w:val="4"/>
                    <w:jc w:val="center"/>
                  </w:pPr>
                </w:p>
              </w:tc>
            </w:tr>
            <w:tr w14:paraId="5B7B6A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12266D49"/>
              </w:tc>
              <w:tc>
                <w:tcPr>
                  <w:tcW w:w="3163" w:type="dxa"/>
                  <w:gridSpan w:val="2"/>
                  <w:vMerge w:val="continue"/>
                  <w:tcBorders>
                    <w:top w:val="nil"/>
                    <w:left w:val="single" w:color="000000" w:sz="4" w:space="0"/>
                    <w:bottom w:val="single" w:color="000000" w:sz="4" w:space="0"/>
                    <w:right w:val="single" w:color="000000" w:sz="4" w:space="0"/>
                  </w:tcBorders>
                </w:tcPr>
                <w:p w14:paraId="60A26A44"/>
              </w:tc>
              <w:tc>
                <w:tcPr>
                  <w:tcW w:w="-1754" w:type="dxa"/>
                  <w:vMerge w:val="continue"/>
                  <w:tcBorders>
                    <w:top w:val="nil"/>
                    <w:left w:val="single" w:color="000000" w:sz="4" w:space="0"/>
                    <w:bottom w:val="single" w:color="000000" w:sz="4" w:space="0"/>
                    <w:right w:val="single" w:color="000000" w:sz="4" w:space="0"/>
                  </w:tcBorders>
                </w:tcPr>
                <w:p w14:paraId="49A49F94"/>
              </w:tc>
              <w:tc>
                <w:tcPr>
                  <w:tcW w:w="896" w:type="dxa"/>
                  <w:vMerge w:val="continue"/>
                  <w:tcBorders>
                    <w:top w:val="nil"/>
                    <w:left w:val="single" w:color="000000" w:sz="4" w:space="0"/>
                    <w:bottom w:val="single" w:color="000000" w:sz="4" w:space="0"/>
                    <w:right w:val="single" w:color="000000" w:sz="4" w:space="0"/>
                  </w:tcBorders>
                </w:tcPr>
                <w:p w14:paraId="11B0AB06"/>
              </w:tc>
              <w:tc>
                <w:tcPr>
                  <w:tcW w:w="344" w:type="dxa"/>
                  <w:vMerge w:val="continue"/>
                  <w:tcBorders>
                    <w:top w:val="nil"/>
                    <w:left w:val="single" w:color="000000" w:sz="4" w:space="0"/>
                    <w:bottom w:val="single" w:color="000000" w:sz="4" w:space="0"/>
                    <w:right w:val="single" w:color="000000" w:sz="4" w:space="0"/>
                  </w:tcBorders>
                </w:tcPr>
                <w:p w14:paraId="05D43171"/>
              </w:tc>
            </w:tr>
            <w:tr w14:paraId="50CE72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390711B1"/>
              </w:tc>
              <w:tc>
                <w:tcPr>
                  <w:tcW w:w="316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EE6659">
                  <w:pPr>
                    <w:pStyle w:val="4"/>
                    <w:jc w:val="left"/>
                  </w:pPr>
                  <w:r>
                    <w:rPr>
                      <w:rFonts w:ascii="仿宋_GB2312" w:hAnsi="仿宋_GB2312" w:eastAsia="仿宋_GB2312" w:cs="仿宋_GB2312"/>
                      <w:color w:val="000000"/>
                      <w:sz w:val="24"/>
                    </w:rPr>
                    <w:t>树立良好的保安形象，不准打骂体罚学生、不准利用工作之便打击报复他人。</w:t>
                  </w:r>
                </w:p>
              </w:tc>
              <w:tc>
                <w:tcPr>
                  <w:tcW w:w="-17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CB3D43">
                  <w:pPr>
                    <w:pStyle w:val="4"/>
                    <w:jc w:val="right"/>
                  </w:pPr>
                  <w:r>
                    <w:rPr>
                      <w:rFonts w:ascii="仿宋_GB2312" w:hAnsi="仿宋_GB2312" w:eastAsia="仿宋_GB2312" w:cs="仿宋_GB2312"/>
                      <w:color w:val="000000"/>
                      <w:sz w:val="24"/>
                    </w:rPr>
                    <w:t>5</w:t>
                  </w:r>
                </w:p>
              </w:tc>
              <w:tc>
                <w:tcPr>
                  <w:tcW w:w="8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069539">
                  <w:pPr>
                    <w:pStyle w:val="4"/>
                    <w:jc w:val="center"/>
                  </w:pPr>
                  <w:r>
                    <w:rPr>
                      <w:rFonts w:ascii="仿宋_GB2312" w:hAnsi="仿宋_GB2312" w:eastAsia="仿宋_GB2312" w:cs="仿宋_GB2312"/>
                      <w:color w:val="000000"/>
                      <w:sz w:val="24"/>
                    </w:rPr>
                    <w:t>若未按要求，一次扣1分</w:t>
                  </w:r>
                </w:p>
              </w:tc>
              <w:tc>
                <w:tcPr>
                  <w:tcW w:w="3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5FE2F4">
                  <w:pPr>
                    <w:pStyle w:val="4"/>
                    <w:jc w:val="center"/>
                  </w:pPr>
                </w:p>
              </w:tc>
            </w:tr>
            <w:tr w14:paraId="6CC157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wAfter w:w="874" w:type="dxa"/>
              </w:trPr>
              <w:tc>
                <w:tcPr>
                  <w:tcW w:w="-1754" w:type="dxa"/>
                  <w:vMerge w:val="continue"/>
                  <w:tcBorders>
                    <w:top w:val="nil"/>
                    <w:left w:val="single" w:color="000000" w:sz="4" w:space="0"/>
                    <w:bottom w:val="single" w:color="000000" w:sz="4" w:space="0"/>
                    <w:right w:val="single" w:color="000000" w:sz="4" w:space="0"/>
                  </w:tcBorders>
                </w:tcPr>
                <w:p w14:paraId="3754F951"/>
              </w:tc>
              <w:tc>
                <w:tcPr>
                  <w:tcW w:w="316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417251">
                  <w:pPr>
                    <w:pStyle w:val="4"/>
                    <w:jc w:val="left"/>
                  </w:pPr>
                  <w:r>
                    <w:rPr>
                      <w:rFonts w:ascii="仿宋_GB2312" w:hAnsi="仿宋_GB2312" w:eastAsia="仿宋_GB2312" w:cs="仿宋_GB2312"/>
                      <w:color w:val="000000"/>
                      <w:sz w:val="24"/>
                    </w:rPr>
                    <w:t>定期组织检查消防器具及记录，不得擅自动用各种消防设施设备和消防工具</w:t>
                  </w:r>
                </w:p>
              </w:tc>
              <w:tc>
                <w:tcPr>
                  <w:tcW w:w="-17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B50705">
                  <w:pPr>
                    <w:pStyle w:val="4"/>
                    <w:jc w:val="right"/>
                  </w:pPr>
                  <w:r>
                    <w:rPr>
                      <w:rFonts w:ascii="仿宋_GB2312" w:hAnsi="仿宋_GB2312" w:eastAsia="仿宋_GB2312" w:cs="仿宋_GB2312"/>
                      <w:color w:val="000000"/>
                      <w:sz w:val="24"/>
                    </w:rPr>
                    <w:t>5</w:t>
                  </w:r>
                </w:p>
              </w:tc>
              <w:tc>
                <w:tcPr>
                  <w:tcW w:w="8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9325A4">
                  <w:pPr>
                    <w:pStyle w:val="4"/>
                    <w:jc w:val="center"/>
                  </w:pPr>
                  <w:r>
                    <w:rPr>
                      <w:rFonts w:ascii="仿宋_GB2312" w:hAnsi="仿宋_GB2312" w:eastAsia="仿宋_GB2312" w:cs="仿宋_GB2312"/>
                      <w:color w:val="000000"/>
                      <w:sz w:val="24"/>
                    </w:rPr>
                    <w:t>若未按要求，一次扣1分</w:t>
                  </w:r>
                </w:p>
              </w:tc>
              <w:tc>
                <w:tcPr>
                  <w:tcW w:w="3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8EDB83">
                  <w:pPr>
                    <w:pStyle w:val="4"/>
                    <w:jc w:val="center"/>
                  </w:pPr>
                </w:p>
              </w:tc>
            </w:tr>
            <w:tr w14:paraId="0931C7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4"/>
                <w:wAfter w:w="874" w:type="dxa"/>
              </w:trPr>
              <w:tc>
                <w:tcPr>
                  <w:tcW w:w="5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397A55">
                  <w:pPr>
                    <w:pStyle w:val="4"/>
                    <w:jc w:val="center"/>
                  </w:pPr>
                  <w:r>
                    <w:rPr>
                      <w:rFonts w:ascii="仿宋_GB2312" w:hAnsi="仿宋_GB2312" w:eastAsia="仿宋_GB2312" w:cs="仿宋_GB2312"/>
                      <w:b/>
                      <w:color w:val="000000"/>
                      <w:sz w:val="24"/>
                    </w:rPr>
                    <w:t>合计得分</w:t>
                  </w:r>
                </w:p>
              </w:tc>
              <w:tc>
                <w:tcPr>
                  <w:tcW w:w="3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567BF9">
                  <w:pPr>
                    <w:pStyle w:val="4"/>
                    <w:jc w:val="left"/>
                  </w:pPr>
                </w:p>
              </w:tc>
            </w:tr>
          </w:tbl>
          <w:p w14:paraId="3F6C638F"/>
        </w:tc>
      </w:tr>
    </w:tbl>
    <w:p w14:paraId="487F3A41">
      <w:pPr>
        <w:pStyle w:val="4"/>
        <w:jc w:val="left"/>
        <w:outlineLvl w:val="2"/>
      </w:pPr>
      <w:r>
        <w:rPr>
          <w:rFonts w:ascii="仿宋_GB2312" w:hAnsi="仿宋_GB2312" w:eastAsia="仿宋_GB2312" w:cs="仿宋_GB2312"/>
          <w:b/>
          <w:sz w:val="28"/>
        </w:rPr>
        <w:t>3.3.服务要求</w:t>
      </w:r>
    </w:p>
    <w:p w14:paraId="63AD5C5F">
      <w:pPr>
        <w:pStyle w:val="4"/>
        <w:jc w:val="left"/>
        <w:outlineLvl w:val="3"/>
      </w:pPr>
      <w:r>
        <w:rPr>
          <w:rFonts w:ascii="仿宋_GB2312" w:hAnsi="仿宋_GB2312" w:eastAsia="仿宋_GB2312" w:cs="仿宋_GB2312"/>
          <w:b/>
          <w:sz w:val="24"/>
        </w:rPr>
        <w:t>3.3.1.服务内容要求</w:t>
      </w:r>
    </w:p>
    <w:p w14:paraId="082D002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221B8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F5698A">
            <w:pPr>
              <w:pStyle w:val="4"/>
              <w:jc w:val="center"/>
            </w:pPr>
            <w:r>
              <w:rPr>
                <w:rFonts w:ascii="仿宋_GB2312" w:hAnsi="仿宋_GB2312" w:eastAsia="仿宋_GB2312" w:cs="仿宋_GB2312"/>
              </w:rPr>
              <w:t xml:space="preserve"> 序号</w:t>
            </w:r>
          </w:p>
        </w:tc>
        <w:tc>
          <w:tcPr>
            <w:tcW w:w="581" w:type="dxa"/>
          </w:tcPr>
          <w:p w14:paraId="4962630E">
            <w:pPr>
              <w:pStyle w:val="4"/>
              <w:jc w:val="center"/>
            </w:pPr>
            <w:r>
              <w:rPr>
                <w:rFonts w:ascii="仿宋_GB2312" w:hAnsi="仿宋_GB2312" w:eastAsia="仿宋_GB2312" w:cs="仿宋_GB2312"/>
              </w:rPr>
              <w:t xml:space="preserve"> 符号标识</w:t>
            </w:r>
          </w:p>
        </w:tc>
        <w:tc>
          <w:tcPr>
            <w:tcW w:w="1495" w:type="dxa"/>
          </w:tcPr>
          <w:p w14:paraId="3FCACE39">
            <w:pPr>
              <w:pStyle w:val="4"/>
              <w:jc w:val="center"/>
            </w:pPr>
            <w:r>
              <w:rPr>
                <w:rFonts w:ascii="仿宋_GB2312" w:hAnsi="仿宋_GB2312" w:eastAsia="仿宋_GB2312" w:cs="仿宋_GB2312"/>
              </w:rPr>
              <w:t xml:space="preserve"> 服务要求名称</w:t>
            </w:r>
          </w:p>
        </w:tc>
        <w:tc>
          <w:tcPr>
            <w:tcW w:w="5814" w:type="dxa"/>
          </w:tcPr>
          <w:p w14:paraId="79D5A60A">
            <w:pPr>
              <w:pStyle w:val="4"/>
              <w:jc w:val="center"/>
            </w:pPr>
            <w:r>
              <w:rPr>
                <w:rFonts w:ascii="仿宋_GB2312" w:hAnsi="仿宋_GB2312" w:eastAsia="仿宋_GB2312" w:cs="仿宋_GB2312"/>
              </w:rPr>
              <w:t xml:space="preserve"> 服务要求内容</w:t>
            </w:r>
          </w:p>
        </w:tc>
      </w:tr>
      <w:tr w14:paraId="7CEAA7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A24670">
            <w:pPr>
              <w:pStyle w:val="4"/>
              <w:jc w:val="center"/>
            </w:pPr>
            <w:r>
              <w:rPr>
                <w:rFonts w:ascii="仿宋_GB2312" w:hAnsi="仿宋_GB2312" w:eastAsia="仿宋_GB2312" w:cs="仿宋_GB2312"/>
              </w:rPr>
              <w:t>1</w:t>
            </w:r>
          </w:p>
        </w:tc>
        <w:tc>
          <w:tcPr>
            <w:tcW w:w="581" w:type="dxa"/>
          </w:tcPr>
          <w:p w14:paraId="69BA1B3D">
            <w:pPr>
              <w:pStyle w:val="4"/>
              <w:jc w:val="center"/>
            </w:pPr>
            <w:r>
              <w:rPr>
                <w:rFonts w:ascii="仿宋_GB2312" w:hAnsi="仿宋_GB2312" w:eastAsia="仿宋_GB2312" w:cs="仿宋_GB2312"/>
              </w:rPr>
              <w:t>★</w:t>
            </w:r>
          </w:p>
        </w:tc>
        <w:tc>
          <w:tcPr>
            <w:tcW w:w="1495" w:type="dxa"/>
          </w:tcPr>
          <w:p w14:paraId="38B4A238">
            <w:pPr>
              <w:pStyle w:val="4"/>
              <w:jc w:val="left"/>
            </w:pPr>
            <w:r>
              <w:rPr>
                <w:rFonts w:ascii="仿宋_GB2312" w:hAnsi="仿宋_GB2312" w:eastAsia="仿宋_GB2312" w:cs="仿宋_GB2312"/>
              </w:rPr>
              <w:t>其他要求（供应商须提供承诺函，格式自拟，对本要求进行响应，如未提供视为未实质性响应）</w:t>
            </w:r>
          </w:p>
        </w:tc>
        <w:tc>
          <w:tcPr>
            <w:tcW w:w="5814" w:type="dxa"/>
          </w:tcPr>
          <w:p w14:paraId="097D008A">
            <w:pPr>
              <w:pStyle w:val="4"/>
              <w:jc w:val="left"/>
            </w:pPr>
            <w:r>
              <w:rPr>
                <w:rFonts w:ascii="仿宋_GB2312" w:hAnsi="仿宋_GB2312" w:eastAsia="仿宋_GB2312" w:cs="仿宋_GB2312"/>
              </w:rPr>
              <w:t>供应商须承诺如成为本项目中标（成交）供应商，除法律法规规定的可以不签订政府采购合同的情形外，须按照响应报价与采购人签订政府采购合同，并自行承担不以响应报价签订政府采购合同的相应后果及法律责任。</w:t>
            </w:r>
          </w:p>
        </w:tc>
      </w:tr>
      <w:tr w14:paraId="16ABA5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3E7A0B">
            <w:pPr>
              <w:pStyle w:val="4"/>
              <w:jc w:val="center"/>
            </w:pPr>
            <w:r>
              <w:rPr>
                <w:rFonts w:ascii="仿宋_GB2312" w:hAnsi="仿宋_GB2312" w:eastAsia="仿宋_GB2312" w:cs="仿宋_GB2312"/>
              </w:rPr>
              <w:t>2</w:t>
            </w:r>
          </w:p>
        </w:tc>
        <w:tc>
          <w:tcPr>
            <w:tcW w:w="581" w:type="dxa"/>
          </w:tcPr>
          <w:p w14:paraId="4C35ED0A">
            <w:pPr>
              <w:pStyle w:val="4"/>
              <w:jc w:val="center"/>
            </w:pPr>
            <w:r>
              <w:rPr>
                <w:rFonts w:ascii="仿宋_GB2312" w:hAnsi="仿宋_GB2312" w:eastAsia="仿宋_GB2312" w:cs="仿宋_GB2312"/>
              </w:rPr>
              <w:t>★</w:t>
            </w:r>
          </w:p>
        </w:tc>
        <w:tc>
          <w:tcPr>
            <w:tcW w:w="1495" w:type="dxa"/>
          </w:tcPr>
          <w:p w14:paraId="6D9671DE">
            <w:pPr>
              <w:pStyle w:val="4"/>
              <w:jc w:val="left"/>
            </w:pPr>
            <w:r>
              <w:rPr>
                <w:rFonts w:ascii="仿宋_GB2312" w:hAnsi="仿宋_GB2312" w:eastAsia="仿宋_GB2312" w:cs="仿宋_GB2312"/>
              </w:rPr>
              <w:t>付款进度安排（以此处要求为准。）</w:t>
            </w:r>
          </w:p>
        </w:tc>
        <w:tc>
          <w:tcPr>
            <w:tcW w:w="5814" w:type="dxa"/>
          </w:tcPr>
          <w:p w14:paraId="4430A586">
            <w:pPr>
              <w:pStyle w:val="4"/>
              <w:ind w:left="720" w:firstLine="560"/>
              <w:jc w:val="left"/>
            </w:pPr>
            <w:r>
              <w:rPr>
                <w:rFonts w:ascii="仿宋_GB2312" w:hAnsi="仿宋_GB2312" w:eastAsia="仿宋_GB2312" w:cs="仿宋_GB2312"/>
                <w:color w:val="000000"/>
                <w:sz w:val="28"/>
              </w:rPr>
              <w:t>1、签订合同后，采购人与供应商将按照月进行考核，每季度结算。每季度结算费用的计算公式为：每季度结算费用 = 中标金额 / 4 - 考核应扣减费用。采购人将依据《四川省双流棠湖中学校园安防服务考核评分细则》（详见附件）中详细且明确的月度考核标准对供应商的服务进行考核，根据考核结果据实结算费用。</w:t>
            </w:r>
          </w:p>
          <w:p w14:paraId="0D2BF071">
            <w:pPr>
              <w:pStyle w:val="4"/>
              <w:ind w:left="720" w:firstLine="560"/>
              <w:jc w:val="left"/>
            </w:pPr>
            <w:r>
              <w:rPr>
                <w:rFonts w:ascii="仿宋_GB2312" w:hAnsi="仿宋_GB2312" w:eastAsia="仿宋_GB2312" w:cs="仿宋_GB2312"/>
                <w:color w:val="000000"/>
                <w:sz w:val="28"/>
              </w:rPr>
              <w:t>2、采购人在每月第 7 个工作日前，完成对上一月供应商服务效果的全面考核。若供应商的服务达到合同约定要求，采购人在每季度结束后收到供应商提交的符合税务规定的正式发票及经采购人认可的服务人员工资发放证明（证明材料应包括但不限于银行转账记录、工资发放明细表等，且需详细列出服务人员姓名、工资金额、发放时间等信息）后10个工作日内，以对公转账方式支付该季度服务费。若服务未达到要求，采购人将根据考核不达标的具体情形及对应的扣减规则精确扣减当月服务费，并核算该月应支付费用。（如因客观原因：例如发生财政资金拨付延迟、跨年核算、自然灾害、疫情等造成延期支付，采购人可迟延付款且不承担逾期付款责任，供应商应继续履行合同义务）。</w:t>
            </w:r>
          </w:p>
        </w:tc>
      </w:tr>
    </w:tbl>
    <w:p w14:paraId="5370C2A0">
      <w:pPr>
        <w:pStyle w:val="4"/>
        <w:jc w:val="left"/>
        <w:outlineLvl w:val="3"/>
      </w:pPr>
      <w:r>
        <w:rPr>
          <w:rFonts w:ascii="仿宋_GB2312" w:hAnsi="仿宋_GB2312" w:eastAsia="仿宋_GB2312" w:cs="仿宋_GB2312"/>
          <w:b/>
          <w:sz w:val="24"/>
        </w:rPr>
        <w:t>3.3.2.商务要求</w:t>
      </w:r>
    </w:p>
    <w:p w14:paraId="2935463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F80F0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8B39EFC">
            <w:pPr>
              <w:pStyle w:val="4"/>
              <w:jc w:val="left"/>
            </w:pPr>
            <w:r>
              <w:rPr>
                <w:rFonts w:ascii="仿宋_GB2312" w:hAnsi="仿宋_GB2312" w:eastAsia="仿宋_GB2312" w:cs="仿宋_GB2312"/>
              </w:rPr>
              <w:t>序号</w:t>
            </w:r>
          </w:p>
        </w:tc>
        <w:tc>
          <w:tcPr>
            <w:tcW w:w="2076" w:type="dxa"/>
          </w:tcPr>
          <w:p w14:paraId="10911018">
            <w:pPr>
              <w:pStyle w:val="4"/>
              <w:jc w:val="left"/>
            </w:pPr>
            <w:r>
              <w:rPr>
                <w:rFonts w:ascii="仿宋_GB2312" w:hAnsi="仿宋_GB2312" w:eastAsia="仿宋_GB2312" w:cs="仿宋_GB2312"/>
              </w:rPr>
              <w:t>符号标识</w:t>
            </w:r>
          </w:p>
        </w:tc>
        <w:tc>
          <w:tcPr>
            <w:tcW w:w="2076" w:type="dxa"/>
          </w:tcPr>
          <w:p w14:paraId="5EB512DD">
            <w:pPr>
              <w:pStyle w:val="4"/>
              <w:jc w:val="left"/>
            </w:pPr>
            <w:r>
              <w:rPr>
                <w:rFonts w:ascii="仿宋_GB2312" w:hAnsi="仿宋_GB2312" w:eastAsia="仿宋_GB2312" w:cs="仿宋_GB2312"/>
              </w:rPr>
              <w:t>商务要求名称</w:t>
            </w:r>
          </w:p>
        </w:tc>
        <w:tc>
          <w:tcPr>
            <w:tcW w:w="2076" w:type="dxa"/>
          </w:tcPr>
          <w:p w14:paraId="71D1CD3A">
            <w:pPr>
              <w:pStyle w:val="4"/>
              <w:jc w:val="left"/>
            </w:pPr>
            <w:r>
              <w:rPr>
                <w:rFonts w:ascii="仿宋_GB2312" w:hAnsi="仿宋_GB2312" w:eastAsia="仿宋_GB2312" w:cs="仿宋_GB2312"/>
              </w:rPr>
              <w:t>商务要求内容</w:t>
            </w:r>
          </w:p>
        </w:tc>
      </w:tr>
      <w:tr w14:paraId="2C940B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AA51DBC">
            <w:pPr>
              <w:pStyle w:val="4"/>
              <w:jc w:val="left"/>
            </w:pPr>
            <w:r>
              <w:rPr>
                <w:rFonts w:ascii="仿宋_GB2312" w:hAnsi="仿宋_GB2312" w:eastAsia="仿宋_GB2312" w:cs="仿宋_GB2312"/>
              </w:rPr>
              <w:t>1</w:t>
            </w:r>
          </w:p>
        </w:tc>
        <w:tc>
          <w:tcPr>
            <w:tcW w:w="2076" w:type="dxa"/>
          </w:tcPr>
          <w:p w14:paraId="5135A7C8">
            <w:pPr>
              <w:pStyle w:val="4"/>
              <w:jc w:val="left"/>
            </w:pPr>
            <w:r>
              <w:rPr>
                <w:rFonts w:ascii="仿宋_GB2312" w:hAnsi="仿宋_GB2312" w:eastAsia="仿宋_GB2312" w:cs="仿宋_GB2312"/>
              </w:rPr>
              <w:t>★</w:t>
            </w:r>
          </w:p>
        </w:tc>
        <w:tc>
          <w:tcPr>
            <w:tcW w:w="2076" w:type="dxa"/>
          </w:tcPr>
          <w:p w14:paraId="347AB517">
            <w:pPr>
              <w:pStyle w:val="4"/>
              <w:jc w:val="left"/>
            </w:pPr>
            <w:r>
              <w:rPr>
                <w:rFonts w:ascii="仿宋_GB2312" w:hAnsi="仿宋_GB2312" w:eastAsia="仿宋_GB2312" w:cs="仿宋_GB2312"/>
              </w:rPr>
              <w:t>服务期限</w:t>
            </w:r>
          </w:p>
        </w:tc>
        <w:tc>
          <w:tcPr>
            <w:tcW w:w="2076" w:type="dxa"/>
          </w:tcPr>
          <w:p w14:paraId="6306B4F6">
            <w:pPr>
              <w:pStyle w:val="4"/>
              <w:jc w:val="left"/>
            </w:pPr>
            <w:r>
              <w:rPr>
                <w:rFonts w:ascii="仿宋_GB2312" w:hAnsi="仿宋_GB2312" w:eastAsia="仿宋_GB2312" w:cs="仿宋_GB2312"/>
              </w:rPr>
              <w:t>本项目一采两年（合同一年一签）。合同年涉及的月考核平均分高于90分（含），续签下一年合同。</w:t>
            </w:r>
          </w:p>
        </w:tc>
      </w:tr>
      <w:tr w14:paraId="5AC9D6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F3E8743">
            <w:pPr>
              <w:pStyle w:val="4"/>
              <w:jc w:val="left"/>
            </w:pPr>
            <w:r>
              <w:rPr>
                <w:rFonts w:ascii="仿宋_GB2312" w:hAnsi="仿宋_GB2312" w:eastAsia="仿宋_GB2312" w:cs="仿宋_GB2312"/>
              </w:rPr>
              <w:t>2</w:t>
            </w:r>
          </w:p>
        </w:tc>
        <w:tc>
          <w:tcPr>
            <w:tcW w:w="2076" w:type="dxa"/>
          </w:tcPr>
          <w:p w14:paraId="2D3C7512">
            <w:pPr>
              <w:pStyle w:val="4"/>
              <w:jc w:val="left"/>
            </w:pPr>
            <w:r>
              <w:rPr>
                <w:rFonts w:ascii="仿宋_GB2312" w:hAnsi="仿宋_GB2312" w:eastAsia="仿宋_GB2312" w:cs="仿宋_GB2312"/>
              </w:rPr>
              <w:t>★</w:t>
            </w:r>
          </w:p>
        </w:tc>
        <w:tc>
          <w:tcPr>
            <w:tcW w:w="2076" w:type="dxa"/>
          </w:tcPr>
          <w:p w14:paraId="1404CE7A">
            <w:pPr>
              <w:pStyle w:val="4"/>
              <w:jc w:val="left"/>
            </w:pPr>
            <w:r>
              <w:rPr>
                <w:rFonts w:ascii="仿宋_GB2312" w:hAnsi="仿宋_GB2312" w:eastAsia="仿宋_GB2312" w:cs="仿宋_GB2312"/>
              </w:rPr>
              <w:t>服务地点</w:t>
            </w:r>
          </w:p>
        </w:tc>
        <w:tc>
          <w:tcPr>
            <w:tcW w:w="2076" w:type="dxa"/>
          </w:tcPr>
          <w:p w14:paraId="13F45444">
            <w:pPr>
              <w:pStyle w:val="4"/>
              <w:jc w:val="left"/>
            </w:pPr>
            <w:r>
              <w:rPr>
                <w:rFonts w:ascii="仿宋_GB2312" w:hAnsi="仿宋_GB2312" w:eastAsia="仿宋_GB2312" w:cs="仿宋_GB2312"/>
              </w:rPr>
              <w:t>双江路校区：成都市双流区双江路二段188号；棠中路校区：成都市双流区棠中路二段87号</w:t>
            </w:r>
          </w:p>
        </w:tc>
      </w:tr>
      <w:tr w14:paraId="05CF11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CD0D2AC">
            <w:pPr>
              <w:pStyle w:val="4"/>
              <w:jc w:val="left"/>
            </w:pPr>
            <w:r>
              <w:rPr>
                <w:rFonts w:ascii="仿宋_GB2312" w:hAnsi="仿宋_GB2312" w:eastAsia="仿宋_GB2312" w:cs="仿宋_GB2312"/>
              </w:rPr>
              <w:t>3</w:t>
            </w:r>
          </w:p>
        </w:tc>
        <w:tc>
          <w:tcPr>
            <w:tcW w:w="2076" w:type="dxa"/>
          </w:tcPr>
          <w:p w14:paraId="0AF52BD1">
            <w:pPr>
              <w:pStyle w:val="4"/>
              <w:jc w:val="left"/>
            </w:pPr>
            <w:r>
              <w:rPr>
                <w:rFonts w:ascii="仿宋_GB2312" w:hAnsi="仿宋_GB2312" w:eastAsia="仿宋_GB2312" w:cs="仿宋_GB2312"/>
              </w:rPr>
              <w:t>★</w:t>
            </w:r>
          </w:p>
        </w:tc>
        <w:tc>
          <w:tcPr>
            <w:tcW w:w="2076" w:type="dxa"/>
          </w:tcPr>
          <w:p w14:paraId="4B7BB69D">
            <w:pPr>
              <w:pStyle w:val="4"/>
              <w:jc w:val="left"/>
            </w:pPr>
            <w:r>
              <w:rPr>
                <w:rFonts w:ascii="仿宋_GB2312" w:hAnsi="仿宋_GB2312" w:eastAsia="仿宋_GB2312" w:cs="仿宋_GB2312"/>
              </w:rPr>
              <w:t>验收、交付标准和方法</w:t>
            </w:r>
          </w:p>
        </w:tc>
        <w:tc>
          <w:tcPr>
            <w:tcW w:w="2076" w:type="dxa"/>
          </w:tcPr>
          <w:p w14:paraId="1194B469">
            <w:pPr>
              <w:pStyle w:val="4"/>
              <w:jc w:val="left"/>
            </w:pPr>
            <w:r>
              <w:rPr>
                <w:rFonts w:ascii="仿宋_GB2312" w:hAnsi="仿宋_GB2312" w:eastAsia="仿宋_GB2312" w:cs="仿宋_GB2312"/>
              </w:rPr>
              <w:t>严格按照采购文件中的服务要求、商务要求和《财政部关于进一步加强政府采购需求和履约验收管理的指导意见》(财库〔2016〕205号)等政府采购相关法律法规的要求进行验收。</w:t>
            </w:r>
          </w:p>
        </w:tc>
      </w:tr>
      <w:tr w14:paraId="320535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134F31D">
            <w:pPr>
              <w:pStyle w:val="4"/>
              <w:jc w:val="left"/>
            </w:pPr>
            <w:r>
              <w:rPr>
                <w:rFonts w:ascii="仿宋_GB2312" w:hAnsi="仿宋_GB2312" w:eastAsia="仿宋_GB2312" w:cs="仿宋_GB2312"/>
              </w:rPr>
              <w:t>4</w:t>
            </w:r>
          </w:p>
        </w:tc>
        <w:tc>
          <w:tcPr>
            <w:tcW w:w="2076" w:type="dxa"/>
          </w:tcPr>
          <w:p w14:paraId="20DDA507">
            <w:pPr>
              <w:pStyle w:val="4"/>
              <w:jc w:val="left"/>
            </w:pPr>
            <w:r>
              <w:rPr>
                <w:rFonts w:ascii="仿宋_GB2312" w:hAnsi="仿宋_GB2312" w:eastAsia="仿宋_GB2312" w:cs="仿宋_GB2312"/>
              </w:rPr>
              <w:t>★</w:t>
            </w:r>
          </w:p>
        </w:tc>
        <w:tc>
          <w:tcPr>
            <w:tcW w:w="2076" w:type="dxa"/>
          </w:tcPr>
          <w:p w14:paraId="36EA2353">
            <w:pPr>
              <w:pStyle w:val="4"/>
              <w:jc w:val="left"/>
            </w:pPr>
            <w:r>
              <w:rPr>
                <w:rFonts w:ascii="仿宋_GB2312" w:hAnsi="仿宋_GB2312" w:eastAsia="仿宋_GB2312" w:cs="仿宋_GB2312"/>
              </w:rPr>
              <w:t>支付方式</w:t>
            </w:r>
          </w:p>
        </w:tc>
        <w:tc>
          <w:tcPr>
            <w:tcW w:w="2076" w:type="dxa"/>
          </w:tcPr>
          <w:p w14:paraId="6582599C">
            <w:pPr>
              <w:pStyle w:val="4"/>
              <w:jc w:val="left"/>
            </w:pPr>
            <w:r>
              <w:rPr>
                <w:rFonts w:ascii="仿宋_GB2312" w:hAnsi="仿宋_GB2312" w:eastAsia="仿宋_GB2312" w:cs="仿宋_GB2312"/>
              </w:rPr>
              <w:t>分期付款</w:t>
            </w:r>
          </w:p>
        </w:tc>
      </w:tr>
      <w:tr w14:paraId="5AE200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0F74CE6">
            <w:pPr>
              <w:pStyle w:val="4"/>
              <w:jc w:val="left"/>
            </w:pPr>
            <w:r>
              <w:rPr>
                <w:rFonts w:ascii="仿宋_GB2312" w:hAnsi="仿宋_GB2312" w:eastAsia="仿宋_GB2312" w:cs="仿宋_GB2312"/>
              </w:rPr>
              <w:t>5</w:t>
            </w:r>
          </w:p>
        </w:tc>
        <w:tc>
          <w:tcPr>
            <w:tcW w:w="2076" w:type="dxa"/>
          </w:tcPr>
          <w:p w14:paraId="46F512F8">
            <w:pPr>
              <w:pStyle w:val="4"/>
              <w:jc w:val="left"/>
            </w:pPr>
            <w:r>
              <w:rPr>
                <w:rFonts w:ascii="仿宋_GB2312" w:hAnsi="仿宋_GB2312" w:eastAsia="仿宋_GB2312" w:cs="仿宋_GB2312"/>
              </w:rPr>
              <w:t>★</w:t>
            </w:r>
          </w:p>
        </w:tc>
        <w:tc>
          <w:tcPr>
            <w:tcW w:w="2076" w:type="dxa"/>
          </w:tcPr>
          <w:p w14:paraId="55986641">
            <w:pPr>
              <w:pStyle w:val="4"/>
              <w:jc w:val="left"/>
            </w:pPr>
            <w:r>
              <w:rPr>
                <w:rFonts w:ascii="仿宋_GB2312" w:hAnsi="仿宋_GB2312" w:eastAsia="仿宋_GB2312" w:cs="仿宋_GB2312"/>
              </w:rPr>
              <w:t>付款进度安排</w:t>
            </w:r>
          </w:p>
        </w:tc>
        <w:tc>
          <w:tcPr>
            <w:tcW w:w="2076" w:type="dxa"/>
          </w:tcPr>
          <w:p w14:paraId="7F937A1B">
            <w:pPr>
              <w:pStyle w:val="4"/>
              <w:jc w:val="left"/>
            </w:pPr>
            <w:r>
              <w:rPr>
                <w:rFonts w:ascii="仿宋_GB2312" w:hAnsi="仿宋_GB2312" w:eastAsia="仿宋_GB2312" w:cs="仿宋_GB2312"/>
              </w:rPr>
              <w:t>1、进度款付款条件：本项目付款进度安排按照“第三章3.3.1.服务内容要求中付款进度安排”执行，供应商投标响应时按照“ 第三章3.3.1.服务内容要求中付款进度安排”进行响应。本说明后的内容为系统模板，不作响应要求。达到该付款条件起10个工作日内，支付合同总金额的100.0%</w:t>
            </w:r>
            <w:r>
              <w:br w:type="textWrapping"/>
            </w:r>
          </w:p>
        </w:tc>
      </w:tr>
      <w:tr w14:paraId="2C5E6D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17583F7">
            <w:pPr>
              <w:pStyle w:val="4"/>
              <w:jc w:val="left"/>
            </w:pPr>
            <w:r>
              <w:rPr>
                <w:rFonts w:ascii="仿宋_GB2312" w:hAnsi="仿宋_GB2312" w:eastAsia="仿宋_GB2312" w:cs="仿宋_GB2312"/>
              </w:rPr>
              <w:t>6</w:t>
            </w:r>
          </w:p>
        </w:tc>
        <w:tc>
          <w:tcPr>
            <w:tcW w:w="2076" w:type="dxa"/>
          </w:tcPr>
          <w:p w14:paraId="1151CE8A">
            <w:pPr>
              <w:pStyle w:val="4"/>
              <w:jc w:val="left"/>
            </w:pPr>
            <w:r>
              <w:rPr>
                <w:rFonts w:ascii="仿宋_GB2312" w:hAnsi="仿宋_GB2312" w:eastAsia="仿宋_GB2312" w:cs="仿宋_GB2312"/>
              </w:rPr>
              <w:t>★</w:t>
            </w:r>
          </w:p>
        </w:tc>
        <w:tc>
          <w:tcPr>
            <w:tcW w:w="2076" w:type="dxa"/>
          </w:tcPr>
          <w:p w14:paraId="2E2C91F8">
            <w:pPr>
              <w:pStyle w:val="4"/>
              <w:jc w:val="left"/>
            </w:pPr>
            <w:r>
              <w:rPr>
                <w:rFonts w:ascii="仿宋_GB2312" w:hAnsi="仿宋_GB2312" w:eastAsia="仿宋_GB2312" w:cs="仿宋_GB2312"/>
              </w:rPr>
              <w:t>违约责任与解决争议的方法</w:t>
            </w:r>
          </w:p>
        </w:tc>
        <w:tc>
          <w:tcPr>
            <w:tcW w:w="2076" w:type="dxa"/>
          </w:tcPr>
          <w:p w14:paraId="16666988">
            <w:pPr>
              <w:pStyle w:val="4"/>
              <w:jc w:val="left"/>
            </w:pPr>
            <w:r>
              <w:rPr>
                <w:rFonts w:ascii="仿宋_GB2312" w:hAnsi="仿宋_GB2312" w:eastAsia="仿宋_GB2312" w:cs="仿宋_GB2312"/>
              </w:rPr>
              <w:t>1.违约责任：（1）投标人必须遵守采购合同并执行合同中的各项规定，保证采购合同的正常履行。（2）如因投标人工作人员在履行职务过程中的疏忽、失职、过错等故意或者过失原因给采购人造成损失或侵害，包括但不限于采购人本身的财产损失、由此而导致的采购人对任何第三方的法律责任等，投标人对此均应承担全部的赔偿责任（包括但不限于采购人的直接或间接损失、主张权利支付的合理费用、诉讼费、保全费、保函保费、律师费、差旅费、鉴定评估等、公告费等）。（3）采购人逾期支付服务费用的，除应及时付足服务费用外，应向投标人偿付欠款总额万分之一/日的违约金；逾期付款超过 60 日的，投标人有权终止合同。（4）投标人应当遵守采购文件的相关要求，实施并完成采购合同及满足采购文件的要求，若投标人未按照采购合同履行义务，采购人有权向投标人要求合同总价款5%的违约金，若造成相关损失的，采购人有权要求投标人承担所有赔偿责任。（5）投标人不得将本项目分包或转包，否则采购人有权解除或终止协议并另行安排其他公司履行，对此给采购人造成的损失，采购人有权从应付服务费中优先扣除或通过法律手段从投标人获得相应的赔偿（包括但不限于采购人的直接或间接损失、诉讼费、保全费、律师费等）。 2.争议解决：合同履行过程中出现争议，首先应秉持友好、合作的态度，尝试通过面对面沟通、函件往来等方式展开协商。双方各自阐述立场、诉求，争取在互谅互让的基础上，就争议问题达成共识，自行化解矛盾，维持合作关系的稳定。若协商无果，应向采购人所在地人民法院提起诉讼。在诉讼期间，投标人不得停止服务，并应保证对于采购合同中无争议的地方继续履行执行。</w:t>
            </w:r>
          </w:p>
        </w:tc>
      </w:tr>
    </w:tbl>
    <w:p w14:paraId="1528A979">
      <w:pPr>
        <w:pStyle w:val="4"/>
        <w:jc w:val="left"/>
        <w:outlineLvl w:val="2"/>
      </w:pPr>
      <w:r>
        <w:rPr>
          <w:rFonts w:ascii="仿宋_GB2312" w:hAnsi="仿宋_GB2312" w:eastAsia="仿宋_GB2312" w:cs="仿宋_GB2312"/>
          <w:b/>
          <w:sz w:val="28"/>
        </w:rPr>
        <w:t>3.4.其他要求</w:t>
      </w:r>
    </w:p>
    <w:p w14:paraId="2794422A">
      <w:pPr>
        <w:pStyle w:val="4"/>
        <w:ind w:firstLine="480"/>
        <w:jc w:val="left"/>
      </w:pPr>
      <w:r>
        <w:rPr>
          <w:rFonts w:ascii="仿宋_GB2312" w:hAnsi="仿宋_GB2312" w:eastAsia="仿宋_GB2312" w:cs="仿宋_GB2312"/>
        </w:rPr>
        <w:t>采购包1：</w:t>
      </w:r>
    </w:p>
    <w:p w14:paraId="44D9C6C5">
      <w:pPr>
        <w:pStyle w:val="4"/>
        <w:jc w:val="left"/>
      </w:pPr>
      <w:r>
        <w:rPr>
          <w:rFonts w:ascii="仿宋_GB2312" w:hAnsi="仿宋_GB2312" w:eastAsia="仿宋_GB2312" w:cs="仿宋_GB2312"/>
        </w:rPr>
        <w:t>★一、本采购包履约保证金为合同金额的5.0% 交款方式：银行转账，支票/汇票/本票，保函/保险，以非现金形式提交，履约保证金待成交供应商提供的服务期满且采购人验收合格后退还。成交供应商需于本合同签订前三个工作日内向采购人支付该履约保证金。 ★二、知识产权 （一）供应商保证在本项目中使用的任何技术、产品和服务（包括部分使用），不会产生因第三方提出侵犯其专利权、商标权或其它知识产权而引起的法律和经济纠纷，如存在前述情形，由供应商承担所有相关责任，并且赔偿由此给采购人带来的损失。采购人享有本项目实施过程中产生的知识成果及知识产权。 （二）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 （三）如使用供应商所不拥有的知识产权，则在报价中必须包括合法使用该知识产权的相关费用。★ 三、本章节注明的“★”要求均为本项目不可变动的实质性要求，供应商须逐条进行响应，否则视为未实质性响应；要求提供承诺函或单独响应的，须按要求响应，否则视为未实质性响应。（供应商在响应时无须粘贴复制第三条要求。）</w:t>
      </w:r>
    </w:p>
    <w:p w14:paraId="73D1DDCF">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DB409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2026-07-29T07:23:17Z</dcterms:created>
  <dc:creator>DELL</dc:creator>
  <cp:lastModifiedBy>卍</cp:lastModifiedBy>
  <dcterms:modified xsi:type="dcterms:W3CDTF">2026-07-29T07:23:45Z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eyJoZGlkIjoiYjllYmI1YjFlM2Y0MmE1NDEyNGI2MDhiMDNlY2IzZTUiLCJ1c2VySWQiOiI0OTE3MTI4NzQifQ==</vt:lpwstr>
  </property>
  <property fmtid="{D5CDD505-2E9C-101B-9397-08002B2CF9AE}" pid="4" name="ICV">
    <vt:lpwstr>047C888C91194177A7639C2BEF1DA965_12</vt:lpwstr>
  </property>
</Properties>
</file>