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AE4AA4">
      <w:pPr>
        <w:pStyle w:val="9"/>
        <w:numPr>
          <w:ilvl w:val="0"/>
          <w:numId w:val="0"/>
        </w:numPr>
        <w:bidi w:val="0"/>
        <w:ind w:leftChars="0"/>
        <w:jc w:val="center"/>
        <w:rPr>
          <w:rFonts w:hint="eastAsia"/>
          <w:color w:val="auto"/>
        </w:rPr>
      </w:pPr>
      <w:r>
        <w:rPr>
          <w:rFonts w:hint="eastAsia"/>
          <w:color w:val="auto"/>
        </w:rPr>
        <w:t>政府采购合同</w:t>
      </w:r>
    </w:p>
    <w:p w14:paraId="6786D3B2">
      <w:pPr>
        <w:pStyle w:val="10"/>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eastAsia"/>
          <w:color w:val="auto"/>
          <w:sz w:val="24"/>
          <w:szCs w:val="24"/>
        </w:rPr>
      </w:pPr>
      <w:r>
        <w:rPr>
          <w:rFonts w:hint="eastAsia"/>
          <w:color w:val="auto"/>
          <w:sz w:val="24"/>
          <w:szCs w:val="24"/>
        </w:rPr>
        <w:t>合同编号：</w:t>
      </w:r>
      <w:r>
        <w:rPr>
          <w:rFonts w:hint="eastAsia"/>
          <w:color w:val="auto"/>
          <w:sz w:val="24"/>
          <w:szCs w:val="24"/>
          <w:u w:val="single"/>
          <w:lang w:val="en-US" w:eastAsia="zh-CN"/>
        </w:rPr>
        <w:t xml:space="preserve">          </w:t>
      </w:r>
      <w:r>
        <w:rPr>
          <w:rFonts w:hint="eastAsia"/>
          <w:color w:val="auto"/>
          <w:sz w:val="24"/>
          <w:szCs w:val="24"/>
          <w:lang w:val="en-US" w:eastAsia="zh-CN"/>
        </w:rPr>
        <w:t>(</w:t>
      </w:r>
      <w:r>
        <w:rPr>
          <w:rFonts w:hint="eastAsia"/>
          <w:color w:val="auto"/>
          <w:sz w:val="24"/>
          <w:szCs w:val="24"/>
        </w:rPr>
        <w:t>与项目编号一致</w:t>
      </w:r>
      <w:r>
        <w:rPr>
          <w:rFonts w:hint="eastAsia"/>
          <w:color w:val="auto"/>
          <w:sz w:val="24"/>
          <w:szCs w:val="24"/>
          <w:lang w:val="en-US" w:eastAsia="zh-CN"/>
        </w:rPr>
        <w:t>)</w:t>
      </w:r>
    </w:p>
    <w:p w14:paraId="4D5CDDE5">
      <w:pPr>
        <w:pStyle w:val="10"/>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eastAsia"/>
          <w:color w:val="auto"/>
          <w:sz w:val="24"/>
          <w:szCs w:val="24"/>
          <w:u w:val="single"/>
        </w:rPr>
      </w:pPr>
      <w:r>
        <w:rPr>
          <w:rFonts w:hint="eastAsia"/>
          <w:color w:val="auto"/>
          <w:sz w:val="24"/>
          <w:szCs w:val="24"/>
        </w:rPr>
        <w:t>计划号/备案号：</w:t>
      </w:r>
      <w:r>
        <w:rPr>
          <w:rFonts w:hint="eastAsia"/>
          <w:color w:val="auto"/>
          <w:sz w:val="24"/>
          <w:szCs w:val="24"/>
          <w:u w:val="single"/>
        </w:rPr>
        <w:t xml:space="preserve">                </w:t>
      </w:r>
    </w:p>
    <w:p w14:paraId="2B17E32A">
      <w:pPr>
        <w:pStyle w:val="10"/>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eastAsia"/>
          <w:color w:val="auto"/>
          <w:sz w:val="24"/>
          <w:szCs w:val="24"/>
          <w:u w:val="single"/>
        </w:rPr>
      </w:pPr>
      <w:r>
        <w:rPr>
          <w:rFonts w:hint="eastAsia"/>
          <w:color w:val="auto"/>
          <w:sz w:val="24"/>
          <w:szCs w:val="24"/>
        </w:rPr>
        <w:t>签订地点：</w:t>
      </w:r>
      <w:r>
        <w:rPr>
          <w:rFonts w:hint="eastAsia"/>
          <w:color w:val="auto"/>
          <w:sz w:val="24"/>
          <w:szCs w:val="24"/>
          <w:u w:val="single"/>
        </w:rPr>
        <w:t xml:space="preserve">雅安市名山区人民医院 </w:t>
      </w:r>
      <w:bookmarkStart w:id="81" w:name="_GoBack"/>
      <w:bookmarkEnd w:id="81"/>
    </w:p>
    <w:p w14:paraId="63016E50">
      <w:pPr>
        <w:pStyle w:val="10"/>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eastAsia"/>
          <w:color w:val="auto"/>
          <w:sz w:val="24"/>
          <w:szCs w:val="24"/>
          <w:u w:val="single"/>
        </w:rPr>
      </w:pPr>
      <w:r>
        <w:rPr>
          <w:rFonts w:hint="eastAsia"/>
          <w:color w:val="auto"/>
          <w:sz w:val="24"/>
          <w:szCs w:val="24"/>
        </w:rPr>
        <w:t>签订时间：</w:t>
      </w:r>
      <w:r>
        <w:rPr>
          <w:rFonts w:hint="eastAsia"/>
          <w:color w:val="auto"/>
          <w:sz w:val="24"/>
          <w:szCs w:val="24"/>
          <w:u w:val="single"/>
          <w:lang w:val="en-US" w:eastAsia="zh-CN"/>
        </w:rPr>
        <w:t>2025年  月  日</w:t>
      </w:r>
    </w:p>
    <w:p w14:paraId="0A291354">
      <w:pPr>
        <w:pStyle w:val="10"/>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eastAsia"/>
          <w:color w:val="auto"/>
          <w:sz w:val="24"/>
          <w:szCs w:val="24"/>
          <w:u w:val="single"/>
        </w:rPr>
      </w:pPr>
      <w:r>
        <w:rPr>
          <w:rFonts w:hint="eastAsia"/>
          <w:color w:val="auto"/>
          <w:sz w:val="24"/>
          <w:szCs w:val="24"/>
        </w:rPr>
        <w:t>采购人名称(甲方)：</w:t>
      </w:r>
      <w:r>
        <w:rPr>
          <w:rFonts w:hint="eastAsia"/>
          <w:color w:val="auto"/>
          <w:sz w:val="24"/>
          <w:szCs w:val="24"/>
          <w:u w:val="single"/>
        </w:rPr>
        <w:t>雅安市名山区人民医院</w:t>
      </w:r>
    </w:p>
    <w:p w14:paraId="130DA346">
      <w:pPr>
        <w:pStyle w:val="10"/>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eastAsia"/>
          <w:color w:val="auto"/>
          <w:sz w:val="24"/>
          <w:szCs w:val="24"/>
          <w:u w:val="single"/>
        </w:rPr>
      </w:pPr>
      <w:r>
        <w:rPr>
          <w:rFonts w:hint="eastAsia"/>
          <w:color w:val="auto"/>
          <w:sz w:val="24"/>
          <w:szCs w:val="24"/>
          <w:lang w:val="en-US" w:eastAsia="zh-CN"/>
        </w:rPr>
        <w:t>成交供应商</w:t>
      </w:r>
      <w:r>
        <w:rPr>
          <w:rFonts w:hint="eastAsia"/>
          <w:color w:val="auto"/>
          <w:sz w:val="24"/>
          <w:szCs w:val="24"/>
        </w:rPr>
        <w:t>名称(乙方)：</w:t>
      </w:r>
      <w:r>
        <w:rPr>
          <w:rFonts w:hint="eastAsia"/>
          <w:color w:val="auto"/>
          <w:sz w:val="24"/>
          <w:szCs w:val="24"/>
          <w:u w:val="single"/>
        </w:rPr>
        <w:t xml:space="preserve">                </w:t>
      </w:r>
      <w:r>
        <w:rPr>
          <w:rFonts w:hint="eastAsia"/>
          <w:color w:val="auto"/>
          <w:sz w:val="24"/>
          <w:szCs w:val="24"/>
          <w:u w:val="single"/>
          <w:lang w:val="en-US" w:eastAsia="zh-CN"/>
        </w:rPr>
        <w:t xml:space="preserve">        </w:t>
      </w:r>
      <w:r>
        <w:rPr>
          <w:rFonts w:hint="eastAsia"/>
          <w:color w:val="auto"/>
          <w:sz w:val="24"/>
          <w:szCs w:val="24"/>
          <w:u w:val="single"/>
        </w:rPr>
        <w:t xml:space="preserve">  </w:t>
      </w:r>
    </w:p>
    <w:p w14:paraId="03200E67">
      <w:pPr>
        <w:pStyle w:val="10"/>
        <w:keepNext w:val="0"/>
        <w:keepLines w:val="0"/>
        <w:pageBreakBefore w:val="0"/>
        <w:widowControl w:val="0"/>
        <w:kinsoku/>
        <w:wordWrap w:val="0"/>
        <w:overflowPunct/>
        <w:topLinePunct/>
        <w:autoSpaceDE/>
        <w:autoSpaceDN/>
        <w:bidi w:val="0"/>
        <w:adjustRightInd w:val="0"/>
        <w:snapToGrid w:val="0"/>
        <w:spacing w:line="520" w:lineRule="exact"/>
        <w:ind w:firstLine="482" w:firstLineChars="200"/>
        <w:textAlignment w:val="auto"/>
        <w:rPr>
          <w:rFonts w:hint="default"/>
          <w:b/>
          <w:bCs/>
          <w:color w:val="auto"/>
          <w:sz w:val="24"/>
          <w:szCs w:val="24"/>
          <w:highlight w:val="none"/>
          <w:u w:val="none"/>
          <w:lang w:val="en-US" w:eastAsia="zh-CN"/>
        </w:rPr>
      </w:pPr>
      <w:r>
        <w:rPr>
          <w:rFonts w:hint="eastAsia"/>
          <w:b/>
          <w:bCs/>
          <w:color w:val="auto"/>
          <w:sz w:val="24"/>
          <w:szCs w:val="24"/>
          <w:highlight w:val="none"/>
          <w:u w:val="none"/>
          <w:lang w:val="en-US" w:eastAsia="zh-CN"/>
        </w:rPr>
        <w:t>合同类型：</w:t>
      </w:r>
      <w:r>
        <w:rPr>
          <w:rFonts w:hint="eastAsia"/>
          <w:b/>
          <w:bCs/>
          <w:color w:val="auto"/>
          <w:sz w:val="24"/>
          <w:szCs w:val="24"/>
          <w:highlight w:val="none"/>
          <w:u w:val="single"/>
          <w:lang w:val="en-US" w:eastAsia="zh-CN"/>
        </w:rPr>
        <w:t>买卖</w:t>
      </w:r>
      <w:r>
        <w:rPr>
          <w:rFonts w:hint="eastAsia"/>
          <w:b/>
          <w:bCs/>
          <w:color w:val="auto"/>
          <w:sz w:val="24"/>
          <w:szCs w:val="24"/>
          <w:highlight w:val="none"/>
          <w:u w:val="none"/>
          <w:lang w:val="en-US" w:eastAsia="zh-CN"/>
        </w:rPr>
        <w:t>合同</w:t>
      </w:r>
    </w:p>
    <w:p w14:paraId="1A523AA9">
      <w:pPr>
        <w:pStyle w:val="10"/>
        <w:pageBreakBefore w:val="0"/>
        <w:kinsoku/>
        <w:overflowPunct/>
        <w:autoSpaceDE/>
        <w:autoSpaceDN/>
        <w:bidi w:val="0"/>
        <w:spacing w:line="520" w:lineRule="exact"/>
        <w:textAlignment w:val="auto"/>
        <w:rPr>
          <w:rFonts w:hint="eastAsia"/>
          <w:color w:val="auto"/>
        </w:rPr>
      </w:pPr>
    </w:p>
    <w:p w14:paraId="5B2DAD97">
      <w:pPr>
        <w:pStyle w:val="10"/>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eastAsia"/>
          <w:lang w:val="en-US" w:eastAsia="zh-CN"/>
        </w:rPr>
      </w:pPr>
      <w:r>
        <w:rPr>
          <w:rFonts w:hint="eastAsia"/>
          <w:lang w:val="en-US" w:eastAsia="zh-CN"/>
        </w:rPr>
        <w:t>根据《中华人民共和国民法典》《中华人民共和国政府采购法》《中华人民共和国政府采购法实施条例》(国务院令第658号)</w:t>
      </w:r>
      <w:r>
        <w:rPr>
          <w:rFonts w:hint="eastAsia"/>
        </w:rPr>
        <w:t>《政府采购</w:t>
      </w:r>
      <w:r>
        <w:rPr>
          <w:rFonts w:hint="eastAsia"/>
          <w:lang w:val="en-US" w:eastAsia="zh-CN"/>
        </w:rPr>
        <w:t>非招标采购</w:t>
      </w:r>
      <w:r>
        <w:rPr>
          <w:rFonts w:hint="eastAsia"/>
        </w:rPr>
        <w:t>方式管理办法》</w:t>
      </w:r>
      <w:r>
        <w:rPr>
          <w:rFonts w:hint="eastAsia"/>
          <w:color w:val="auto"/>
          <w:lang w:val="en-US" w:eastAsia="zh-CN"/>
        </w:rPr>
        <w:t>及</w:t>
      </w:r>
      <w:r>
        <w:rPr>
          <w:rFonts w:hint="eastAsia"/>
          <w:color w:val="auto"/>
          <w:lang w:eastAsia="zh-CN"/>
        </w:rPr>
        <w:t>(</w:t>
      </w:r>
      <w:r>
        <w:rPr>
          <w:rFonts w:hint="eastAsia" w:ascii="宋体" w:hAnsi="宋体" w:eastAsia="宋体" w:cs="宋体"/>
          <w:i w:val="0"/>
          <w:iCs w:val="0"/>
          <w:caps w:val="0"/>
          <w:color w:val="auto"/>
          <w:spacing w:val="0"/>
          <w:sz w:val="24"/>
          <w:szCs w:val="24"/>
          <w:shd w:val="clear" w:color="auto" w:fill="FFFFFF"/>
        </w:rPr>
        <w:t>雅安市名山区人民医院救护车采购项目</w:t>
      </w:r>
      <w:r>
        <w:rPr>
          <w:rFonts w:hint="eastAsia"/>
          <w:color w:val="auto"/>
          <w:lang w:eastAsia="zh-CN"/>
        </w:rPr>
        <w:t>)</w:t>
      </w:r>
      <w:r>
        <w:rPr>
          <w:rFonts w:hint="eastAsia"/>
          <w:lang w:val="en-US" w:eastAsia="zh-CN"/>
        </w:rPr>
        <w:t>、项</w:t>
      </w:r>
      <w:r>
        <w:rPr>
          <w:rFonts w:hint="eastAsia"/>
          <w:color w:val="auto"/>
          <w:lang w:val="en-US" w:eastAsia="zh-CN"/>
        </w:rPr>
        <w:t>目编号：(采购项目的编号)的《</w:t>
      </w:r>
      <w:r>
        <w:rPr>
          <w:rFonts w:hint="eastAsia"/>
          <w:lang w:val="en-US" w:eastAsia="zh-CN"/>
        </w:rPr>
        <w:t>谈判文件》、乙方的《响应文件》及《成交通知书》，甲、乙双方同意签订本合同。详细技术说明及其他有关合同项目的特定信息由合同附件予以说明，合同附件及本项目的谈判文件、响应文件、《成交通知书》等均为本合同不可分割的部分。双方同意共同遵守如下条款：</w:t>
      </w:r>
    </w:p>
    <w:p w14:paraId="06A52FFE">
      <w:pPr>
        <w:pStyle w:val="10"/>
        <w:keepNext w:val="0"/>
        <w:keepLines w:val="0"/>
        <w:pageBreakBefore w:val="0"/>
        <w:widowControl w:val="0"/>
        <w:kinsoku/>
        <w:wordWrap w:val="0"/>
        <w:overflowPunct/>
        <w:topLinePunct/>
        <w:autoSpaceDE/>
        <w:autoSpaceDN/>
        <w:bidi w:val="0"/>
        <w:adjustRightInd w:val="0"/>
        <w:snapToGrid w:val="0"/>
        <w:spacing w:line="520" w:lineRule="exact"/>
        <w:ind w:firstLine="480" w:firstLineChars="200"/>
        <w:textAlignment w:val="auto"/>
        <w:rPr>
          <w:rFonts w:hint="eastAsia"/>
          <w:lang w:val="en-US" w:eastAsia="zh-CN"/>
        </w:rPr>
      </w:pPr>
    </w:p>
    <w:p w14:paraId="21C4FF29">
      <w:pPr>
        <w:pStyle w:val="11"/>
        <w:bidi w:val="0"/>
        <w:rPr>
          <w:rFonts w:hint="eastAsia"/>
        </w:rPr>
      </w:pPr>
      <w:bookmarkStart w:id="0" w:name="_Toc1367"/>
      <w:bookmarkStart w:id="1" w:name="_Toc10567"/>
      <w:bookmarkStart w:id="2" w:name="_Toc90"/>
      <w:bookmarkStart w:id="3" w:name="_Toc10095"/>
      <w:r>
        <w:rPr>
          <w:rFonts w:hint="eastAsia"/>
          <w:lang w:eastAsia="zh-CN"/>
        </w:rPr>
        <w:t>合同货物</w:t>
      </w:r>
      <w:bookmarkEnd w:id="0"/>
      <w:bookmarkEnd w:id="1"/>
      <w:bookmarkEnd w:id="2"/>
      <w:bookmarkEnd w:id="3"/>
    </w:p>
    <w:tbl>
      <w:tblPr>
        <w:tblStyle w:val="6"/>
        <w:tblW w:w="9422" w:type="dxa"/>
        <w:tblInd w:w="2"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76"/>
        <w:gridCol w:w="1320"/>
        <w:gridCol w:w="1020"/>
        <w:gridCol w:w="885"/>
        <w:gridCol w:w="960"/>
        <w:gridCol w:w="1050"/>
        <w:gridCol w:w="885"/>
        <w:gridCol w:w="900"/>
        <w:gridCol w:w="825"/>
        <w:gridCol w:w="801"/>
      </w:tblGrid>
      <w:tr w14:paraId="28A04C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3" w:hRule="atLeast"/>
        </w:trPr>
        <w:tc>
          <w:tcPr>
            <w:tcW w:w="776" w:type="dxa"/>
            <w:tcBorders>
              <w:top w:val="single" w:color="auto" w:sz="4" w:space="0"/>
              <w:bottom w:val="single" w:color="auto" w:sz="4" w:space="0"/>
              <w:right w:val="single" w:color="auto" w:sz="4" w:space="0"/>
            </w:tcBorders>
            <w:noWrap w:val="0"/>
            <w:vAlign w:val="center"/>
          </w:tcPr>
          <w:p w14:paraId="17288A06">
            <w:pPr>
              <w:keepNext w:val="0"/>
              <w:keepLines w:val="0"/>
              <w:pageBreakBefore w:val="0"/>
              <w:widowControl w:val="0"/>
              <w:kinsoku/>
              <w:wordWrap w:val="0"/>
              <w:overflowPunct/>
              <w:topLinePunct/>
              <w:autoSpaceDE/>
              <w:autoSpaceDN/>
              <w:bidi w:val="0"/>
              <w:adjustRightInd w:val="0"/>
              <w:snapToGrid w:val="0"/>
              <w:spacing w:line="360" w:lineRule="exact"/>
              <w:jc w:val="center"/>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序号</w:t>
            </w:r>
          </w:p>
        </w:tc>
        <w:tc>
          <w:tcPr>
            <w:tcW w:w="1320" w:type="dxa"/>
            <w:tcBorders>
              <w:top w:val="single" w:color="auto" w:sz="4" w:space="0"/>
              <w:bottom w:val="single" w:color="auto" w:sz="4" w:space="0"/>
              <w:right w:val="single" w:color="auto" w:sz="4" w:space="0"/>
            </w:tcBorders>
            <w:noWrap w:val="0"/>
            <w:vAlign w:val="center"/>
          </w:tcPr>
          <w:p w14:paraId="46C256E7">
            <w:pPr>
              <w:keepNext w:val="0"/>
              <w:keepLines w:val="0"/>
              <w:pageBreakBefore w:val="0"/>
              <w:widowControl w:val="0"/>
              <w:kinsoku/>
              <w:wordWrap w:val="0"/>
              <w:overflowPunct/>
              <w:topLinePunct/>
              <w:autoSpaceDE/>
              <w:autoSpaceDN/>
              <w:bidi w:val="0"/>
              <w:adjustRightInd w:val="0"/>
              <w:snapToGrid w:val="0"/>
              <w:spacing w:line="360" w:lineRule="exact"/>
              <w:ind w:firstLine="0" w:firstLineChars="0"/>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货物品名</w:t>
            </w:r>
          </w:p>
        </w:tc>
        <w:tc>
          <w:tcPr>
            <w:tcW w:w="1020" w:type="dxa"/>
            <w:tcBorders>
              <w:top w:val="single" w:color="auto" w:sz="4" w:space="0"/>
              <w:left w:val="single" w:color="auto" w:sz="4" w:space="0"/>
              <w:bottom w:val="single" w:color="auto" w:sz="4" w:space="0"/>
              <w:right w:val="single" w:color="auto" w:sz="4" w:space="0"/>
            </w:tcBorders>
            <w:noWrap w:val="0"/>
            <w:vAlign w:val="center"/>
          </w:tcPr>
          <w:p w14:paraId="29384A02">
            <w:pPr>
              <w:keepNext w:val="0"/>
              <w:keepLines w:val="0"/>
              <w:pageBreakBefore w:val="0"/>
              <w:widowControl w:val="0"/>
              <w:tabs>
                <w:tab w:val="left" w:pos="318"/>
              </w:tabs>
              <w:kinsoku/>
              <w:wordWrap w:val="0"/>
              <w:overflowPunct/>
              <w:topLinePunct/>
              <w:autoSpaceDE/>
              <w:autoSpaceDN/>
              <w:bidi w:val="0"/>
              <w:adjustRightInd w:val="0"/>
              <w:snapToGrid w:val="0"/>
              <w:spacing w:line="360" w:lineRule="exact"/>
              <w:jc w:val="left"/>
              <w:textAlignment w:val="auto"/>
              <w:rPr>
                <w:rFonts w:hint="default" w:ascii="宋体" w:hAnsi="宋体" w:eastAsia="宋体" w:cs="宋体"/>
                <w:b/>
                <w:bCs/>
                <w:sz w:val="21"/>
                <w:szCs w:val="21"/>
                <w:lang w:val="en-US" w:eastAsia="zh-CN"/>
              </w:rPr>
            </w:pPr>
            <w:r>
              <w:rPr>
                <w:rFonts w:hint="eastAsia" w:ascii="宋体" w:hAnsi="宋体" w:eastAsia="宋体" w:cs="宋体"/>
                <w:b/>
                <w:bCs/>
                <w:sz w:val="21"/>
                <w:szCs w:val="21"/>
                <w:lang w:eastAsia="zh-CN"/>
              </w:rPr>
              <w:tab/>
            </w:r>
            <w:r>
              <w:rPr>
                <w:rFonts w:hint="eastAsia" w:ascii="宋体" w:hAnsi="宋体" w:eastAsia="宋体" w:cs="宋体"/>
                <w:b/>
                <w:bCs/>
                <w:color w:val="auto"/>
                <w:sz w:val="21"/>
                <w:szCs w:val="21"/>
                <w:highlight w:val="none"/>
                <w:lang w:val="en-US" w:eastAsia="zh-CN"/>
              </w:rPr>
              <w:t>品牌</w:t>
            </w:r>
          </w:p>
        </w:tc>
        <w:tc>
          <w:tcPr>
            <w:tcW w:w="885" w:type="dxa"/>
            <w:tcBorders>
              <w:top w:val="single" w:color="auto" w:sz="4" w:space="0"/>
              <w:left w:val="single" w:color="auto" w:sz="4" w:space="0"/>
              <w:bottom w:val="single" w:color="auto" w:sz="4" w:space="0"/>
              <w:right w:val="single" w:color="auto" w:sz="4" w:space="0"/>
            </w:tcBorders>
            <w:noWrap w:val="0"/>
            <w:vAlign w:val="center"/>
          </w:tcPr>
          <w:p w14:paraId="116D89CD">
            <w:pPr>
              <w:keepNext w:val="0"/>
              <w:keepLines w:val="0"/>
              <w:pageBreakBefore w:val="0"/>
              <w:widowControl w:val="0"/>
              <w:kinsoku/>
              <w:wordWrap w:val="0"/>
              <w:overflowPunct/>
              <w:topLinePunct/>
              <w:autoSpaceDE/>
              <w:autoSpaceDN/>
              <w:bidi w:val="0"/>
              <w:adjustRightInd w:val="0"/>
              <w:snapToGrid w:val="0"/>
              <w:spacing w:line="360" w:lineRule="exact"/>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规格</w:t>
            </w:r>
          </w:p>
          <w:p w14:paraId="362DCDAA">
            <w:pPr>
              <w:keepNext w:val="0"/>
              <w:keepLines w:val="0"/>
              <w:pageBreakBefore w:val="0"/>
              <w:widowControl w:val="0"/>
              <w:kinsoku/>
              <w:wordWrap w:val="0"/>
              <w:overflowPunct/>
              <w:topLinePunct/>
              <w:autoSpaceDE/>
              <w:autoSpaceDN/>
              <w:bidi w:val="0"/>
              <w:adjustRightInd w:val="0"/>
              <w:snapToGrid w:val="0"/>
              <w:spacing w:line="360" w:lineRule="exact"/>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型号</w:t>
            </w:r>
          </w:p>
        </w:tc>
        <w:tc>
          <w:tcPr>
            <w:tcW w:w="960" w:type="dxa"/>
            <w:tcBorders>
              <w:top w:val="single" w:color="auto" w:sz="4" w:space="0"/>
              <w:left w:val="single" w:color="auto" w:sz="4" w:space="0"/>
              <w:bottom w:val="single" w:color="auto" w:sz="4" w:space="0"/>
              <w:right w:val="single" w:color="auto" w:sz="4" w:space="0"/>
            </w:tcBorders>
            <w:noWrap w:val="0"/>
            <w:vAlign w:val="center"/>
          </w:tcPr>
          <w:p w14:paraId="6F3633D4">
            <w:pPr>
              <w:keepNext w:val="0"/>
              <w:keepLines w:val="0"/>
              <w:pageBreakBefore w:val="0"/>
              <w:widowControl w:val="0"/>
              <w:kinsoku/>
              <w:wordWrap w:val="0"/>
              <w:overflowPunct/>
              <w:topLinePunct/>
              <w:autoSpaceDE/>
              <w:autoSpaceDN/>
              <w:bidi w:val="0"/>
              <w:adjustRightInd w:val="0"/>
              <w:snapToGrid w:val="0"/>
              <w:spacing w:line="360" w:lineRule="exact"/>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单位</w:t>
            </w:r>
          </w:p>
        </w:tc>
        <w:tc>
          <w:tcPr>
            <w:tcW w:w="1050" w:type="dxa"/>
            <w:tcBorders>
              <w:top w:val="single" w:color="auto" w:sz="4" w:space="0"/>
              <w:left w:val="single" w:color="auto" w:sz="4" w:space="0"/>
              <w:bottom w:val="single" w:color="auto" w:sz="4" w:space="0"/>
              <w:right w:val="single" w:color="auto" w:sz="4" w:space="0"/>
            </w:tcBorders>
            <w:noWrap w:val="0"/>
            <w:vAlign w:val="center"/>
          </w:tcPr>
          <w:p w14:paraId="01F4C9DE">
            <w:pPr>
              <w:keepNext w:val="0"/>
              <w:keepLines w:val="0"/>
              <w:pageBreakBefore w:val="0"/>
              <w:widowControl w:val="0"/>
              <w:kinsoku/>
              <w:wordWrap w:val="0"/>
              <w:overflowPunct/>
              <w:topLinePunct/>
              <w:autoSpaceDE/>
              <w:autoSpaceDN/>
              <w:bidi w:val="0"/>
              <w:adjustRightInd w:val="0"/>
              <w:snapToGrid w:val="0"/>
              <w:spacing w:line="360" w:lineRule="exact"/>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数量</w:t>
            </w:r>
          </w:p>
        </w:tc>
        <w:tc>
          <w:tcPr>
            <w:tcW w:w="885" w:type="dxa"/>
            <w:tcBorders>
              <w:top w:val="single" w:color="auto" w:sz="4" w:space="0"/>
              <w:left w:val="single" w:color="auto" w:sz="4" w:space="0"/>
              <w:bottom w:val="single" w:color="auto" w:sz="4" w:space="0"/>
              <w:right w:val="single" w:color="auto" w:sz="4" w:space="0"/>
            </w:tcBorders>
            <w:noWrap w:val="0"/>
            <w:vAlign w:val="center"/>
          </w:tcPr>
          <w:p w14:paraId="121F9F9A">
            <w:pPr>
              <w:keepNext w:val="0"/>
              <w:keepLines w:val="0"/>
              <w:pageBreakBefore w:val="0"/>
              <w:widowControl w:val="0"/>
              <w:kinsoku/>
              <w:wordWrap w:val="0"/>
              <w:overflowPunct/>
              <w:topLinePunct/>
              <w:autoSpaceDE/>
              <w:autoSpaceDN/>
              <w:bidi w:val="0"/>
              <w:adjustRightInd w:val="0"/>
              <w:snapToGrid w:val="0"/>
              <w:spacing w:line="360" w:lineRule="exact"/>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单价</w:t>
            </w:r>
          </w:p>
          <w:p w14:paraId="1ADD881B">
            <w:pPr>
              <w:keepNext w:val="0"/>
              <w:keepLines w:val="0"/>
              <w:pageBreakBefore w:val="0"/>
              <w:widowControl w:val="0"/>
              <w:kinsoku/>
              <w:wordWrap w:val="0"/>
              <w:overflowPunct/>
              <w:topLinePunct/>
              <w:autoSpaceDE/>
              <w:autoSpaceDN/>
              <w:bidi w:val="0"/>
              <w:adjustRightInd w:val="0"/>
              <w:snapToGrid w:val="0"/>
              <w:spacing w:line="360" w:lineRule="exact"/>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(元)</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398F6ECA">
            <w:pPr>
              <w:keepNext w:val="0"/>
              <w:keepLines w:val="0"/>
              <w:pageBreakBefore w:val="0"/>
              <w:widowControl w:val="0"/>
              <w:kinsoku/>
              <w:wordWrap w:val="0"/>
              <w:overflowPunct/>
              <w:topLinePunct/>
              <w:autoSpaceDE/>
              <w:autoSpaceDN/>
              <w:bidi w:val="0"/>
              <w:adjustRightInd w:val="0"/>
              <w:snapToGrid w:val="0"/>
              <w:spacing w:line="360" w:lineRule="exact"/>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总价</w:t>
            </w:r>
          </w:p>
          <w:p w14:paraId="6EC19484">
            <w:pPr>
              <w:keepNext w:val="0"/>
              <w:keepLines w:val="0"/>
              <w:pageBreakBefore w:val="0"/>
              <w:widowControl w:val="0"/>
              <w:kinsoku/>
              <w:wordWrap w:val="0"/>
              <w:overflowPunct/>
              <w:topLinePunct/>
              <w:autoSpaceDE/>
              <w:autoSpaceDN/>
              <w:bidi w:val="0"/>
              <w:adjustRightInd w:val="0"/>
              <w:snapToGrid w:val="0"/>
              <w:spacing w:line="360" w:lineRule="exact"/>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(元)</w:t>
            </w:r>
          </w:p>
        </w:tc>
        <w:tc>
          <w:tcPr>
            <w:tcW w:w="825" w:type="dxa"/>
            <w:tcBorders>
              <w:top w:val="single" w:color="auto" w:sz="4" w:space="0"/>
              <w:left w:val="single" w:color="auto" w:sz="4" w:space="0"/>
              <w:bottom w:val="single" w:color="auto" w:sz="4" w:space="0"/>
              <w:right w:val="single" w:color="auto" w:sz="4" w:space="0"/>
            </w:tcBorders>
            <w:noWrap w:val="0"/>
            <w:vAlign w:val="center"/>
          </w:tcPr>
          <w:p w14:paraId="4BF936D1">
            <w:pPr>
              <w:keepNext w:val="0"/>
              <w:keepLines w:val="0"/>
              <w:pageBreakBefore w:val="0"/>
              <w:widowControl w:val="0"/>
              <w:kinsoku/>
              <w:wordWrap w:val="0"/>
              <w:overflowPunct/>
              <w:topLinePunct/>
              <w:autoSpaceDE/>
              <w:autoSpaceDN/>
              <w:bidi w:val="0"/>
              <w:adjustRightInd w:val="0"/>
              <w:snapToGrid w:val="0"/>
              <w:spacing w:line="360" w:lineRule="exact"/>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随机</w:t>
            </w:r>
          </w:p>
          <w:p w14:paraId="765D17A1">
            <w:pPr>
              <w:keepNext w:val="0"/>
              <w:keepLines w:val="0"/>
              <w:pageBreakBefore w:val="0"/>
              <w:widowControl w:val="0"/>
              <w:kinsoku/>
              <w:wordWrap w:val="0"/>
              <w:overflowPunct/>
              <w:topLinePunct/>
              <w:autoSpaceDE/>
              <w:autoSpaceDN/>
              <w:bidi w:val="0"/>
              <w:adjustRightInd w:val="0"/>
              <w:snapToGrid w:val="0"/>
              <w:spacing w:line="360" w:lineRule="exact"/>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配件</w:t>
            </w:r>
          </w:p>
        </w:tc>
        <w:tc>
          <w:tcPr>
            <w:tcW w:w="801" w:type="dxa"/>
            <w:tcBorders>
              <w:top w:val="single" w:color="auto" w:sz="4" w:space="0"/>
              <w:left w:val="single" w:color="auto" w:sz="4" w:space="0"/>
              <w:bottom w:val="single" w:color="auto" w:sz="4" w:space="0"/>
            </w:tcBorders>
            <w:noWrap w:val="0"/>
            <w:vAlign w:val="center"/>
          </w:tcPr>
          <w:p w14:paraId="2604F963">
            <w:pPr>
              <w:keepNext w:val="0"/>
              <w:keepLines w:val="0"/>
              <w:pageBreakBefore w:val="0"/>
              <w:widowControl w:val="0"/>
              <w:kinsoku/>
              <w:wordWrap w:val="0"/>
              <w:overflowPunct/>
              <w:topLinePunct/>
              <w:autoSpaceDE/>
              <w:autoSpaceDN/>
              <w:bidi w:val="0"/>
              <w:adjustRightInd w:val="0"/>
              <w:snapToGrid w:val="0"/>
              <w:spacing w:line="360" w:lineRule="exact"/>
              <w:jc w:val="center"/>
              <w:textAlignment w:val="auto"/>
              <w:rPr>
                <w:rFonts w:hint="default" w:ascii="宋体" w:hAnsi="宋体" w:eastAsia="宋体" w:cs="宋体"/>
                <w:b/>
                <w:bCs/>
                <w:sz w:val="21"/>
                <w:szCs w:val="21"/>
                <w:lang w:val="en-US" w:eastAsia="zh-CN"/>
              </w:rPr>
            </w:pPr>
            <w:r>
              <w:rPr>
                <w:rFonts w:hint="eastAsia" w:ascii="宋体" w:hAnsi="宋体" w:eastAsia="宋体" w:cs="宋体"/>
                <w:b/>
                <w:bCs/>
                <w:sz w:val="21"/>
                <w:szCs w:val="21"/>
                <w:lang w:val="en-US" w:eastAsia="zh-CN"/>
              </w:rPr>
              <w:t>履约时间</w:t>
            </w:r>
          </w:p>
        </w:tc>
      </w:tr>
      <w:tr w14:paraId="66CEBA9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39" w:hRule="atLeast"/>
        </w:trPr>
        <w:tc>
          <w:tcPr>
            <w:tcW w:w="776" w:type="dxa"/>
            <w:tcBorders>
              <w:top w:val="single" w:color="auto" w:sz="4" w:space="0"/>
              <w:bottom w:val="single" w:color="auto" w:sz="4" w:space="0"/>
              <w:right w:val="single" w:color="auto" w:sz="4" w:space="0"/>
            </w:tcBorders>
            <w:noWrap w:val="0"/>
            <w:vAlign w:val="center"/>
          </w:tcPr>
          <w:p w14:paraId="206A6484">
            <w:pPr>
              <w:keepNext w:val="0"/>
              <w:keepLines w:val="0"/>
              <w:pageBreakBefore w:val="0"/>
              <w:widowControl w:val="0"/>
              <w:kinsoku/>
              <w:wordWrap w:val="0"/>
              <w:overflowPunct/>
              <w:topLinePunct/>
              <w:autoSpaceDE/>
              <w:autoSpaceDN/>
              <w:bidi w:val="0"/>
              <w:adjustRightInd w:val="0"/>
              <w:snapToGrid w:val="0"/>
              <w:spacing w:line="360" w:lineRule="exact"/>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p>
        </w:tc>
        <w:tc>
          <w:tcPr>
            <w:tcW w:w="1320" w:type="dxa"/>
            <w:tcBorders>
              <w:top w:val="single" w:color="auto" w:sz="4" w:space="0"/>
              <w:bottom w:val="single" w:color="auto" w:sz="4" w:space="0"/>
              <w:right w:val="single" w:color="auto" w:sz="4" w:space="0"/>
            </w:tcBorders>
            <w:noWrap w:val="0"/>
            <w:vAlign w:val="center"/>
          </w:tcPr>
          <w:p w14:paraId="4F17014D">
            <w:pPr>
              <w:keepNext w:val="0"/>
              <w:keepLines w:val="0"/>
              <w:pageBreakBefore w:val="0"/>
              <w:widowControl w:val="0"/>
              <w:kinsoku/>
              <w:wordWrap w:val="0"/>
              <w:overflowPunct/>
              <w:topLinePunct/>
              <w:autoSpaceDE/>
              <w:autoSpaceDN/>
              <w:bidi w:val="0"/>
              <w:adjustRightInd w:val="0"/>
              <w:snapToGrid w:val="0"/>
              <w:spacing w:line="360" w:lineRule="exact"/>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救护车</w:t>
            </w:r>
          </w:p>
        </w:tc>
        <w:tc>
          <w:tcPr>
            <w:tcW w:w="1020" w:type="dxa"/>
            <w:tcBorders>
              <w:top w:val="single" w:color="auto" w:sz="4" w:space="0"/>
              <w:left w:val="single" w:color="auto" w:sz="4" w:space="0"/>
              <w:bottom w:val="single" w:color="auto" w:sz="4" w:space="0"/>
              <w:right w:val="single" w:color="auto" w:sz="4" w:space="0"/>
            </w:tcBorders>
            <w:noWrap w:val="0"/>
            <w:vAlign w:val="center"/>
          </w:tcPr>
          <w:p w14:paraId="707A8C0A">
            <w:pPr>
              <w:keepNext w:val="0"/>
              <w:keepLines w:val="0"/>
              <w:pageBreakBefore w:val="0"/>
              <w:widowControl w:val="0"/>
              <w:kinsoku/>
              <w:wordWrap w:val="0"/>
              <w:overflowPunct/>
              <w:topLinePunct/>
              <w:autoSpaceDE/>
              <w:autoSpaceDN/>
              <w:bidi w:val="0"/>
              <w:adjustRightInd w:val="0"/>
              <w:snapToGrid w:val="0"/>
              <w:spacing w:line="360" w:lineRule="exact"/>
              <w:jc w:val="center"/>
              <w:textAlignment w:val="auto"/>
              <w:rPr>
                <w:rFonts w:hint="eastAsia" w:ascii="宋体" w:hAnsi="宋体" w:eastAsia="宋体" w:cs="宋体"/>
                <w:sz w:val="21"/>
                <w:szCs w:val="21"/>
              </w:rPr>
            </w:pPr>
          </w:p>
        </w:tc>
        <w:tc>
          <w:tcPr>
            <w:tcW w:w="885" w:type="dxa"/>
            <w:tcBorders>
              <w:top w:val="single" w:color="auto" w:sz="4" w:space="0"/>
              <w:left w:val="single" w:color="auto" w:sz="4" w:space="0"/>
              <w:bottom w:val="single" w:color="auto" w:sz="4" w:space="0"/>
              <w:right w:val="single" w:color="auto" w:sz="4" w:space="0"/>
            </w:tcBorders>
            <w:noWrap w:val="0"/>
            <w:vAlign w:val="center"/>
          </w:tcPr>
          <w:p w14:paraId="04A0B4E1">
            <w:pPr>
              <w:keepNext w:val="0"/>
              <w:keepLines w:val="0"/>
              <w:pageBreakBefore w:val="0"/>
              <w:widowControl w:val="0"/>
              <w:kinsoku/>
              <w:wordWrap w:val="0"/>
              <w:overflowPunct/>
              <w:topLinePunct/>
              <w:autoSpaceDE/>
              <w:autoSpaceDN/>
              <w:bidi w:val="0"/>
              <w:adjustRightInd w:val="0"/>
              <w:snapToGrid w:val="0"/>
              <w:spacing w:line="360" w:lineRule="exact"/>
              <w:jc w:val="center"/>
              <w:textAlignment w:val="auto"/>
              <w:rPr>
                <w:rFonts w:hint="eastAsia" w:ascii="宋体" w:hAnsi="宋体" w:eastAsia="宋体" w:cs="宋体"/>
                <w:sz w:val="21"/>
                <w:szCs w:val="21"/>
              </w:rPr>
            </w:pPr>
          </w:p>
        </w:tc>
        <w:tc>
          <w:tcPr>
            <w:tcW w:w="960" w:type="dxa"/>
            <w:tcBorders>
              <w:top w:val="single" w:color="auto" w:sz="4" w:space="0"/>
              <w:left w:val="single" w:color="auto" w:sz="4" w:space="0"/>
              <w:bottom w:val="single" w:color="auto" w:sz="4" w:space="0"/>
              <w:right w:val="single" w:color="auto" w:sz="4" w:space="0"/>
            </w:tcBorders>
            <w:noWrap w:val="0"/>
            <w:vAlign w:val="center"/>
          </w:tcPr>
          <w:p w14:paraId="49C1F2EA">
            <w:pPr>
              <w:keepNext w:val="0"/>
              <w:keepLines w:val="0"/>
              <w:pageBreakBefore w:val="0"/>
              <w:widowControl w:val="0"/>
              <w:kinsoku/>
              <w:wordWrap w:val="0"/>
              <w:overflowPunct/>
              <w:topLinePunct/>
              <w:autoSpaceDE/>
              <w:autoSpaceDN/>
              <w:bidi w:val="0"/>
              <w:adjustRightInd w:val="0"/>
              <w:snapToGrid w:val="0"/>
              <w:spacing w:line="3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辆</w:t>
            </w:r>
          </w:p>
        </w:tc>
        <w:tc>
          <w:tcPr>
            <w:tcW w:w="1050" w:type="dxa"/>
            <w:tcBorders>
              <w:top w:val="single" w:color="auto" w:sz="4" w:space="0"/>
              <w:left w:val="single" w:color="auto" w:sz="4" w:space="0"/>
              <w:bottom w:val="single" w:color="auto" w:sz="4" w:space="0"/>
              <w:right w:val="single" w:color="auto" w:sz="4" w:space="0"/>
            </w:tcBorders>
            <w:noWrap w:val="0"/>
            <w:vAlign w:val="center"/>
          </w:tcPr>
          <w:p w14:paraId="3250478C">
            <w:pPr>
              <w:keepNext w:val="0"/>
              <w:keepLines w:val="0"/>
              <w:pageBreakBefore w:val="0"/>
              <w:widowControl w:val="0"/>
              <w:kinsoku/>
              <w:wordWrap w:val="0"/>
              <w:overflowPunct/>
              <w:topLinePunct/>
              <w:autoSpaceDE/>
              <w:autoSpaceDN/>
              <w:bidi w:val="0"/>
              <w:adjustRightInd w:val="0"/>
              <w:snapToGrid w:val="0"/>
              <w:spacing w:line="360" w:lineRule="exact"/>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p>
        </w:tc>
        <w:tc>
          <w:tcPr>
            <w:tcW w:w="885" w:type="dxa"/>
            <w:tcBorders>
              <w:top w:val="single" w:color="auto" w:sz="4" w:space="0"/>
              <w:left w:val="single" w:color="auto" w:sz="4" w:space="0"/>
              <w:bottom w:val="single" w:color="auto" w:sz="4" w:space="0"/>
              <w:right w:val="single" w:color="auto" w:sz="4" w:space="0"/>
            </w:tcBorders>
            <w:noWrap w:val="0"/>
            <w:vAlign w:val="center"/>
          </w:tcPr>
          <w:p w14:paraId="2232E8DE">
            <w:pPr>
              <w:keepNext w:val="0"/>
              <w:keepLines w:val="0"/>
              <w:pageBreakBefore w:val="0"/>
              <w:widowControl w:val="0"/>
              <w:kinsoku/>
              <w:wordWrap w:val="0"/>
              <w:overflowPunct/>
              <w:topLinePunct/>
              <w:autoSpaceDE/>
              <w:autoSpaceDN/>
              <w:bidi w:val="0"/>
              <w:adjustRightInd w:val="0"/>
              <w:snapToGrid w:val="0"/>
              <w:spacing w:line="360" w:lineRule="exact"/>
              <w:jc w:val="center"/>
              <w:textAlignment w:val="auto"/>
              <w:rPr>
                <w:rFonts w:hint="eastAsia" w:ascii="宋体" w:hAnsi="宋体" w:eastAsia="宋体" w:cs="宋体"/>
                <w:sz w:val="21"/>
                <w:szCs w:val="21"/>
              </w:rPr>
            </w:pPr>
          </w:p>
        </w:tc>
        <w:tc>
          <w:tcPr>
            <w:tcW w:w="900" w:type="dxa"/>
            <w:tcBorders>
              <w:top w:val="single" w:color="auto" w:sz="4" w:space="0"/>
              <w:left w:val="single" w:color="auto" w:sz="4" w:space="0"/>
              <w:bottom w:val="single" w:color="auto" w:sz="4" w:space="0"/>
              <w:right w:val="single" w:color="auto" w:sz="4" w:space="0"/>
            </w:tcBorders>
            <w:noWrap w:val="0"/>
            <w:vAlign w:val="center"/>
          </w:tcPr>
          <w:p w14:paraId="0DABABDD">
            <w:pPr>
              <w:keepNext w:val="0"/>
              <w:keepLines w:val="0"/>
              <w:pageBreakBefore w:val="0"/>
              <w:widowControl w:val="0"/>
              <w:kinsoku/>
              <w:wordWrap w:val="0"/>
              <w:overflowPunct/>
              <w:topLinePunct/>
              <w:autoSpaceDE/>
              <w:autoSpaceDN/>
              <w:bidi w:val="0"/>
              <w:adjustRightInd w:val="0"/>
              <w:snapToGrid w:val="0"/>
              <w:spacing w:line="360" w:lineRule="exact"/>
              <w:jc w:val="center"/>
              <w:textAlignment w:val="auto"/>
              <w:rPr>
                <w:rFonts w:hint="eastAsia" w:ascii="宋体" w:hAnsi="宋体" w:eastAsia="宋体" w:cs="宋体"/>
                <w:sz w:val="21"/>
                <w:szCs w:val="21"/>
              </w:rPr>
            </w:pPr>
          </w:p>
        </w:tc>
        <w:tc>
          <w:tcPr>
            <w:tcW w:w="825" w:type="dxa"/>
            <w:tcBorders>
              <w:top w:val="single" w:color="auto" w:sz="4" w:space="0"/>
              <w:left w:val="single" w:color="auto" w:sz="4" w:space="0"/>
              <w:bottom w:val="single" w:color="auto" w:sz="4" w:space="0"/>
              <w:right w:val="single" w:color="auto" w:sz="4" w:space="0"/>
            </w:tcBorders>
            <w:noWrap w:val="0"/>
            <w:vAlign w:val="center"/>
          </w:tcPr>
          <w:p w14:paraId="6C4BD5DC">
            <w:pPr>
              <w:keepNext w:val="0"/>
              <w:keepLines w:val="0"/>
              <w:pageBreakBefore w:val="0"/>
              <w:widowControl w:val="0"/>
              <w:kinsoku/>
              <w:wordWrap w:val="0"/>
              <w:overflowPunct/>
              <w:topLinePunct/>
              <w:autoSpaceDE/>
              <w:autoSpaceDN/>
              <w:bidi w:val="0"/>
              <w:adjustRightInd w:val="0"/>
              <w:snapToGrid w:val="0"/>
              <w:spacing w:line="360" w:lineRule="exact"/>
              <w:jc w:val="center"/>
              <w:textAlignment w:val="auto"/>
              <w:rPr>
                <w:rFonts w:hint="eastAsia" w:ascii="宋体" w:hAnsi="宋体" w:eastAsia="宋体" w:cs="宋体"/>
                <w:sz w:val="21"/>
                <w:szCs w:val="21"/>
              </w:rPr>
            </w:pPr>
          </w:p>
        </w:tc>
        <w:tc>
          <w:tcPr>
            <w:tcW w:w="801" w:type="dxa"/>
            <w:tcBorders>
              <w:top w:val="single" w:color="auto" w:sz="4" w:space="0"/>
              <w:left w:val="single" w:color="auto" w:sz="4" w:space="0"/>
              <w:bottom w:val="single" w:color="auto" w:sz="4" w:space="0"/>
            </w:tcBorders>
            <w:noWrap w:val="0"/>
            <w:vAlign w:val="center"/>
          </w:tcPr>
          <w:p w14:paraId="0BE0969E">
            <w:pPr>
              <w:keepNext w:val="0"/>
              <w:keepLines w:val="0"/>
              <w:pageBreakBefore w:val="0"/>
              <w:widowControl w:val="0"/>
              <w:kinsoku/>
              <w:wordWrap w:val="0"/>
              <w:overflowPunct/>
              <w:topLinePunct/>
              <w:autoSpaceDE/>
              <w:autoSpaceDN/>
              <w:bidi w:val="0"/>
              <w:adjustRightInd w:val="0"/>
              <w:snapToGrid w:val="0"/>
              <w:spacing w:line="360" w:lineRule="exact"/>
              <w:jc w:val="center"/>
              <w:textAlignment w:val="auto"/>
              <w:rPr>
                <w:rFonts w:hint="eastAsia" w:ascii="宋体" w:hAnsi="宋体" w:eastAsia="宋体" w:cs="宋体"/>
                <w:sz w:val="21"/>
                <w:szCs w:val="21"/>
              </w:rPr>
            </w:pPr>
          </w:p>
        </w:tc>
      </w:tr>
    </w:tbl>
    <w:p w14:paraId="06EA6B7C">
      <w:pPr>
        <w:pStyle w:val="11"/>
        <w:pageBreakBefore w:val="0"/>
        <w:numPr>
          <w:ilvl w:val="0"/>
          <w:numId w:val="0"/>
        </w:numPr>
        <w:kinsoku/>
        <w:overflowPunct/>
        <w:autoSpaceDE/>
        <w:autoSpaceDN/>
        <w:bidi w:val="0"/>
        <w:spacing w:line="520" w:lineRule="exact"/>
        <w:ind w:leftChars="200"/>
        <w:textAlignment w:val="auto"/>
        <w:rPr>
          <w:rFonts w:hint="eastAsia"/>
        </w:rPr>
      </w:pPr>
      <w:bookmarkStart w:id="4" w:name="_Toc28355"/>
      <w:bookmarkStart w:id="5" w:name="_Toc2400"/>
      <w:bookmarkStart w:id="6" w:name="_Toc19975"/>
      <w:bookmarkStart w:id="7" w:name="_Toc17273"/>
    </w:p>
    <w:p w14:paraId="3A233E49">
      <w:pPr>
        <w:pStyle w:val="11"/>
        <w:pageBreakBefore w:val="0"/>
        <w:kinsoku/>
        <w:overflowPunct/>
        <w:autoSpaceDE/>
        <w:autoSpaceDN/>
        <w:bidi w:val="0"/>
        <w:spacing w:line="520" w:lineRule="exact"/>
        <w:textAlignment w:val="auto"/>
        <w:rPr>
          <w:rFonts w:hint="eastAsia"/>
        </w:rPr>
      </w:pPr>
      <w:r>
        <w:rPr>
          <w:rFonts w:hint="eastAsia"/>
        </w:rPr>
        <w:t>标的及合同价款</w:t>
      </w:r>
      <w:bookmarkEnd w:id="4"/>
      <w:bookmarkEnd w:id="5"/>
      <w:bookmarkEnd w:id="6"/>
      <w:bookmarkEnd w:id="7"/>
    </w:p>
    <w:p w14:paraId="098FCEE3">
      <w:pPr>
        <w:pStyle w:val="12"/>
        <w:pageBreakBefore w:val="0"/>
        <w:kinsoku/>
        <w:overflowPunct/>
        <w:autoSpaceDE/>
        <w:autoSpaceDN/>
        <w:bidi w:val="0"/>
        <w:spacing w:line="520" w:lineRule="exact"/>
        <w:textAlignment w:val="auto"/>
        <w:rPr>
          <w:rFonts w:hint="eastAsia"/>
          <w:lang w:val="en-US" w:eastAsia="zh-CN"/>
        </w:rPr>
      </w:pPr>
      <w:r>
        <w:rPr>
          <w:rFonts w:hint="eastAsia"/>
          <w:lang w:val="en-US" w:eastAsia="zh-CN"/>
        </w:rPr>
        <w:t>采购标的为：</w:t>
      </w:r>
      <w:r>
        <w:rPr>
          <w:rFonts w:hint="eastAsia"/>
          <w:u w:val="single"/>
          <w:lang w:val="en-US" w:eastAsia="zh-CN"/>
        </w:rPr>
        <w:t>525000</w:t>
      </w:r>
      <w:r>
        <w:rPr>
          <w:rFonts w:hint="eastAsia"/>
          <w:lang w:val="en-US" w:eastAsia="zh-CN"/>
        </w:rPr>
        <w:t>元。</w:t>
      </w:r>
    </w:p>
    <w:p w14:paraId="4F830C1A">
      <w:pPr>
        <w:keepNext w:val="0"/>
        <w:keepLines w:val="0"/>
        <w:pageBreakBefore w:val="0"/>
        <w:widowControl w:val="0"/>
        <w:numPr>
          <w:ilvl w:val="0"/>
          <w:numId w:val="0"/>
        </w:numPr>
        <w:kinsoku/>
        <w:wordWrap/>
        <w:overflowPunct/>
        <w:topLinePunct w:val="0"/>
        <w:autoSpaceDE/>
        <w:autoSpaceDN/>
        <w:bidi w:val="0"/>
        <w:adjustRightInd w:val="0"/>
        <w:snapToGrid w:val="0"/>
        <w:ind w:firstLine="480" w:firstLineChars="200"/>
        <w:textAlignment w:val="auto"/>
        <w:rPr>
          <w:rFonts w:hint="eastAsia"/>
          <w:highlight w:val="yellow"/>
          <w:lang w:val="en-US" w:eastAsia="zh-CN"/>
        </w:rPr>
      </w:pPr>
      <w:r>
        <w:rPr>
          <w:rFonts w:hint="eastAsia"/>
          <w:lang w:val="en-US" w:eastAsia="zh-CN"/>
        </w:rPr>
        <w:t>合同总价为人民币大写：</w:t>
      </w:r>
      <w:r>
        <w:rPr>
          <w:rFonts w:hint="eastAsia"/>
          <w:u w:val="single"/>
          <w:lang w:val="en-US" w:eastAsia="zh-CN"/>
        </w:rPr>
        <w:t xml:space="preserve">                </w:t>
      </w:r>
      <w:r>
        <w:rPr>
          <w:rFonts w:hint="eastAsia"/>
          <w:lang w:val="en-US" w:eastAsia="zh-CN"/>
        </w:rPr>
        <w:t>元，即RMB￥</w:t>
      </w:r>
      <w:r>
        <w:rPr>
          <w:rFonts w:hint="eastAsia"/>
          <w:u w:val="single"/>
          <w:lang w:val="en-US" w:eastAsia="zh-CN"/>
        </w:rPr>
        <w:t xml:space="preserve">      </w:t>
      </w:r>
      <w:r>
        <w:rPr>
          <w:rFonts w:hint="eastAsia"/>
          <w:highlight w:val="none"/>
          <w:u w:val="single"/>
          <w:lang w:val="en-US" w:eastAsia="zh-CN"/>
        </w:rPr>
        <w:t xml:space="preserve">  </w:t>
      </w:r>
      <w:r>
        <w:rPr>
          <w:rFonts w:hint="eastAsia"/>
          <w:highlight w:val="none"/>
          <w:lang w:val="en-US" w:eastAsia="zh-CN"/>
        </w:rPr>
        <w:t>元；供应商的报价包括但不限于产品设计、生产制造、运输、安装、调试、检验、培训、利润、税金、保险，采购人不再另外支付其它费用（车辆购置税、车辆保险及上户费用除外）。</w:t>
      </w:r>
    </w:p>
    <w:p w14:paraId="3E8E17A2">
      <w:pPr>
        <w:pStyle w:val="12"/>
        <w:pageBreakBefore w:val="0"/>
        <w:kinsoku/>
        <w:overflowPunct/>
        <w:autoSpaceDE/>
        <w:autoSpaceDN/>
        <w:bidi w:val="0"/>
        <w:spacing w:line="520" w:lineRule="exact"/>
        <w:textAlignment w:val="auto"/>
        <w:rPr>
          <w:rFonts w:hint="eastAsia"/>
          <w:lang w:val="en-US" w:eastAsia="zh-CN"/>
        </w:rPr>
      </w:pPr>
      <w:r>
        <w:rPr>
          <w:rFonts w:hint="eastAsia"/>
          <w:highlight w:val="none"/>
          <w:lang w:val="en-US" w:eastAsia="zh-CN"/>
        </w:rPr>
        <w:t>本</w:t>
      </w:r>
      <w:r>
        <w:rPr>
          <w:rFonts w:hint="eastAsia"/>
          <w:lang w:val="en-US" w:eastAsia="zh-CN"/>
        </w:rPr>
        <w:t>合同执行期间合同总价不变，甲方无须另向乙方支付本合同规定之外的其他任何费用：</w:t>
      </w:r>
    </w:p>
    <w:p w14:paraId="7F03E532">
      <w:pPr>
        <w:pStyle w:val="11"/>
        <w:pageBreakBefore w:val="0"/>
        <w:kinsoku/>
        <w:overflowPunct/>
        <w:autoSpaceDE/>
        <w:autoSpaceDN/>
        <w:bidi w:val="0"/>
        <w:spacing w:line="520" w:lineRule="exact"/>
        <w:textAlignment w:val="auto"/>
        <w:rPr>
          <w:rFonts w:hint="eastAsia"/>
        </w:rPr>
      </w:pPr>
      <w:bookmarkStart w:id="8" w:name="_Toc3862"/>
      <w:bookmarkStart w:id="9" w:name="_Toc412"/>
      <w:bookmarkStart w:id="10" w:name="_Toc10380"/>
      <w:bookmarkStart w:id="11" w:name="_Toc22060"/>
      <w:r>
        <w:rPr>
          <w:rFonts w:hint="eastAsia"/>
          <w:lang w:val="en-US" w:eastAsia="zh-CN"/>
        </w:rPr>
        <w:t>质量要求</w:t>
      </w:r>
      <w:bookmarkEnd w:id="8"/>
      <w:bookmarkEnd w:id="9"/>
      <w:bookmarkEnd w:id="10"/>
      <w:bookmarkEnd w:id="11"/>
    </w:p>
    <w:p w14:paraId="56E9620E">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line="520" w:lineRule="exact"/>
        <w:ind w:leftChars="0"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lang w:val="en-US" w:eastAsia="zh-CN"/>
        </w:rPr>
        <w:t>1、乙方须提供全新的货物(含零部件、配件、使用说明书等)，表面无划</w:t>
      </w:r>
      <w:r>
        <w:rPr>
          <w:rFonts w:hint="eastAsia" w:ascii="宋体" w:hAnsi="宋体" w:eastAsia="宋体" w:cs="宋体"/>
          <w:sz w:val="24"/>
          <w:szCs w:val="24"/>
          <w:highlight w:val="none"/>
          <w:lang w:val="en-US" w:eastAsia="zh-CN"/>
        </w:rPr>
        <w:t>伤、无碰撞痕迹，且权属清楚，不得侵害他人的知识产权，不得以次充好</w:t>
      </w:r>
      <w:r>
        <w:rPr>
          <w:rFonts w:hint="eastAsia" w:ascii="宋体" w:cs="宋体"/>
          <w:sz w:val="24"/>
          <w:szCs w:val="24"/>
          <w:highlight w:val="none"/>
          <w:lang w:val="en-US" w:eastAsia="zh-CN"/>
        </w:rPr>
        <w:t>，</w:t>
      </w:r>
      <w:r>
        <w:rPr>
          <w:rFonts w:hint="eastAsia" w:ascii="宋体" w:hAnsi="宋体" w:eastAsia="宋体" w:cs="宋体"/>
          <w:sz w:val="24"/>
          <w:szCs w:val="24"/>
          <w:highlight w:val="none"/>
          <w:lang w:val="en-US" w:eastAsia="zh-CN"/>
        </w:rPr>
        <w:t>产品来源渠道必须合法，同时应根据国家有关规定、甲方的要求做好售后服务工作。</w:t>
      </w:r>
    </w:p>
    <w:p w14:paraId="5A28F319">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line="520" w:lineRule="exact"/>
        <w:ind w:lef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2、乙方</w:t>
      </w:r>
      <w:r>
        <w:rPr>
          <w:rFonts w:hint="eastAsia" w:ascii="宋体" w:hAnsi="宋体" w:cs="宋体"/>
          <w:sz w:val="24"/>
          <w:szCs w:val="24"/>
          <w:lang w:val="en-US" w:eastAsia="zh-CN"/>
        </w:rPr>
        <w:t>提供的</w:t>
      </w:r>
      <w:r>
        <w:rPr>
          <w:rFonts w:hint="eastAsia" w:ascii="宋体" w:hAnsi="宋体" w:eastAsia="宋体" w:cs="宋体"/>
          <w:sz w:val="24"/>
          <w:szCs w:val="24"/>
          <w:lang w:val="en-US" w:eastAsia="zh-CN"/>
        </w:rPr>
        <w:t>产品必须符合或优于国家标准、行业标准、地方标准等标准、规范，以及采购文件的质量要求和技术指标与出厂标准。</w:t>
      </w:r>
    </w:p>
    <w:p w14:paraId="7BC46D2F">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line="520" w:lineRule="exact"/>
        <w:ind w:lef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3、货物制造质量出现问题，乙方应负责三包(包修、包换、包退)，费用由乙方负担。</w:t>
      </w:r>
    </w:p>
    <w:p w14:paraId="1EB62EE9">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line="520" w:lineRule="exact"/>
        <w:ind w:leftChars="0" w:firstLine="480" w:firstLineChars="200"/>
        <w:textAlignment w:val="auto"/>
        <w:rPr>
          <w:rFonts w:hint="eastAsia"/>
          <w:highlight w:val="none"/>
        </w:rPr>
      </w:pPr>
      <w:r>
        <w:rPr>
          <w:rFonts w:hint="eastAsia" w:ascii="宋体" w:hAnsi="宋体" w:eastAsia="宋体" w:cs="宋体"/>
          <w:sz w:val="24"/>
          <w:szCs w:val="24"/>
          <w:lang w:val="en-US" w:eastAsia="zh-CN"/>
        </w:rPr>
        <w:t>4、货到现场</w:t>
      </w:r>
      <w:r>
        <w:rPr>
          <w:rFonts w:hint="eastAsia" w:ascii="宋体" w:hAnsi="宋体" w:cs="宋体"/>
          <w:sz w:val="24"/>
          <w:szCs w:val="24"/>
          <w:lang w:val="en-US" w:eastAsia="zh-CN"/>
        </w:rPr>
        <w:t>交付完成</w:t>
      </w:r>
      <w:r>
        <w:rPr>
          <w:rFonts w:hint="eastAsia" w:ascii="宋体" w:hAnsi="宋体" w:eastAsia="宋体" w:cs="宋体"/>
          <w:sz w:val="24"/>
          <w:szCs w:val="24"/>
          <w:lang w:val="en-US" w:eastAsia="zh-CN"/>
        </w:rPr>
        <w:t>后由于</w:t>
      </w:r>
      <w:r>
        <w:rPr>
          <w:rFonts w:hint="eastAsia" w:ascii="宋体" w:hAnsi="宋体" w:eastAsia="宋体" w:cs="宋体"/>
          <w:sz w:val="24"/>
          <w:szCs w:val="24"/>
          <w:highlight w:val="none"/>
          <w:lang w:val="en-US" w:eastAsia="zh-CN"/>
        </w:rPr>
        <w:t>甲方</w:t>
      </w:r>
      <w:r>
        <w:rPr>
          <w:rFonts w:hint="eastAsia" w:ascii="宋体" w:hAnsi="宋体" w:eastAsia="宋体" w:cs="宋体"/>
          <w:sz w:val="24"/>
          <w:szCs w:val="24"/>
          <w:lang w:val="en-US" w:eastAsia="zh-CN"/>
        </w:rPr>
        <w:t>保管不当造成的质量问题，乙方亦应负责修理，但费用由</w:t>
      </w:r>
      <w:r>
        <w:rPr>
          <w:rFonts w:hint="eastAsia" w:ascii="宋体" w:hAnsi="宋体" w:eastAsia="宋体" w:cs="宋体"/>
          <w:sz w:val="24"/>
          <w:szCs w:val="24"/>
          <w:highlight w:val="none"/>
          <w:lang w:val="en-US" w:eastAsia="zh-CN"/>
        </w:rPr>
        <w:t>甲方负担。</w:t>
      </w:r>
    </w:p>
    <w:p w14:paraId="18B43C35">
      <w:pPr>
        <w:pStyle w:val="11"/>
        <w:pageBreakBefore w:val="0"/>
        <w:kinsoku/>
        <w:overflowPunct/>
        <w:autoSpaceDE/>
        <w:autoSpaceDN/>
        <w:bidi w:val="0"/>
        <w:spacing w:line="520" w:lineRule="exact"/>
        <w:textAlignment w:val="auto"/>
        <w:rPr>
          <w:rFonts w:hint="eastAsia"/>
          <w:highlight w:val="none"/>
          <w:lang w:val="en-US" w:eastAsia="zh-CN"/>
        </w:rPr>
      </w:pPr>
      <w:bookmarkStart w:id="12" w:name="_Toc1909"/>
      <w:bookmarkStart w:id="13" w:name="_Toc30531"/>
      <w:bookmarkStart w:id="14" w:name="_Toc11890"/>
      <w:bookmarkStart w:id="15" w:name="_Toc16449"/>
      <w:r>
        <w:rPr>
          <w:rFonts w:hint="eastAsia"/>
          <w:highlight w:val="none"/>
          <w:lang w:eastAsia="zh-CN"/>
        </w:rPr>
        <w:t>交货及验收</w:t>
      </w:r>
      <w:bookmarkEnd w:id="12"/>
      <w:bookmarkEnd w:id="13"/>
      <w:bookmarkEnd w:id="14"/>
      <w:bookmarkEnd w:id="15"/>
    </w:p>
    <w:p w14:paraId="3C9CF615">
      <w:pPr>
        <w:pStyle w:val="13"/>
        <w:pageBreakBefore w:val="0"/>
        <w:numPr>
          <w:ilvl w:val="4"/>
          <w:numId w:val="0"/>
        </w:numPr>
        <w:kinsoku/>
        <w:overflowPunct/>
        <w:autoSpaceDE/>
        <w:autoSpaceDN/>
        <w:bidi w:val="0"/>
        <w:adjustRightInd/>
        <w:snapToGrid/>
        <w:spacing w:before="0" w:after="0" w:line="520" w:lineRule="exact"/>
        <w:ind w:firstLine="480" w:firstLineChars="200"/>
        <w:textAlignment w:val="auto"/>
        <w:outlineLvl w:val="9"/>
        <w:rPr>
          <w:rFonts w:hint="eastAsia" w:ascii="宋体" w:hAnsi="宋体" w:eastAsia="宋体" w:cs="宋体"/>
          <w:b w:val="0"/>
          <w:kern w:val="2"/>
          <w:sz w:val="24"/>
          <w:szCs w:val="24"/>
          <w:highlight w:val="none"/>
          <w:lang w:val="en-US" w:eastAsia="zh-CN" w:bidi="ar-SA"/>
        </w:rPr>
      </w:pPr>
      <w:r>
        <w:rPr>
          <w:rFonts w:hint="eastAsia" w:ascii="宋体" w:hAnsi="宋体" w:eastAsia="宋体" w:cs="宋体"/>
          <w:b w:val="0"/>
          <w:kern w:val="2"/>
          <w:sz w:val="24"/>
          <w:szCs w:val="24"/>
          <w:highlight w:val="none"/>
          <w:lang w:val="en-US" w:eastAsia="zh-CN" w:bidi="ar-SA"/>
        </w:rPr>
        <w:t>(一)履约时间：自合同签订之日起30日。</w:t>
      </w:r>
    </w:p>
    <w:p w14:paraId="54B6C3FE">
      <w:pPr>
        <w:pStyle w:val="16"/>
        <w:pageBreakBefore w:val="0"/>
        <w:tabs>
          <w:tab w:val="left" w:pos="420"/>
        </w:tabs>
        <w:kinsoku/>
        <w:overflowPunct/>
        <w:autoSpaceDE/>
        <w:autoSpaceDN/>
        <w:bidi w:val="0"/>
        <w:spacing w:line="520" w:lineRule="exact"/>
        <w:ind w:left="480" w:leftChars="200"/>
        <w:textAlignment w:val="auto"/>
        <w:rPr>
          <w:rFonts w:ascii="宋体" w:hAnsi="宋体" w:cs="宋体"/>
          <w:sz w:val="24"/>
          <w:szCs w:val="24"/>
          <w:highlight w:val="none"/>
        </w:rPr>
      </w:pPr>
      <w:r>
        <w:rPr>
          <w:rFonts w:hint="eastAsia" w:ascii="宋体" w:hAnsi="宋体" w:cs="宋体"/>
          <w:sz w:val="24"/>
          <w:szCs w:val="24"/>
          <w:highlight w:val="none"/>
        </w:rPr>
        <w:t>(二)履约地点：</w:t>
      </w:r>
      <w:r>
        <w:rPr>
          <w:rFonts w:hint="eastAsia" w:ascii="宋体" w:hAnsi="宋体" w:cs="宋体"/>
          <w:sz w:val="24"/>
          <w:szCs w:val="24"/>
          <w:highlight w:val="none"/>
          <w:u w:val="none"/>
          <w:lang w:val="en-US" w:eastAsia="zh-CN"/>
        </w:rPr>
        <w:t>雅安市名山区。</w:t>
      </w:r>
    </w:p>
    <w:p w14:paraId="30E3131B">
      <w:pPr>
        <w:pStyle w:val="16"/>
        <w:pageBreakBefore w:val="0"/>
        <w:tabs>
          <w:tab w:val="left" w:pos="420"/>
        </w:tabs>
        <w:kinsoku/>
        <w:overflowPunct/>
        <w:autoSpaceDE/>
        <w:autoSpaceDN/>
        <w:bidi w:val="0"/>
        <w:spacing w:line="520" w:lineRule="exact"/>
        <w:ind w:left="480" w:leftChars="200"/>
        <w:textAlignment w:val="auto"/>
        <w:rPr>
          <w:rFonts w:hint="eastAsia" w:ascii="宋体" w:hAnsi="宋体" w:cs="宋体"/>
          <w:sz w:val="24"/>
          <w:szCs w:val="24"/>
          <w:highlight w:val="none"/>
        </w:rPr>
      </w:pPr>
      <w:r>
        <w:rPr>
          <w:rFonts w:hint="eastAsia" w:ascii="宋体" w:hAnsi="宋体" w:cs="宋体"/>
          <w:sz w:val="24"/>
          <w:szCs w:val="24"/>
          <w:highlight w:val="none"/>
        </w:rPr>
        <w:t>(三)交货：</w:t>
      </w:r>
    </w:p>
    <w:p w14:paraId="1CAAE536">
      <w:pPr>
        <w:pageBreakBefore w:val="0"/>
        <w:widowControl/>
        <w:tabs>
          <w:tab w:val="left" w:pos="360"/>
          <w:tab w:val="clear" w:pos="0"/>
        </w:tabs>
        <w:kinsoku/>
        <w:overflowPunct/>
        <w:autoSpaceDE/>
        <w:autoSpaceDN/>
        <w:bidi w:val="0"/>
        <w:adjustRightInd/>
        <w:spacing w:line="520" w:lineRule="exact"/>
        <w:ind w:firstLine="480" w:firstLineChars="200"/>
        <w:jc w:val="both"/>
        <w:textAlignment w:val="auto"/>
        <w:rPr>
          <w:rFonts w:eastAsia="宋体" w:cs="Times New Roman"/>
          <w:u w:val="single"/>
        </w:rPr>
      </w:pPr>
      <w:r>
        <w:rPr>
          <w:rFonts w:hint="eastAsia" w:eastAsia="宋体" w:cs="宋体"/>
          <w:highlight w:val="none"/>
          <w:shd w:val="clear" w:color="auto" w:fill="FFFFFF"/>
          <w:lang w:val="en-US" w:eastAsia="zh-CN"/>
        </w:rPr>
        <w:t>1.</w:t>
      </w:r>
      <w:r>
        <w:rPr>
          <w:rFonts w:eastAsia="宋体" w:cs="宋体"/>
          <w:highlight w:val="none"/>
          <w:shd w:val="clear" w:color="auto" w:fill="FFFFFF"/>
        </w:rPr>
        <w:t>交货地点及</w:t>
      </w:r>
      <w:r>
        <w:rPr>
          <w:rFonts w:hint="eastAsia" w:eastAsia="宋体" w:cs="宋体"/>
          <w:highlight w:val="none"/>
          <w:shd w:val="clear" w:color="auto" w:fill="FFFFFF"/>
        </w:rPr>
        <w:t>联系</w:t>
      </w:r>
      <w:r>
        <w:rPr>
          <w:rFonts w:eastAsia="宋体" w:cs="宋体"/>
          <w:highlight w:val="none"/>
          <w:shd w:val="clear" w:color="auto" w:fill="FFFFFF"/>
        </w:rPr>
        <w:t>人</w:t>
      </w:r>
      <w:r>
        <w:rPr>
          <w:rFonts w:hint="eastAsia" w:eastAsia="宋体" w:cs="宋体"/>
          <w:shd w:val="clear" w:color="auto" w:fill="FFFFFF"/>
        </w:rPr>
        <w:t>，</w:t>
      </w:r>
      <w:r>
        <w:rPr>
          <w:rFonts w:hint="eastAsia" w:cs="Times New Roman"/>
          <w:lang w:eastAsia="zh-CN"/>
        </w:rPr>
        <w:t>乙方</w:t>
      </w:r>
      <w:r>
        <w:rPr>
          <w:rFonts w:hint="eastAsia" w:eastAsia="宋体" w:cs="Times New Roman"/>
        </w:rPr>
        <w:t>负责办理运输和保险，将货物运抵</w:t>
      </w:r>
      <w:r>
        <w:rPr>
          <w:rFonts w:hint="eastAsia" w:cs="Times New Roman"/>
          <w:lang w:eastAsia="zh-CN"/>
        </w:rPr>
        <w:t>甲方</w:t>
      </w:r>
      <w:r>
        <w:rPr>
          <w:rFonts w:hint="eastAsia" w:eastAsia="宋体" w:cs="Times New Roman"/>
        </w:rPr>
        <w:t>指定地点，有关运输、保险和装卸等一切相关的费用由</w:t>
      </w:r>
      <w:r>
        <w:rPr>
          <w:rFonts w:hint="eastAsia" w:cs="Times New Roman"/>
          <w:lang w:eastAsia="zh-CN"/>
        </w:rPr>
        <w:t>乙方</w:t>
      </w:r>
      <w:r>
        <w:rPr>
          <w:rFonts w:hint="eastAsia" w:eastAsia="宋体" w:cs="Times New Roman"/>
        </w:rPr>
        <w:t>承担。</w:t>
      </w:r>
    </w:p>
    <w:p w14:paraId="3BE736AB">
      <w:pPr>
        <w:pageBreakBefore w:val="0"/>
        <w:widowControl/>
        <w:tabs>
          <w:tab w:val="left" w:pos="360"/>
          <w:tab w:val="clear" w:pos="0"/>
        </w:tabs>
        <w:kinsoku/>
        <w:overflowPunct/>
        <w:autoSpaceDE/>
        <w:autoSpaceDN/>
        <w:bidi w:val="0"/>
        <w:adjustRightInd/>
        <w:spacing w:line="520" w:lineRule="exact"/>
        <w:ind w:firstLine="480" w:firstLineChars="200"/>
        <w:jc w:val="both"/>
        <w:textAlignment w:val="auto"/>
        <w:rPr>
          <w:rFonts w:eastAsia="宋体" w:cs="Times New Roman"/>
        </w:rPr>
      </w:pPr>
      <w:r>
        <w:rPr>
          <w:rFonts w:hint="eastAsia" w:eastAsia="宋体" w:cs="宋体"/>
          <w:shd w:val="clear" w:color="auto" w:fill="FFFFFF"/>
          <w:lang w:val="en-US" w:eastAsia="zh-CN"/>
        </w:rPr>
        <w:t>2.</w:t>
      </w:r>
      <w:r>
        <w:rPr>
          <w:rFonts w:hint="eastAsia" w:cs="Times New Roman"/>
          <w:lang w:eastAsia="zh-CN"/>
        </w:rPr>
        <w:t>乙方</w:t>
      </w:r>
      <w:r>
        <w:rPr>
          <w:rFonts w:hint="eastAsia" w:eastAsia="宋体" w:cs="Times New Roman"/>
        </w:rPr>
        <w:t>应在货物送达到</w:t>
      </w:r>
      <w:r>
        <w:rPr>
          <w:rFonts w:hint="eastAsia" w:cs="Times New Roman"/>
          <w:lang w:eastAsia="zh-CN"/>
        </w:rPr>
        <w:t>甲方</w:t>
      </w:r>
      <w:r>
        <w:rPr>
          <w:rFonts w:hint="eastAsia" w:eastAsia="宋体" w:cs="Times New Roman"/>
        </w:rPr>
        <w:t>指定地</w:t>
      </w:r>
      <w:r>
        <w:rPr>
          <w:rFonts w:hint="eastAsia" w:eastAsia="宋体" w:cs="Times New Roman"/>
          <w:u w:val="none"/>
        </w:rPr>
        <w:t>点七日</w:t>
      </w:r>
      <w:r>
        <w:rPr>
          <w:rFonts w:hint="eastAsia" w:eastAsia="宋体" w:cs="Times New Roman"/>
        </w:rPr>
        <w:t>前，向</w:t>
      </w:r>
      <w:r>
        <w:rPr>
          <w:rFonts w:hint="eastAsia" w:cs="Times New Roman"/>
          <w:lang w:eastAsia="zh-CN"/>
        </w:rPr>
        <w:t>甲方</w:t>
      </w:r>
      <w:r>
        <w:rPr>
          <w:rFonts w:hint="eastAsia" w:eastAsia="宋体" w:cs="Times New Roman"/>
        </w:rPr>
        <w:t>提供货物卸车、清点计划</w:t>
      </w:r>
      <w:r>
        <w:rPr>
          <w:rFonts w:hint="eastAsia" w:cs="Times New Roman"/>
          <w:lang w:eastAsia="zh-CN"/>
        </w:rPr>
        <w:t>(</w:t>
      </w:r>
      <w:r>
        <w:rPr>
          <w:rFonts w:hint="eastAsia" w:eastAsia="宋体" w:cs="Times New Roman"/>
        </w:rPr>
        <w:t>内容包括：合同号、设备名称、数量、价格、箱数、型号规格、重量和体积、拟发运的时间及其他必要的说明</w:t>
      </w:r>
      <w:r>
        <w:rPr>
          <w:rFonts w:hint="eastAsia" w:cs="Times New Roman"/>
          <w:lang w:eastAsia="zh-CN"/>
        </w:rPr>
        <w:t>)</w:t>
      </w:r>
      <w:r>
        <w:rPr>
          <w:rFonts w:hint="eastAsia" w:eastAsia="宋体" w:cs="Times New Roman"/>
        </w:rPr>
        <w:t>，并于发运的同时通知</w:t>
      </w:r>
      <w:r>
        <w:rPr>
          <w:rFonts w:hint="eastAsia" w:cs="Times New Roman"/>
          <w:lang w:eastAsia="zh-CN"/>
        </w:rPr>
        <w:t>甲方</w:t>
      </w:r>
      <w:r>
        <w:rPr>
          <w:rFonts w:hint="eastAsia" w:eastAsia="宋体" w:cs="Times New Roman"/>
        </w:rPr>
        <w:t>。</w:t>
      </w:r>
    </w:p>
    <w:p w14:paraId="4B74DC9F">
      <w:pPr>
        <w:pageBreakBefore w:val="0"/>
        <w:widowControl/>
        <w:kinsoku/>
        <w:overflowPunct/>
        <w:autoSpaceDE/>
        <w:autoSpaceDN/>
        <w:bidi w:val="0"/>
        <w:adjustRightInd/>
        <w:spacing w:line="520" w:lineRule="exact"/>
        <w:ind w:firstLine="480" w:firstLineChars="200"/>
        <w:jc w:val="both"/>
        <w:textAlignment w:val="auto"/>
        <w:rPr>
          <w:rFonts w:eastAsia="宋体" w:cs="Times New Roman"/>
        </w:rPr>
      </w:pPr>
      <w:r>
        <w:rPr>
          <w:rFonts w:hint="eastAsia" w:eastAsia="宋体" w:cs="Times New Roman"/>
        </w:rPr>
        <w:t>3</w:t>
      </w:r>
      <w:r>
        <w:rPr>
          <w:rFonts w:eastAsia="宋体" w:cs="Times New Roman"/>
        </w:rPr>
        <w:t>.开箱清点及初步检验时双方应派人员参加。凡由于</w:t>
      </w:r>
      <w:r>
        <w:rPr>
          <w:rFonts w:hint="eastAsia" w:cs="Times New Roman"/>
          <w:lang w:eastAsia="zh-CN"/>
        </w:rPr>
        <w:t>乙方</w:t>
      </w:r>
      <w:r>
        <w:rPr>
          <w:rFonts w:eastAsia="宋体" w:cs="Times New Roman"/>
        </w:rPr>
        <w:t>对合同货物包装不善、标记不明、防护措施不当或在合同货物装箱前保管不良，致使合同货物遭到损坏或丢失，</w:t>
      </w:r>
      <w:r>
        <w:rPr>
          <w:rFonts w:hint="eastAsia" w:cs="Times New Roman"/>
          <w:lang w:eastAsia="zh-CN"/>
        </w:rPr>
        <w:t>乙方</w:t>
      </w:r>
      <w:r>
        <w:rPr>
          <w:rFonts w:eastAsia="宋体" w:cs="Times New Roman"/>
        </w:rPr>
        <w:t>应负责免费更换</w:t>
      </w:r>
      <w:r>
        <w:rPr>
          <w:rFonts w:hint="eastAsia" w:eastAsia="宋体" w:cs="Times New Roman"/>
        </w:rPr>
        <w:t>或补足</w:t>
      </w:r>
      <w:r>
        <w:rPr>
          <w:rFonts w:eastAsia="宋体" w:cs="Times New Roman"/>
        </w:rPr>
        <w:t>，并承担由此给</w:t>
      </w:r>
      <w:r>
        <w:rPr>
          <w:rFonts w:hint="eastAsia" w:cs="Times New Roman"/>
          <w:lang w:eastAsia="zh-CN"/>
        </w:rPr>
        <w:t>甲方</w:t>
      </w:r>
      <w:r>
        <w:rPr>
          <w:rFonts w:eastAsia="宋体" w:cs="Times New Roman"/>
        </w:rPr>
        <w:t>造成的一切损失。</w:t>
      </w:r>
    </w:p>
    <w:p w14:paraId="1BC220A7">
      <w:pPr>
        <w:pageBreakBefore w:val="0"/>
        <w:widowControl/>
        <w:kinsoku/>
        <w:overflowPunct/>
        <w:autoSpaceDE/>
        <w:autoSpaceDN/>
        <w:bidi w:val="0"/>
        <w:adjustRightInd/>
        <w:spacing w:line="520" w:lineRule="exact"/>
        <w:ind w:firstLine="480" w:firstLineChars="200"/>
        <w:jc w:val="both"/>
        <w:textAlignment w:val="auto"/>
        <w:rPr>
          <w:rFonts w:hint="eastAsia"/>
        </w:rPr>
      </w:pPr>
      <w:r>
        <w:rPr>
          <w:rFonts w:hint="eastAsia" w:eastAsia="宋体" w:cs="Times New Roman"/>
          <w:lang w:val="en-US" w:eastAsia="zh-CN"/>
        </w:rPr>
        <w:t>4.</w:t>
      </w:r>
      <w:r>
        <w:rPr>
          <w:rFonts w:hint="eastAsia" w:eastAsia="宋体" w:cs="Times New Roman"/>
        </w:rPr>
        <w:t>货物涉及政府采购商品包装和快递包装的，货物送达至</w:t>
      </w:r>
      <w:r>
        <w:rPr>
          <w:rFonts w:hint="eastAsia" w:cs="Times New Roman"/>
          <w:lang w:eastAsia="zh-CN"/>
        </w:rPr>
        <w:t>甲方</w:t>
      </w:r>
      <w:r>
        <w:rPr>
          <w:rFonts w:hint="eastAsia" w:eastAsia="宋体" w:cs="Times New Roman"/>
        </w:rPr>
        <w:t>指定地点后，</w:t>
      </w:r>
      <w:r>
        <w:rPr>
          <w:rFonts w:hint="eastAsia" w:cs="Times New Roman"/>
          <w:lang w:eastAsia="zh-CN"/>
        </w:rPr>
        <w:t>甲方</w:t>
      </w:r>
      <w:r>
        <w:rPr>
          <w:rFonts w:hint="eastAsia" w:eastAsia="宋体" w:cs="Times New Roman"/>
        </w:rPr>
        <w:t>将对</w:t>
      </w:r>
      <w:r>
        <w:rPr>
          <w:rFonts w:hint="eastAsia" w:cs="Times New Roman"/>
          <w:lang w:eastAsia="zh-CN"/>
        </w:rPr>
        <w:t>乙方</w:t>
      </w:r>
      <w:r>
        <w:rPr>
          <w:rFonts w:hint="eastAsia" w:eastAsia="宋体" w:cs="Times New Roman"/>
        </w:rPr>
        <w:t>是否按照</w:t>
      </w:r>
      <w:r>
        <w:rPr>
          <w:rFonts w:hint="eastAsia" w:cs="Times New Roman"/>
          <w:lang w:val="en-US" w:eastAsia="zh-CN"/>
        </w:rPr>
        <w:t>谈判</w:t>
      </w:r>
      <w:r>
        <w:rPr>
          <w:rFonts w:hint="eastAsia" w:eastAsia="宋体" w:cs="Times New Roman"/>
        </w:rPr>
        <w:t>文件规定的包装要求进行验收，不符合包装要求的，</w:t>
      </w:r>
      <w:r>
        <w:rPr>
          <w:rFonts w:hint="eastAsia" w:cs="Times New Roman"/>
          <w:lang w:eastAsia="zh-CN"/>
        </w:rPr>
        <w:t>甲方</w:t>
      </w:r>
      <w:r>
        <w:rPr>
          <w:rFonts w:hint="eastAsia" w:eastAsia="宋体" w:cs="Times New Roman"/>
        </w:rPr>
        <w:t>有权拒收并要求</w:t>
      </w:r>
      <w:r>
        <w:rPr>
          <w:rFonts w:hint="eastAsia" w:cs="Times New Roman"/>
          <w:lang w:eastAsia="zh-CN"/>
        </w:rPr>
        <w:t>乙方</w:t>
      </w:r>
      <w:r>
        <w:rPr>
          <w:rFonts w:hint="eastAsia" w:eastAsia="宋体" w:cs="Times New Roman"/>
        </w:rPr>
        <w:t>负责免费更换，</w:t>
      </w:r>
      <w:r>
        <w:rPr>
          <w:rFonts w:eastAsia="宋体" w:cs="Times New Roman"/>
        </w:rPr>
        <w:t>并承担由此给</w:t>
      </w:r>
      <w:r>
        <w:rPr>
          <w:rFonts w:hint="eastAsia" w:cs="Times New Roman"/>
          <w:lang w:eastAsia="zh-CN"/>
        </w:rPr>
        <w:t>甲方</w:t>
      </w:r>
      <w:r>
        <w:rPr>
          <w:rFonts w:eastAsia="宋体" w:cs="Times New Roman"/>
        </w:rPr>
        <w:t>造成的一切损失</w:t>
      </w:r>
      <w:r>
        <w:rPr>
          <w:rFonts w:hint="eastAsia"/>
        </w:rPr>
        <w:t>。</w:t>
      </w:r>
    </w:p>
    <w:p w14:paraId="6B658D19">
      <w:pPr>
        <w:pStyle w:val="2"/>
        <w:rPr>
          <w:rFonts w:hint="eastAsia"/>
        </w:rPr>
      </w:pPr>
    </w:p>
    <w:p w14:paraId="12642F80">
      <w:pPr>
        <w:pStyle w:val="17"/>
        <w:pageBreakBefore w:val="0"/>
        <w:numPr>
          <w:ilvl w:val="1"/>
          <w:numId w:val="0"/>
        </w:numPr>
        <w:kinsoku/>
        <w:overflowPunct/>
        <w:autoSpaceDE/>
        <w:autoSpaceDN/>
        <w:bidi w:val="0"/>
        <w:spacing w:line="520" w:lineRule="exact"/>
        <w:ind w:leftChars="200"/>
        <w:textAlignment w:val="auto"/>
        <w:rPr>
          <w:rFonts w:hint="eastAsia"/>
        </w:rPr>
      </w:pPr>
      <w:r>
        <w:rPr>
          <w:rFonts w:hint="eastAsia" w:ascii="宋体" w:hAnsi="宋体" w:cs="宋体"/>
          <w:sz w:val="24"/>
          <w:szCs w:val="24"/>
        </w:rPr>
        <w:t>(</w:t>
      </w:r>
      <w:r>
        <w:rPr>
          <w:rFonts w:hint="eastAsia" w:cs="宋体"/>
          <w:sz w:val="24"/>
          <w:szCs w:val="24"/>
          <w:lang w:val="en-US" w:eastAsia="zh-CN"/>
        </w:rPr>
        <w:t>四</w:t>
      </w:r>
      <w:r>
        <w:rPr>
          <w:rFonts w:hint="eastAsia" w:ascii="宋体" w:hAnsi="宋体" w:cs="宋体"/>
          <w:sz w:val="24"/>
          <w:szCs w:val="24"/>
        </w:rPr>
        <w:t>)</w:t>
      </w:r>
      <w:r>
        <w:rPr>
          <w:rFonts w:hint="eastAsia"/>
          <w:lang w:val="en-US" w:eastAsia="zh-CN"/>
        </w:rPr>
        <w:t>验收要求</w:t>
      </w:r>
      <w:r>
        <w:rPr>
          <w:rFonts w:hint="eastAsia"/>
        </w:rPr>
        <w:t>：</w:t>
      </w:r>
    </w:p>
    <w:p w14:paraId="23375597">
      <w:pPr>
        <w:keepNext w:val="0"/>
        <w:keepLines w:val="0"/>
        <w:pageBreakBefore w:val="0"/>
        <w:widowControl w:val="0"/>
        <w:numPr>
          <w:ilvl w:val="0"/>
          <w:numId w:val="0"/>
        </w:numPr>
        <w:tabs>
          <w:tab w:val="left" w:pos="312"/>
          <w:tab w:val="clear" w:pos="0"/>
        </w:tabs>
        <w:kinsoku/>
        <w:wordWrap/>
        <w:overflowPunct/>
        <w:topLinePunct w:val="0"/>
        <w:autoSpaceDE/>
        <w:autoSpaceDN/>
        <w:bidi w:val="0"/>
        <w:adjustRightInd/>
        <w:snapToGrid/>
        <w:spacing w:line="480" w:lineRule="exact"/>
        <w:ind w:left="0" w:firstLine="240" w:firstLineChars="100"/>
        <w:textAlignment w:val="auto"/>
        <w:outlineLvl w:val="9"/>
        <w:rPr>
          <w:rFonts w:hint="eastAsia" w:ascii="宋体" w:hAnsi="宋体" w:eastAsia="宋体" w:cs="宋体"/>
          <w:i w:val="0"/>
          <w:iCs w:val="0"/>
          <w:caps w:val="0"/>
          <w:color w:val="auto"/>
          <w:spacing w:val="0"/>
          <w:sz w:val="24"/>
          <w:szCs w:val="24"/>
          <w:shd w:val="clear" w:color="auto" w:fill="FFFFFF"/>
        </w:rPr>
      </w:pPr>
      <w:bookmarkStart w:id="16" w:name="_Toc717"/>
      <w:bookmarkStart w:id="17" w:name="_Toc32738"/>
      <w:r>
        <w:rPr>
          <w:rFonts w:hint="eastAsia" w:ascii="宋体" w:hAnsi="宋体" w:eastAsia="宋体" w:cs="宋体"/>
          <w:i w:val="0"/>
          <w:iCs w:val="0"/>
          <w:caps w:val="0"/>
          <w:color w:val="auto"/>
          <w:spacing w:val="0"/>
          <w:sz w:val="24"/>
          <w:szCs w:val="24"/>
          <w:shd w:val="clear" w:color="auto" w:fill="FFFFFF"/>
          <w:lang w:eastAsia="zh-CN"/>
        </w:rPr>
        <w:t>（</w:t>
      </w:r>
      <w:r>
        <w:rPr>
          <w:rFonts w:hint="eastAsia" w:ascii="宋体" w:hAnsi="宋体" w:eastAsia="宋体" w:cs="宋体"/>
          <w:i w:val="0"/>
          <w:iCs w:val="0"/>
          <w:caps w:val="0"/>
          <w:color w:val="auto"/>
          <w:spacing w:val="0"/>
          <w:sz w:val="24"/>
          <w:szCs w:val="24"/>
          <w:shd w:val="clear" w:color="auto" w:fill="FFFFFF"/>
          <w:lang w:val="en-US" w:eastAsia="zh-CN"/>
        </w:rPr>
        <w:t>1</w:t>
      </w:r>
      <w:r>
        <w:rPr>
          <w:rFonts w:hint="eastAsia" w:ascii="宋体" w:hAnsi="宋体" w:eastAsia="宋体" w:cs="宋体"/>
          <w:i w:val="0"/>
          <w:iCs w:val="0"/>
          <w:caps w:val="0"/>
          <w:color w:val="auto"/>
          <w:spacing w:val="0"/>
          <w:sz w:val="24"/>
          <w:szCs w:val="24"/>
          <w:shd w:val="clear" w:color="auto" w:fill="FFFFFF"/>
          <w:lang w:eastAsia="zh-CN"/>
        </w:rPr>
        <w:t>）</w:t>
      </w:r>
      <w:r>
        <w:rPr>
          <w:rFonts w:hint="eastAsia" w:ascii="宋体" w:hAnsi="宋体" w:eastAsia="宋体" w:cs="宋体"/>
          <w:i w:val="0"/>
          <w:iCs w:val="0"/>
          <w:caps w:val="0"/>
          <w:color w:val="auto"/>
          <w:spacing w:val="0"/>
          <w:sz w:val="24"/>
          <w:szCs w:val="24"/>
          <w:shd w:val="clear" w:color="auto" w:fill="FFFFFF"/>
        </w:rPr>
        <w:t>验收组织方式：自行验收</w:t>
      </w:r>
    </w:p>
    <w:p w14:paraId="784CAAAC">
      <w:pPr>
        <w:keepNext w:val="0"/>
        <w:keepLines w:val="0"/>
        <w:pageBreakBefore w:val="0"/>
        <w:widowControl w:val="0"/>
        <w:numPr>
          <w:ilvl w:val="0"/>
          <w:numId w:val="0"/>
        </w:numPr>
        <w:tabs>
          <w:tab w:val="left" w:pos="312"/>
          <w:tab w:val="clear" w:pos="0"/>
        </w:tabs>
        <w:kinsoku/>
        <w:wordWrap/>
        <w:overflowPunct/>
        <w:topLinePunct w:val="0"/>
        <w:autoSpaceDE/>
        <w:autoSpaceDN/>
        <w:bidi w:val="0"/>
        <w:adjustRightInd/>
        <w:snapToGrid/>
        <w:spacing w:line="480" w:lineRule="exact"/>
        <w:ind w:left="0" w:firstLine="240" w:firstLineChars="100"/>
        <w:textAlignment w:val="auto"/>
        <w:outlineLvl w:val="9"/>
        <w:rPr>
          <w:rFonts w:hint="eastAsia" w:ascii="宋体" w:hAnsi="宋体" w:eastAsia="宋体" w:cs="宋体"/>
          <w:i w:val="0"/>
          <w:iCs w:val="0"/>
          <w:caps w:val="0"/>
          <w:color w:val="auto"/>
          <w:spacing w:val="0"/>
          <w:sz w:val="24"/>
          <w:szCs w:val="24"/>
          <w:highlight w:val="none"/>
          <w:shd w:val="clear" w:color="auto" w:fill="FFFFFF"/>
        </w:rPr>
      </w:pPr>
      <w:r>
        <w:rPr>
          <w:rFonts w:hint="eastAsia" w:ascii="宋体" w:hAnsi="宋体" w:eastAsia="宋体" w:cs="宋体"/>
          <w:i w:val="0"/>
          <w:iCs w:val="0"/>
          <w:caps w:val="0"/>
          <w:color w:val="auto"/>
          <w:spacing w:val="0"/>
          <w:sz w:val="24"/>
          <w:szCs w:val="24"/>
          <w:shd w:val="clear" w:color="auto" w:fill="FFFFFF"/>
          <w:lang w:eastAsia="zh-CN"/>
        </w:rPr>
        <w:t>（</w:t>
      </w:r>
      <w:r>
        <w:rPr>
          <w:rFonts w:hint="eastAsia" w:ascii="宋体" w:hAnsi="宋体" w:eastAsia="宋体" w:cs="宋体"/>
          <w:i w:val="0"/>
          <w:iCs w:val="0"/>
          <w:caps w:val="0"/>
          <w:color w:val="auto"/>
          <w:spacing w:val="0"/>
          <w:sz w:val="24"/>
          <w:szCs w:val="24"/>
          <w:shd w:val="clear" w:color="auto" w:fill="FFFFFF"/>
          <w:lang w:val="en-US" w:eastAsia="zh-CN"/>
        </w:rPr>
        <w:t>2</w:t>
      </w:r>
      <w:r>
        <w:rPr>
          <w:rFonts w:hint="eastAsia" w:ascii="宋体" w:hAnsi="宋体" w:eastAsia="宋体" w:cs="宋体"/>
          <w:i w:val="0"/>
          <w:iCs w:val="0"/>
          <w:caps w:val="0"/>
          <w:color w:val="auto"/>
          <w:spacing w:val="0"/>
          <w:sz w:val="24"/>
          <w:szCs w:val="24"/>
          <w:highlight w:val="none"/>
          <w:shd w:val="clear" w:color="auto" w:fill="FFFFFF"/>
          <w:lang w:eastAsia="zh-CN"/>
        </w:rPr>
        <w:t>）</w:t>
      </w:r>
      <w:r>
        <w:rPr>
          <w:rFonts w:hint="eastAsia" w:ascii="宋体" w:hAnsi="宋体" w:eastAsia="宋体" w:cs="宋体"/>
          <w:i w:val="0"/>
          <w:iCs w:val="0"/>
          <w:caps w:val="0"/>
          <w:color w:val="auto"/>
          <w:spacing w:val="0"/>
          <w:sz w:val="24"/>
          <w:szCs w:val="24"/>
          <w:highlight w:val="none"/>
          <w:shd w:val="clear" w:color="auto" w:fill="FFFFFF"/>
        </w:rPr>
        <w:t>是否邀请本项目的其他供应商：否</w:t>
      </w:r>
    </w:p>
    <w:p w14:paraId="350A347D">
      <w:pPr>
        <w:keepNext w:val="0"/>
        <w:keepLines w:val="0"/>
        <w:pageBreakBefore w:val="0"/>
        <w:widowControl w:val="0"/>
        <w:numPr>
          <w:ilvl w:val="0"/>
          <w:numId w:val="0"/>
        </w:numPr>
        <w:tabs>
          <w:tab w:val="left" w:pos="312"/>
          <w:tab w:val="clear" w:pos="0"/>
        </w:tabs>
        <w:kinsoku/>
        <w:wordWrap/>
        <w:overflowPunct/>
        <w:topLinePunct w:val="0"/>
        <w:autoSpaceDE/>
        <w:autoSpaceDN/>
        <w:bidi w:val="0"/>
        <w:adjustRightInd/>
        <w:snapToGrid/>
        <w:spacing w:line="480" w:lineRule="exact"/>
        <w:ind w:left="0" w:firstLine="240" w:firstLineChars="100"/>
        <w:textAlignment w:val="auto"/>
        <w:outlineLvl w:val="9"/>
        <w:rPr>
          <w:rFonts w:hint="eastAsia" w:ascii="宋体" w:hAnsi="宋体" w:eastAsia="宋体" w:cs="宋体"/>
          <w:i w:val="0"/>
          <w:iCs w:val="0"/>
          <w:caps w:val="0"/>
          <w:color w:val="auto"/>
          <w:spacing w:val="0"/>
          <w:sz w:val="24"/>
          <w:szCs w:val="24"/>
          <w:highlight w:val="none"/>
          <w:shd w:val="clear" w:color="auto" w:fill="FFFFFF"/>
        </w:rPr>
      </w:pPr>
      <w:r>
        <w:rPr>
          <w:rFonts w:hint="eastAsia" w:ascii="宋体" w:hAnsi="宋体" w:eastAsia="宋体" w:cs="宋体"/>
          <w:i w:val="0"/>
          <w:iCs w:val="0"/>
          <w:caps w:val="0"/>
          <w:color w:val="auto"/>
          <w:spacing w:val="0"/>
          <w:sz w:val="24"/>
          <w:szCs w:val="24"/>
          <w:highlight w:val="none"/>
          <w:shd w:val="clear" w:color="auto" w:fill="FFFFFF"/>
          <w:lang w:eastAsia="zh-CN"/>
        </w:rPr>
        <w:t>（</w:t>
      </w:r>
      <w:r>
        <w:rPr>
          <w:rFonts w:hint="eastAsia" w:ascii="宋体" w:hAnsi="宋体" w:eastAsia="宋体" w:cs="宋体"/>
          <w:i w:val="0"/>
          <w:iCs w:val="0"/>
          <w:caps w:val="0"/>
          <w:color w:val="auto"/>
          <w:spacing w:val="0"/>
          <w:sz w:val="24"/>
          <w:szCs w:val="24"/>
          <w:highlight w:val="none"/>
          <w:shd w:val="clear" w:color="auto" w:fill="FFFFFF"/>
          <w:lang w:val="en-US" w:eastAsia="zh-CN"/>
        </w:rPr>
        <w:t>3</w:t>
      </w:r>
      <w:r>
        <w:rPr>
          <w:rFonts w:hint="eastAsia" w:ascii="宋体" w:hAnsi="宋体" w:eastAsia="宋体" w:cs="宋体"/>
          <w:i w:val="0"/>
          <w:iCs w:val="0"/>
          <w:caps w:val="0"/>
          <w:color w:val="auto"/>
          <w:spacing w:val="0"/>
          <w:sz w:val="24"/>
          <w:szCs w:val="24"/>
          <w:highlight w:val="none"/>
          <w:shd w:val="clear" w:color="auto" w:fill="FFFFFF"/>
          <w:lang w:eastAsia="zh-CN"/>
        </w:rPr>
        <w:t>）</w:t>
      </w:r>
      <w:r>
        <w:rPr>
          <w:rFonts w:hint="eastAsia" w:ascii="宋体" w:hAnsi="宋体" w:eastAsia="宋体" w:cs="宋体"/>
          <w:i w:val="0"/>
          <w:iCs w:val="0"/>
          <w:caps w:val="0"/>
          <w:color w:val="auto"/>
          <w:spacing w:val="0"/>
          <w:sz w:val="24"/>
          <w:szCs w:val="24"/>
          <w:highlight w:val="none"/>
          <w:shd w:val="clear" w:color="auto" w:fill="FFFFFF"/>
        </w:rPr>
        <w:t>是否邀请专家：是</w:t>
      </w:r>
    </w:p>
    <w:p w14:paraId="4BB6A296">
      <w:pPr>
        <w:keepNext w:val="0"/>
        <w:keepLines w:val="0"/>
        <w:pageBreakBefore w:val="0"/>
        <w:widowControl w:val="0"/>
        <w:numPr>
          <w:ilvl w:val="0"/>
          <w:numId w:val="0"/>
        </w:numPr>
        <w:tabs>
          <w:tab w:val="left" w:pos="312"/>
          <w:tab w:val="clear" w:pos="0"/>
        </w:tabs>
        <w:kinsoku/>
        <w:wordWrap/>
        <w:overflowPunct/>
        <w:topLinePunct w:val="0"/>
        <w:autoSpaceDE/>
        <w:autoSpaceDN/>
        <w:bidi w:val="0"/>
        <w:adjustRightInd/>
        <w:snapToGrid/>
        <w:spacing w:line="480" w:lineRule="exact"/>
        <w:ind w:left="0" w:firstLine="240" w:firstLineChars="100"/>
        <w:textAlignment w:val="auto"/>
        <w:outlineLvl w:val="9"/>
        <w:rPr>
          <w:rFonts w:hint="eastAsia" w:ascii="宋体" w:hAnsi="宋体" w:eastAsia="宋体" w:cs="宋体"/>
          <w:i w:val="0"/>
          <w:iCs w:val="0"/>
          <w:caps w:val="0"/>
          <w:color w:val="auto"/>
          <w:spacing w:val="0"/>
          <w:sz w:val="24"/>
          <w:szCs w:val="24"/>
          <w:shd w:val="clear" w:color="auto" w:fill="FFFFFF"/>
        </w:rPr>
      </w:pPr>
      <w:r>
        <w:rPr>
          <w:rFonts w:hint="eastAsia" w:ascii="宋体" w:hAnsi="宋体" w:eastAsia="宋体" w:cs="宋体"/>
          <w:i w:val="0"/>
          <w:iCs w:val="0"/>
          <w:caps w:val="0"/>
          <w:color w:val="auto"/>
          <w:spacing w:val="0"/>
          <w:sz w:val="24"/>
          <w:szCs w:val="24"/>
          <w:shd w:val="clear" w:color="auto" w:fill="FFFFFF"/>
          <w:lang w:eastAsia="zh-CN"/>
        </w:rPr>
        <w:t>（</w:t>
      </w:r>
      <w:r>
        <w:rPr>
          <w:rFonts w:hint="eastAsia" w:ascii="宋体" w:hAnsi="宋体" w:eastAsia="宋体" w:cs="宋体"/>
          <w:i w:val="0"/>
          <w:iCs w:val="0"/>
          <w:caps w:val="0"/>
          <w:color w:val="auto"/>
          <w:spacing w:val="0"/>
          <w:sz w:val="24"/>
          <w:szCs w:val="24"/>
          <w:shd w:val="clear" w:color="auto" w:fill="FFFFFF"/>
          <w:lang w:val="en-US" w:eastAsia="zh-CN"/>
        </w:rPr>
        <w:t>4</w:t>
      </w:r>
      <w:r>
        <w:rPr>
          <w:rFonts w:hint="eastAsia" w:ascii="宋体" w:hAnsi="宋体" w:eastAsia="宋体" w:cs="宋体"/>
          <w:i w:val="0"/>
          <w:iCs w:val="0"/>
          <w:caps w:val="0"/>
          <w:color w:val="auto"/>
          <w:spacing w:val="0"/>
          <w:sz w:val="24"/>
          <w:szCs w:val="24"/>
          <w:shd w:val="clear" w:color="auto" w:fill="FFFFFF"/>
          <w:lang w:eastAsia="zh-CN"/>
        </w:rPr>
        <w:t>）</w:t>
      </w:r>
      <w:r>
        <w:rPr>
          <w:rFonts w:hint="eastAsia" w:ascii="宋体" w:hAnsi="宋体" w:eastAsia="宋体" w:cs="宋体"/>
          <w:i w:val="0"/>
          <w:iCs w:val="0"/>
          <w:caps w:val="0"/>
          <w:color w:val="auto"/>
          <w:spacing w:val="0"/>
          <w:sz w:val="24"/>
          <w:szCs w:val="24"/>
          <w:shd w:val="clear" w:color="auto" w:fill="FFFFFF"/>
        </w:rPr>
        <w:t>是否邀请服务对象：否</w:t>
      </w:r>
    </w:p>
    <w:p w14:paraId="060EF208">
      <w:pPr>
        <w:keepNext w:val="0"/>
        <w:keepLines w:val="0"/>
        <w:pageBreakBefore w:val="0"/>
        <w:widowControl w:val="0"/>
        <w:numPr>
          <w:ilvl w:val="0"/>
          <w:numId w:val="0"/>
        </w:numPr>
        <w:tabs>
          <w:tab w:val="left" w:pos="312"/>
          <w:tab w:val="clear" w:pos="0"/>
        </w:tabs>
        <w:kinsoku/>
        <w:wordWrap/>
        <w:overflowPunct/>
        <w:topLinePunct w:val="0"/>
        <w:autoSpaceDE/>
        <w:autoSpaceDN/>
        <w:bidi w:val="0"/>
        <w:adjustRightInd/>
        <w:snapToGrid/>
        <w:spacing w:line="480" w:lineRule="exact"/>
        <w:ind w:left="0" w:firstLine="240" w:firstLineChars="100"/>
        <w:textAlignment w:val="auto"/>
        <w:outlineLvl w:val="9"/>
        <w:rPr>
          <w:rFonts w:hint="eastAsia" w:ascii="宋体" w:hAnsi="宋体" w:eastAsia="宋体" w:cs="宋体"/>
          <w:i w:val="0"/>
          <w:iCs w:val="0"/>
          <w:caps w:val="0"/>
          <w:color w:val="auto"/>
          <w:spacing w:val="0"/>
          <w:sz w:val="24"/>
          <w:szCs w:val="24"/>
          <w:shd w:val="clear" w:color="auto" w:fill="FFFFFF"/>
        </w:rPr>
      </w:pPr>
      <w:r>
        <w:rPr>
          <w:rFonts w:hint="eastAsia" w:ascii="宋体" w:hAnsi="宋体" w:eastAsia="宋体" w:cs="宋体"/>
          <w:i w:val="0"/>
          <w:iCs w:val="0"/>
          <w:caps w:val="0"/>
          <w:color w:val="auto"/>
          <w:spacing w:val="0"/>
          <w:sz w:val="24"/>
          <w:szCs w:val="24"/>
          <w:shd w:val="clear" w:color="auto" w:fill="FFFFFF"/>
          <w:lang w:eastAsia="zh-CN"/>
        </w:rPr>
        <w:t>（</w:t>
      </w:r>
      <w:r>
        <w:rPr>
          <w:rFonts w:hint="eastAsia" w:ascii="宋体" w:hAnsi="宋体" w:eastAsia="宋体" w:cs="宋体"/>
          <w:i w:val="0"/>
          <w:iCs w:val="0"/>
          <w:caps w:val="0"/>
          <w:color w:val="auto"/>
          <w:spacing w:val="0"/>
          <w:sz w:val="24"/>
          <w:szCs w:val="24"/>
          <w:shd w:val="clear" w:color="auto" w:fill="FFFFFF"/>
          <w:lang w:val="en-US" w:eastAsia="zh-CN"/>
        </w:rPr>
        <w:t>5</w:t>
      </w:r>
      <w:r>
        <w:rPr>
          <w:rFonts w:hint="eastAsia" w:ascii="宋体" w:hAnsi="宋体" w:eastAsia="宋体" w:cs="宋体"/>
          <w:i w:val="0"/>
          <w:iCs w:val="0"/>
          <w:caps w:val="0"/>
          <w:color w:val="auto"/>
          <w:spacing w:val="0"/>
          <w:sz w:val="24"/>
          <w:szCs w:val="24"/>
          <w:shd w:val="clear" w:color="auto" w:fill="FFFFFF"/>
          <w:lang w:eastAsia="zh-CN"/>
        </w:rPr>
        <w:t>）</w:t>
      </w:r>
      <w:r>
        <w:rPr>
          <w:rFonts w:hint="eastAsia" w:ascii="宋体" w:hAnsi="宋体" w:eastAsia="宋体" w:cs="宋体"/>
          <w:i w:val="0"/>
          <w:iCs w:val="0"/>
          <w:caps w:val="0"/>
          <w:color w:val="auto"/>
          <w:spacing w:val="0"/>
          <w:sz w:val="24"/>
          <w:szCs w:val="24"/>
          <w:shd w:val="clear" w:color="auto" w:fill="FFFFFF"/>
        </w:rPr>
        <w:t>是否邀请第三方检测机构：否</w:t>
      </w:r>
    </w:p>
    <w:p w14:paraId="2F9C142F">
      <w:pPr>
        <w:keepNext w:val="0"/>
        <w:keepLines w:val="0"/>
        <w:pageBreakBefore w:val="0"/>
        <w:widowControl w:val="0"/>
        <w:numPr>
          <w:ilvl w:val="0"/>
          <w:numId w:val="0"/>
        </w:numPr>
        <w:tabs>
          <w:tab w:val="left" w:pos="312"/>
          <w:tab w:val="clear" w:pos="0"/>
        </w:tabs>
        <w:kinsoku/>
        <w:wordWrap/>
        <w:overflowPunct/>
        <w:topLinePunct w:val="0"/>
        <w:autoSpaceDE/>
        <w:autoSpaceDN/>
        <w:bidi w:val="0"/>
        <w:adjustRightInd/>
        <w:snapToGrid/>
        <w:spacing w:line="480" w:lineRule="exact"/>
        <w:ind w:left="0" w:firstLine="240" w:firstLineChars="100"/>
        <w:textAlignment w:val="auto"/>
        <w:outlineLvl w:val="9"/>
        <w:rPr>
          <w:rFonts w:hint="eastAsia" w:ascii="宋体" w:hAnsi="宋体" w:eastAsia="宋体" w:cs="宋体"/>
          <w:i w:val="0"/>
          <w:iCs w:val="0"/>
          <w:caps w:val="0"/>
          <w:color w:val="auto"/>
          <w:spacing w:val="0"/>
          <w:sz w:val="24"/>
          <w:szCs w:val="24"/>
          <w:shd w:val="clear" w:color="auto" w:fill="FFFFFF"/>
        </w:rPr>
      </w:pPr>
      <w:r>
        <w:rPr>
          <w:rFonts w:hint="eastAsia" w:ascii="宋体" w:hAnsi="宋体" w:eastAsia="宋体" w:cs="宋体"/>
          <w:i w:val="0"/>
          <w:iCs w:val="0"/>
          <w:caps w:val="0"/>
          <w:color w:val="auto"/>
          <w:spacing w:val="0"/>
          <w:sz w:val="24"/>
          <w:szCs w:val="24"/>
          <w:shd w:val="clear" w:color="auto" w:fill="FFFFFF"/>
          <w:lang w:eastAsia="zh-CN"/>
        </w:rPr>
        <w:t>（</w:t>
      </w:r>
      <w:r>
        <w:rPr>
          <w:rFonts w:hint="eastAsia" w:ascii="宋体" w:hAnsi="宋体" w:eastAsia="宋体" w:cs="宋体"/>
          <w:i w:val="0"/>
          <w:iCs w:val="0"/>
          <w:caps w:val="0"/>
          <w:color w:val="auto"/>
          <w:spacing w:val="0"/>
          <w:sz w:val="24"/>
          <w:szCs w:val="24"/>
          <w:shd w:val="clear" w:color="auto" w:fill="FFFFFF"/>
          <w:lang w:val="en-US" w:eastAsia="zh-CN"/>
        </w:rPr>
        <w:t>6</w:t>
      </w:r>
      <w:r>
        <w:rPr>
          <w:rFonts w:hint="eastAsia" w:ascii="宋体" w:hAnsi="宋体" w:eastAsia="宋体" w:cs="宋体"/>
          <w:i w:val="0"/>
          <w:iCs w:val="0"/>
          <w:caps w:val="0"/>
          <w:color w:val="auto"/>
          <w:spacing w:val="0"/>
          <w:sz w:val="24"/>
          <w:szCs w:val="24"/>
          <w:shd w:val="clear" w:color="auto" w:fill="FFFFFF"/>
          <w:lang w:eastAsia="zh-CN"/>
        </w:rPr>
        <w:t>）</w:t>
      </w:r>
      <w:r>
        <w:rPr>
          <w:rFonts w:hint="eastAsia" w:ascii="宋体" w:hAnsi="宋体" w:eastAsia="宋体" w:cs="宋体"/>
          <w:i w:val="0"/>
          <w:iCs w:val="0"/>
          <w:caps w:val="0"/>
          <w:color w:val="auto"/>
          <w:spacing w:val="0"/>
          <w:sz w:val="24"/>
          <w:szCs w:val="24"/>
          <w:shd w:val="clear" w:color="auto" w:fill="FFFFFF"/>
        </w:rPr>
        <w:t>履约验收程序：一次性验收</w:t>
      </w:r>
    </w:p>
    <w:p w14:paraId="3FEBC142">
      <w:pPr>
        <w:keepNext w:val="0"/>
        <w:keepLines w:val="0"/>
        <w:pageBreakBefore w:val="0"/>
        <w:widowControl w:val="0"/>
        <w:numPr>
          <w:ilvl w:val="0"/>
          <w:numId w:val="0"/>
        </w:numPr>
        <w:tabs>
          <w:tab w:val="left" w:pos="312"/>
          <w:tab w:val="clear" w:pos="0"/>
        </w:tabs>
        <w:kinsoku/>
        <w:wordWrap/>
        <w:overflowPunct/>
        <w:topLinePunct w:val="0"/>
        <w:autoSpaceDE/>
        <w:autoSpaceDN/>
        <w:bidi w:val="0"/>
        <w:adjustRightInd/>
        <w:snapToGrid/>
        <w:spacing w:line="480" w:lineRule="exact"/>
        <w:ind w:left="0" w:firstLine="240" w:firstLineChars="100"/>
        <w:textAlignment w:val="auto"/>
        <w:outlineLvl w:val="9"/>
        <w:rPr>
          <w:rFonts w:hint="eastAsia" w:ascii="宋体" w:hAnsi="宋体" w:eastAsia="宋体" w:cs="宋体"/>
          <w:i w:val="0"/>
          <w:iCs w:val="0"/>
          <w:caps w:val="0"/>
          <w:color w:val="auto"/>
          <w:spacing w:val="0"/>
          <w:sz w:val="24"/>
          <w:szCs w:val="24"/>
          <w:shd w:val="clear" w:color="auto" w:fill="FFFFFF"/>
          <w:lang w:eastAsia="zh-CN"/>
        </w:rPr>
      </w:pPr>
      <w:r>
        <w:rPr>
          <w:rFonts w:hint="eastAsia" w:ascii="宋体" w:hAnsi="宋体" w:eastAsia="宋体" w:cs="宋体"/>
          <w:i w:val="0"/>
          <w:iCs w:val="0"/>
          <w:caps w:val="0"/>
          <w:color w:val="auto"/>
          <w:spacing w:val="0"/>
          <w:sz w:val="24"/>
          <w:szCs w:val="24"/>
          <w:shd w:val="clear" w:color="auto" w:fill="FFFFFF"/>
          <w:lang w:eastAsia="zh-CN"/>
        </w:rPr>
        <w:t>（</w:t>
      </w:r>
      <w:r>
        <w:rPr>
          <w:rFonts w:hint="eastAsia" w:ascii="宋体" w:hAnsi="宋体" w:eastAsia="宋体" w:cs="宋体"/>
          <w:i w:val="0"/>
          <w:iCs w:val="0"/>
          <w:caps w:val="0"/>
          <w:color w:val="auto"/>
          <w:spacing w:val="0"/>
          <w:sz w:val="24"/>
          <w:szCs w:val="24"/>
          <w:shd w:val="clear" w:color="auto" w:fill="FFFFFF"/>
          <w:lang w:val="en-US" w:eastAsia="zh-CN"/>
        </w:rPr>
        <w:t>7</w:t>
      </w:r>
      <w:r>
        <w:rPr>
          <w:rFonts w:hint="eastAsia" w:ascii="宋体" w:hAnsi="宋体" w:eastAsia="宋体" w:cs="宋体"/>
          <w:i w:val="0"/>
          <w:iCs w:val="0"/>
          <w:caps w:val="0"/>
          <w:color w:val="auto"/>
          <w:spacing w:val="0"/>
          <w:sz w:val="24"/>
          <w:szCs w:val="24"/>
          <w:shd w:val="clear" w:color="auto" w:fill="FFFFFF"/>
          <w:lang w:eastAsia="zh-CN"/>
        </w:rPr>
        <w:t>）履约验收时间：供应商提出验收申请之日起5日内组织验收</w:t>
      </w:r>
    </w:p>
    <w:p w14:paraId="19AB3E52">
      <w:pPr>
        <w:keepNext w:val="0"/>
        <w:keepLines w:val="0"/>
        <w:pageBreakBefore w:val="0"/>
        <w:widowControl w:val="0"/>
        <w:numPr>
          <w:ilvl w:val="0"/>
          <w:numId w:val="0"/>
        </w:numPr>
        <w:tabs>
          <w:tab w:val="left" w:pos="312"/>
          <w:tab w:val="clear" w:pos="0"/>
        </w:tabs>
        <w:kinsoku/>
        <w:wordWrap/>
        <w:overflowPunct/>
        <w:topLinePunct w:val="0"/>
        <w:autoSpaceDE/>
        <w:autoSpaceDN/>
        <w:bidi w:val="0"/>
        <w:adjustRightInd/>
        <w:snapToGrid/>
        <w:spacing w:line="480" w:lineRule="exact"/>
        <w:ind w:left="0" w:firstLine="240" w:firstLineChars="100"/>
        <w:textAlignment w:val="auto"/>
        <w:outlineLvl w:val="9"/>
        <w:rPr>
          <w:color w:val="auto"/>
        </w:rPr>
      </w:pPr>
      <w:r>
        <w:rPr>
          <w:rFonts w:hint="eastAsia" w:ascii="宋体" w:hAnsi="宋体" w:eastAsia="宋体" w:cs="宋体"/>
          <w:i w:val="0"/>
          <w:iCs w:val="0"/>
          <w:caps w:val="0"/>
          <w:color w:val="auto"/>
          <w:spacing w:val="0"/>
          <w:sz w:val="24"/>
          <w:szCs w:val="24"/>
          <w:shd w:val="clear" w:color="auto" w:fill="FFFFFF"/>
          <w:lang w:val="en-US" w:eastAsia="zh-CN"/>
        </w:rPr>
        <w:t>（8）</w:t>
      </w:r>
      <w:r>
        <w:rPr>
          <w:color w:val="auto"/>
        </w:rPr>
        <w:t>验收组织的其他事项：其他未尽事宜应严格按照《财政部关于进一步加强政府采购需求和履约验收管理的指导意见》(财库〔2016〕205号)、《政府采购需求管理办法》（财库〔2021〕22号）、《雅安市财政局关于规范政府采购履约验收工作的通知》（雅财采〔2021〕50号）和</w:t>
      </w:r>
      <w:r>
        <w:rPr>
          <w:rFonts w:hint="eastAsia"/>
          <w:color w:val="auto"/>
          <w:lang w:eastAsia="zh-CN"/>
        </w:rPr>
        <w:t>采购文件</w:t>
      </w:r>
      <w:r>
        <w:rPr>
          <w:color w:val="auto"/>
        </w:rPr>
        <w:t>相关要求进行验收。</w:t>
      </w:r>
    </w:p>
    <w:p w14:paraId="41BA157B">
      <w:pPr>
        <w:keepNext w:val="0"/>
        <w:keepLines w:val="0"/>
        <w:pageBreakBefore w:val="0"/>
        <w:widowControl w:val="0"/>
        <w:numPr>
          <w:ilvl w:val="0"/>
          <w:numId w:val="0"/>
        </w:numPr>
        <w:tabs>
          <w:tab w:val="left" w:pos="312"/>
          <w:tab w:val="clear" w:pos="0"/>
        </w:tabs>
        <w:kinsoku/>
        <w:wordWrap/>
        <w:overflowPunct/>
        <w:topLinePunct w:val="0"/>
        <w:autoSpaceDE/>
        <w:autoSpaceDN/>
        <w:bidi w:val="0"/>
        <w:adjustRightInd/>
        <w:snapToGrid/>
        <w:spacing w:line="480" w:lineRule="exact"/>
        <w:ind w:left="0" w:firstLine="240" w:firstLineChars="100"/>
        <w:textAlignment w:val="auto"/>
        <w:outlineLvl w:val="9"/>
        <w:rPr>
          <w:rFonts w:hint="eastAsia"/>
          <w:color w:val="auto"/>
          <w:highlight w:val="none"/>
          <w:lang w:eastAsia="zh-CN"/>
        </w:rPr>
      </w:pPr>
      <w:r>
        <w:rPr>
          <w:rFonts w:hint="eastAsia"/>
          <w:color w:val="auto"/>
          <w:lang w:eastAsia="zh-CN"/>
        </w:rPr>
        <w:t>（</w:t>
      </w:r>
      <w:r>
        <w:rPr>
          <w:rFonts w:hint="eastAsia"/>
          <w:color w:val="auto"/>
          <w:lang w:val="en-US" w:eastAsia="zh-CN"/>
        </w:rPr>
        <w:t>9</w:t>
      </w:r>
      <w:r>
        <w:rPr>
          <w:rFonts w:hint="eastAsia"/>
          <w:color w:val="auto"/>
          <w:lang w:eastAsia="zh-CN"/>
        </w:rPr>
        <w:t>）技术验收内容：包括采购内容、具体技术参数指标（技术服务要求）、</w:t>
      </w:r>
      <w:r>
        <w:rPr>
          <w:rFonts w:hint="eastAsia"/>
          <w:color w:val="auto"/>
          <w:highlight w:val="none"/>
          <w:lang w:eastAsia="zh-CN"/>
        </w:rPr>
        <w:t>商务条件、售后服务等涉及本项目建设质量的所有内容。</w:t>
      </w:r>
    </w:p>
    <w:p w14:paraId="3ACA52C3">
      <w:pPr>
        <w:keepNext w:val="0"/>
        <w:keepLines w:val="0"/>
        <w:pageBreakBefore w:val="0"/>
        <w:widowControl w:val="0"/>
        <w:numPr>
          <w:ilvl w:val="0"/>
          <w:numId w:val="0"/>
        </w:numPr>
        <w:tabs>
          <w:tab w:val="left" w:pos="312"/>
          <w:tab w:val="clear" w:pos="0"/>
        </w:tabs>
        <w:kinsoku/>
        <w:wordWrap/>
        <w:overflowPunct/>
        <w:topLinePunct w:val="0"/>
        <w:autoSpaceDE/>
        <w:autoSpaceDN/>
        <w:bidi w:val="0"/>
        <w:adjustRightInd/>
        <w:snapToGrid/>
        <w:spacing w:line="480" w:lineRule="exact"/>
        <w:ind w:left="0" w:firstLine="240" w:firstLineChars="100"/>
        <w:textAlignment w:val="auto"/>
        <w:outlineLvl w:val="9"/>
        <w:rPr>
          <w:rFonts w:hint="eastAsia"/>
          <w:color w:val="auto"/>
          <w:highlight w:val="none"/>
          <w:lang w:eastAsia="zh-CN"/>
        </w:rPr>
      </w:pPr>
      <w:r>
        <w:rPr>
          <w:rFonts w:hint="eastAsia"/>
          <w:color w:val="auto"/>
          <w:highlight w:val="none"/>
          <w:lang w:eastAsia="zh-CN"/>
        </w:rPr>
        <w:t>（</w:t>
      </w:r>
      <w:r>
        <w:rPr>
          <w:rFonts w:hint="eastAsia"/>
          <w:color w:val="auto"/>
          <w:highlight w:val="none"/>
          <w:lang w:val="en-US" w:eastAsia="zh-CN"/>
        </w:rPr>
        <w:t>10</w:t>
      </w:r>
      <w:r>
        <w:rPr>
          <w:rFonts w:hint="eastAsia"/>
          <w:color w:val="auto"/>
          <w:highlight w:val="none"/>
          <w:lang w:eastAsia="zh-CN"/>
        </w:rPr>
        <w:t>）商务验收内容：</w:t>
      </w:r>
    </w:p>
    <w:p w14:paraId="0004952C">
      <w:pPr>
        <w:keepNext w:val="0"/>
        <w:keepLines w:val="0"/>
        <w:pageBreakBefore w:val="0"/>
        <w:widowControl w:val="0"/>
        <w:numPr>
          <w:ilvl w:val="0"/>
          <w:numId w:val="0"/>
        </w:numPr>
        <w:tabs>
          <w:tab w:val="left" w:pos="312"/>
          <w:tab w:val="clear" w:pos="0"/>
        </w:tabs>
        <w:kinsoku/>
        <w:wordWrap/>
        <w:overflowPunct/>
        <w:topLinePunct w:val="0"/>
        <w:autoSpaceDE/>
        <w:autoSpaceDN/>
        <w:bidi w:val="0"/>
        <w:adjustRightInd/>
        <w:snapToGrid/>
        <w:spacing w:line="480" w:lineRule="exact"/>
        <w:ind w:left="0" w:firstLine="240" w:firstLineChars="100"/>
        <w:textAlignment w:val="auto"/>
        <w:outlineLvl w:val="9"/>
        <w:rPr>
          <w:rFonts w:hint="eastAsia"/>
          <w:color w:val="auto"/>
          <w:highlight w:val="none"/>
          <w:lang w:eastAsia="zh-CN"/>
        </w:rPr>
      </w:pPr>
      <w:r>
        <w:rPr>
          <w:rFonts w:hint="eastAsia"/>
          <w:color w:val="auto"/>
          <w:highlight w:val="none"/>
          <w:lang w:val="en-US" w:eastAsia="zh-CN"/>
        </w:rPr>
        <w:t>10</w:t>
      </w:r>
      <w:r>
        <w:rPr>
          <w:rFonts w:hint="eastAsia"/>
          <w:color w:val="auto"/>
          <w:highlight w:val="none"/>
          <w:lang w:eastAsia="zh-CN"/>
        </w:rPr>
        <w:t>.1验收时如发现所提供的服务不符合标准及合同规定之情形者，采购人应做出详尽的现场记录，或由采购双方签署备忘录，此现场记录或备忘录可用作补充、缺失和整改的有效证据，由此产生的时间延误与有关费用由供应商承担，验收期限相应顺延；</w:t>
      </w:r>
    </w:p>
    <w:p w14:paraId="3BD90813">
      <w:pPr>
        <w:keepNext w:val="0"/>
        <w:keepLines w:val="0"/>
        <w:pageBreakBefore w:val="0"/>
        <w:widowControl w:val="0"/>
        <w:numPr>
          <w:ilvl w:val="0"/>
          <w:numId w:val="0"/>
        </w:numPr>
        <w:tabs>
          <w:tab w:val="left" w:pos="312"/>
          <w:tab w:val="clear" w:pos="0"/>
        </w:tabs>
        <w:kinsoku/>
        <w:wordWrap/>
        <w:overflowPunct/>
        <w:topLinePunct w:val="0"/>
        <w:autoSpaceDE/>
        <w:autoSpaceDN/>
        <w:bidi w:val="0"/>
        <w:adjustRightInd/>
        <w:snapToGrid/>
        <w:spacing w:line="480" w:lineRule="exact"/>
        <w:ind w:left="0" w:firstLine="240" w:firstLineChars="100"/>
        <w:textAlignment w:val="auto"/>
        <w:outlineLvl w:val="9"/>
        <w:rPr>
          <w:rFonts w:hint="eastAsia"/>
          <w:color w:val="auto"/>
          <w:highlight w:val="none"/>
          <w:lang w:eastAsia="zh-CN"/>
        </w:rPr>
      </w:pPr>
      <w:r>
        <w:rPr>
          <w:rFonts w:hint="eastAsia"/>
          <w:color w:val="auto"/>
          <w:highlight w:val="none"/>
          <w:lang w:val="en-US" w:eastAsia="zh-CN"/>
        </w:rPr>
        <w:t>10</w:t>
      </w:r>
      <w:r>
        <w:rPr>
          <w:rFonts w:hint="eastAsia"/>
          <w:color w:val="auto"/>
          <w:highlight w:val="none"/>
          <w:lang w:eastAsia="zh-CN"/>
        </w:rPr>
        <w:t>.2如验收合格，双方签署验收报告；</w:t>
      </w:r>
    </w:p>
    <w:p w14:paraId="44B05CDA">
      <w:pPr>
        <w:keepNext w:val="0"/>
        <w:keepLines w:val="0"/>
        <w:pageBreakBefore w:val="0"/>
        <w:widowControl w:val="0"/>
        <w:numPr>
          <w:ilvl w:val="0"/>
          <w:numId w:val="0"/>
        </w:numPr>
        <w:tabs>
          <w:tab w:val="left" w:pos="312"/>
          <w:tab w:val="clear" w:pos="0"/>
        </w:tabs>
        <w:kinsoku/>
        <w:wordWrap/>
        <w:overflowPunct/>
        <w:topLinePunct w:val="0"/>
        <w:autoSpaceDE/>
        <w:autoSpaceDN/>
        <w:bidi w:val="0"/>
        <w:adjustRightInd/>
        <w:snapToGrid/>
        <w:spacing w:line="480" w:lineRule="exact"/>
        <w:ind w:left="0" w:firstLine="240" w:firstLineChars="100"/>
        <w:textAlignment w:val="auto"/>
        <w:outlineLvl w:val="9"/>
        <w:rPr>
          <w:rFonts w:hint="eastAsia" w:ascii="宋体" w:hAnsi="宋体" w:eastAsia="宋体" w:cs="Times New Roman"/>
          <w:color w:val="auto"/>
          <w:highlight w:val="none"/>
          <w:lang w:eastAsia="zh-CN"/>
        </w:rPr>
      </w:pPr>
      <w:r>
        <w:rPr>
          <w:rFonts w:hint="eastAsia"/>
          <w:color w:val="auto"/>
          <w:highlight w:val="none"/>
          <w:lang w:val="en-US" w:eastAsia="zh-CN"/>
        </w:rPr>
        <w:t>10</w:t>
      </w:r>
      <w:r>
        <w:rPr>
          <w:rFonts w:hint="eastAsia"/>
          <w:color w:val="auto"/>
          <w:highlight w:val="none"/>
          <w:lang w:eastAsia="zh-CN"/>
        </w:rPr>
        <w:t>.3项目验收结果合格的，供应商凭《验收报告》办理相关手续；验收不合格且拒不整改的，将不予支付采购资金，还可能上报本项目同级财政部门按照政府</w:t>
      </w:r>
      <w:r>
        <w:rPr>
          <w:rFonts w:hint="eastAsia" w:ascii="宋体" w:hAnsi="宋体" w:eastAsia="宋体" w:cs="Times New Roman"/>
          <w:color w:val="auto"/>
          <w:highlight w:val="none"/>
          <w:lang w:eastAsia="zh-CN"/>
        </w:rPr>
        <w:t>采购法律法规等有关规定给予行政处罚；</w:t>
      </w:r>
    </w:p>
    <w:p w14:paraId="732EFCFA">
      <w:pPr>
        <w:keepNext w:val="0"/>
        <w:keepLines w:val="0"/>
        <w:pageBreakBefore w:val="0"/>
        <w:widowControl w:val="0"/>
        <w:numPr>
          <w:ilvl w:val="0"/>
          <w:numId w:val="0"/>
        </w:numPr>
        <w:tabs>
          <w:tab w:val="left" w:pos="312"/>
          <w:tab w:val="clear" w:pos="0"/>
        </w:tabs>
        <w:kinsoku/>
        <w:wordWrap/>
        <w:overflowPunct/>
        <w:topLinePunct w:val="0"/>
        <w:autoSpaceDE/>
        <w:autoSpaceDN/>
        <w:bidi w:val="0"/>
        <w:adjustRightInd/>
        <w:snapToGrid/>
        <w:spacing w:line="480" w:lineRule="exact"/>
        <w:ind w:firstLine="240" w:firstLineChars="100"/>
        <w:textAlignment w:val="auto"/>
        <w:outlineLvl w:val="9"/>
        <w:rPr>
          <w:rFonts w:hint="eastAsia" w:ascii="宋体" w:hAnsi="宋体" w:eastAsia="宋体" w:cs="Times New Roman"/>
          <w:color w:val="auto"/>
          <w:lang w:eastAsia="zh-CN"/>
        </w:rPr>
      </w:pPr>
      <w:r>
        <w:rPr>
          <w:rFonts w:hint="eastAsia" w:ascii="宋体" w:hAnsi="宋体" w:eastAsia="宋体" w:cs="Times New Roman"/>
          <w:color w:val="auto"/>
          <w:highlight w:val="none"/>
          <w:lang w:eastAsia="zh-CN"/>
        </w:rPr>
        <w:t>（</w:t>
      </w:r>
      <w:r>
        <w:rPr>
          <w:rFonts w:hint="eastAsia" w:ascii="宋体" w:hAnsi="宋体" w:eastAsia="宋体" w:cs="Times New Roman"/>
          <w:color w:val="auto"/>
          <w:highlight w:val="none"/>
          <w:lang w:val="en-US" w:eastAsia="zh-CN"/>
        </w:rPr>
        <w:t>11</w:t>
      </w:r>
      <w:r>
        <w:rPr>
          <w:rFonts w:hint="eastAsia" w:ascii="宋体" w:hAnsi="宋体" w:eastAsia="宋体" w:cs="Times New Roman"/>
          <w:color w:val="auto"/>
          <w:highlight w:val="none"/>
          <w:lang w:eastAsia="zh-CN"/>
        </w:rPr>
        <w:t>）履约验收标准：严格按照《财政部关于进一步加强政府采购需求和履约验收管理的指导意见》(财库〔2016〕205号)、《政府采购需求管理办法》（财库〔2021〕22号）、《雅安市财政局关于规范政府采购履约验收工作的通知》（雅财采〔2021〕50号）和采购文件相关要求进行验收。 2、由采购人组织履约验收小组，开展项目验收工作，达到国家相关标准、行业标准、地</w:t>
      </w:r>
      <w:r>
        <w:rPr>
          <w:rFonts w:hint="eastAsia" w:ascii="宋体" w:hAnsi="宋体" w:eastAsia="宋体" w:cs="Times New Roman"/>
          <w:color w:val="auto"/>
          <w:lang w:eastAsia="zh-CN"/>
        </w:rPr>
        <w:t>方标准或者其他标准、规范要求为标准，按照《采购文件》、《响应文件》和双方签订的《采购合同》，审查项目资料完备性、规范性情况，审查项目履行合同、《采购文件》和《响应文件》情况，审查所有材料质量、性能、安全性以及各项技术指标完成情况，对供应商履约情况进行验收，出具验收报告。</w:t>
      </w:r>
    </w:p>
    <w:p w14:paraId="668B67F9">
      <w:pPr>
        <w:keepNext w:val="0"/>
        <w:keepLines w:val="0"/>
        <w:pageBreakBefore w:val="0"/>
        <w:widowControl w:val="0"/>
        <w:numPr>
          <w:ilvl w:val="0"/>
          <w:numId w:val="0"/>
        </w:numPr>
        <w:tabs>
          <w:tab w:val="left" w:pos="312"/>
          <w:tab w:val="clear" w:pos="0"/>
        </w:tabs>
        <w:kinsoku/>
        <w:wordWrap/>
        <w:overflowPunct/>
        <w:topLinePunct w:val="0"/>
        <w:autoSpaceDE/>
        <w:autoSpaceDN/>
        <w:bidi w:val="0"/>
        <w:adjustRightInd/>
        <w:snapToGrid/>
        <w:spacing w:line="480" w:lineRule="exact"/>
        <w:ind w:firstLine="240" w:firstLineChars="100"/>
        <w:textAlignment w:val="auto"/>
        <w:outlineLvl w:val="9"/>
        <w:rPr>
          <w:rFonts w:hint="eastAsia"/>
          <w:color w:val="auto"/>
          <w:lang w:val="en-US" w:eastAsia="zh-CN"/>
        </w:rPr>
      </w:pPr>
      <w:r>
        <w:rPr>
          <w:rFonts w:hint="eastAsia" w:ascii="宋体" w:hAnsi="宋体" w:eastAsia="宋体" w:cs="Times New Roman"/>
          <w:color w:val="auto"/>
          <w:lang w:eastAsia="zh-CN"/>
        </w:rPr>
        <w:t>（</w:t>
      </w:r>
      <w:r>
        <w:rPr>
          <w:rFonts w:hint="eastAsia" w:ascii="宋体" w:hAnsi="宋体" w:eastAsia="宋体" w:cs="Times New Roman"/>
          <w:color w:val="auto"/>
          <w:lang w:val="en-US" w:eastAsia="zh-CN"/>
        </w:rPr>
        <w:t>12</w:t>
      </w:r>
      <w:r>
        <w:rPr>
          <w:rFonts w:hint="eastAsia" w:ascii="宋体" w:hAnsi="宋体" w:eastAsia="宋体" w:cs="Times New Roman"/>
          <w:color w:val="auto"/>
          <w:lang w:eastAsia="zh-CN"/>
        </w:rPr>
        <w:t>）履约验收其他事项：其他未尽事宜应严格按照《财政部关于进一步加强政府采购需求和履约验收管理的指导意见》(财库〔2016〕205号)、《政府采购需求管理办法》（财库〔2021〕22号）、《雅安市财政局关于规范</w:t>
      </w:r>
      <w:r>
        <w:rPr>
          <w:rFonts w:hint="eastAsia" w:ascii="宋体" w:hAnsi="宋体" w:eastAsia="宋体" w:cs="Times New Roman"/>
          <w:color w:val="auto"/>
          <w:lang w:val="en-US" w:eastAsia="zh-CN"/>
        </w:rPr>
        <w:t>政府采购履约验收工作的通知》（雅财采〔2021〕50号）和采购文件相关要求进行验收。</w:t>
      </w:r>
    </w:p>
    <w:p w14:paraId="655B8B74">
      <w:pPr>
        <w:pStyle w:val="11"/>
        <w:pageBreakBefore w:val="0"/>
        <w:kinsoku/>
        <w:overflowPunct/>
        <w:autoSpaceDE/>
        <w:autoSpaceDN/>
        <w:bidi w:val="0"/>
        <w:spacing w:line="520" w:lineRule="exact"/>
        <w:textAlignment w:val="auto"/>
        <w:rPr>
          <w:rFonts w:hint="eastAsia"/>
          <w:lang w:val="en-US" w:eastAsia="zh-CN"/>
        </w:rPr>
      </w:pPr>
      <w:r>
        <w:rPr>
          <w:rFonts w:hint="eastAsia"/>
          <w:lang w:val="en-US" w:eastAsia="zh-CN"/>
        </w:rPr>
        <w:t>保险</w:t>
      </w:r>
      <w:bookmarkEnd w:id="16"/>
      <w:bookmarkEnd w:id="17"/>
    </w:p>
    <w:p w14:paraId="5BA0DF05">
      <w:pPr>
        <w:pStyle w:val="13"/>
        <w:pageBreakBefore w:val="0"/>
        <w:numPr>
          <w:ilvl w:val="4"/>
          <w:numId w:val="0"/>
        </w:numPr>
        <w:kinsoku/>
        <w:wordWrap/>
        <w:overflowPunct/>
        <w:topLinePunct w:val="0"/>
        <w:autoSpaceDE/>
        <w:autoSpaceDN/>
        <w:bidi w:val="0"/>
        <w:spacing w:before="0" w:after="0" w:line="520" w:lineRule="exact"/>
        <w:ind w:firstLine="480" w:firstLineChars="200"/>
        <w:textAlignment w:val="auto"/>
        <w:outlineLvl w:val="9"/>
        <w:rPr>
          <w:rFonts w:hint="eastAsia" w:ascii="宋体" w:hAnsi="宋体" w:eastAsia="宋体" w:cs="宋体"/>
          <w:b w:val="0"/>
          <w:kern w:val="2"/>
          <w:sz w:val="24"/>
          <w:szCs w:val="24"/>
          <w:lang w:val="en-US" w:eastAsia="zh-CN" w:bidi="ar-SA"/>
        </w:rPr>
      </w:pPr>
      <w:r>
        <w:rPr>
          <w:rFonts w:hint="eastAsia" w:ascii="宋体" w:hAnsi="宋体" w:eastAsia="宋体" w:cs="宋体"/>
          <w:b w:val="0"/>
          <w:kern w:val="2"/>
          <w:sz w:val="24"/>
          <w:szCs w:val="24"/>
          <w:lang w:val="en-US" w:eastAsia="zh-CN" w:bidi="ar-SA"/>
        </w:rPr>
        <w:t>1、乙方应当遵守国家有关消防、安全、生产操作、劳动保护等方面的规定，并根据自身实际情况和项目履约实际情况，购买涉及上述履约风险的对应保险，保险金额以抵消可能发生的事故因其发生所造成的财产、人身损失承担赔偿保险金责任，维护保险标的的安全。</w:t>
      </w:r>
    </w:p>
    <w:p w14:paraId="653F6963">
      <w:pPr>
        <w:pStyle w:val="13"/>
        <w:pageBreakBefore w:val="0"/>
        <w:numPr>
          <w:ilvl w:val="4"/>
          <w:numId w:val="0"/>
        </w:numPr>
        <w:kinsoku/>
        <w:wordWrap/>
        <w:overflowPunct/>
        <w:topLinePunct w:val="0"/>
        <w:autoSpaceDE/>
        <w:autoSpaceDN/>
        <w:bidi w:val="0"/>
        <w:spacing w:before="0" w:after="0" w:line="520" w:lineRule="exact"/>
        <w:ind w:firstLine="480" w:firstLineChars="200"/>
        <w:textAlignment w:val="auto"/>
        <w:outlineLvl w:val="9"/>
        <w:rPr>
          <w:rFonts w:hint="eastAsia" w:ascii="宋体" w:hAnsi="宋体" w:eastAsia="宋体" w:cs="宋体"/>
          <w:b w:val="0"/>
          <w:kern w:val="2"/>
          <w:sz w:val="24"/>
          <w:szCs w:val="24"/>
          <w:highlight w:val="none"/>
          <w:lang w:val="en-US" w:eastAsia="zh-CN" w:bidi="ar-SA"/>
        </w:rPr>
      </w:pPr>
      <w:r>
        <w:rPr>
          <w:rFonts w:hint="eastAsia" w:ascii="宋体" w:hAnsi="宋体" w:eastAsia="宋体" w:cs="宋体"/>
          <w:b w:val="0"/>
          <w:kern w:val="2"/>
          <w:sz w:val="24"/>
          <w:szCs w:val="24"/>
          <w:highlight w:val="none"/>
          <w:lang w:val="en-US" w:eastAsia="zh-CN" w:bidi="ar-SA"/>
        </w:rPr>
        <w:t>2、乙方应为本项目提供履约的所有人员按照国家规定购买相关保险。</w:t>
      </w:r>
    </w:p>
    <w:p w14:paraId="79B913F2">
      <w:pPr>
        <w:pStyle w:val="16"/>
        <w:pageBreakBefore w:val="0"/>
        <w:kinsoku/>
        <w:wordWrap/>
        <w:overflowPunct/>
        <w:topLinePunct w:val="0"/>
        <w:autoSpaceDE/>
        <w:autoSpaceDN/>
        <w:bidi w:val="0"/>
        <w:spacing w:line="520" w:lineRule="exact"/>
        <w:ind w:firstLine="480" w:firstLineChars="200"/>
        <w:textAlignment w:val="auto"/>
        <w:outlineLvl w:val="9"/>
        <w:rPr>
          <w:rFonts w:hint="eastAsia" w:ascii="宋体" w:hAnsi="宋体" w:eastAsia="宋体" w:cs="宋体"/>
          <w:b w:val="0"/>
          <w:kern w:val="2"/>
          <w:sz w:val="24"/>
          <w:szCs w:val="24"/>
          <w:lang w:val="en-US" w:eastAsia="zh-CN" w:bidi="ar-SA"/>
        </w:rPr>
      </w:pPr>
      <w:r>
        <w:rPr>
          <w:rFonts w:hint="eastAsia" w:ascii="宋体" w:hAnsi="宋体" w:eastAsia="宋体" w:cs="宋体"/>
          <w:b w:val="0"/>
          <w:kern w:val="2"/>
          <w:sz w:val="24"/>
          <w:szCs w:val="24"/>
          <w:highlight w:val="none"/>
          <w:lang w:val="en-US" w:eastAsia="zh-CN" w:bidi="ar-SA"/>
        </w:rPr>
        <w:t>3、乙方自行运输标的物或委托承运人运输的，应为该批货物购买货物运</w:t>
      </w:r>
      <w:r>
        <w:rPr>
          <w:rFonts w:hint="eastAsia" w:ascii="宋体" w:hAnsi="宋体" w:eastAsia="宋体" w:cs="宋体"/>
          <w:b w:val="0"/>
          <w:kern w:val="2"/>
          <w:sz w:val="24"/>
          <w:szCs w:val="24"/>
          <w:lang w:val="en-US" w:eastAsia="zh-CN" w:bidi="ar-SA"/>
        </w:rPr>
        <w:t>输保险及运输工具航程保险(如涉及)。</w:t>
      </w:r>
    </w:p>
    <w:p w14:paraId="6F683B95">
      <w:pPr>
        <w:pStyle w:val="11"/>
        <w:pageBreakBefore w:val="0"/>
        <w:kinsoku/>
        <w:overflowPunct/>
        <w:autoSpaceDE/>
        <w:autoSpaceDN/>
        <w:bidi w:val="0"/>
        <w:spacing w:line="520" w:lineRule="exact"/>
        <w:textAlignment w:val="auto"/>
        <w:rPr>
          <w:rFonts w:hint="eastAsia"/>
          <w:highlight w:val="none"/>
          <w:lang w:val="en-US" w:eastAsia="zh-CN"/>
        </w:rPr>
      </w:pPr>
      <w:bookmarkStart w:id="18" w:name="_Toc31605"/>
      <w:bookmarkStart w:id="19" w:name="_Toc31742"/>
      <w:bookmarkStart w:id="20" w:name="_Toc7679"/>
      <w:bookmarkStart w:id="21" w:name="_Toc8265"/>
      <w:r>
        <w:rPr>
          <w:rFonts w:hint="eastAsia"/>
          <w:lang w:val="en-US" w:eastAsia="zh-CN"/>
        </w:rPr>
        <w:t>付款方式</w:t>
      </w:r>
      <w:bookmarkEnd w:id="18"/>
      <w:bookmarkEnd w:id="19"/>
      <w:bookmarkEnd w:id="20"/>
      <w:bookmarkEnd w:id="21"/>
    </w:p>
    <w:p w14:paraId="2C04C535">
      <w:pPr>
        <w:pStyle w:val="10"/>
        <w:keepNext w:val="0"/>
        <w:keepLines w:val="0"/>
        <w:pageBreakBefore w:val="0"/>
        <w:widowControl w:val="0"/>
        <w:kinsoku/>
        <w:wordWrap w:val="0"/>
        <w:overflowPunct/>
        <w:topLinePunct/>
        <w:autoSpaceDE/>
        <w:autoSpaceDN/>
        <w:bidi w:val="0"/>
        <w:adjustRightInd w:val="0"/>
        <w:snapToGrid w:val="0"/>
        <w:spacing w:line="520" w:lineRule="exact"/>
        <w:ind w:leftChars="0" w:firstLine="480" w:firstLineChars="200"/>
        <w:textAlignment w:val="auto"/>
        <w:rPr>
          <w:rFonts w:hint="eastAsia" w:ascii="宋体" w:hAnsi="宋体" w:eastAsia="宋体" w:cs="宋体"/>
          <w:sz w:val="24"/>
          <w:szCs w:val="24"/>
          <w:highlight w:val="none"/>
        </w:rPr>
      </w:pPr>
      <w:bookmarkStart w:id="22" w:name="_Toc23777"/>
      <w:bookmarkStart w:id="23" w:name="_Toc30818"/>
      <w:r>
        <w:rPr>
          <w:rFonts w:hint="eastAsia" w:ascii="宋体" w:hAnsi="宋体" w:eastAsia="宋体" w:cs="宋体"/>
          <w:snapToGrid/>
          <w:kern w:val="2"/>
          <w:sz w:val="24"/>
          <w:szCs w:val="24"/>
          <w:highlight w:val="none"/>
          <w:lang w:val="en-US" w:eastAsia="zh-CN" w:bidi="ar"/>
        </w:rPr>
        <w:t>本项目合同价款由以下组成：</w:t>
      </w:r>
      <w:r>
        <w:rPr>
          <w:rFonts w:hint="eastAsia" w:ascii="宋体" w:hAnsi="宋体" w:eastAsia="宋体" w:cs="宋体"/>
          <w:sz w:val="24"/>
          <w:szCs w:val="24"/>
          <w:highlight w:val="none"/>
        </w:rPr>
        <w:t>合同总价为人民币大写：</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元，即￥</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元；该合同总价已包括</w:t>
      </w:r>
      <w:r>
        <w:rPr>
          <w:rFonts w:hint="eastAsia" w:ascii="宋体" w:hAnsi="宋体" w:eastAsia="宋体" w:cs="宋体"/>
          <w:b w:val="0"/>
          <w:bCs/>
          <w:sz w:val="24"/>
          <w:szCs w:val="24"/>
          <w:highlight w:val="none"/>
        </w:rPr>
        <w:t>货物设计、材料、</w:t>
      </w:r>
      <w:r>
        <w:rPr>
          <w:rFonts w:hint="eastAsia" w:ascii="宋体" w:hAnsi="宋体" w:eastAsia="宋体" w:cs="宋体"/>
          <w:b w:val="0"/>
          <w:bCs/>
          <w:sz w:val="24"/>
          <w:szCs w:val="24"/>
          <w:highlight w:val="none"/>
          <w:lang w:val="en-US" w:eastAsia="zh-CN"/>
        </w:rPr>
        <w:t>生产</w:t>
      </w:r>
      <w:r>
        <w:rPr>
          <w:rFonts w:hint="eastAsia" w:ascii="宋体" w:hAnsi="宋体" w:eastAsia="宋体" w:cs="宋体"/>
          <w:b w:val="0"/>
          <w:bCs/>
          <w:sz w:val="24"/>
          <w:szCs w:val="24"/>
          <w:highlight w:val="none"/>
        </w:rPr>
        <w:t>制造、包装、运输、安装、调试、检测、培训</w:t>
      </w:r>
      <w:r>
        <w:rPr>
          <w:rFonts w:hint="eastAsia" w:ascii="宋体" w:hAnsi="宋体" w:eastAsia="宋体" w:cs="宋体"/>
          <w:b w:val="0"/>
          <w:bCs/>
          <w:sz w:val="24"/>
          <w:szCs w:val="24"/>
          <w:highlight w:val="none"/>
          <w:lang w:eastAsia="zh-CN"/>
        </w:rPr>
        <w:t>、</w:t>
      </w:r>
      <w:r>
        <w:rPr>
          <w:rFonts w:hint="eastAsia" w:ascii="宋体" w:hAnsi="宋体" w:eastAsia="宋体" w:cs="宋体"/>
          <w:b w:val="0"/>
          <w:bCs/>
          <w:sz w:val="24"/>
          <w:szCs w:val="24"/>
          <w:highlight w:val="none"/>
          <w:lang w:val="en-US" w:eastAsia="zh-CN"/>
        </w:rPr>
        <w:t>利润、</w:t>
      </w:r>
      <w:r>
        <w:rPr>
          <w:rFonts w:hint="eastAsia" w:ascii="宋体" w:hAnsi="宋体" w:eastAsia="宋体" w:cs="宋体"/>
          <w:b w:val="0"/>
          <w:bCs/>
          <w:sz w:val="24"/>
          <w:szCs w:val="24"/>
          <w:highlight w:val="none"/>
        </w:rPr>
        <w:t>验收合格交付使用之前及保修期内保修服务与备用物件等等所有其他有关各项的含税费用</w:t>
      </w:r>
      <w:r>
        <w:rPr>
          <w:rFonts w:hint="eastAsia" w:ascii="宋体" w:hAnsi="宋体" w:eastAsia="宋体" w:cs="宋体"/>
          <w:sz w:val="24"/>
          <w:szCs w:val="24"/>
          <w:highlight w:val="none"/>
        </w:rPr>
        <w:t>。本合同执行期间合同总价不变，甲方无须另向乙方支付本合同规定之外的其他任何费用</w:t>
      </w:r>
      <w:r>
        <w:rPr>
          <w:rFonts w:hint="eastAsia"/>
          <w:highlight w:val="none"/>
          <w:lang w:val="en-US" w:eastAsia="zh-CN"/>
        </w:rPr>
        <w:t>（车辆购置税、车辆保险及上户费用除外）</w:t>
      </w:r>
      <w:r>
        <w:rPr>
          <w:rFonts w:hint="eastAsia" w:ascii="宋体" w:hAnsi="宋体" w:eastAsia="宋体" w:cs="宋体"/>
          <w:sz w:val="24"/>
          <w:szCs w:val="24"/>
          <w:highlight w:val="none"/>
        </w:rPr>
        <w:t>。</w:t>
      </w:r>
    </w:p>
    <w:p w14:paraId="3718BC26">
      <w:pPr>
        <w:keepNext w:val="0"/>
        <w:keepLines w:val="0"/>
        <w:pageBreakBefore w:val="0"/>
        <w:widowControl w:val="0"/>
        <w:numPr>
          <w:ilvl w:val="0"/>
          <w:numId w:val="0"/>
        </w:numPr>
        <w:tabs>
          <w:tab w:val="left" w:pos="312"/>
          <w:tab w:val="clear" w:pos="0"/>
        </w:tabs>
        <w:kinsoku/>
        <w:wordWrap/>
        <w:overflowPunct/>
        <w:topLinePunct w:val="0"/>
        <w:autoSpaceDE/>
        <w:autoSpaceDN/>
        <w:bidi w:val="0"/>
        <w:adjustRightInd/>
        <w:snapToGrid/>
        <w:spacing w:line="480" w:lineRule="exact"/>
        <w:ind w:firstLine="480" w:firstLineChars="200"/>
        <w:textAlignment w:val="auto"/>
        <w:outlineLvl w:val="9"/>
        <w:rPr>
          <w:rFonts w:hint="eastAsia" w:ascii="宋体" w:hAnsi="宋体" w:eastAsia="宋体" w:cs="Times New Roman"/>
          <w:kern w:val="2"/>
          <w:sz w:val="24"/>
          <w:szCs w:val="24"/>
        </w:rPr>
      </w:pPr>
      <w:r>
        <w:rPr>
          <w:rFonts w:hint="eastAsia" w:ascii="宋体" w:hAnsi="宋体" w:eastAsia="宋体" w:cs="宋体"/>
          <w:snapToGrid/>
          <w:kern w:val="2"/>
          <w:sz w:val="24"/>
          <w:szCs w:val="24"/>
          <w:lang w:val="en-US" w:eastAsia="zh-CN" w:bidi="ar"/>
        </w:rPr>
        <w:t>支付方式：</w:t>
      </w:r>
      <w:r>
        <w:rPr>
          <w:rFonts w:hint="eastAsia" w:ascii="宋体" w:hAnsi="宋体" w:eastAsia="宋体" w:cs="宋体"/>
          <w:i w:val="0"/>
          <w:iCs w:val="0"/>
          <w:caps w:val="0"/>
          <w:color w:val="auto"/>
          <w:spacing w:val="0"/>
          <w:sz w:val="24"/>
          <w:szCs w:val="24"/>
          <w:highlight w:val="none"/>
          <w:shd w:val="clear" w:color="auto" w:fill="FFFFFF"/>
        </w:rPr>
        <w:t>双方签订合同后，</w:t>
      </w:r>
      <w:r>
        <w:rPr>
          <w:rFonts w:hint="eastAsia" w:cs="宋体"/>
          <w:i w:val="0"/>
          <w:iCs w:val="0"/>
          <w:caps w:val="0"/>
          <w:color w:val="auto"/>
          <w:spacing w:val="0"/>
          <w:sz w:val="24"/>
          <w:szCs w:val="24"/>
          <w:highlight w:val="none"/>
          <w:shd w:val="clear" w:color="auto" w:fill="FFFFFF"/>
          <w:lang w:eastAsia="zh-CN"/>
        </w:rPr>
        <w:t>甲方</w:t>
      </w:r>
      <w:r>
        <w:rPr>
          <w:rFonts w:hint="eastAsia" w:ascii="宋体" w:hAnsi="宋体" w:eastAsia="宋体" w:cs="宋体"/>
          <w:i w:val="0"/>
          <w:iCs w:val="0"/>
          <w:caps w:val="0"/>
          <w:color w:val="auto"/>
          <w:spacing w:val="0"/>
          <w:sz w:val="24"/>
          <w:szCs w:val="24"/>
          <w:highlight w:val="none"/>
          <w:shd w:val="clear" w:color="auto" w:fill="FFFFFF"/>
        </w:rPr>
        <w:t>收到</w:t>
      </w:r>
      <w:r>
        <w:rPr>
          <w:rFonts w:hint="eastAsia" w:cs="宋体"/>
          <w:i w:val="0"/>
          <w:iCs w:val="0"/>
          <w:caps w:val="0"/>
          <w:color w:val="auto"/>
          <w:spacing w:val="0"/>
          <w:sz w:val="24"/>
          <w:szCs w:val="24"/>
          <w:highlight w:val="none"/>
          <w:shd w:val="clear" w:color="auto" w:fill="FFFFFF"/>
          <w:lang w:eastAsia="zh-CN"/>
        </w:rPr>
        <w:t>乙方</w:t>
      </w:r>
      <w:r>
        <w:rPr>
          <w:rFonts w:hint="eastAsia" w:ascii="宋体" w:hAnsi="宋体" w:eastAsia="宋体" w:cs="宋体"/>
          <w:i w:val="0"/>
          <w:iCs w:val="0"/>
          <w:caps w:val="0"/>
          <w:color w:val="auto"/>
          <w:spacing w:val="0"/>
          <w:sz w:val="24"/>
          <w:szCs w:val="24"/>
          <w:highlight w:val="none"/>
          <w:shd w:val="clear" w:color="auto" w:fill="FFFFFF"/>
        </w:rPr>
        <w:t>提交的票据凭证资料后，达到付款条件起</w:t>
      </w:r>
      <w:r>
        <w:rPr>
          <w:rFonts w:hint="eastAsia" w:ascii="宋体" w:hAnsi="宋体" w:eastAsia="宋体" w:cs="宋体"/>
          <w:i w:val="0"/>
          <w:iCs w:val="0"/>
          <w:caps w:val="0"/>
          <w:color w:val="auto"/>
          <w:spacing w:val="0"/>
          <w:sz w:val="24"/>
          <w:szCs w:val="24"/>
          <w:highlight w:val="none"/>
          <w:shd w:val="clear" w:color="auto" w:fill="FFFFFF"/>
          <w:lang w:val="en-US" w:eastAsia="zh-CN"/>
        </w:rPr>
        <w:t>5</w:t>
      </w:r>
      <w:r>
        <w:rPr>
          <w:rFonts w:hint="eastAsia" w:ascii="宋体" w:hAnsi="宋体" w:eastAsia="宋体" w:cs="宋体"/>
          <w:i w:val="0"/>
          <w:iCs w:val="0"/>
          <w:caps w:val="0"/>
          <w:color w:val="auto"/>
          <w:spacing w:val="0"/>
          <w:sz w:val="24"/>
          <w:szCs w:val="24"/>
          <w:highlight w:val="none"/>
          <w:shd w:val="clear" w:color="auto" w:fill="FFFFFF"/>
        </w:rPr>
        <w:t>日内，支付合同总金额的</w:t>
      </w:r>
      <w:r>
        <w:rPr>
          <w:rFonts w:hint="eastAsia" w:ascii="宋体" w:hAnsi="宋体" w:eastAsia="宋体" w:cs="宋体"/>
          <w:i w:val="0"/>
          <w:iCs w:val="0"/>
          <w:caps w:val="0"/>
          <w:color w:val="auto"/>
          <w:spacing w:val="0"/>
          <w:sz w:val="24"/>
          <w:szCs w:val="24"/>
          <w:highlight w:val="none"/>
          <w:shd w:val="clear" w:color="auto" w:fill="FFFFFF"/>
          <w:lang w:val="en-US" w:eastAsia="zh-CN"/>
        </w:rPr>
        <w:t>40</w:t>
      </w:r>
      <w:r>
        <w:rPr>
          <w:rFonts w:hint="eastAsia" w:ascii="宋体" w:hAnsi="宋体" w:eastAsia="宋体" w:cs="宋体"/>
          <w:i w:val="0"/>
          <w:iCs w:val="0"/>
          <w:caps w:val="0"/>
          <w:color w:val="auto"/>
          <w:spacing w:val="0"/>
          <w:sz w:val="24"/>
          <w:szCs w:val="24"/>
          <w:highlight w:val="none"/>
          <w:shd w:val="clear" w:color="auto" w:fill="FFFFFF"/>
        </w:rPr>
        <w:t>.00%</w:t>
      </w:r>
      <w:r>
        <w:rPr>
          <w:rFonts w:hint="eastAsia" w:cs="宋体"/>
          <w:i w:val="0"/>
          <w:iCs w:val="0"/>
          <w:caps w:val="0"/>
          <w:color w:val="auto"/>
          <w:spacing w:val="0"/>
          <w:sz w:val="24"/>
          <w:szCs w:val="24"/>
          <w:highlight w:val="none"/>
          <w:shd w:val="clear" w:color="auto" w:fill="FFFFFF"/>
          <w:lang w:eastAsia="zh-CN"/>
        </w:rPr>
        <w:t>，</w:t>
      </w:r>
      <w:r>
        <w:rPr>
          <w:rFonts w:hint="eastAsia" w:ascii="宋体" w:hAnsi="宋体" w:eastAsia="宋体" w:cs="宋体"/>
          <w:sz w:val="24"/>
          <w:szCs w:val="24"/>
          <w:highlight w:val="none"/>
        </w:rPr>
        <w:t>人民币大写：</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元，即￥</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w:t>
      </w:r>
      <w:r>
        <w:rPr>
          <w:rFonts w:hint="eastAsia" w:ascii="宋体" w:hAnsi="宋体" w:eastAsia="宋体" w:cs="宋体"/>
          <w:i w:val="0"/>
          <w:iCs w:val="0"/>
          <w:caps w:val="0"/>
          <w:color w:val="auto"/>
          <w:spacing w:val="0"/>
          <w:sz w:val="24"/>
          <w:szCs w:val="24"/>
          <w:highlight w:val="none"/>
          <w:shd w:val="clear" w:color="auto" w:fill="FFFFFF"/>
        </w:rPr>
        <w:t>；</w:t>
      </w:r>
      <w:r>
        <w:rPr>
          <w:rFonts w:hint="eastAsia" w:ascii="宋体" w:hAnsi="宋体" w:eastAsia="宋体" w:cs="宋体"/>
          <w:color w:val="auto"/>
          <w:szCs w:val="24"/>
          <w:highlight w:val="none"/>
        </w:rPr>
        <w:t>安装调试完毕</w:t>
      </w:r>
      <w:r>
        <w:rPr>
          <w:rFonts w:hint="eastAsia" w:ascii="宋体" w:hAnsi="宋体" w:eastAsia="宋体" w:cs="宋体"/>
          <w:color w:val="auto"/>
          <w:szCs w:val="24"/>
          <w:highlight w:val="none"/>
          <w:lang w:val="en-US" w:eastAsia="zh-CN"/>
        </w:rPr>
        <w:t>试用一个月</w:t>
      </w:r>
      <w:r>
        <w:rPr>
          <w:rFonts w:hint="eastAsia" w:ascii="宋体" w:hAnsi="宋体" w:eastAsia="宋体" w:cs="宋体"/>
          <w:color w:val="auto"/>
          <w:szCs w:val="24"/>
          <w:highlight w:val="none"/>
        </w:rPr>
        <w:t>并验收合格后</w:t>
      </w:r>
      <w:r>
        <w:rPr>
          <w:rFonts w:hint="eastAsia" w:ascii="宋体" w:hAnsi="宋体" w:eastAsia="宋体" w:cs="宋体"/>
          <w:i w:val="0"/>
          <w:iCs w:val="0"/>
          <w:caps w:val="0"/>
          <w:color w:val="auto"/>
          <w:spacing w:val="0"/>
          <w:sz w:val="24"/>
          <w:szCs w:val="24"/>
          <w:highlight w:val="none"/>
          <w:shd w:val="clear" w:color="auto" w:fill="FFFFFF"/>
        </w:rPr>
        <w:t>，</w:t>
      </w:r>
      <w:r>
        <w:rPr>
          <w:rFonts w:hint="eastAsia" w:cs="宋体"/>
          <w:i w:val="0"/>
          <w:iCs w:val="0"/>
          <w:caps w:val="0"/>
          <w:color w:val="auto"/>
          <w:spacing w:val="0"/>
          <w:sz w:val="24"/>
          <w:szCs w:val="24"/>
          <w:highlight w:val="none"/>
          <w:shd w:val="clear" w:color="auto" w:fill="FFFFFF"/>
          <w:lang w:eastAsia="zh-CN"/>
        </w:rPr>
        <w:t>甲方</w:t>
      </w:r>
      <w:r>
        <w:rPr>
          <w:rFonts w:hint="eastAsia" w:ascii="宋体" w:hAnsi="宋体" w:eastAsia="宋体" w:cs="宋体"/>
          <w:i w:val="0"/>
          <w:iCs w:val="0"/>
          <w:caps w:val="0"/>
          <w:color w:val="auto"/>
          <w:spacing w:val="0"/>
          <w:sz w:val="24"/>
          <w:szCs w:val="24"/>
          <w:highlight w:val="none"/>
          <w:shd w:val="clear" w:color="auto" w:fill="FFFFFF"/>
        </w:rPr>
        <w:t>收到</w:t>
      </w:r>
      <w:r>
        <w:rPr>
          <w:rFonts w:hint="eastAsia" w:cs="宋体"/>
          <w:i w:val="0"/>
          <w:iCs w:val="0"/>
          <w:caps w:val="0"/>
          <w:color w:val="auto"/>
          <w:spacing w:val="0"/>
          <w:sz w:val="24"/>
          <w:szCs w:val="24"/>
          <w:highlight w:val="none"/>
          <w:shd w:val="clear" w:color="auto" w:fill="FFFFFF"/>
          <w:lang w:eastAsia="zh-CN"/>
        </w:rPr>
        <w:t>乙方</w:t>
      </w:r>
      <w:r>
        <w:rPr>
          <w:rFonts w:hint="eastAsia" w:ascii="宋体" w:hAnsi="宋体" w:eastAsia="宋体" w:cs="宋体"/>
          <w:i w:val="0"/>
          <w:iCs w:val="0"/>
          <w:caps w:val="0"/>
          <w:color w:val="auto"/>
          <w:spacing w:val="0"/>
          <w:sz w:val="24"/>
          <w:szCs w:val="24"/>
          <w:highlight w:val="none"/>
          <w:shd w:val="clear" w:color="auto" w:fill="FFFFFF"/>
        </w:rPr>
        <w:t>提交的票据凭证资料后，达到付款条件起</w:t>
      </w:r>
      <w:r>
        <w:rPr>
          <w:rFonts w:hint="eastAsia" w:ascii="宋体" w:hAnsi="宋体" w:eastAsia="宋体" w:cs="宋体"/>
          <w:i w:val="0"/>
          <w:iCs w:val="0"/>
          <w:caps w:val="0"/>
          <w:color w:val="auto"/>
          <w:spacing w:val="0"/>
          <w:sz w:val="24"/>
          <w:szCs w:val="24"/>
          <w:highlight w:val="none"/>
          <w:shd w:val="clear" w:color="auto" w:fill="FFFFFF"/>
          <w:lang w:val="en-US" w:eastAsia="zh-CN"/>
        </w:rPr>
        <w:t>10</w:t>
      </w:r>
      <w:r>
        <w:rPr>
          <w:rFonts w:hint="eastAsia" w:ascii="宋体" w:hAnsi="宋体" w:eastAsia="宋体" w:cs="宋体"/>
          <w:i w:val="0"/>
          <w:iCs w:val="0"/>
          <w:caps w:val="0"/>
          <w:color w:val="auto"/>
          <w:spacing w:val="0"/>
          <w:sz w:val="24"/>
          <w:szCs w:val="24"/>
          <w:highlight w:val="none"/>
          <w:shd w:val="clear" w:color="auto" w:fill="FFFFFF"/>
        </w:rPr>
        <w:t>日内，支付合同总金额的</w:t>
      </w:r>
      <w:r>
        <w:rPr>
          <w:rFonts w:hint="eastAsia" w:ascii="宋体" w:hAnsi="宋体" w:eastAsia="宋体" w:cs="宋体"/>
          <w:i w:val="0"/>
          <w:iCs w:val="0"/>
          <w:caps w:val="0"/>
          <w:color w:val="auto"/>
          <w:spacing w:val="0"/>
          <w:sz w:val="24"/>
          <w:szCs w:val="24"/>
          <w:highlight w:val="none"/>
          <w:shd w:val="clear" w:color="auto" w:fill="FFFFFF"/>
          <w:lang w:val="en-US" w:eastAsia="zh-CN"/>
        </w:rPr>
        <w:t>60.00</w:t>
      </w:r>
      <w:r>
        <w:rPr>
          <w:rFonts w:hint="eastAsia" w:ascii="宋体" w:hAnsi="宋体" w:eastAsia="宋体" w:cs="宋体"/>
          <w:i w:val="0"/>
          <w:iCs w:val="0"/>
          <w:caps w:val="0"/>
          <w:color w:val="auto"/>
          <w:spacing w:val="0"/>
          <w:sz w:val="24"/>
          <w:szCs w:val="24"/>
          <w:highlight w:val="none"/>
          <w:shd w:val="clear" w:color="auto" w:fill="FFFFFF"/>
        </w:rPr>
        <w:t>%</w:t>
      </w:r>
      <w:r>
        <w:rPr>
          <w:rFonts w:hint="eastAsia" w:cs="宋体"/>
          <w:i w:val="0"/>
          <w:iCs w:val="0"/>
          <w:caps w:val="0"/>
          <w:color w:val="auto"/>
          <w:spacing w:val="0"/>
          <w:sz w:val="24"/>
          <w:szCs w:val="24"/>
          <w:highlight w:val="none"/>
          <w:shd w:val="clear" w:color="auto" w:fill="FFFFFF"/>
          <w:lang w:eastAsia="zh-CN"/>
        </w:rPr>
        <w:t>，</w:t>
      </w:r>
      <w:r>
        <w:rPr>
          <w:rFonts w:hint="eastAsia" w:ascii="宋体" w:hAnsi="宋体" w:eastAsia="宋体" w:cs="宋体"/>
          <w:sz w:val="24"/>
          <w:szCs w:val="24"/>
          <w:highlight w:val="none"/>
        </w:rPr>
        <w:t>人民币大写：</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元，即￥</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w:t>
      </w:r>
      <w:r>
        <w:rPr>
          <w:rFonts w:hint="eastAsia" w:ascii="宋体" w:hAnsi="宋体" w:eastAsia="宋体" w:cs="宋体"/>
          <w:i w:val="0"/>
          <w:iCs w:val="0"/>
          <w:caps w:val="0"/>
          <w:color w:val="auto"/>
          <w:spacing w:val="0"/>
          <w:sz w:val="24"/>
          <w:szCs w:val="24"/>
          <w:highlight w:val="none"/>
          <w:shd w:val="clear" w:color="auto" w:fill="FFFFFF"/>
          <w:lang w:eastAsia="zh-CN"/>
        </w:rPr>
        <w:t>。</w:t>
      </w:r>
    </w:p>
    <w:p w14:paraId="6202B68A">
      <w:pPr>
        <w:pStyle w:val="11"/>
        <w:pageBreakBefore w:val="0"/>
        <w:kinsoku/>
        <w:overflowPunct/>
        <w:autoSpaceDE/>
        <w:autoSpaceDN/>
        <w:bidi w:val="0"/>
        <w:spacing w:line="520" w:lineRule="exact"/>
        <w:textAlignment w:val="auto"/>
        <w:rPr>
          <w:rFonts w:hint="eastAsia"/>
        </w:rPr>
      </w:pPr>
      <w:bookmarkStart w:id="24" w:name="_Toc31086"/>
      <w:bookmarkStart w:id="25" w:name="_Toc21021"/>
      <w:r>
        <w:rPr>
          <w:rFonts w:hint="eastAsia"/>
          <w:lang w:val="en-US" w:eastAsia="zh-CN"/>
        </w:rPr>
        <w:t>售后服务</w:t>
      </w:r>
      <w:bookmarkEnd w:id="22"/>
      <w:bookmarkEnd w:id="23"/>
      <w:bookmarkEnd w:id="24"/>
      <w:bookmarkEnd w:id="25"/>
    </w:p>
    <w:p w14:paraId="4077D46A">
      <w:pPr>
        <w:pStyle w:val="18"/>
        <w:keepNext w:val="0"/>
        <w:keepLines w:val="0"/>
        <w:pageBreakBefore w:val="0"/>
        <w:kinsoku/>
        <w:overflowPunct/>
        <w:autoSpaceDE/>
        <w:autoSpaceDN/>
        <w:bidi w:val="0"/>
        <w:spacing w:line="480" w:lineRule="exact"/>
        <w:ind w:left="0" w:firstLine="480" w:firstLineChars="200"/>
        <w:textAlignment w:val="auto"/>
        <w:outlineLvl w:val="9"/>
        <w:rPr>
          <w:rFonts w:hint="eastAsia" w:ascii="宋体" w:hAnsi="宋体" w:eastAsia="宋体" w:cs="宋体"/>
          <w:i w:val="0"/>
          <w:iCs w:val="0"/>
          <w:caps w:val="0"/>
          <w:color w:val="auto"/>
          <w:spacing w:val="0"/>
          <w:sz w:val="24"/>
          <w:szCs w:val="24"/>
          <w:highlight w:val="none"/>
          <w:shd w:val="clear" w:color="auto" w:fill="FFFFFF"/>
          <w:lang w:val="en-US" w:eastAsia="zh-CN"/>
        </w:rPr>
      </w:pPr>
      <w:r>
        <w:rPr>
          <w:rFonts w:hint="eastAsia" w:ascii="宋体" w:hAnsi="宋体" w:eastAsia="宋体" w:cs="宋体"/>
          <w:i w:val="0"/>
          <w:iCs w:val="0"/>
          <w:caps w:val="0"/>
          <w:color w:val="auto"/>
          <w:spacing w:val="0"/>
          <w:sz w:val="24"/>
          <w:szCs w:val="24"/>
          <w:highlight w:val="none"/>
          <w:shd w:val="clear" w:color="auto" w:fill="FFFFFF"/>
        </w:rPr>
        <w:t>1.质保期(质保期为验收合格之日起开始计算)：整车质保期</w:t>
      </w:r>
      <w:r>
        <w:rPr>
          <w:rFonts w:hint="eastAsia" w:ascii="宋体" w:hAnsi="宋体" w:eastAsia="宋体" w:cs="宋体"/>
          <w:i w:val="0"/>
          <w:iCs w:val="0"/>
          <w:caps w:val="0"/>
          <w:color w:val="auto"/>
          <w:spacing w:val="0"/>
          <w:sz w:val="24"/>
          <w:szCs w:val="24"/>
          <w:highlight w:val="none"/>
          <w:shd w:val="clear" w:color="auto" w:fill="FFFFFF"/>
          <w:lang w:val="en-US" w:eastAsia="zh-CN"/>
        </w:rPr>
        <w:t>≥</w:t>
      </w:r>
      <w:r>
        <w:rPr>
          <w:rFonts w:hint="eastAsia" w:ascii="宋体" w:hAnsi="宋体" w:eastAsia="宋体" w:cs="宋体"/>
          <w:i w:val="0"/>
          <w:iCs w:val="0"/>
          <w:caps w:val="0"/>
          <w:color w:val="auto"/>
          <w:spacing w:val="0"/>
          <w:sz w:val="24"/>
          <w:szCs w:val="24"/>
          <w:highlight w:val="none"/>
          <w:shd w:val="clear" w:color="auto" w:fill="FFFFFF"/>
        </w:rPr>
        <w:t>车辆行驶3年或六万公里，先到为准</w:t>
      </w:r>
      <w:r>
        <w:rPr>
          <w:rFonts w:hint="eastAsia" w:ascii="宋体" w:hAnsi="宋体" w:eastAsia="宋体" w:cs="宋体"/>
          <w:i w:val="0"/>
          <w:iCs w:val="0"/>
          <w:caps w:val="0"/>
          <w:color w:val="auto"/>
          <w:spacing w:val="0"/>
          <w:sz w:val="24"/>
          <w:szCs w:val="24"/>
          <w:highlight w:val="none"/>
          <w:shd w:val="clear" w:color="auto" w:fill="FFFFFF"/>
          <w:lang w:eastAsia="zh-CN"/>
        </w:rPr>
        <w:t>；</w:t>
      </w:r>
      <w:r>
        <w:rPr>
          <w:rFonts w:hint="eastAsia" w:ascii="宋体" w:hAnsi="宋体" w:eastAsia="宋体" w:cs="宋体"/>
          <w:i w:val="0"/>
          <w:iCs w:val="0"/>
          <w:caps w:val="0"/>
          <w:color w:val="auto"/>
          <w:spacing w:val="0"/>
          <w:sz w:val="24"/>
          <w:szCs w:val="24"/>
          <w:highlight w:val="none"/>
          <w:shd w:val="clear" w:color="auto" w:fill="FFFFFF"/>
          <w:lang w:val="en-US" w:eastAsia="zh-CN"/>
        </w:rPr>
        <w:t>发动机、变速箱终身质保；吸引器、除颤监护仪、车载呼吸机、心电图机、注射泵、输液泵、自动上车担架、铲式担架、楼梯担架</w:t>
      </w:r>
      <w:r>
        <w:rPr>
          <w:rFonts w:hint="eastAsia" w:ascii="宋体" w:hAnsi="宋体" w:eastAsia="宋体" w:cs="宋体"/>
          <w:i w:val="0"/>
          <w:iCs w:val="0"/>
          <w:caps w:val="0"/>
          <w:color w:val="auto"/>
          <w:spacing w:val="0"/>
          <w:sz w:val="24"/>
          <w:szCs w:val="24"/>
          <w:highlight w:val="none"/>
          <w:shd w:val="clear" w:color="auto" w:fill="FFFFFF"/>
        </w:rPr>
        <w:t>质保期</w:t>
      </w:r>
      <w:r>
        <w:rPr>
          <w:rFonts w:hint="eastAsia" w:ascii="宋体" w:hAnsi="宋体" w:eastAsia="宋体" w:cs="宋体"/>
          <w:i w:val="0"/>
          <w:iCs w:val="0"/>
          <w:caps w:val="0"/>
          <w:color w:val="auto"/>
          <w:spacing w:val="0"/>
          <w:sz w:val="24"/>
          <w:szCs w:val="24"/>
          <w:highlight w:val="none"/>
          <w:shd w:val="clear" w:color="auto" w:fill="FFFFFF"/>
          <w:lang w:val="en-US" w:eastAsia="zh-CN"/>
        </w:rPr>
        <w:t>≥2年</w:t>
      </w:r>
      <w:r>
        <w:rPr>
          <w:rFonts w:hint="eastAsia" w:ascii="宋体" w:hAnsi="宋体" w:eastAsia="宋体" w:cs="宋体"/>
          <w:i w:val="0"/>
          <w:iCs w:val="0"/>
          <w:caps w:val="0"/>
          <w:color w:val="auto"/>
          <w:spacing w:val="0"/>
          <w:sz w:val="24"/>
          <w:szCs w:val="24"/>
          <w:highlight w:val="none"/>
          <w:shd w:val="clear" w:color="auto" w:fill="FFFFFF"/>
          <w:lang w:eastAsia="zh-CN"/>
        </w:rPr>
        <w:t>。</w:t>
      </w:r>
    </w:p>
    <w:p w14:paraId="0E01A787">
      <w:pPr>
        <w:pStyle w:val="18"/>
        <w:keepNext w:val="0"/>
        <w:keepLines w:val="0"/>
        <w:pageBreakBefore w:val="0"/>
        <w:kinsoku/>
        <w:overflowPunct/>
        <w:autoSpaceDE/>
        <w:autoSpaceDN/>
        <w:bidi w:val="0"/>
        <w:spacing w:line="480" w:lineRule="exact"/>
        <w:ind w:left="0" w:firstLine="480" w:firstLineChars="200"/>
        <w:textAlignment w:val="auto"/>
        <w:outlineLvl w:val="9"/>
        <w:rPr>
          <w:rFonts w:hint="eastAsia" w:ascii="宋体" w:hAnsi="宋体" w:eastAsia="宋体" w:cs="宋体"/>
          <w:i w:val="0"/>
          <w:iCs w:val="0"/>
          <w:caps w:val="0"/>
          <w:color w:val="auto"/>
          <w:spacing w:val="0"/>
          <w:sz w:val="24"/>
          <w:szCs w:val="24"/>
          <w:highlight w:val="none"/>
          <w:shd w:val="clear" w:color="auto" w:fill="FFFFFF"/>
        </w:rPr>
      </w:pPr>
      <w:r>
        <w:rPr>
          <w:rFonts w:hint="eastAsia" w:ascii="宋体" w:hAnsi="宋体" w:eastAsia="宋体" w:cs="宋体"/>
          <w:i w:val="0"/>
          <w:iCs w:val="0"/>
          <w:caps w:val="0"/>
          <w:color w:val="auto"/>
          <w:spacing w:val="0"/>
          <w:sz w:val="24"/>
          <w:szCs w:val="24"/>
          <w:highlight w:val="none"/>
          <w:shd w:val="clear" w:color="auto" w:fill="FFFFFF"/>
        </w:rPr>
        <w:t>2.</w:t>
      </w:r>
      <w:r>
        <w:rPr>
          <w:rFonts w:hint="eastAsia" w:ascii="宋体" w:hAnsi="宋体" w:eastAsia="宋体" w:cs="宋体"/>
          <w:i w:val="0"/>
          <w:iCs w:val="0"/>
          <w:caps w:val="0"/>
          <w:color w:val="auto"/>
          <w:spacing w:val="0"/>
          <w:sz w:val="24"/>
          <w:szCs w:val="24"/>
          <w:highlight w:val="none"/>
          <w:shd w:val="clear" w:color="auto" w:fill="FFFFFF"/>
          <w:lang w:eastAsia="zh-CN"/>
        </w:rPr>
        <w:t>供应商</w:t>
      </w:r>
      <w:r>
        <w:rPr>
          <w:rFonts w:hint="eastAsia" w:ascii="宋体" w:hAnsi="宋体" w:eastAsia="宋体" w:cs="宋体"/>
          <w:i w:val="0"/>
          <w:iCs w:val="0"/>
          <w:caps w:val="0"/>
          <w:color w:val="auto"/>
          <w:spacing w:val="0"/>
          <w:sz w:val="24"/>
          <w:szCs w:val="24"/>
          <w:highlight w:val="none"/>
          <w:shd w:val="clear" w:color="auto" w:fill="FFFFFF"/>
        </w:rPr>
        <w:t xml:space="preserve">具有专门固定的售后服务电话。 </w:t>
      </w:r>
    </w:p>
    <w:p w14:paraId="54454654">
      <w:pPr>
        <w:pStyle w:val="18"/>
        <w:keepNext w:val="0"/>
        <w:keepLines w:val="0"/>
        <w:pageBreakBefore w:val="0"/>
        <w:kinsoku/>
        <w:overflowPunct/>
        <w:autoSpaceDE/>
        <w:autoSpaceDN/>
        <w:bidi w:val="0"/>
        <w:spacing w:line="480" w:lineRule="exact"/>
        <w:ind w:left="0" w:firstLine="480" w:firstLineChars="200"/>
        <w:textAlignment w:val="auto"/>
        <w:outlineLvl w:val="9"/>
        <w:rPr>
          <w:rFonts w:hint="eastAsia" w:ascii="宋体" w:hAnsi="宋体" w:eastAsia="宋体" w:cs="宋体"/>
          <w:i w:val="0"/>
          <w:iCs w:val="0"/>
          <w:caps w:val="0"/>
          <w:color w:val="auto"/>
          <w:spacing w:val="0"/>
          <w:sz w:val="24"/>
          <w:szCs w:val="24"/>
          <w:highlight w:val="none"/>
          <w:shd w:val="clear" w:color="auto" w:fill="FFFFFF"/>
        </w:rPr>
      </w:pPr>
      <w:r>
        <w:rPr>
          <w:rFonts w:hint="eastAsia" w:ascii="宋体" w:hAnsi="宋体" w:eastAsia="宋体" w:cs="宋体"/>
          <w:i w:val="0"/>
          <w:iCs w:val="0"/>
          <w:caps w:val="0"/>
          <w:color w:val="auto"/>
          <w:spacing w:val="0"/>
          <w:sz w:val="24"/>
          <w:szCs w:val="24"/>
          <w:highlight w:val="none"/>
          <w:shd w:val="clear" w:color="auto" w:fill="FFFFFF"/>
        </w:rPr>
        <w:t>3.</w:t>
      </w:r>
      <w:r>
        <w:rPr>
          <w:rFonts w:hint="eastAsia" w:ascii="宋体" w:hAnsi="宋体" w:eastAsia="宋体" w:cs="宋体"/>
          <w:i w:val="0"/>
          <w:iCs w:val="0"/>
          <w:caps w:val="0"/>
          <w:color w:val="auto"/>
          <w:spacing w:val="0"/>
          <w:sz w:val="24"/>
          <w:szCs w:val="24"/>
          <w:highlight w:val="none"/>
          <w:shd w:val="clear" w:color="auto" w:fill="FFFFFF"/>
          <w:lang w:eastAsia="zh-CN"/>
        </w:rPr>
        <w:t>供应商</w:t>
      </w:r>
      <w:r>
        <w:rPr>
          <w:rFonts w:hint="eastAsia" w:ascii="宋体" w:hAnsi="宋体" w:eastAsia="宋体" w:cs="宋体"/>
          <w:i w:val="0"/>
          <w:iCs w:val="0"/>
          <w:caps w:val="0"/>
          <w:color w:val="auto"/>
          <w:spacing w:val="0"/>
          <w:sz w:val="24"/>
          <w:szCs w:val="24"/>
          <w:highlight w:val="none"/>
          <w:shd w:val="clear" w:color="auto" w:fill="FFFFFF"/>
        </w:rPr>
        <w:t>针对本项目向采购人提供培训服务，培训内容包括设备的性能、原理、操作、保养和维护等内容，达到采购人可独立使用，培训人数和地点由采购人指定，并在培训后提供技术咨询服务</w:t>
      </w:r>
      <w:r>
        <w:rPr>
          <w:rFonts w:hint="eastAsia" w:ascii="宋体" w:hAnsi="宋体" w:eastAsia="宋体" w:cs="宋体"/>
          <w:i w:val="0"/>
          <w:iCs w:val="0"/>
          <w:caps w:val="0"/>
          <w:color w:val="auto"/>
          <w:spacing w:val="0"/>
          <w:sz w:val="24"/>
          <w:szCs w:val="24"/>
          <w:highlight w:val="none"/>
          <w:shd w:val="clear" w:color="auto" w:fill="FFFFFF"/>
          <w:lang w:eastAsia="zh-CN"/>
        </w:rPr>
        <w:t>，</w:t>
      </w:r>
      <w:r>
        <w:rPr>
          <w:rFonts w:hint="eastAsia" w:ascii="宋体" w:hAnsi="宋体" w:eastAsia="宋体" w:cs="宋体"/>
          <w:i w:val="0"/>
          <w:iCs w:val="0"/>
          <w:caps w:val="0"/>
          <w:color w:val="auto"/>
          <w:spacing w:val="0"/>
          <w:sz w:val="24"/>
          <w:szCs w:val="24"/>
          <w:highlight w:val="none"/>
          <w:shd w:val="clear" w:color="auto" w:fill="FFFFFF"/>
          <w:lang w:val="en-US" w:eastAsia="zh-CN"/>
        </w:rPr>
        <w:t>费用包含在报价中</w:t>
      </w:r>
      <w:r>
        <w:rPr>
          <w:rFonts w:hint="eastAsia" w:ascii="宋体" w:hAnsi="宋体" w:eastAsia="宋体" w:cs="宋体"/>
          <w:i w:val="0"/>
          <w:iCs w:val="0"/>
          <w:caps w:val="0"/>
          <w:color w:val="auto"/>
          <w:spacing w:val="0"/>
          <w:sz w:val="24"/>
          <w:szCs w:val="24"/>
          <w:highlight w:val="none"/>
          <w:shd w:val="clear" w:color="auto" w:fill="FFFFFF"/>
        </w:rPr>
        <w:t xml:space="preserve">。 </w:t>
      </w:r>
    </w:p>
    <w:p w14:paraId="2329932B">
      <w:pPr>
        <w:pStyle w:val="18"/>
        <w:keepNext w:val="0"/>
        <w:keepLines w:val="0"/>
        <w:pageBreakBefore w:val="0"/>
        <w:kinsoku/>
        <w:overflowPunct/>
        <w:autoSpaceDE/>
        <w:autoSpaceDN/>
        <w:bidi w:val="0"/>
        <w:spacing w:line="480" w:lineRule="exact"/>
        <w:ind w:left="0" w:firstLine="480" w:firstLineChars="200"/>
        <w:textAlignment w:val="auto"/>
        <w:outlineLvl w:val="9"/>
        <w:rPr>
          <w:rFonts w:hint="default" w:ascii="宋体" w:hAnsi="宋体" w:eastAsia="宋体" w:cs="宋体"/>
          <w:i w:val="0"/>
          <w:iCs w:val="0"/>
          <w:caps w:val="0"/>
          <w:color w:val="auto"/>
          <w:spacing w:val="0"/>
          <w:sz w:val="24"/>
          <w:szCs w:val="24"/>
          <w:highlight w:val="none"/>
          <w:shd w:val="clear" w:color="auto" w:fill="FFFFFF"/>
          <w:lang w:val="en-US" w:eastAsia="zh-CN"/>
        </w:rPr>
      </w:pPr>
      <w:r>
        <w:rPr>
          <w:rFonts w:hint="eastAsia" w:ascii="宋体" w:hAnsi="宋体" w:eastAsia="宋体" w:cs="宋体"/>
          <w:i w:val="0"/>
          <w:iCs w:val="0"/>
          <w:caps w:val="0"/>
          <w:color w:val="auto"/>
          <w:spacing w:val="0"/>
          <w:sz w:val="24"/>
          <w:szCs w:val="24"/>
          <w:highlight w:val="none"/>
          <w:shd w:val="clear" w:color="auto" w:fill="FFFFFF"/>
        </w:rPr>
        <w:t>4.在质保期内货物出现质量问题，供应商应在接到通知后2小时内到场，6小时内完成维修。设备需更换的应在2个工作日内完成更换</w:t>
      </w:r>
      <w:r>
        <w:rPr>
          <w:rFonts w:hint="eastAsia" w:ascii="宋体" w:hAnsi="宋体" w:eastAsia="宋体" w:cs="宋体"/>
          <w:i w:val="0"/>
          <w:iCs w:val="0"/>
          <w:caps w:val="0"/>
          <w:color w:val="auto"/>
          <w:spacing w:val="0"/>
          <w:sz w:val="24"/>
          <w:szCs w:val="24"/>
          <w:highlight w:val="none"/>
          <w:shd w:val="clear" w:color="auto" w:fill="FFFFFF"/>
          <w:lang w:val="en-US" w:eastAsia="zh-CN"/>
        </w:rPr>
        <w:t>。</w:t>
      </w:r>
    </w:p>
    <w:p w14:paraId="32E62DBE">
      <w:pPr>
        <w:pStyle w:val="18"/>
        <w:keepNext w:val="0"/>
        <w:keepLines w:val="0"/>
        <w:pageBreakBefore w:val="0"/>
        <w:kinsoku/>
        <w:overflowPunct/>
        <w:autoSpaceDE/>
        <w:autoSpaceDN/>
        <w:bidi w:val="0"/>
        <w:spacing w:line="480" w:lineRule="exact"/>
        <w:ind w:left="0" w:firstLine="480" w:firstLineChars="200"/>
        <w:textAlignment w:val="auto"/>
        <w:outlineLvl w:val="9"/>
        <w:rPr>
          <w:rFonts w:hint="eastAsia" w:ascii="宋体" w:hAnsi="宋体" w:eastAsia="宋体" w:cs="宋体"/>
          <w:i w:val="0"/>
          <w:iCs w:val="0"/>
          <w:caps w:val="0"/>
          <w:color w:val="auto"/>
          <w:spacing w:val="0"/>
          <w:sz w:val="24"/>
          <w:szCs w:val="24"/>
          <w:highlight w:val="none"/>
          <w:shd w:val="clear" w:color="auto" w:fill="FFFFFF"/>
        </w:rPr>
      </w:pPr>
      <w:r>
        <w:rPr>
          <w:rFonts w:hint="eastAsia" w:ascii="宋体" w:hAnsi="宋体" w:eastAsia="宋体" w:cs="宋体"/>
          <w:i w:val="0"/>
          <w:iCs w:val="0"/>
          <w:caps w:val="0"/>
          <w:color w:val="auto"/>
          <w:spacing w:val="0"/>
          <w:sz w:val="24"/>
          <w:szCs w:val="24"/>
          <w:highlight w:val="none"/>
          <w:shd w:val="clear" w:color="auto" w:fill="FFFFFF"/>
        </w:rPr>
        <w:t>5.货物经</w:t>
      </w:r>
      <w:r>
        <w:rPr>
          <w:rFonts w:hint="eastAsia" w:ascii="宋体" w:hAnsi="宋体" w:eastAsia="宋体" w:cs="宋体"/>
          <w:i w:val="0"/>
          <w:iCs w:val="0"/>
          <w:caps w:val="0"/>
          <w:color w:val="auto"/>
          <w:spacing w:val="0"/>
          <w:sz w:val="24"/>
          <w:szCs w:val="24"/>
          <w:highlight w:val="none"/>
          <w:shd w:val="clear" w:color="auto" w:fill="FFFFFF"/>
          <w:lang w:eastAsia="zh-CN"/>
        </w:rPr>
        <w:t>供应商</w:t>
      </w:r>
      <w:r>
        <w:rPr>
          <w:rFonts w:hint="eastAsia" w:ascii="宋体" w:hAnsi="宋体" w:eastAsia="宋体" w:cs="宋体"/>
          <w:i w:val="0"/>
          <w:iCs w:val="0"/>
          <w:caps w:val="0"/>
          <w:color w:val="auto"/>
          <w:spacing w:val="0"/>
          <w:sz w:val="24"/>
          <w:szCs w:val="24"/>
          <w:highlight w:val="none"/>
          <w:shd w:val="clear" w:color="auto" w:fill="FFFFFF"/>
        </w:rPr>
        <w:t xml:space="preserve">3次维修或更换仍不能达到本合同约定的质量标准，视作供应商未能按时交货，采购人有权退货并追究供应商的违约责任。 </w:t>
      </w:r>
    </w:p>
    <w:p w14:paraId="0A163588">
      <w:pPr>
        <w:pStyle w:val="18"/>
        <w:keepNext w:val="0"/>
        <w:keepLines w:val="0"/>
        <w:pageBreakBefore w:val="0"/>
        <w:kinsoku/>
        <w:overflowPunct/>
        <w:autoSpaceDE/>
        <w:autoSpaceDN/>
        <w:bidi w:val="0"/>
        <w:spacing w:line="480" w:lineRule="exact"/>
        <w:ind w:left="0" w:firstLine="480" w:firstLineChars="200"/>
        <w:textAlignment w:val="auto"/>
        <w:outlineLvl w:val="9"/>
        <w:rPr>
          <w:rFonts w:hint="eastAsia" w:ascii="宋体" w:hAnsi="宋体" w:eastAsia="宋体" w:cs="宋体"/>
          <w:i w:val="0"/>
          <w:iCs w:val="0"/>
          <w:caps w:val="0"/>
          <w:color w:val="auto"/>
          <w:spacing w:val="0"/>
          <w:sz w:val="24"/>
          <w:szCs w:val="24"/>
          <w:highlight w:val="none"/>
          <w:shd w:val="clear" w:color="auto" w:fill="FFFFFF"/>
        </w:rPr>
      </w:pPr>
      <w:r>
        <w:rPr>
          <w:rFonts w:hint="eastAsia" w:ascii="宋体" w:hAnsi="宋体" w:eastAsia="宋体" w:cs="宋体"/>
          <w:i w:val="0"/>
          <w:iCs w:val="0"/>
          <w:caps w:val="0"/>
          <w:color w:val="auto"/>
          <w:spacing w:val="0"/>
          <w:sz w:val="24"/>
          <w:szCs w:val="24"/>
          <w:highlight w:val="none"/>
          <w:shd w:val="clear" w:color="auto" w:fill="FFFFFF"/>
        </w:rPr>
        <w:t>6.</w:t>
      </w:r>
      <w:r>
        <w:rPr>
          <w:rFonts w:hint="eastAsia" w:ascii="宋体" w:hAnsi="宋体" w:eastAsia="宋体" w:cs="宋体"/>
          <w:i w:val="0"/>
          <w:iCs w:val="0"/>
          <w:caps w:val="0"/>
          <w:color w:val="auto"/>
          <w:spacing w:val="0"/>
          <w:sz w:val="24"/>
          <w:szCs w:val="24"/>
          <w:highlight w:val="none"/>
          <w:shd w:val="clear" w:color="auto" w:fill="FFFFFF"/>
          <w:lang w:eastAsia="zh-CN"/>
        </w:rPr>
        <w:t>供应商</w:t>
      </w:r>
      <w:r>
        <w:rPr>
          <w:rFonts w:hint="eastAsia" w:ascii="宋体" w:hAnsi="宋体" w:eastAsia="宋体" w:cs="宋体"/>
          <w:i w:val="0"/>
          <w:iCs w:val="0"/>
          <w:caps w:val="0"/>
          <w:color w:val="auto"/>
          <w:spacing w:val="0"/>
          <w:sz w:val="24"/>
          <w:szCs w:val="24"/>
          <w:highlight w:val="none"/>
          <w:shd w:val="clear" w:color="auto" w:fill="FFFFFF"/>
        </w:rPr>
        <w:t xml:space="preserve">承诺项目全部货物的各种部件均保证齐备、充足供应，若因产品升级更新等原因不能保障供应造成采购人损失的，供应商承担全部赔偿责任，在交货时需向采购人提供货物常规备品备件。 </w:t>
      </w:r>
    </w:p>
    <w:p w14:paraId="1044E78B">
      <w:pPr>
        <w:pStyle w:val="18"/>
        <w:keepNext w:val="0"/>
        <w:keepLines w:val="0"/>
        <w:pageBreakBefore w:val="0"/>
        <w:kinsoku/>
        <w:overflowPunct/>
        <w:autoSpaceDE/>
        <w:autoSpaceDN/>
        <w:bidi w:val="0"/>
        <w:spacing w:line="480" w:lineRule="exact"/>
        <w:ind w:left="0" w:firstLine="480" w:firstLineChars="200"/>
        <w:textAlignment w:val="auto"/>
        <w:outlineLvl w:val="9"/>
        <w:rPr>
          <w:rFonts w:hint="eastAsia" w:ascii="宋体" w:hAnsi="宋体" w:eastAsia="宋体" w:cs="宋体"/>
          <w:i w:val="0"/>
          <w:iCs w:val="0"/>
          <w:caps w:val="0"/>
          <w:color w:val="auto"/>
          <w:spacing w:val="0"/>
          <w:sz w:val="24"/>
          <w:szCs w:val="24"/>
          <w:highlight w:val="none"/>
          <w:shd w:val="clear" w:color="auto" w:fill="FFFFFF"/>
        </w:rPr>
      </w:pPr>
      <w:r>
        <w:rPr>
          <w:rFonts w:hint="eastAsia" w:ascii="宋体" w:hAnsi="宋体" w:eastAsia="宋体" w:cs="宋体"/>
          <w:i w:val="0"/>
          <w:iCs w:val="0"/>
          <w:caps w:val="0"/>
          <w:color w:val="auto"/>
          <w:spacing w:val="0"/>
          <w:sz w:val="24"/>
          <w:szCs w:val="24"/>
          <w:highlight w:val="none"/>
          <w:shd w:val="clear" w:color="auto" w:fill="FFFFFF"/>
        </w:rPr>
        <w:t>7.质保期内</w:t>
      </w:r>
      <w:r>
        <w:rPr>
          <w:rFonts w:hint="eastAsia" w:ascii="宋体" w:hAnsi="宋体" w:eastAsia="宋体" w:cs="宋体"/>
          <w:i w:val="0"/>
          <w:iCs w:val="0"/>
          <w:caps w:val="0"/>
          <w:color w:val="auto"/>
          <w:spacing w:val="0"/>
          <w:sz w:val="24"/>
          <w:szCs w:val="24"/>
          <w:highlight w:val="none"/>
          <w:shd w:val="clear" w:color="auto" w:fill="FFFFFF"/>
          <w:lang w:eastAsia="zh-CN"/>
        </w:rPr>
        <w:t>供应商</w:t>
      </w:r>
      <w:r>
        <w:rPr>
          <w:rFonts w:hint="eastAsia" w:ascii="宋体" w:hAnsi="宋体" w:eastAsia="宋体" w:cs="宋体"/>
          <w:i w:val="0"/>
          <w:iCs w:val="0"/>
          <w:caps w:val="0"/>
          <w:color w:val="auto"/>
          <w:spacing w:val="0"/>
          <w:sz w:val="24"/>
          <w:szCs w:val="24"/>
          <w:highlight w:val="none"/>
          <w:shd w:val="clear" w:color="auto" w:fill="FFFFFF"/>
        </w:rPr>
        <w:t>负责所有因货物质量问题而产生的费用，所有服务</w:t>
      </w:r>
      <w:r>
        <w:rPr>
          <w:rFonts w:hint="eastAsia" w:ascii="宋体" w:hAnsi="宋体" w:eastAsia="宋体" w:cs="宋体"/>
          <w:i w:val="0"/>
          <w:iCs w:val="0"/>
          <w:caps w:val="0"/>
          <w:color w:val="auto"/>
          <w:spacing w:val="0"/>
          <w:sz w:val="24"/>
          <w:szCs w:val="24"/>
          <w:highlight w:val="none"/>
          <w:shd w:val="clear" w:color="auto" w:fill="FFFFFF"/>
          <w:lang w:val="en-US" w:eastAsia="zh-CN"/>
        </w:rPr>
        <w:t>采购人不再支付费用</w:t>
      </w:r>
      <w:r>
        <w:rPr>
          <w:rFonts w:hint="eastAsia" w:ascii="宋体" w:hAnsi="宋体" w:eastAsia="宋体" w:cs="宋体"/>
          <w:i w:val="0"/>
          <w:iCs w:val="0"/>
          <w:caps w:val="0"/>
          <w:color w:val="auto"/>
          <w:spacing w:val="0"/>
          <w:sz w:val="24"/>
          <w:szCs w:val="24"/>
          <w:highlight w:val="none"/>
          <w:shd w:val="clear" w:color="auto" w:fill="FFFFFF"/>
        </w:rPr>
        <w:t xml:space="preserve">。质保期满前一个月，供应商负责一次全面的检查、维护，并出具正式报告，如发现潜在问题，应负责排除不收取任何费用。 </w:t>
      </w:r>
    </w:p>
    <w:p w14:paraId="72A9322E">
      <w:pPr>
        <w:pStyle w:val="18"/>
        <w:keepNext w:val="0"/>
        <w:keepLines w:val="0"/>
        <w:pageBreakBefore w:val="0"/>
        <w:kinsoku/>
        <w:overflowPunct/>
        <w:autoSpaceDE/>
        <w:autoSpaceDN/>
        <w:bidi w:val="0"/>
        <w:spacing w:line="480" w:lineRule="exact"/>
        <w:ind w:left="0" w:firstLine="480" w:firstLineChars="200"/>
        <w:textAlignment w:val="auto"/>
        <w:outlineLvl w:val="9"/>
        <w:rPr>
          <w:rFonts w:hint="eastAsia" w:eastAsia="宋体"/>
          <w:highlight w:val="none"/>
          <w:lang w:val="en-US" w:eastAsia="zh-CN"/>
        </w:rPr>
      </w:pPr>
      <w:r>
        <w:rPr>
          <w:rFonts w:hint="eastAsia" w:ascii="宋体" w:hAnsi="宋体" w:eastAsia="宋体" w:cs="宋体"/>
          <w:i w:val="0"/>
          <w:iCs w:val="0"/>
          <w:caps w:val="0"/>
          <w:color w:val="auto"/>
          <w:spacing w:val="0"/>
          <w:sz w:val="24"/>
          <w:szCs w:val="24"/>
          <w:highlight w:val="none"/>
          <w:shd w:val="clear" w:color="auto" w:fill="FFFFFF"/>
        </w:rPr>
        <w:t>8.质保期内，</w:t>
      </w:r>
      <w:r>
        <w:rPr>
          <w:rFonts w:hint="eastAsia" w:ascii="宋体" w:hAnsi="宋体" w:eastAsia="宋体" w:cs="宋体"/>
          <w:i w:val="0"/>
          <w:iCs w:val="0"/>
          <w:caps w:val="0"/>
          <w:color w:val="auto"/>
          <w:spacing w:val="0"/>
          <w:sz w:val="24"/>
          <w:szCs w:val="24"/>
          <w:highlight w:val="none"/>
          <w:shd w:val="clear" w:color="auto" w:fill="FFFFFF"/>
          <w:lang w:eastAsia="zh-CN"/>
        </w:rPr>
        <w:t>供应商</w:t>
      </w:r>
      <w:r>
        <w:rPr>
          <w:rFonts w:hint="eastAsia" w:ascii="宋体" w:hAnsi="宋体" w:eastAsia="宋体" w:cs="宋体"/>
          <w:i w:val="0"/>
          <w:iCs w:val="0"/>
          <w:caps w:val="0"/>
          <w:color w:val="auto"/>
          <w:spacing w:val="0"/>
          <w:sz w:val="24"/>
          <w:szCs w:val="24"/>
          <w:highlight w:val="none"/>
          <w:shd w:val="clear" w:color="auto" w:fill="FFFFFF"/>
        </w:rPr>
        <w:t>保证每年巡视维护设备不低于2次，每年对货物进行2次保养和安全检测。</w:t>
      </w:r>
    </w:p>
    <w:p w14:paraId="09556B4A">
      <w:pPr>
        <w:pStyle w:val="11"/>
        <w:spacing w:line="520" w:lineRule="exact"/>
        <w:rPr>
          <w:rFonts w:hint="eastAsia" w:ascii="宋体" w:hAnsi="宋体" w:eastAsia="宋体" w:cs="Times New Roman"/>
          <w:b/>
          <w:snapToGrid w:val="0"/>
          <w:sz w:val="24"/>
          <w:szCs w:val="24"/>
        </w:rPr>
      </w:pPr>
      <w:bookmarkStart w:id="26" w:name="_Toc23053"/>
      <w:r>
        <w:rPr>
          <w:rFonts w:hint="eastAsia" w:ascii="宋体" w:hAnsi="宋体" w:eastAsia="宋体" w:cs="Times New Roman"/>
          <w:b/>
          <w:bCs w:val="0"/>
          <w:sz w:val="24"/>
          <w:szCs w:val="24"/>
          <w:lang w:eastAsia="zh-CN"/>
        </w:rPr>
        <w:t>甲方</w:t>
      </w:r>
      <w:r>
        <w:rPr>
          <w:rFonts w:hint="eastAsia" w:ascii="宋体" w:hAnsi="宋体" w:eastAsia="宋体" w:cs="Times New Roman"/>
          <w:b/>
          <w:snapToGrid w:val="0"/>
          <w:sz w:val="24"/>
          <w:szCs w:val="24"/>
        </w:rPr>
        <w:t>的权利和义务</w:t>
      </w:r>
      <w:bookmarkEnd w:id="26"/>
    </w:p>
    <w:p w14:paraId="58B6BEA4">
      <w:pPr>
        <w:pStyle w:val="19"/>
        <w:numPr>
          <w:ilvl w:val="4"/>
          <w:numId w:val="5"/>
        </w:numPr>
        <w:spacing w:line="440" w:lineRule="exact"/>
        <w:ind w:firstLine="480" w:firstLineChars="200"/>
        <w:rPr>
          <w:rFonts w:hint="eastAsia" w:ascii="宋体" w:hAnsi="宋体" w:eastAsia="宋体" w:cs="宋体"/>
          <w:bCs/>
          <w:snapToGrid/>
          <w:sz w:val="24"/>
          <w:szCs w:val="24"/>
          <w:highlight w:val="none"/>
        </w:rPr>
      </w:pPr>
      <w:r>
        <w:rPr>
          <w:rFonts w:hint="eastAsia" w:ascii="宋体" w:hAnsi="宋体" w:eastAsia="宋体" w:cs="宋体"/>
          <w:bCs/>
          <w:snapToGrid/>
          <w:sz w:val="24"/>
          <w:szCs w:val="24"/>
          <w:lang w:eastAsia="zh-CN"/>
        </w:rPr>
        <w:t>甲方</w:t>
      </w:r>
      <w:r>
        <w:rPr>
          <w:rFonts w:hint="eastAsia" w:ascii="宋体" w:hAnsi="宋体" w:eastAsia="宋体" w:cs="宋体"/>
          <w:bCs/>
          <w:snapToGrid/>
          <w:sz w:val="24"/>
          <w:szCs w:val="24"/>
        </w:rPr>
        <w:t>有权对合同</w:t>
      </w:r>
      <w:r>
        <w:rPr>
          <w:rFonts w:hint="eastAsia" w:ascii="宋体" w:hAnsi="宋体" w:eastAsia="宋体" w:cs="宋体"/>
          <w:bCs/>
          <w:snapToGrid/>
          <w:sz w:val="24"/>
          <w:szCs w:val="24"/>
          <w:highlight w:val="none"/>
        </w:rPr>
        <w:t>规定范围内供应商的</w:t>
      </w:r>
      <w:r>
        <w:rPr>
          <w:rFonts w:hint="eastAsia" w:ascii="宋体" w:hAnsi="宋体" w:eastAsia="宋体" w:cs="宋体"/>
          <w:bCs/>
          <w:snapToGrid/>
          <w:sz w:val="24"/>
          <w:szCs w:val="24"/>
          <w:highlight w:val="none"/>
          <w:lang w:val="en-US" w:eastAsia="zh-CN"/>
        </w:rPr>
        <w:t>履约</w:t>
      </w:r>
      <w:r>
        <w:rPr>
          <w:rFonts w:hint="eastAsia" w:ascii="宋体" w:hAnsi="宋体" w:eastAsia="宋体" w:cs="宋体"/>
          <w:bCs/>
          <w:snapToGrid/>
          <w:sz w:val="24"/>
          <w:szCs w:val="24"/>
          <w:highlight w:val="none"/>
        </w:rPr>
        <w:t>行为进行监督和检查，拥有监管等权利。对</w:t>
      </w:r>
      <w:r>
        <w:rPr>
          <w:rFonts w:hint="eastAsia" w:ascii="宋体" w:hAnsi="宋体" w:eastAsia="宋体" w:cs="宋体"/>
          <w:bCs/>
          <w:snapToGrid/>
          <w:sz w:val="24"/>
          <w:szCs w:val="24"/>
          <w:highlight w:val="none"/>
          <w:lang w:eastAsia="zh-CN"/>
        </w:rPr>
        <w:t>甲方</w:t>
      </w:r>
      <w:r>
        <w:rPr>
          <w:rFonts w:hint="eastAsia" w:ascii="宋体" w:hAnsi="宋体" w:eastAsia="宋体" w:cs="宋体"/>
          <w:bCs/>
          <w:snapToGrid/>
          <w:sz w:val="24"/>
          <w:szCs w:val="24"/>
          <w:highlight w:val="none"/>
        </w:rPr>
        <w:t>认为不合理的部分有权下达整改通知书，并要求</w:t>
      </w:r>
      <w:r>
        <w:rPr>
          <w:rFonts w:hint="eastAsia" w:ascii="宋体" w:hAnsi="宋体" w:eastAsia="宋体" w:cs="宋体"/>
          <w:bCs/>
          <w:snapToGrid/>
          <w:sz w:val="24"/>
          <w:szCs w:val="24"/>
          <w:highlight w:val="none"/>
          <w:lang w:eastAsia="zh-CN"/>
        </w:rPr>
        <w:t>乙方</w:t>
      </w:r>
      <w:r>
        <w:rPr>
          <w:rFonts w:hint="eastAsia" w:ascii="宋体" w:hAnsi="宋体" w:eastAsia="宋体" w:cs="宋体"/>
          <w:bCs/>
          <w:snapToGrid/>
          <w:sz w:val="24"/>
          <w:szCs w:val="24"/>
          <w:highlight w:val="none"/>
        </w:rPr>
        <w:t>限期整改。</w:t>
      </w:r>
    </w:p>
    <w:p w14:paraId="79585A97">
      <w:pPr>
        <w:pStyle w:val="19"/>
        <w:numPr>
          <w:ilvl w:val="4"/>
          <w:numId w:val="5"/>
        </w:numPr>
        <w:spacing w:line="440" w:lineRule="exact"/>
        <w:ind w:firstLine="480" w:firstLineChars="200"/>
        <w:rPr>
          <w:rFonts w:hint="eastAsia" w:ascii="宋体" w:hAnsi="宋体" w:eastAsia="宋体" w:cs="宋体"/>
          <w:bCs/>
          <w:snapToGrid/>
          <w:sz w:val="24"/>
          <w:szCs w:val="24"/>
          <w:highlight w:val="none"/>
        </w:rPr>
      </w:pPr>
      <w:r>
        <w:rPr>
          <w:rFonts w:hint="eastAsia" w:ascii="宋体" w:hAnsi="宋体" w:eastAsia="宋体" w:cs="宋体"/>
          <w:bCs/>
          <w:snapToGrid/>
          <w:sz w:val="24"/>
          <w:szCs w:val="24"/>
          <w:highlight w:val="none"/>
        </w:rPr>
        <w:t>负责检查监督供应商</w:t>
      </w:r>
      <w:r>
        <w:rPr>
          <w:rFonts w:hint="eastAsia" w:ascii="宋体" w:hAnsi="宋体" w:eastAsia="宋体" w:cs="宋体"/>
          <w:bCs/>
          <w:snapToGrid/>
          <w:sz w:val="24"/>
          <w:szCs w:val="24"/>
          <w:highlight w:val="none"/>
          <w:lang w:eastAsia="zh-CN"/>
        </w:rPr>
        <w:t>履约</w:t>
      </w:r>
      <w:r>
        <w:rPr>
          <w:rFonts w:hint="eastAsia" w:ascii="宋体" w:hAnsi="宋体" w:eastAsia="宋体" w:cs="宋体"/>
          <w:bCs/>
          <w:snapToGrid/>
          <w:sz w:val="24"/>
          <w:szCs w:val="24"/>
          <w:highlight w:val="none"/>
        </w:rPr>
        <w:t>情况。</w:t>
      </w:r>
    </w:p>
    <w:p w14:paraId="619EF5EA">
      <w:pPr>
        <w:pStyle w:val="19"/>
        <w:numPr>
          <w:ilvl w:val="4"/>
          <w:numId w:val="5"/>
        </w:numPr>
        <w:spacing w:line="440" w:lineRule="exact"/>
        <w:ind w:firstLine="480" w:firstLineChars="200"/>
        <w:rPr>
          <w:rFonts w:hint="eastAsia" w:ascii="宋体" w:hAnsi="宋体" w:eastAsia="宋体" w:cs="宋体"/>
          <w:bCs/>
          <w:snapToGrid/>
          <w:sz w:val="24"/>
          <w:szCs w:val="24"/>
        </w:rPr>
      </w:pPr>
      <w:r>
        <w:rPr>
          <w:rFonts w:hint="eastAsia" w:ascii="宋体" w:hAnsi="宋体" w:eastAsia="宋体" w:cs="宋体"/>
          <w:bCs/>
          <w:snapToGrid/>
          <w:sz w:val="24"/>
          <w:szCs w:val="24"/>
        </w:rPr>
        <w:t>根据本合同规定，按时向</w:t>
      </w:r>
      <w:r>
        <w:rPr>
          <w:rFonts w:hint="eastAsia" w:ascii="宋体" w:hAnsi="宋体" w:eastAsia="宋体" w:cs="宋体"/>
          <w:bCs/>
          <w:snapToGrid/>
          <w:sz w:val="24"/>
          <w:szCs w:val="24"/>
          <w:lang w:eastAsia="zh-CN"/>
        </w:rPr>
        <w:t>乙方</w:t>
      </w:r>
      <w:r>
        <w:rPr>
          <w:rFonts w:hint="eastAsia" w:ascii="宋体" w:hAnsi="宋体" w:eastAsia="宋体" w:cs="宋体"/>
          <w:bCs/>
          <w:snapToGrid/>
          <w:sz w:val="24"/>
          <w:szCs w:val="24"/>
        </w:rPr>
        <w:t>支付应付</w:t>
      </w:r>
      <w:r>
        <w:rPr>
          <w:rFonts w:hint="eastAsia" w:ascii="宋体" w:hAnsi="宋体" w:eastAsia="宋体" w:cs="宋体"/>
          <w:bCs/>
          <w:snapToGrid/>
          <w:sz w:val="24"/>
          <w:szCs w:val="24"/>
          <w:lang w:eastAsia="zh-CN"/>
        </w:rPr>
        <w:t>相关</w:t>
      </w:r>
      <w:r>
        <w:rPr>
          <w:rFonts w:hint="eastAsia" w:ascii="宋体" w:hAnsi="宋体" w:eastAsia="宋体" w:cs="宋体"/>
          <w:bCs/>
          <w:snapToGrid/>
          <w:sz w:val="24"/>
          <w:szCs w:val="24"/>
        </w:rPr>
        <w:t>费用。</w:t>
      </w:r>
    </w:p>
    <w:p w14:paraId="5A67B002">
      <w:pPr>
        <w:pStyle w:val="19"/>
        <w:numPr>
          <w:ilvl w:val="4"/>
          <w:numId w:val="5"/>
        </w:numPr>
        <w:spacing w:line="440" w:lineRule="exact"/>
        <w:ind w:firstLine="480" w:firstLineChars="200"/>
        <w:rPr>
          <w:rFonts w:hint="eastAsia"/>
        </w:rPr>
      </w:pPr>
      <w:r>
        <w:rPr>
          <w:rFonts w:hint="eastAsia" w:ascii="宋体" w:hAnsi="宋体" w:eastAsia="宋体" w:cs="宋体"/>
          <w:bCs/>
          <w:snapToGrid/>
          <w:sz w:val="24"/>
          <w:szCs w:val="24"/>
        </w:rPr>
        <w:t>国家法律、法规所规定由</w:t>
      </w:r>
      <w:r>
        <w:rPr>
          <w:rFonts w:hint="eastAsia" w:ascii="宋体" w:hAnsi="宋体" w:eastAsia="宋体" w:cs="宋体"/>
          <w:bCs/>
          <w:snapToGrid/>
          <w:sz w:val="24"/>
          <w:szCs w:val="24"/>
          <w:lang w:eastAsia="zh-CN"/>
        </w:rPr>
        <w:t>甲方</w:t>
      </w:r>
      <w:r>
        <w:rPr>
          <w:rFonts w:hint="eastAsia" w:ascii="宋体" w:hAnsi="宋体" w:eastAsia="宋体" w:cs="宋体"/>
          <w:bCs/>
          <w:snapToGrid/>
          <w:sz w:val="24"/>
          <w:szCs w:val="24"/>
        </w:rPr>
        <w:t>承担的其它责任。</w:t>
      </w:r>
    </w:p>
    <w:p w14:paraId="3A785E48">
      <w:pPr>
        <w:pStyle w:val="11"/>
        <w:spacing w:line="520" w:lineRule="exact"/>
        <w:rPr>
          <w:rFonts w:hint="eastAsia" w:ascii="宋体" w:hAnsi="宋体" w:eastAsia="宋体" w:cs="Times New Roman"/>
          <w:b/>
          <w:snapToGrid w:val="0"/>
          <w:sz w:val="24"/>
          <w:szCs w:val="24"/>
          <w:highlight w:val="none"/>
        </w:rPr>
      </w:pPr>
      <w:bookmarkStart w:id="27" w:name="_Toc12615"/>
      <w:bookmarkStart w:id="28" w:name="_Toc15807"/>
      <w:bookmarkStart w:id="29" w:name="_Toc22075"/>
      <w:bookmarkStart w:id="30" w:name="_Toc30634"/>
      <w:r>
        <w:rPr>
          <w:rFonts w:hint="eastAsia" w:ascii="宋体" w:hAnsi="宋体" w:eastAsia="宋体" w:cs="Times New Roman"/>
          <w:b/>
          <w:bCs w:val="0"/>
          <w:sz w:val="24"/>
          <w:szCs w:val="24"/>
          <w:lang w:val="en-US" w:eastAsia="zh-CN"/>
        </w:rPr>
        <w:t>乙方</w:t>
      </w:r>
      <w:r>
        <w:rPr>
          <w:rFonts w:hint="eastAsia" w:ascii="宋体" w:hAnsi="宋体" w:eastAsia="宋体" w:cs="Times New Roman"/>
          <w:b/>
          <w:snapToGrid w:val="0"/>
          <w:sz w:val="24"/>
          <w:szCs w:val="24"/>
        </w:rPr>
        <w:t>的权利和义务</w:t>
      </w:r>
      <w:bookmarkEnd w:id="27"/>
    </w:p>
    <w:p w14:paraId="2E988483">
      <w:pPr>
        <w:pStyle w:val="19"/>
        <w:numPr>
          <w:ilvl w:val="4"/>
          <w:numId w:val="6"/>
        </w:numPr>
        <w:spacing w:line="440" w:lineRule="exact"/>
        <w:ind w:firstLine="480" w:firstLineChars="200"/>
        <w:rPr>
          <w:rFonts w:hint="eastAsia" w:ascii="宋体" w:hAnsi="宋体" w:eastAsia="宋体" w:cs="宋体"/>
          <w:bCs/>
          <w:snapToGrid/>
          <w:sz w:val="24"/>
          <w:szCs w:val="24"/>
          <w:highlight w:val="none"/>
        </w:rPr>
      </w:pPr>
      <w:r>
        <w:rPr>
          <w:rFonts w:hint="eastAsia" w:ascii="宋体" w:hAnsi="宋体" w:eastAsia="宋体" w:cs="宋体"/>
          <w:bCs/>
          <w:snapToGrid/>
          <w:sz w:val="24"/>
          <w:szCs w:val="24"/>
          <w:highlight w:val="none"/>
        </w:rPr>
        <w:t>对本合同规定的委托服务范围内的项目享有管理权及服务义务。</w:t>
      </w:r>
    </w:p>
    <w:p w14:paraId="5251C0C8">
      <w:pPr>
        <w:pStyle w:val="19"/>
        <w:numPr>
          <w:ilvl w:val="4"/>
          <w:numId w:val="6"/>
        </w:numPr>
        <w:spacing w:line="440" w:lineRule="exact"/>
        <w:ind w:firstLine="480" w:firstLineChars="200"/>
        <w:rPr>
          <w:rFonts w:hint="eastAsia" w:ascii="宋体" w:hAnsi="宋体" w:eastAsia="宋体" w:cs="宋体"/>
          <w:bCs/>
          <w:snapToGrid/>
          <w:sz w:val="24"/>
          <w:szCs w:val="24"/>
          <w:highlight w:val="none"/>
        </w:rPr>
      </w:pPr>
      <w:r>
        <w:rPr>
          <w:rFonts w:hint="eastAsia" w:ascii="宋体" w:hAnsi="宋体" w:eastAsia="宋体" w:cs="宋体"/>
          <w:bCs/>
          <w:snapToGrid/>
          <w:sz w:val="24"/>
          <w:szCs w:val="24"/>
          <w:highlight w:val="none"/>
        </w:rPr>
        <w:t>根据本合同的规定向</w:t>
      </w:r>
      <w:r>
        <w:rPr>
          <w:rFonts w:hint="eastAsia" w:ascii="宋体" w:hAnsi="宋体" w:eastAsia="宋体" w:cs="宋体"/>
          <w:bCs/>
          <w:snapToGrid/>
          <w:sz w:val="24"/>
          <w:szCs w:val="24"/>
          <w:highlight w:val="none"/>
          <w:lang w:eastAsia="zh-CN"/>
        </w:rPr>
        <w:t>甲方</w:t>
      </w:r>
      <w:r>
        <w:rPr>
          <w:rFonts w:hint="eastAsia" w:ascii="宋体" w:hAnsi="宋体" w:eastAsia="宋体" w:cs="宋体"/>
          <w:bCs/>
          <w:snapToGrid/>
          <w:sz w:val="24"/>
          <w:szCs w:val="24"/>
          <w:highlight w:val="none"/>
        </w:rPr>
        <w:t>收取相关费用。</w:t>
      </w:r>
    </w:p>
    <w:p w14:paraId="77D5269E">
      <w:pPr>
        <w:pStyle w:val="19"/>
        <w:numPr>
          <w:ilvl w:val="4"/>
          <w:numId w:val="6"/>
        </w:numPr>
        <w:spacing w:line="440" w:lineRule="exact"/>
        <w:ind w:firstLine="480" w:firstLineChars="200"/>
        <w:rPr>
          <w:rFonts w:hint="eastAsia" w:ascii="宋体" w:hAnsi="宋体" w:eastAsia="宋体" w:cs="宋体"/>
          <w:bCs/>
          <w:snapToGrid/>
          <w:sz w:val="24"/>
          <w:szCs w:val="24"/>
          <w:highlight w:val="none"/>
        </w:rPr>
      </w:pPr>
      <w:r>
        <w:rPr>
          <w:rFonts w:hint="eastAsia" w:ascii="宋体" w:hAnsi="宋体" w:eastAsia="宋体" w:cs="宋体"/>
          <w:bCs/>
          <w:snapToGrid/>
          <w:sz w:val="24"/>
          <w:szCs w:val="24"/>
          <w:highlight w:val="none"/>
        </w:rPr>
        <w:t>及时向</w:t>
      </w:r>
      <w:r>
        <w:rPr>
          <w:rFonts w:hint="eastAsia" w:ascii="宋体" w:hAnsi="宋体" w:eastAsia="宋体" w:cs="宋体"/>
          <w:bCs/>
          <w:snapToGrid/>
          <w:sz w:val="24"/>
          <w:szCs w:val="24"/>
          <w:highlight w:val="none"/>
          <w:lang w:eastAsia="zh-CN"/>
        </w:rPr>
        <w:t>甲方</w:t>
      </w:r>
      <w:r>
        <w:rPr>
          <w:rFonts w:hint="eastAsia" w:ascii="宋体" w:hAnsi="宋体" w:eastAsia="宋体" w:cs="宋体"/>
          <w:bCs/>
          <w:snapToGrid/>
          <w:sz w:val="24"/>
          <w:szCs w:val="24"/>
          <w:highlight w:val="none"/>
        </w:rPr>
        <w:t>通告本项目</w:t>
      </w:r>
      <w:r>
        <w:rPr>
          <w:rFonts w:hint="eastAsia" w:ascii="宋体" w:hAnsi="宋体" w:eastAsia="宋体" w:cs="宋体"/>
          <w:bCs/>
          <w:snapToGrid/>
          <w:sz w:val="24"/>
          <w:szCs w:val="24"/>
          <w:highlight w:val="none"/>
          <w:lang w:val="en-US" w:eastAsia="zh-CN"/>
        </w:rPr>
        <w:t>履约</w:t>
      </w:r>
      <w:r>
        <w:rPr>
          <w:rFonts w:hint="eastAsia" w:ascii="宋体" w:hAnsi="宋体" w:eastAsia="宋体" w:cs="宋体"/>
          <w:bCs/>
          <w:snapToGrid/>
          <w:sz w:val="24"/>
          <w:szCs w:val="24"/>
          <w:highlight w:val="none"/>
        </w:rPr>
        <w:t>范围内有关重大事项，及时配合处理投诉。</w:t>
      </w:r>
    </w:p>
    <w:p w14:paraId="15D3C861">
      <w:pPr>
        <w:pStyle w:val="19"/>
        <w:numPr>
          <w:ilvl w:val="4"/>
          <w:numId w:val="6"/>
        </w:numPr>
        <w:spacing w:line="440" w:lineRule="exact"/>
        <w:ind w:firstLine="480" w:firstLineChars="200"/>
        <w:rPr>
          <w:rFonts w:hint="eastAsia" w:ascii="宋体" w:hAnsi="宋体" w:eastAsia="宋体" w:cs="宋体"/>
          <w:bCs/>
          <w:snapToGrid/>
          <w:sz w:val="24"/>
          <w:szCs w:val="24"/>
        </w:rPr>
      </w:pPr>
      <w:r>
        <w:rPr>
          <w:rFonts w:hint="eastAsia" w:ascii="宋体" w:hAnsi="宋体" w:eastAsia="宋体" w:cs="宋体"/>
          <w:bCs/>
          <w:snapToGrid/>
          <w:sz w:val="24"/>
          <w:szCs w:val="24"/>
        </w:rPr>
        <w:t>接受项目行业管理部门及政府有关部门的指导，接受甲方的监督。</w:t>
      </w:r>
    </w:p>
    <w:p w14:paraId="297D5C44">
      <w:pPr>
        <w:pStyle w:val="19"/>
        <w:widowControl w:val="0"/>
        <w:numPr>
          <w:ilvl w:val="4"/>
          <w:numId w:val="6"/>
        </w:numPr>
        <w:wordWrap w:val="0"/>
        <w:topLinePunct/>
        <w:adjustRightInd/>
        <w:snapToGrid/>
        <w:spacing w:line="440" w:lineRule="exact"/>
        <w:ind w:firstLine="480" w:firstLineChars="200"/>
        <w:jc w:val="both"/>
        <w:outlineLvl w:val="9"/>
        <w:rPr>
          <w:rFonts w:hint="eastAsia" w:ascii="宋体" w:hAnsi="宋体" w:eastAsia="宋体" w:cs="Times New Roman"/>
          <w:sz w:val="24"/>
          <w:szCs w:val="24"/>
        </w:rPr>
      </w:pPr>
      <w:r>
        <w:rPr>
          <w:rFonts w:hint="eastAsia" w:ascii="宋体" w:hAnsi="宋体" w:eastAsia="宋体" w:cs="宋体"/>
          <w:bCs/>
          <w:snapToGrid/>
          <w:sz w:val="24"/>
          <w:szCs w:val="24"/>
        </w:rPr>
        <w:t>国家法律、法规所规定由供应商承担的其它责任。</w:t>
      </w:r>
      <w:bookmarkStart w:id="31" w:name="_Toc17961"/>
      <w:bookmarkStart w:id="32" w:name="_Toc6195"/>
      <w:bookmarkStart w:id="33" w:name="_Toc28227"/>
    </w:p>
    <w:p w14:paraId="679C379F">
      <w:pPr>
        <w:pStyle w:val="11"/>
        <w:spacing w:line="520" w:lineRule="exact"/>
        <w:rPr>
          <w:rFonts w:hint="eastAsia" w:ascii="宋体" w:hAnsi="宋体" w:eastAsia="宋体" w:cs="Times New Roman"/>
          <w:sz w:val="24"/>
          <w:szCs w:val="24"/>
        </w:rPr>
      </w:pPr>
      <w:bookmarkStart w:id="34" w:name="_Toc20566"/>
      <w:r>
        <w:rPr>
          <w:rFonts w:hint="eastAsia" w:ascii="宋体" w:hAnsi="宋体" w:eastAsia="宋体" w:cs="Times New Roman"/>
          <w:sz w:val="24"/>
          <w:szCs w:val="24"/>
        </w:rPr>
        <w:t>违约责任</w:t>
      </w:r>
      <w:bookmarkEnd w:id="31"/>
      <w:bookmarkEnd w:id="32"/>
      <w:bookmarkEnd w:id="34"/>
    </w:p>
    <w:p w14:paraId="37437A50">
      <w:pPr>
        <w:pStyle w:val="17"/>
        <w:keepNext w:val="0"/>
        <w:keepLines w:val="0"/>
        <w:pageBreakBefore w:val="0"/>
        <w:widowControl w:val="0"/>
        <w:numPr>
          <w:ilvl w:val="1"/>
          <w:numId w:val="7"/>
        </w:numPr>
        <w:kinsoku/>
        <w:wordWrap w:val="0"/>
        <w:overflowPunct/>
        <w:topLinePunct/>
        <w:autoSpaceDE/>
        <w:autoSpaceDN/>
        <w:bidi w:val="0"/>
        <w:adjustRightInd/>
        <w:snapToGrid/>
        <w:spacing w:line="520" w:lineRule="exact"/>
        <w:ind w:left="0"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rPr>
        <w:t>甲方违约责任</w:t>
      </w:r>
    </w:p>
    <w:p w14:paraId="2FD6A8F5">
      <w:pPr>
        <w:pStyle w:val="20"/>
        <w:keepNext w:val="0"/>
        <w:keepLines w:val="0"/>
        <w:pageBreakBefore w:val="0"/>
        <w:widowControl w:val="0"/>
        <w:kinsoku/>
        <w:wordWrap w:val="0"/>
        <w:overflowPunct/>
        <w:topLinePunct/>
        <w:autoSpaceDE/>
        <w:autoSpaceDN/>
        <w:bidi w:val="0"/>
        <w:adjustRightInd/>
        <w:snapToGrid/>
        <w:spacing w:line="520" w:lineRule="exact"/>
        <w:ind w:left="0"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甲方逾期支付货款的，除应及时付足货款外，应向乙方偿付欠款总额万分之</w:t>
      </w:r>
      <w:r>
        <w:rPr>
          <w:rFonts w:hint="eastAsia" w:ascii="宋体" w:hAnsi="宋体" w:eastAsia="宋体" w:cs="宋体"/>
          <w:sz w:val="24"/>
          <w:szCs w:val="24"/>
          <w:highlight w:val="none"/>
          <w:u w:val="single"/>
          <w:lang w:val="en-US" w:eastAsia="zh-CN"/>
        </w:rPr>
        <w:t>一</w:t>
      </w:r>
      <w:r>
        <w:rPr>
          <w:rFonts w:hint="eastAsia" w:ascii="宋体" w:hAnsi="宋体" w:eastAsia="宋体" w:cs="宋体"/>
          <w:sz w:val="24"/>
          <w:szCs w:val="24"/>
          <w:highlight w:val="none"/>
        </w:rPr>
        <w:t>/天的违约金；</w:t>
      </w:r>
      <w:r>
        <w:rPr>
          <w:rFonts w:hint="eastAsia" w:ascii="宋体" w:hAnsi="宋体" w:eastAsia="宋体" w:cs="宋体"/>
          <w:color w:val="auto"/>
          <w:sz w:val="24"/>
          <w:szCs w:val="24"/>
          <w:highlight w:val="none"/>
        </w:rPr>
        <w:t>逾期付款超过90个工作日的，乙方有权终止合同</w:t>
      </w:r>
      <w:r>
        <w:rPr>
          <w:rFonts w:hint="eastAsia" w:ascii="宋体" w:hAnsi="宋体" w:eastAsia="宋体" w:cs="宋体"/>
          <w:sz w:val="24"/>
          <w:szCs w:val="24"/>
          <w:highlight w:val="none"/>
        </w:rPr>
        <w:t>；</w:t>
      </w:r>
    </w:p>
    <w:p w14:paraId="2A12738F">
      <w:pPr>
        <w:pStyle w:val="20"/>
        <w:keepNext w:val="0"/>
        <w:keepLines w:val="0"/>
        <w:pageBreakBefore w:val="0"/>
        <w:widowControl w:val="0"/>
        <w:kinsoku/>
        <w:wordWrap w:val="0"/>
        <w:overflowPunct/>
        <w:topLinePunct/>
        <w:autoSpaceDE/>
        <w:autoSpaceDN/>
        <w:bidi w:val="0"/>
        <w:adjustRightInd/>
        <w:snapToGrid/>
        <w:spacing w:line="520" w:lineRule="exact"/>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甲方偿付的违约金不足以弥补乙方损失的，还应按乙方经济损失尚未弥补的部分，支付赔偿金给乙方。</w:t>
      </w:r>
    </w:p>
    <w:p w14:paraId="26F5BA25">
      <w:pPr>
        <w:pStyle w:val="17"/>
        <w:keepNext w:val="0"/>
        <w:keepLines w:val="0"/>
        <w:pageBreakBefore w:val="0"/>
        <w:widowControl w:val="0"/>
        <w:kinsoku/>
        <w:wordWrap w:val="0"/>
        <w:overflowPunct/>
        <w:topLinePunct/>
        <w:autoSpaceDE/>
        <w:autoSpaceDN/>
        <w:bidi w:val="0"/>
        <w:adjustRightInd/>
        <w:snapToGrid/>
        <w:spacing w:line="520" w:lineRule="exact"/>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乙方违约责任</w:t>
      </w:r>
    </w:p>
    <w:p w14:paraId="751DF798">
      <w:pPr>
        <w:pStyle w:val="20"/>
        <w:keepNext w:val="0"/>
        <w:keepLines w:val="0"/>
        <w:pageBreakBefore w:val="0"/>
        <w:widowControl w:val="0"/>
        <w:kinsoku/>
        <w:wordWrap w:val="0"/>
        <w:overflowPunct/>
        <w:topLinePunct/>
        <w:autoSpaceDE/>
        <w:autoSpaceDN/>
        <w:bidi w:val="0"/>
        <w:adjustRightInd/>
        <w:snapToGrid/>
        <w:spacing w:line="520" w:lineRule="exact"/>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乙方</w:t>
      </w:r>
      <w:r>
        <w:rPr>
          <w:rFonts w:hint="eastAsia" w:ascii="宋体" w:hAnsi="宋体" w:eastAsia="宋体" w:cs="宋体"/>
          <w:sz w:val="24"/>
          <w:szCs w:val="24"/>
        </w:rPr>
        <w:t>必须遵守</w:t>
      </w:r>
      <w:r>
        <w:rPr>
          <w:rFonts w:hint="eastAsia" w:ascii="宋体" w:hAnsi="宋体" w:eastAsia="宋体" w:cs="宋体"/>
          <w:sz w:val="24"/>
          <w:szCs w:val="24"/>
          <w:lang w:val="en-US" w:eastAsia="zh-CN"/>
        </w:rPr>
        <w:t>采购</w:t>
      </w:r>
      <w:r>
        <w:rPr>
          <w:rFonts w:hint="eastAsia" w:ascii="宋体" w:hAnsi="宋体" w:eastAsia="宋体" w:cs="宋体"/>
          <w:sz w:val="24"/>
          <w:szCs w:val="24"/>
        </w:rPr>
        <w:t>合同并执行合同中的各项规定，保证</w:t>
      </w:r>
      <w:r>
        <w:rPr>
          <w:rFonts w:hint="eastAsia" w:ascii="宋体" w:hAnsi="宋体" w:eastAsia="宋体" w:cs="宋体"/>
          <w:sz w:val="24"/>
          <w:szCs w:val="24"/>
          <w:lang w:val="en-US" w:eastAsia="zh-CN"/>
        </w:rPr>
        <w:t>采购</w:t>
      </w:r>
      <w:r>
        <w:rPr>
          <w:rFonts w:hint="eastAsia" w:ascii="宋体" w:hAnsi="宋体" w:eastAsia="宋体" w:cs="宋体"/>
          <w:sz w:val="24"/>
          <w:szCs w:val="24"/>
        </w:rPr>
        <w:t>合同的正常履行</w:t>
      </w:r>
      <w:r>
        <w:rPr>
          <w:rFonts w:hint="eastAsia" w:ascii="宋体" w:hAnsi="宋体" w:eastAsia="宋体" w:cs="宋体"/>
          <w:sz w:val="24"/>
          <w:szCs w:val="24"/>
          <w:lang w:eastAsia="zh-CN"/>
        </w:rPr>
        <w:t>。</w:t>
      </w:r>
    </w:p>
    <w:p w14:paraId="7D55170B">
      <w:pPr>
        <w:pStyle w:val="20"/>
        <w:keepNext w:val="0"/>
        <w:keepLines w:val="0"/>
        <w:pageBreakBefore w:val="0"/>
        <w:widowControl w:val="0"/>
        <w:kinsoku/>
        <w:wordWrap w:val="0"/>
        <w:overflowPunct/>
        <w:topLinePunct/>
        <w:autoSpaceDE/>
        <w:autoSpaceDN/>
        <w:bidi w:val="0"/>
        <w:adjustRightInd/>
        <w:snapToGrid/>
        <w:spacing w:line="520" w:lineRule="exact"/>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highlight w:val="none"/>
          <w:lang w:val="en-US"/>
        </w:rPr>
        <w:t>如因</w:t>
      </w:r>
      <w:r>
        <w:rPr>
          <w:rFonts w:hint="eastAsia" w:ascii="宋体" w:hAnsi="宋体" w:eastAsia="宋体" w:cs="宋体"/>
          <w:sz w:val="24"/>
          <w:szCs w:val="24"/>
          <w:highlight w:val="none"/>
          <w:lang w:val="en-US" w:eastAsia="zh-CN"/>
        </w:rPr>
        <w:t>乙方</w:t>
      </w:r>
      <w:r>
        <w:rPr>
          <w:rFonts w:hint="eastAsia" w:ascii="宋体" w:hAnsi="宋体" w:eastAsia="宋体" w:cs="宋体"/>
          <w:sz w:val="24"/>
          <w:szCs w:val="24"/>
          <w:highlight w:val="none"/>
          <w:lang w:val="en-US"/>
        </w:rPr>
        <w:t>工作人员在履行职务过程中的疏忽、失职、过错等故意或者过失原因给</w:t>
      </w:r>
      <w:r>
        <w:rPr>
          <w:rFonts w:hint="eastAsia" w:ascii="宋体" w:hAnsi="宋体" w:eastAsia="宋体" w:cs="宋体"/>
          <w:sz w:val="24"/>
          <w:szCs w:val="24"/>
          <w:highlight w:val="none"/>
          <w:lang w:val="en-US" w:eastAsia="zh-CN"/>
        </w:rPr>
        <w:t>甲方</w:t>
      </w:r>
      <w:r>
        <w:rPr>
          <w:rFonts w:hint="eastAsia" w:ascii="宋体" w:hAnsi="宋体" w:eastAsia="宋体" w:cs="宋体"/>
          <w:sz w:val="24"/>
          <w:szCs w:val="24"/>
          <w:highlight w:val="none"/>
          <w:lang w:val="en-US"/>
        </w:rPr>
        <w:t>造成损失或侵害，包括但不限于</w:t>
      </w:r>
      <w:r>
        <w:rPr>
          <w:rFonts w:hint="eastAsia" w:ascii="宋体" w:hAnsi="宋体" w:eastAsia="宋体" w:cs="宋体"/>
          <w:sz w:val="24"/>
          <w:szCs w:val="24"/>
          <w:highlight w:val="none"/>
          <w:lang w:val="en-US" w:eastAsia="zh-CN"/>
        </w:rPr>
        <w:t>甲方</w:t>
      </w:r>
      <w:r>
        <w:rPr>
          <w:rFonts w:hint="eastAsia" w:ascii="宋体" w:hAnsi="宋体" w:eastAsia="宋体" w:cs="宋体"/>
          <w:sz w:val="24"/>
          <w:szCs w:val="24"/>
          <w:highlight w:val="none"/>
          <w:lang w:val="en-US"/>
        </w:rPr>
        <w:t>本身的财产损失、律师费、诉讼费、公证费、保全费、保全保险费、鉴定费等以及由此而导致的</w:t>
      </w:r>
      <w:r>
        <w:rPr>
          <w:rFonts w:hint="eastAsia" w:ascii="宋体" w:hAnsi="宋体" w:eastAsia="宋体" w:cs="宋体"/>
          <w:sz w:val="24"/>
          <w:szCs w:val="24"/>
          <w:highlight w:val="none"/>
          <w:lang w:val="en-US" w:eastAsia="zh-CN"/>
        </w:rPr>
        <w:t>甲方</w:t>
      </w:r>
      <w:r>
        <w:rPr>
          <w:rFonts w:hint="eastAsia" w:ascii="宋体" w:hAnsi="宋体" w:eastAsia="宋体" w:cs="宋体"/>
          <w:sz w:val="24"/>
          <w:szCs w:val="24"/>
          <w:highlight w:val="none"/>
          <w:lang w:val="en-US"/>
        </w:rPr>
        <w:t>对任何第三方的法律责任等，</w:t>
      </w:r>
      <w:r>
        <w:rPr>
          <w:rFonts w:hint="eastAsia" w:ascii="宋体" w:hAnsi="宋体" w:eastAsia="宋体" w:cs="宋体"/>
          <w:sz w:val="24"/>
          <w:szCs w:val="24"/>
          <w:highlight w:val="none"/>
          <w:lang w:val="en-US" w:eastAsia="zh-CN"/>
        </w:rPr>
        <w:t>乙方</w:t>
      </w:r>
      <w:r>
        <w:rPr>
          <w:rFonts w:hint="eastAsia" w:ascii="宋体" w:hAnsi="宋体" w:eastAsia="宋体" w:cs="宋体"/>
          <w:sz w:val="24"/>
          <w:szCs w:val="24"/>
          <w:highlight w:val="none"/>
          <w:lang w:val="en-US"/>
        </w:rPr>
        <w:t>对此均应承担全部的赔偿责任</w:t>
      </w:r>
      <w:r>
        <w:rPr>
          <w:rFonts w:hint="eastAsia" w:ascii="宋体" w:hAnsi="宋体" w:eastAsia="宋体" w:cs="宋体"/>
          <w:sz w:val="24"/>
          <w:szCs w:val="24"/>
          <w:lang w:eastAsia="zh-CN"/>
        </w:rPr>
        <w:t>。</w:t>
      </w:r>
    </w:p>
    <w:p w14:paraId="4CAA27C1">
      <w:pPr>
        <w:pStyle w:val="20"/>
        <w:keepNext w:val="0"/>
        <w:keepLines w:val="0"/>
        <w:pageBreakBefore w:val="0"/>
        <w:widowControl w:val="0"/>
        <w:kinsoku/>
        <w:wordWrap w:val="0"/>
        <w:overflowPunct/>
        <w:topLinePunct/>
        <w:autoSpaceDE/>
        <w:autoSpaceDN/>
        <w:bidi w:val="0"/>
        <w:adjustRightInd/>
        <w:snapToGrid/>
        <w:spacing w:line="520" w:lineRule="exact"/>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乙方交付的货物质量不符合合同规定的，须在合同规定的交货时间内更换合格的货物给甲方，否则，视作乙方不能交付货物而违约，按本条款下述第“</w:t>
      </w:r>
      <w:r>
        <w:rPr>
          <w:rFonts w:hint="eastAsia" w:ascii="宋体" w:hAnsi="宋体" w:eastAsia="宋体" w:cs="宋体"/>
          <w:sz w:val="24"/>
          <w:szCs w:val="24"/>
          <w:lang w:val="en-US" w:eastAsia="zh-CN"/>
        </w:rPr>
        <w:t>4</w:t>
      </w:r>
      <w:r>
        <w:rPr>
          <w:rFonts w:hint="eastAsia" w:ascii="宋体" w:hAnsi="宋体" w:eastAsia="宋体" w:cs="宋体"/>
          <w:sz w:val="24"/>
          <w:szCs w:val="24"/>
        </w:rPr>
        <w:t>”项规定由乙方</w:t>
      </w:r>
      <w:r>
        <w:rPr>
          <w:rFonts w:hint="eastAsia" w:ascii="宋体" w:hAnsi="宋体" w:eastAsia="宋体" w:cs="宋体"/>
          <w:sz w:val="24"/>
          <w:szCs w:val="24"/>
          <w:lang w:val="en-US" w:eastAsia="zh-CN"/>
        </w:rPr>
        <w:t>承担违约责任</w:t>
      </w:r>
      <w:r>
        <w:rPr>
          <w:rFonts w:hint="eastAsia" w:ascii="宋体" w:hAnsi="宋体" w:eastAsia="宋体" w:cs="宋体"/>
          <w:sz w:val="24"/>
          <w:szCs w:val="24"/>
          <w:lang w:eastAsia="zh-CN"/>
        </w:rPr>
        <w:t>。</w:t>
      </w:r>
    </w:p>
    <w:p w14:paraId="1DB3AEFF">
      <w:pPr>
        <w:pStyle w:val="20"/>
        <w:keepNext w:val="0"/>
        <w:keepLines w:val="0"/>
        <w:pageBreakBefore w:val="0"/>
        <w:widowControl w:val="0"/>
        <w:kinsoku/>
        <w:wordWrap w:val="0"/>
        <w:overflowPunct/>
        <w:topLinePunct/>
        <w:autoSpaceDE/>
        <w:autoSpaceDN/>
        <w:bidi w:val="0"/>
        <w:adjustRightInd/>
        <w:snapToGrid/>
        <w:spacing w:line="520" w:lineRule="exact"/>
        <w:ind w:left="0"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rPr>
        <w:t>乙方不能交付货物或逾</w:t>
      </w:r>
      <w:r>
        <w:rPr>
          <w:rFonts w:hint="eastAsia" w:ascii="宋体" w:hAnsi="宋体" w:eastAsia="宋体" w:cs="宋体"/>
          <w:sz w:val="24"/>
          <w:szCs w:val="24"/>
          <w:highlight w:val="none"/>
        </w:rPr>
        <w:t>期交付货物而违约的，除应及时交足货物外，应向甲方偿付逾期交货部分货款总额的万分之</w:t>
      </w:r>
      <w:r>
        <w:rPr>
          <w:rFonts w:hint="eastAsia" w:ascii="宋体" w:hAnsi="宋体" w:eastAsia="宋体" w:cs="宋体"/>
          <w:sz w:val="24"/>
          <w:szCs w:val="24"/>
          <w:highlight w:val="none"/>
          <w:lang w:eastAsia="zh-CN"/>
        </w:rPr>
        <w:t>一</w:t>
      </w:r>
      <w:r>
        <w:rPr>
          <w:rFonts w:hint="eastAsia" w:ascii="宋体" w:hAnsi="宋体" w:eastAsia="宋体" w:cs="宋体"/>
          <w:sz w:val="24"/>
          <w:szCs w:val="24"/>
          <w:highlight w:val="none"/>
        </w:rPr>
        <w:t>/天的违约金；逾期交货超过15天，甲方有权终止合同，乙方则应按合同总价的百分之</w:t>
      </w:r>
      <w:r>
        <w:rPr>
          <w:rFonts w:hint="eastAsia" w:ascii="宋体" w:hAnsi="宋体" w:eastAsia="宋体" w:cs="宋体"/>
          <w:sz w:val="24"/>
          <w:szCs w:val="24"/>
          <w:highlight w:val="none"/>
          <w:u w:val="single"/>
          <w:lang w:eastAsia="zh-CN"/>
        </w:rPr>
        <w:t>二</w:t>
      </w:r>
      <w:r>
        <w:rPr>
          <w:rFonts w:hint="eastAsia" w:ascii="宋体" w:hAnsi="宋体" w:eastAsia="宋体" w:cs="宋体"/>
          <w:sz w:val="24"/>
          <w:szCs w:val="24"/>
          <w:highlight w:val="none"/>
          <w:u w:val="single"/>
          <w:lang w:val="en-US" w:eastAsia="zh-CN"/>
        </w:rPr>
        <w:t>十</w:t>
      </w:r>
      <w:r>
        <w:rPr>
          <w:rFonts w:hint="eastAsia" w:ascii="宋体" w:hAnsi="宋体" w:eastAsia="宋体" w:cs="宋体"/>
          <w:sz w:val="24"/>
          <w:szCs w:val="24"/>
          <w:highlight w:val="none"/>
        </w:rPr>
        <w:t>的款额向甲方偿付</w:t>
      </w:r>
      <w:r>
        <w:rPr>
          <w:rFonts w:hint="eastAsia" w:ascii="宋体" w:hAnsi="宋体" w:eastAsia="宋体" w:cs="宋体"/>
          <w:sz w:val="24"/>
          <w:szCs w:val="24"/>
        </w:rPr>
        <w:t>违约金，并须全额退还甲方已经付给乙方的货款及其利息。</w:t>
      </w:r>
    </w:p>
    <w:p w14:paraId="36615B45">
      <w:pPr>
        <w:pStyle w:val="20"/>
        <w:keepNext w:val="0"/>
        <w:keepLines w:val="0"/>
        <w:pageBreakBefore w:val="0"/>
        <w:widowControl w:val="0"/>
        <w:kinsoku/>
        <w:wordWrap w:val="0"/>
        <w:overflowPunct/>
        <w:topLinePunct/>
        <w:autoSpaceDE/>
        <w:autoSpaceDN/>
        <w:bidi w:val="0"/>
        <w:adjustRightInd/>
        <w:snapToGrid/>
        <w:spacing w:line="520" w:lineRule="exact"/>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highlight w:val="none"/>
        </w:rPr>
        <w:t>乙方货物经甲方送交具有法定资格条件的质量技术监督机构检测后，如检测结果认定货物质量不符合本合同规定标准的，则视为乙方没有按时交货而违约，乙方须在</w:t>
      </w:r>
      <w:r>
        <w:rPr>
          <w:rFonts w:hint="eastAsia" w:ascii="宋体" w:hAnsi="宋体" w:eastAsia="宋体" w:cs="宋体"/>
          <w:sz w:val="24"/>
          <w:szCs w:val="24"/>
          <w:highlight w:val="none"/>
          <w:u w:val="single"/>
          <w:lang w:val="en-US" w:eastAsia="zh-CN"/>
        </w:rPr>
        <w:t>3</w:t>
      </w:r>
      <w:r>
        <w:rPr>
          <w:rFonts w:hint="eastAsia" w:ascii="宋体" w:hAnsi="宋体" w:eastAsia="宋体" w:cs="宋体"/>
          <w:sz w:val="24"/>
          <w:szCs w:val="24"/>
          <w:highlight w:val="none"/>
        </w:rPr>
        <w:t>天内无条</w:t>
      </w:r>
      <w:r>
        <w:rPr>
          <w:rFonts w:hint="eastAsia" w:ascii="宋体" w:hAnsi="宋体" w:eastAsia="宋体" w:cs="宋体"/>
          <w:sz w:val="24"/>
          <w:szCs w:val="24"/>
        </w:rPr>
        <w:t>件更换合格的货物，如逾期不能更换合格的货物，甲方有权终止本合同，按本条款</w:t>
      </w:r>
      <w:r>
        <w:rPr>
          <w:rFonts w:hint="eastAsia" w:ascii="宋体" w:hAnsi="宋体" w:eastAsia="宋体" w:cs="宋体"/>
          <w:sz w:val="24"/>
          <w:szCs w:val="24"/>
          <w:lang w:val="en-US" w:eastAsia="zh-CN"/>
        </w:rPr>
        <w:t>上</w:t>
      </w:r>
      <w:r>
        <w:rPr>
          <w:rFonts w:hint="eastAsia" w:ascii="宋体" w:hAnsi="宋体" w:eastAsia="宋体" w:cs="宋体"/>
          <w:sz w:val="24"/>
          <w:szCs w:val="24"/>
        </w:rPr>
        <w:t>述第“</w:t>
      </w:r>
      <w:r>
        <w:rPr>
          <w:rFonts w:hint="eastAsia" w:ascii="宋体" w:hAnsi="宋体" w:eastAsia="宋体" w:cs="宋体"/>
          <w:sz w:val="24"/>
          <w:szCs w:val="24"/>
          <w:lang w:val="en-US" w:eastAsia="zh-CN"/>
        </w:rPr>
        <w:t>4</w:t>
      </w:r>
      <w:r>
        <w:rPr>
          <w:rFonts w:hint="eastAsia" w:ascii="宋体" w:hAnsi="宋体" w:eastAsia="宋体" w:cs="宋体"/>
          <w:sz w:val="24"/>
          <w:szCs w:val="24"/>
        </w:rPr>
        <w:t>”项规定由乙方</w:t>
      </w:r>
      <w:r>
        <w:rPr>
          <w:rFonts w:hint="eastAsia" w:ascii="宋体" w:hAnsi="宋体" w:eastAsia="宋体" w:cs="宋体"/>
          <w:sz w:val="24"/>
          <w:szCs w:val="24"/>
          <w:lang w:val="en-US" w:eastAsia="zh-CN"/>
        </w:rPr>
        <w:t>承担违约责任</w:t>
      </w:r>
      <w:r>
        <w:rPr>
          <w:rFonts w:hint="eastAsia" w:ascii="宋体" w:hAnsi="宋体" w:eastAsia="宋体" w:cs="宋体"/>
          <w:sz w:val="24"/>
          <w:szCs w:val="24"/>
        </w:rPr>
        <w:t>。</w:t>
      </w:r>
    </w:p>
    <w:p w14:paraId="4F4A7B78">
      <w:pPr>
        <w:pStyle w:val="20"/>
        <w:keepNext w:val="0"/>
        <w:keepLines w:val="0"/>
        <w:pageBreakBefore w:val="0"/>
        <w:widowControl w:val="0"/>
        <w:kinsoku/>
        <w:wordWrap w:val="0"/>
        <w:overflowPunct/>
        <w:topLinePunct/>
        <w:autoSpaceDE/>
        <w:autoSpaceDN/>
        <w:bidi w:val="0"/>
        <w:adjustRightInd/>
        <w:snapToGrid/>
        <w:spacing w:line="520" w:lineRule="exact"/>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乙方保证本合同货物的权利无瑕疵，包括货物所有权及知识产权等权利无瑕疵。如任何第三方经法院(或仲裁机构)裁决有权对上述货物主张权利或国家机关依法对货物进行没收查封的，乙方除应向甲方返还已收款项外，还应另按合同总价的百分之</w:t>
      </w:r>
      <w:r>
        <w:rPr>
          <w:rFonts w:hint="eastAsia" w:ascii="宋体" w:hAnsi="宋体" w:eastAsia="宋体" w:cs="宋体"/>
          <w:sz w:val="24"/>
          <w:szCs w:val="24"/>
          <w:u w:val="single"/>
          <w:lang w:eastAsia="zh-CN"/>
        </w:rPr>
        <w:t>二</w:t>
      </w:r>
      <w:r>
        <w:rPr>
          <w:rFonts w:hint="eastAsia" w:ascii="宋体" w:hAnsi="宋体" w:eastAsia="宋体" w:cs="宋体"/>
          <w:sz w:val="24"/>
          <w:szCs w:val="24"/>
          <w:u w:val="single"/>
          <w:lang w:val="en-US" w:eastAsia="zh-CN"/>
        </w:rPr>
        <w:t>十</w:t>
      </w:r>
      <w:r>
        <w:rPr>
          <w:rFonts w:hint="eastAsia" w:ascii="宋体" w:hAnsi="宋体" w:eastAsia="宋体" w:cs="宋体"/>
          <w:sz w:val="24"/>
          <w:szCs w:val="24"/>
        </w:rPr>
        <w:t>向甲方支付违约金并赔偿因此给甲方造成的一切损失。</w:t>
      </w:r>
    </w:p>
    <w:p w14:paraId="79F98EAA">
      <w:pPr>
        <w:pStyle w:val="20"/>
        <w:ind w:leftChars="0" w:firstLine="480" w:firstLineChars="200"/>
        <w:rPr>
          <w:rFonts w:hint="eastAsia"/>
          <w:lang w:val="en-US"/>
        </w:rPr>
      </w:pPr>
      <w:r>
        <w:rPr>
          <w:rFonts w:hint="eastAsia"/>
          <w:lang w:val="en-US" w:eastAsia="zh-CN"/>
        </w:rPr>
        <w:t>乙方应当遵守甲方的相关项目需求及相关技术要求及实质性条款，实施完成采购合同应当完全满足相关项目需求及相关技术要求及实质性条款，若乙方瑕疵履行采购合同，甲方有权向乙方要求赔偿合同总价款20%的违约金，</w:t>
      </w:r>
      <w:r>
        <w:rPr>
          <w:rFonts w:hint="eastAsia"/>
          <w:lang w:val="en-US"/>
        </w:rPr>
        <w:t>若造成相关损失且违约金不足以弥补</w:t>
      </w:r>
      <w:r>
        <w:rPr>
          <w:rFonts w:hint="eastAsia"/>
          <w:lang w:val="en-US" w:eastAsia="zh-CN"/>
        </w:rPr>
        <w:t>甲方</w:t>
      </w:r>
      <w:r>
        <w:rPr>
          <w:rFonts w:hint="eastAsia"/>
          <w:lang w:val="en-US"/>
        </w:rPr>
        <w:t>损失的，甲方有权要求乙方承担所有赔偿责任。</w:t>
      </w:r>
    </w:p>
    <w:p w14:paraId="4FCF07E1">
      <w:pPr>
        <w:pStyle w:val="11"/>
        <w:spacing w:line="520" w:lineRule="exact"/>
        <w:rPr>
          <w:rFonts w:hint="default" w:ascii="宋体" w:hAnsi="宋体" w:eastAsia="宋体" w:cs="Times New Roman"/>
          <w:b/>
        </w:rPr>
      </w:pPr>
      <w:bookmarkStart w:id="35" w:name="_Toc8549"/>
      <w:r>
        <w:rPr>
          <w:rFonts w:hint="default" w:ascii="宋体" w:hAnsi="宋体" w:eastAsia="宋体" w:cs="Times New Roman"/>
          <w:b/>
        </w:rPr>
        <w:t>无产权瑕疵条款</w:t>
      </w:r>
      <w:bookmarkEnd w:id="35"/>
    </w:p>
    <w:p w14:paraId="6C34C294">
      <w:pPr>
        <w:ind w:firstLine="480" w:firstLineChars="200"/>
        <w:rPr>
          <w:rFonts w:hint="eastAsia"/>
        </w:rPr>
      </w:pPr>
      <w:r>
        <w:rPr>
          <w:rFonts w:hint="eastAsia" w:cs="宋体"/>
        </w:rPr>
        <w:t>乙方保证所提供的</w:t>
      </w:r>
      <w:r>
        <w:rPr>
          <w:rFonts w:hint="eastAsia" w:cs="宋体"/>
          <w:lang w:val="en-US" w:eastAsia="zh-CN"/>
        </w:rPr>
        <w:t>货物及服务</w:t>
      </w:r>
      <w:r>
        <w:rPr>
          <w:rFonts w:hint="eastAsia" w:cs="宋体"/>
        </w:rPr>
        <w:t>的所有权完全属于乙方且无任何抵押、查封等产权瑕疵。如有产权瑕疵的，视为乙方违约。乙方应负担由此而产生的一切损失。</w:t>
      </w:r>
      <w:bookmarkEnd w:id="28"/>
      <w:bookmarkEnd w:id="29"/>
      <w:bookmarkEnd w:id="30"/>
      <w:bookmarkEnd w:id="33"/>
    </w:p>
    <w:p w14:paraId="7156DAB0">
      <w:pPr>
        <w:pStyle w:val="11"/>
        <w:pageBreakBefore w:val="0"/>
        <w:kinsoku/>
        <w:overflowPunct/>
        <w:autoSpaceDE/>
        <w:autoSpaceDN/>
        <w:bidi w:val="0"/>
        <w:spacing w:line="520" w:lineRule="exact"/>
        <w:textAlignment w:val="auto"/>
        <w:rPr>
          <w:rFonts w:hint="eastAsia"/>
          <w:lang w:eastAsia="zh-CN"/>
        </w:rPr>
      </w:pPr>
      <w:bookmarkStart w:id="36" w:name="_Toc3639"/>
      <w:bookmarkStart w:id="37" w:name="_Toc30104"/>
      <w:bookmarkStart w:id="38" w:name="_Toc13866"/>
      <w:bookmarkStart w:id="39" w:name="_Toc13215"/>
      <w:bookmarkStart w:id="40" w:name="_Toc3234"/>
      <w:bookmarkStart w:id="41" w:name="_Toc31896"/>
      <w:bookmarkStart w:id="42" w:name="_Toc11859"/>
      <w:bookmarkStart w:id="43" w:name="_Toc21804"/>
      <w:bookmarkStart w:id="44" w:name="_Toc19777"/>
      <w:r>
        <w:rPr>
          <w:rFonts w:hint="eastAsia"/>
          <w:lang w:eastAsia="zh-CN"/>
        </w:rPr>
        <w:t>解除合同</w:t>
      </w:r>
      <w:bookmarkEnd w:id="36"/>
      <w:bookmarkEnd w:id="37"/>
      <w:bookmarkEnd w:id="38"/>
      <w:bookmarkEnd w:id="39"/>
      <w:bookmarkEnd w:id="40"/>
      <w:bookmarkEnd w:id="41"/>
      <w:bookmarkEnd w:id="42"/>
    </w:p>
    <w:p w14:paraId="74C9E60B">
      <w:pPr>
        <w:pStyle w:val="16"/>
        <w:pageBreakBefore w:val="0"/>
        <w:kinsoku/>
        <w:overflowPunct/>
        <w:autoSpaceDE/>
        <w:autoSpaceDN/>
        <w:bidi w:val="0"/>
        <w:spacing w:line="520" w:lineRule="exact"/>
        <w:ind w:firstLine="480" w:firstLineChars="200"/>
        <w:textAlignment w:val="auto"/>
        <w:rPr>
          <w:rFonts w:hint="eastAsia" w:ascii="宋体" w:hAnsi="宋体" w:cs="宋体"/>
          <w:sz w:val="24"/>
          <w:szCs w:val="24"/>
        </w:rPr>
      </w:pPr>
      <w:r>
        <w:rPr>
          <w:rFonts w:hint="eastAsia" w:ascii="宋体" w:hAnsi="宋体" w:cs="宋体"/>
          <w:sz w:val="24"/>
          <w:szCs w:val="24"/>
        </w:rPr>
        <w:t>有下列情形之一的，当事人可以解除合同：</w:t>
      </w:r>
    </w:p>
    <w:p w14:paraId="50F61A59">
      <w:pPr>
        <w:pStyle w:val="16"/>
        <w:pageBreakBefore w:val="0"/>
        <w:numPr>
          <w:ilvl w:val="0"/>
          <w:numId w:val="8"/>
        </w:numPr>
        <w:kinsoku/>
        <w:overflowPunct/>
        <w:autoSpaceDE/>
        <w:autoSpaceDN/>
        <w:bidi w:val="0"/>
        <w:spacing w:line="520" w:lineRule="exact"/>
        <w:ind w:firstLine="480" w:firstLineChars="200"/>
        <w:textAlignment w:val="auto"/>
        <w:rPr>
          <w:rFonts w:hint="eastAsia" w:ascii="宋体" w:hAnsi="宋体" w:cs="宋体"/>
          <w:sz w:val="24"/>
          <w:szCs w:val="24"/>
        </w:rPr>
      </w:pPr>
      <w:r>
        <w:rPr>
          <w:rFonts w:hint="eastAsia" w:ascii="宋体" w:hAnsi="宋体" w:cs="宋体"/>
          <w:sz w:val="24"/>
          <w:szCs w:val="24"/>
        </w:rPr>
        <w:t>因不可抗力致使不能实现合同目的(由于非</w:t>
      </w:r>
      <w:r>
        <w:rPr>
          <w:rFonts w:hint="eastAsia" w:ascii="宋体" w:hAnsi="宋体" w:cs="宋体"/>
          <w:sz w:val="24"/>
          <w:szCs w:val="24"/>
          <w:lang w:eastAsia="zh-CN"/>
        </w:rPr>
        <w:t>乙方</w:t>
      </w:r>
      <w:r>
        <w:rPr>
          <w:rFonts w:hint="eastAsia" w:ascii="宋体" w:hAnsi="宋体" w:cs="宋体"/>
          <w:sz w:val="24"/>
          <w:szCs w:val="24"/>
        </w:rPr>
        <w:t>或</w:t>
      </w:r>
      <w:r>
        <w:rPr>
          <w:rFonts w:hint="eastAsia" w:ascii="宋体" w:hAnsi="宋体" w:cs="宋体"/>
          <w:sz w:val="24"/>
          <w:szCs w:val="24"/>
          <w:lang w:eastAsia="zh-CN"/>
        </w:rPr>
        <w:t>甲方</w:t>
      </w:r>
      <w:r>
        <w:rPr>
          <w:rFonts w:hint="eastAsia" w:ascii="宋体" w:hAnsi="宋体" w:cs="宋体"/>
          <w:sz w:val="24"/>
          <w:szCs w:val="24"/>
        </w:rPr>
        <w:t>原因，致使合同实质性条款无法实现的)；</w:t>
      </w:r>
    </w:p>
    <w:p w14:paraId="222E59D1">
      <w:pPr>
        <w:pStyle w:val="16"/>
        <w:pageBreakBefore w:val="0"/>
        <w:numPr>
          <w:ilvl w:val="0"/>
          <w:numId w:val="8"/>
        </w:numPr>
        <w:kinsoku/>
        <w:overflowPunct/>
        <w:autoSpaceDE/>
        <w:autoSpaceDN/>
        <w:bidi w:val="0"/>
        <w:spacing w:line="520" w:lineRule="exact"/>
        <w:ind w:firstLine="480" w:firstLineChars="200"/>
        <w:textAlignment w:val="auto"/>
        <w:rPr>
          <w:rFonts w:hint="eastAsia" w:ascii="宋体" w:hAnsi="宋体" w:cs="宋体"/>
          <w:sz w:val="24"/>
          <w:szCs w:val="24"/>
        </w:rPr>
      </w:pPr>
      <w:r>
        <w:rPr>
          <w:rFonts w:hint="eastAsia" w:ascii="宋体" w:hAnsi="宋体" w:cs="宋体"/>
          <w:sz w:val="24"/>
          <w:szCs w:val="24"/>
        </w:rPr>
        <w:t>当事人一方迟延履行主要债务，经催告后在合理期限内仍未履行；</w:t>
      </w:r>
    </w:p>
    <w:p w14:paraId="41BFB79F">
      <w:pPr>
        <w:pStyle w:val="16"/>
        <w:pageBreakBefore w:val="0"/>
        <w:numPr>
          <w:ilvl w:val="0"/>
          <w:numId w:val="8"/>
        </w:numPr>
        <w:kinsoku/>
        <w:overflowPunct/>
        <w:autoSpaceDE/>
        <w:autoSpaceDN/>
        <w:bidi w:val="0"/>
        <w:spacing w:line="520" w:lineRule="exact"/>
        <w:ind w:firstLine="480" w:firstLineChars="200"/>
        <w:textAlignment w:val="auto"/>
        <w:rPr>
          <w:rFonts w:hint="eastAsia" w:ascii="宋体" w:hAnsi="宋体" w:cs="宋体"/>
          <w:sz w:val="24"/>
          <w:szCs w:val="24"/>
        </w:rPr>
      </w:pPr>
      <w:r>
        <w:rPr>
          <w:rFonts w:hint="eastAsia" w:ascii="宋体" w:hAnsi="宋体" w:cs="宋体"/>
          <w:sz w:val="24"/>
          <w:szCs w:val="24"/>
        </w:rPr>
        <w:t>当事人一方迟延履行债务或者有其他违约行为致使不能实现合同目的；</w:t>
      </w:r>
    </w:p>
    <w:p w14:paraId="1C12E727">
      <w:pPr>
        <w:pStyle w:val="16"/>
        <w:pageBreakBefore w:val="0"/>
        <w:numPr>
          <w:ilvl w:val="0"/>
          <w:numId w:val="8"/>
        </w:numPr>
        <w:kinsoku/>
        <w:overflowPunct/>
        <w:autoSpaceDE/>
        <w:autoSpaceDN/>
        <w:bidi w:val="0"/>
        <w:spacing w:line="520" w:lineRule="exact"/>
        <w:ind w:firstLine="480" w:firstLineChars="200"/>
        <w:textAlignment w:val="auto"/>
        <w:rPr>
          <w:rFonts w:hint="eastAsia" w:ascii="宋体" w:hAnsi="宋体" w:cs="宋体"/>
          <w:sz w:val="24"/>
          <w:szCs w:val="24"/>
        </w:rPr>
      </w:pPr>
      <w:r>
        <w:rPr>
          <w:rFonts w:hint="eastAsia" w:ascii="宋体" w:hAnsi="宋体" w:cs="宋体"/>
          <w:sz w:val="24"/>
          <w:szCs w:val="24"/>
          <w:lang w:val="en-US" w:eastAsia="zh-CN"/>
        </w:rPr>
        <w:t>本合同约定的其他情形；</w:t>
      </w:r>
    </w:p>
    <w:p w14:paraId="1B1DD3D3">
      <w:pPr>
        <w:pStyle w:val="16"/>
        <w:pageBreakBefore w:val="0"/>
        <w:numPr>
          <w:ilvl w:val="0"/>
          <w:numId w:val="8"/>
        </w:numPr>
        <w:kinsoku/>
        <w:overflowPunct/>
        <w:autoSpaceDE/>
        <w:autoSpaceDN/>
        <w:bidi w:val="0"/>
        <w:spacing w:line="520" w:lineRule="exact"/>
        <w:ind w:firstLine="480" w:firstLineChars="200"/>
        <w:textAlignment w:val="auto"/>
        <w:rPr>
          <w:rFonts w:hint="eastAsia" w:ascii="宋体" w:hAnsi="宋体" w:cs="宋体"/>
          <w:sz w:val="24"/>
          <w:szCs w:val="24"/>
        </w:rPr>
      </w:pPr>
      <w:r>
        <w:rPr>
          <w:rFonts w:hint="eastAsia" w:ascii="宋体" w:hAnsi="宋体" w:cs="宋体"/>
          <w:sz w:val="24"/>
          <w:szCs w:val="24"/>
        </w:rPr>
        <w:t>法律规定的其他情形。</w:t>
      </w:r>
    </w:p>
    <w:p w14:paraId="402C3354">
      <w:pPr>
        <w:pStyle w:val="11"/>
        <w:pageBreakBefore w:val="0"/>
        <w:kinsoku/>
        <w:overflowPunct/>
        <w:autoSpaceDE/>
        <w:autoSpaceDN/>
        <w:bidi w:val="0"/>
        <w:spacing w:line="520" w:lineRule="exact"/>
        <w:textAlignment w:val="auto"/>
        <w:rPr>
          <w:rFonts w:hint="eastAsia"/>
          <w:lang w:eastAsia="zh-CN"/>
        </w:rPr>
      </w:pPr>
      <w:bookmarkStart w:id="45" w:name="_Toc894"/>
      <w:bookmarkStart w:id="46" w:name="_Toc16443"/>
      <w:bookmarkStart w:id="47" w:name="_Toc10163"/>
      <w:r>
        <w:rPr>
          <w:rFonts w:hint="eastAsia"/>
          <w:lang w:val="en-US" w:eastAsia="zh-CN"/>
        </w:rPr>
        <w:t>不可抗力事件处理</w:t>
      </w:r>
      <w:bookmarkEnd w:id="45"/>
      <w:bookmarkEnd w:id="46"/>
      <w:bookmarkEnd w:id="47"/>
    </w:p>
    <w:p w14:paraId="56373DBF">
      <w:pPr>
        <w:pStyle w:val="5"/>
        <w:keepNext w:val="0"/>
        <w:keepLines w:val="0"/>
        <w:pageBreakBefore w:val="0"/>
        <w:widowControl w:val="0"/>
        <w:numPr>
          <w:ilvl w:val="1"/>
          <w:numId w:val="9"/>
        </w:numPr>
        <w:kinsoku/>
        <w:wordWrap w:val="0"/>
        <w:overflowPunct/>
        <w:topLinePunct/>
        <w:autoSpaceDE/>
        <w:autoSpaceDN/>
        <w:bidi w:val="0"/>
        <w:adjustRightInd/>
        <w:snapToGrid/>
        <w:spacing w:before="0" w:beforeAutospacing="0" w:after="0" w:afterAutospacing="0" w:line="520" w:lineRule="exact"/>
        <w:ind w:firstLine="480" w:firstLineChars="200"/>
        <w:textAlignment w:val="auto"/>
        <w:rPr>
          <w:rFonts w:hint="eastAsia" w:ascii="宋体" w:hAnsi="宋体" w:eastAsia="宋体" w:cs="宋体"/>
          <w:kern w:val="2"/>
          <w:sz w:val="24"/>
          <w:szCs w:val="24"/>
        </w:rPr>
      </w:pPr>
      <w:r>
        <w:rPr>
          <w:rFonts w:hint="eastAsia" w:ascii="宋体" w:hAnsi="宋体" w:eastAsia="宋体" w:cs="宋体"/>
          <w:kern w:val="2"/>
          <w:sz w:val="24"/>
          <w:szCs w:val="24"/>
        </w:rPr>
        <w:t>不可抗力指甲、乙双方无法预见、无法预防、无法避免和无法控制的事件，例如但不限于，地震、台风、水灾、火灾或其他自然灾害，爆炸、骚乱、战争或类似战争的情况、暴动。</w:t>
      </w:r>
    </w:p>
    <w:p w14:paraId="7B4A3FDA">
      <w:pPr>
        <w:pStyle w:val="5"/>
        <w:keepNext w:val="0"/>
        <w:keepLines w:val="0"/>
        <w:pageBreakBefore w:val="0"/>
        <w:widowControl w:val="0"/>
        <w:numPr>
          <w:ilvl w:val="1"/>
          <w:numId w:val="9"/>
        </w:numPr>
        <w:kinsoku/>
        <w:wordWrap w:val="0"/>
        <w:overflowPunct/>
        <w:topLinePunct/>
        <w:autoSpaceDE/>
        <w:autoSpaceDN/>
        <w:bidi w:val="0"/>
        <w:adjustRightInd/>
        <w:snapToGrid/>
        <w:spacing w:before="0" w:beforeAutospacing="0" w:after="0" w:afterAutospacing="0" w:line="520" w:lineRule="exact"/>
        <w:ind w:firstLine="480" w:firstLineChars="200"/>
        <w:textAlignment w:val="auto"/>
        <w:rPr>
          <w:rFonts w:hint="eastAsia" w:ascii="宋体" w:hAnsi="宋体" w:eastAsia="宋体" w:cs="宋体"/>
          <w:kern w:val="2"/>
          <w:sz w:val="24"/>
          <w:szCs w:val="24"/>
        </w:rPr>
      </w:pPr>
      <w:r>
        <w:rPr>
          <w:rFonts w:hint="eastAsia" w:ascii="宋体" w:hAnsi="宋体" w:eastAsia="宋体" w:cs="宋体"/>
          <w:kern w:val="2"/>
          <w:sz w:val="24"/>
          <w:szCs w:val="24"/>
        </w:rPr>
        <w:t>如发生不可抗力，阻碍受影响方履行其在本协议项下的义务，受影响方应及时书面通知另一方并提供有关该事件的详尽资料，说明其不能履行或延迟履行本协议全部或部分条款的原因。</w:t>
      </w:r>
    </w:p>
    <w:p w14:paraId="0AAF0672">
      <w:pPr>
        <w:pStyle w:val="5"/>
        <w:keepNext w:val="0"/>
        <w:keepLines w:val="0"/>
        <w:pageBreakBefore w:val="0"/>
        <w:widowControl w:val="0"/>
        <w:numPr>
          <w:ilvl w:val="1"/>
          <w:numId w:val="9"/>
        </w:numPr>
        <w:kinsoku/>
        <w:wordWrap w:val="0"/>
        <w:overflowPunct/>
        <w:topLinePunct/>
        <w:autoSpaceDE/>
        <w:autoSpaceDN/>
        <w:bidi w:val="0"/>
        <w:adjustRightInd/>
        <w:snapToGrid/>
        <w:spacing w:before="0" w:beforeAutospacing="0" w:after="0" w:afterAutospacing="0" w:line="520" w:lineRule="exact"/>
        <w:ind w:firstLine="480" w:firstLineChars="200"/>
        <w:textAlignment w:val="auto"/>
        <w:rPr>
          <w:rFonts w:hint="eastAsia" w:ascii="宋体" w:hAnsi="宋体" w:eastAsia="宋体" w:cs="宋体"/>
          <w:kern w:val="2"/>
          <w:sz w:val="24"/>
          <w:szCs w:val="24"/>
        </w:rPr>
      </w:pPr>
      <w:r>
        <w:rPr>
          <w:rFonts w:hint="eastAsia" w:ascii="宋体" w:hAnsi="宋体" w:eastAsia="宋体" w:cs="宋体"/>
          <w:kern w:val="2"/>
          <w:sz w:val="24"/>
          <w:szCs w:val="24"/>
        </w:rPr>
        <w:t>发生不可抗力事件后，受影响方均无须对因其未能履行或延迟履行本协议而使另一方蒙受的任何损害、费用增加或损失负责，而未能履行或延迟履行不应被视为违反本协议。但受影响方应采取适当措施尽量减少或消除该事件的影响，并应在尽可能短的时间内恢复履行受该事件影响的义务。</w:t>
      </w:r>
    </w:p>
    <w:p w14:paraId="65D99C8B">
      <w:pPr>
        <w:pStyle w:val="5"/>
        <w:keepNext w:val="0"/>
        <w:keepLines w:val="0"/>
        <w:pageBreakBefore w:val="0"/>
        <w:widowControl w:val="0"/>
        <w:numPr>
          <w:ilvl w:val="1"/>
          <w:numId w:val="9"/>
        </w:numPr>
        <w:kinsoku/>
        <w:wordWrap w:val="0"/>
        <w:overflowPunct/>
        <w:topLinePunct/>
        <w:autoSpaceDE/>
        <w:autoSpaceDN/>
        <w:bidi w:val="0"/>
        <w:adjustRightInd/>
        <w:snapToGrid/>
        <w:spacing w:before="0" w:beforeAutospacing="0" w:after="0" w:afterAutospacing="0" w:line="520" w:lineRule="exact"/>
        <w:ind w:firstLine="480" w:firstLineChars="200"/>
        <w:textAlignment w:val="auto"/>
        <w:rPr>
          <w:rFonts w:hint="eastAsia" w:ascii="宋体" w:hAnsi="宋体" w:eastAsia="宋体" w:cs="宋体"/>
          <w:kern w:val="2"/>
          <w:sz w:val="24"/>
          <w:szCs w:val="24"/>
        </w:rPr>
      </w:pPr>
      <w:r>
        <w:rPr>
          <w:rFonts w:hint="eastAsia" w:ascii="宋体" w:hAnsi="宋体" w:eastAsia="宋体" w:cs="宋体"/>
          <w:kern w:val="2"/>
          <w:sz w:val="24"/>
          <w:szCs w:val="24"/>
          <w:lang w:bidi="ar"/>
        </w:rPr>
        <w:t>在合同有效期内，任何一方因不可抗力事件导致不能履行合同，则合同履行期可延长，其延长期与不可抗力影响期相同。</w:t>
      </w:r>
    </w:p>
    <w:p w14:paraId="7F554845">
      <w:pPr>
        <w:pStyle w:val="5"/>
        <w:keepNext w:val="0"/>
        <w:keepLines w:val="0"/>
        <w:pageBreakBefore w:val="0"/>
        <w:widowControl w:val="0"/>
        <w:numPr>
          <w:ilvl w:val="1"/>
          <w:numId w:val="9"/>
        </w:numPr>
        <w:kinsoku/>
        <w:wordWrap w:val="0"/>
        <w:overflowPunct/>
        <w:topLinePunct/>
        <w:autoSpaceDE/>
        <w:autoSpaceDN/>
        <w:bidi w:val="0"/>
        <w:adjustRightInd/>
        <w:snapToGrid/>
        <w:spacing w:before="0" w:beforeAutospacing="0" w:after="0" w:afterAutospacing="0" w:line="520" w:lineRule="exact"/>
        <w:ind w:firstLine="480" w:firstLineChars="200"/>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lang w:bidi="ar"/>
        </w:rPr>
        <w:t>不可抗力</w:t>
      </w:r>
      <w:r>
        <w:rPr>
          <w:rFonts w:hint="eastAsia" w:ascii="宋体" w:hAnsi="宋体" w:eastAsia="宋体" w:cs="宋体"/>
          <w:kern w:val="2"/>
          <w:sz w:val="24"/>
          <w:szCs w:val="24"/>
          <w:highlight w:val="none"/>
          <w:lang w:bidi="ar"/>
        </w:rPr>
        <w:t>事件发生后，应立即通知对方，并寄送有关权威机构出具的证明。</w:t>
      </w:r>
    </w:p>
    <w:p w14:paraId="12912026">
      <w:pPr>
        <w:pStyle w:val="5"/>
        <w:keepNext w:val="0"/>
        <w:keepLines w:val="0"/>
        <w:pageBreakBefore w:val="0"/>
        <w:widowControl w:val="0"/>
        <w:numPr>
          <w:ilvl w:val="1"/>
          <w:numId w:val="9"/>
        </w:numPr>
        <w:kinsoku/>
        <w:wordWrap w:val="0"/>
        <w:overflowPunct/>
        <w:topLinePunct/>
        <w:autoSpaceDE/>
        <w:autoSpaceDN/>
        <w:bidi w:val="0"/>
        <w:adjustRightInd/>
        <w:snapToGrid/>
        <w:spacing w:before="0" w:beforeAutospacing="0" w:after="0" w:afterAutospacing="0" w:line="520" w:lineRule="exact"/>
        <w:ind w:firstLine="480" w:firstLineChars="200"/>
        <w:textAlignment w:val="auto"/>
        <w:rPr>
          <w:rFonts w:hint="eastAsia" w:cs="宋体"/>
          <w:highlight w:val="none"/>
        </w:rPr>
      </w:pPr>
      <w:r>
        <w:rPr>
          <w:rFonts w:hint="eastAsia" w:ascii="宋体" w:hAnsi="宋体" w:eastAsia="宋体" w:cs="宋体"/>
          <w:kern w:val="2"/>
          <w:sz w:val="24"/>
          <w:szCs w:val="24"/>
          <w:highlight w:val="none"/>
          <w:lang w:bidi="ar"/>
        </w:rPr>
        <w:t>不可抗力事件延续120天以上，双方应通过友好协商，确定是否继续履行合同。</w:t>
      </w:r>
    </w:p>
    <w:p w14:paraId="61A7CC5E">
      <w:pPr>
        <w:pStyle w:val="11"/>
        <w:pageBreakBefore w:val="0"/>
        <w:kinsoku/>
        <w:overflowPunct/>
        <w:autoSpaceDE/>
        <w:autoSpaceDN/>
        <w:bidi w:val="0"/>
        <w:spacing w:line="520" w:lineRule="exact"/>
        <w:textAlignment w:val="auto"/>
        <w:rPr>
          <w:rFonts w:hint="eastAsia"/>
          <w:highlight w:val="none"/>
        </w:rPr>
      </w:pPr>
      <w:bookmarkStart w:id="48" w:name="_Toc14840"/>
      <w:bookmarkStart w:id="49" w:name="_Toc31638"/>
      <w:r>
        <w:rPr>
          <w:rFonts w:hint="eastAsia"/>
          <w:highlight w:val="none"/>
          <w:lang w:eastAsia="zh-CN"/>
        </w:rPr>
        <w:t>争议解决办法</w:t>
      </w:r>
      <w:bookmarkEnd w:id="43"/>
      <w:bookmarkEnd w:id="44"/>
      <w:bookmarkEnd w:id="48"/>
      <w:bookmarkEnd w:id="49"/>
    </w:p>
    <w:p w14:paraId="4BEA28F4">
      <w:pPr>
        <w:pStyle w:val="17"/>
        <w:pageBreakBefore w:val="0"/>
        <w:numPr>
          <w:ilvl w:val="1"/>
          <w:numId w:val="10"/>
        </w:numPr>
        <w:kinsoku/>
        <w:overflowPunct/>
        <w:autoSpaceDE/>
        <w:autoSpaceDN/>
        <w:bidi w:val="0"/>
        <w:spacing w:line="520" w:lineRule="exact"/>
        <w:textAlignment w:val="auto"/>
        <w:rPr>
          <w:rFonts w:hint="eastAsia"/>
        </w:rPr>
      </w:pPr>
      <w:r>
        <w:rPr>
          <w:rFonts w:hint="eastAsia"/>
        </w:rPr>
        <w:t>因货物的质量问题发生争议，由甲方所在地质量技术监督部门或其指定的质量鉴定机构进行质量鉴定。货物符合标准的，鉴定费由甲方承担；货物不符合质量标准的，鉴定费由乙方承担。</w:t>
      </w:r>
    </w:p>
    <w:p w14:paraId="0E18451A">
      <w:pPr>
        <w:pStyle w:val="12"/>
        <w:pageBreakBefore w:val="0"/>
        <w:kinsoku/>
        <w:overflowPunct/>
        <w:autoSpaceDE/>
        <w:autoSpaceDN/>
        <w:bidi w:val="0"/>
        <w:spacing w:line="520" w:lineRule="exact"/>
        <w:textAlignment w:val="auto"/>
        <w:rPr>
          <w:rFonts w:hint="eastAsia"/>
        </w:rPr>
      </w:pPr>
      <w:r>
        <w:rPr>
          <w:rFonts w:hint="eastAsia"/>
        </w:rPr>
        <w:t>合同履行期间,若双方发生争议，可协商或由有关部门调解解决，协商或调解不成的，</w:t>
      </w:r>
      <w:r>
        <w:rPr>
          <w:rFonts w:hint="eastAsia" w:ascii="宋体" w:hAnsi="宋体" w:eastAsia="宋体" w:cs="宋体"/>
          <w:sz w:val="24"/>
          <w:szCs w:val="24"/>
        </w:rPr>
        <w:t>向</w:t>
      </w:r>
      <w:r>
        <w:rPr>
          <w:rFonts w:hint="eastAsia" w:ascii="宋体" w:hAnsi="宋体" w:eastAsia="宋体" w:cs="宋体"/>
          <w:sz w:val="24"/>
          <w:szCs w:val="24"/>
          <w:u w:val="single"/>
          <w:lang w:val="en-US" w:eastAsia="zh-CN"/>
        </w:rPr>
        <w:t>项目</w:t>
      </w:r>
      <w:r>
        <w:rPr>
          <w:rFonts w:hint="eastAsia" w:ascii="宋体" w:hAnsi="宋体" w:eastAsia="宋体" w:cs="宋体"/>
          <w:sz w:val="24"/>
          <w:szCs w:val="24"/>
        </w:rPr>
        <w:t>所在地</w:t>
      </w:r>
      <w:r>
        <w:rPr>
          <w:rFonts w:hint="eastAsia" w:ascii="宋体" w:hAnsi="宋体" w:eastAsia="宋体" w:cs="宋体"/>
          <w:color w:val="auto"/>
          <w:sz w:val="24"/>
          <w:szCs w:val="24"/>
          <w:highlight w:val="none"/>
        </w:rPr>
        <w:t>有管辖权的</w:t>
      </w:r>
      <w:r>
        <w:rPr>
          <w:rFonts w:hint="eastAsia" w:ascii="宋体" w:hAnsi="宋体" w:eastAsia="宋体" w:cs="宋体"/>
          <w:sz w:val="24"/>
          <w:szCs w:val="24"/>
        </w:rPr>
        <w:t>人民法院起诉</w:t>
      </w:r>
      <w:r>
        <w:rPr>
          <w:rFonts w:hint="eastAsia"/>
        </w:rPr>
        <w:t>。</w:t>
      </w:r>
    </w:p>
    <w:p w14:paraId="7E04BF1B">
      <w:pPr>
        <w:pStyle w:val="11"/>
        <w:pageBreakBefore w:val="0"/>
        <w:kinsoku/>
        <w:overflowPunct/>
        <w:autoSpaceDE/>
        <w:autoSpaceDN/>
        <w:bidi w:val="0"/>
        <w:spacing w:line="520" w:lineRule="exact"/>
        <w:textAlignment w:val="auto"/>
        <w:rPr>
          <w:rFonts w:hint="eastAsia"/>
        </w:rPr>
      </w:pPr>
      <w:bookmarkStart w:id="50" w:name="_Toc7762"/>
      <w:bookmarkStart w:id="51" w:name="_Toc19230"/>
      <w:bookmarkStart w:id="52" w:name="_Toc28481"/>
      <w:bookmarkStart w:id="53" w:name="_Toc16638"/>
      <w:r>
        <w:rPr>
          <w:rFonts w:hint="eastAsia"/>
          <w:lang w:eastAsia="zh-CN"/>
        </w:rPr>
        <w:t>其他</w:t>
      </w:r>
      <w:bookmarkEnd w:id="50"/>
      <w:bookmarkEnd w:id="51"/>
      <w:bookmarkEnd w:id="52"/>
      <w:bookmarkEnd w:id="53"/>
    </w:p>
    <w:p w14:paraId="0AB26299">
      <w:pPr>
        <w:pStyle w:val="17"/>
        <w:pageBreakBefore w:val="0"/>
        <w:numPr>
          <w:ilvl w:val="1"/>
          <w:numId w:val="11"/>
        </w:numPr>
        <w:kinsoku/>
        <w:overflowPunct/>
        <w:autoSpaceDE/>
        <w:autoSpaceDN/>
        <w:bidi w:val="0"/>
        <w:spacing w:line="520" w:lineRule="exact"/>
        <w:textAlignment w:val="auto"/>
        <w:rPr>
          <w:rFonts w:hint="eastAsia"/>
        </w:rPr>
      </w:pPr>
      <w:r>
        <w:rPr>
          <w:rFonts w:hint="eastAsia"/>
        </w:rPr>
        <w:t>如有未尽事宜，由双方依法订立补充合同。</w:t>
      </w:r>
    </w:p>
    <w:p w14:paraId="652F457E">
      <w:pPr>
        <w:pStyle w:val="17"/>
        <w:pageBreakBefore w:val="0"/>
        <w:numPr>
          <w:ilvl w:val="1"/>
          <w:numId w:val="11"/>
        </w:numPr>
        <w:kinsoku/>
        <w:overflowPunct/>
        <w:autoSpaceDE/>
        <w:autoSpaceDN/>
        <w:bidi w:val="0"/>
        <w:spacing w:line="520" w:lineRule="exact"/>
        <w:textAlignment w:val="auto"/>
        <w:rPr>
          <w:rFonts w:hint="eastAsia"/>
        </w:rPr>
      </w:pPr>
      <w:r>
        <w:rPr>
          <w:rFonts w:hint="eastAsia"/>
        </w:rPr>
        <w:t>本合同一式</w:t>
      </w:r>
      <w:r>
        <w:rPr>
          <w:rFonts w:hint="eastAsia" w:ascii="宋体" w:hAnsi="宋体" w:eastAsia="宋体" w:cs="宋体"/>
          <w:kern w:val="2"/>
          <w:sz w:val="24"/>
          <w:szCs w:val="24"/>
          <w:highlight w:val="none"/>
          <w:lang w:eastAsia="zh-CN" w:bidi="ar"/>
        </w:rPr>
        <w:t>陆</w:t>
      </w:r>
      <w:r>
        <w:rPr>
          <w:rFonts w:hint="eastAsia"/>
        </w:rPr>
        <w:t>份，自双方签章之日起生效。甲方</w:t>
      </w:r>
      <w:r>
        <w:rPr>
          <w:rFonts w:hint="eastAsia" w:ascii="宋体" w:hAnsi="宋体" w:eastAsia="宋体" w:cs="宋体"/>
          <w:kern w:val="2"/>
          <w:sz w:val="24"/>
          <w:szCs w:val="24"/>
          <w:highlight w:val="none"/>
          <w:lang w:eastAsia="zh-CN" w:bidi="ar"/>
        </w:rPr>
        <w:t>叁</w:t>
      </w:r>
      <w:r>
        <w:rPr>
          <w:rFonts w:hint="eastAsia"/>
        </w:rPr>
        <w:t>份，乙方、政府采购管理部门、采购代理机构各</w:t>
      </w:r>
      <w:r>
        <w:rPr>
          <w:rFonts w:hint="eastAsia" w:ascii="宋体" w:hAnsi="宋体" w:eastAsia="宋体" w:cs="宋体"/>
          <w:kern w:val="2"/>
          <w:sz w:val="24"/>
          <w:szCs w:val="24"/>
          <w:highlight w:val="none"/>
          <w:lang w:eastAsia="zh-CN" w:bidi="ar"/>
        </w:rPr>
        <w:t>壹</w:t>
      </w:r>
      <w:r>
        <w:rPr>
          <w:rFonts w:hint="eastAsia"/>
        </w:rPr>
        <w:t>份。</w:t>
      </w:r>
    </w:p>
    <w:p w14:paraId="32C4BAB3">
      <w:pPr>
        <w:pStyle w:val="11"/>
        <w:pageBreakBefore w:val="0"/>
        <w:kinsoku/>
        <w:overflowPunct/>
        <w:autoSpaceDE/>
        <w:autoSpaceDN/>
        <w:bidi w:val="0"/>
        <w:spacing w:line="520" w:lineRule="exact"/>
        <w:textAlignment w:val="auto"/>
        <w:rPr>
          <w:rFonts w:hint="eastAsia"/>
          <w:lang w:val="en-US" w:eastAsia="zh-CN"/>
        </w:rPr>
      </w:pPr>
      <w:bookmarkStart w:id="54" w:name="_Toc7330"/>
      <w:bookmarkStart w:id="55" w:name="_Toc13642"/>
      <w:bookmarkStart w:id="56" w:name="_Toc6550"/>
      <w:r>
        <w:rPr>
          <w:rFonts w:hint="eastAsia"/>
          <w:lang w:val="en-US" w:eastAsia="zh-CN"/>
        </w:rPr>
        <w:t>附件</w:t>
      </w:r>
      <w:bookmarkEnd w:id="54"/>
      <w:bookmarkEnd w:id="55"/>
      <w:bookmarkEnd w:id="56"/>
    </w:p>
    <w:p w14:paraId="74A820FD">
      <w:pPr>
        <w:pStyle w:val="21"/>
        <w:keepNext w:val="0"/>
        <w:keepLines w:val="0"/>
        <w:pageBreakBefore w:val="0"/>
        <w:widowControl w:val="0"/>
        <w:numPr>
          <w:ilvl w:val="0"/>
          <w:numId w:val="12"/>
        </w:numPr>
        <w:kinsoku/>
        <w:wordWrap w:val="0"/>
        <w:overflowPunct/>
        <w:topLinePunct/>
        <w:autoSpaceDE/>
        <w:autoSpaceDN/>
        <w:bidi w:val="0"/>
        <w:adjustRightInd w:val="0"/>
        <w:snapToGrid w:val="0"/>
        <w:spacing w:line="520" w:lineRule="exact"/>
        <w:ind w:leftChars="0"/>
        <w:textAlignment w:val="auto"/>
        <w:outlineLvl w:val="9"/>
        <w:rPr>
          <w:rFonts w:hint="eastAsia" w:ascii="宋体" w:hAnsi="宋体" w:eastAsia="宋体" w:cs="宋体"/>
          <w:b w:val="0"/>
          <w:bCs/>
          <w:sz w:val="24"/>
          <w:szCs w:val="24"/>
          <w:lang w:val="en-US" w:eastAsia="zh-CN"/>
        </w:rPr>
      </w:pPr>
      <w:bookmarkStart w:id="57" w:name="_Toc26908"/>
      <w:bookmarkStart w:id="58" w:name="_Toc26365"/>
      <w:bookmarkStart w:id="59" w:name="_Toc8532"/>
      <w:bookmarkStart w:id="60" w:name="_Toc1126"/>
      <w:r>
        <w:rPr>
          <w:rFonts w:hint="eastAsia" w:ascii="宋体" w:hAnsi="宋体" w:eastAsia="宋体" w:cs="宋体"/>
          <w:b w:val="0"/>
          <w:bCs/>
          <w:sz w:val="24"/>
          <w:szCs w:val="24"/>
          <w:lang w:val="en-US" w:eastAsia="zh-CN"/>
        </w:rPr>
        <w:t>《</w:t>
      </w:r>
      <w:r>
        <w:rPr>
          <w:rFonts w:hint="eastAsia" w:cs="宋体"/>
          <w:b w:val="0"/>
          <w:bCs/>
          <w:sz w:val="24"/>
          <w:szCs w:val="24"/>
          <w:lang w:val="en-US" w:eastAsia="zh-CN"/>
        </w:rPr>
        <w:t>竞争性谈判</w:t>
      </w:r>
      <w:r>
        <w:rPr>
          <w:rFonts w:hint="eastAsia" w:ascii="宋体" w:hAnsi="宋体" w:eastAsia="宋体" w:cs="宋体"/>
          <w:b w:val="0"/>
          <w:bCs/>
          <w:sz w:val="24"/>
          <w:szCs w:val="24"/>
          <w:lang w:val="en-US" w:eastAsia="zh-CN"/>
        </w:rPr>
        <w:t>文件》；</w:t>
      </w:r>
      <w:bookmarkEnd w:id="57"/>
      <w:bookmarkEnd w:id="58"/>
      <w:bookmarkEnd w:id="59"/>
      <w:bookmarkEnd w:id="60"/>
    </w:p>
    <w:p w14:paraId="48DC6B05">
      <w:pPr>
        <w:pStyle w:val="21"/>
        <w:keepNext w:val="0"/>
        <w:keepLines w:val="0"/>
        <w:pageBreakBefore w:val="0"/>
        <w:widowControl w:val="0"/>
        <w:numPr>
          <w:ilvl w:val="0"/>
          <w:numId w:val="12"/>
        </w:numPr>
        <w:kinsoku/>
        <w:wordWrap w:val="0"/>
        <w:overflowPunct/>
        <w:topLinePunct/>
        <w:autoSpaceDE/>
        <w:autoSpaceDN/>
        <w:bidi w:val="0"/>
        <w:adjustRightInd w:val="0"/>
        <w:snapToGrid w:val="0"/>
        <w:spacing w:line="520" w:lineRule="exact"/>
        <w:ind w:leftChars="0"/>
        <w:textAlignment w:val="auto"/>
        <w:outlineLvl w:val="9"/>
        <w:rPr>
          <w:rFonts w:hint="eastAsia" w:ascii="宋体" w:hAnsi="宋体" w:eastAsia="宋体" w:cs="宋体"/>
          <w:b w:val="0"/>
          <w:bCs/>
          <w:sz w:val="24"/>
          <w:szCs w:val="24"/>
          <w:lang w:val="en-US" w:eastAsia="zh-CN"/>
        </w:rPr>
      </w:pPr>
      <w:bookmarkStart w:id="61" w:name="_Toc22725"/>
      <w:bookmarkStart w:id="62" w:name="_Toc6385"/>
      <w:bookmarkStart w:id="63" w:name="_Toc31903"/>
      <w:bookmarkStart w:id="64" w:name="_Toc30873"/>
      <w:r>
        <w:rPr>
          <w:rFonts w:hint="eastAsia" w:ascii="宋体" w:hAnsi="宋体" w:eastAsia="宋体" w:cs="宋体"/>
          <w:b w:val="0"/>
          <w:bCs/>
          <w:sz w:val="24"/>
          <w:szCs w:val="24"/>
          <w:lang w:val="en-US" w:eastAsia="zh-CN"/>
        </w:rPr>
        <w:t>项目修改澄清文件；</w:t>
      </w:r>
      <w:bookmarkEnd w:id="61"/>
      <w:bookmarkEnd w:id="62"/>
      <w:bookmarkEnd w:id="63"/>
      <w:bookmarkEnd w:id="64"/>
    </w:p>
    <w:p w14:paraId="6C95DE1D">
      <w:pPr>
        <w:pStyle w:val="21"/>
        <w:keepNext w:val="0"/>
        <w:keepLines w:val="0"/>
        <w:pageBreakBefore w:val="0"/>
        <w:widowControl w:val="0"/>
        <w:numPr>
          <w:ilvl w:val="0"/>
          <w:numId w:val="12"/>
        </w:numPr>
        <w:kinsoku/>
        <w:wordWrap w:val="0"/>
        <w:overflowPunct/>
        <w:topLinePunct/>
        <w:autoSpaceDE/>
        <w:autoSpaceDN/>
        <w:bidi w:val="0"/>
        <w:adjustRightInd w:val="0"/>
        <w:snapToGrid w:val="0"/>
        <w:spacing w:line="520" w:lineRule="exact"/>
        <w:ind w:leftChars="0"/>
        <w:textAlignment w:val="auto"/>
        <w:outlineLvl w:val="9"/>
        <w:rPr>
          <w:rFonts w:hint="eastAsia" w:ascii="宋体" w:hAnsi="宋体" w:eastAsia="宋体" w:cs="宋体"/>
          <w:b w:val="0"/>
          <w:bCs/>
          <w:sz w:val="24"/>
          <w:szCs w:val="24"/>
          <w:lang w:val="en-US" w:eastAsia="zh-CN"/>
        </w:rPr>
      </w:pPr>
      <w:bookmarkStart w:id="65" w:name="_Toc21342"/>
      <w:bookmarkStart w:id="66" w:name="_Toc10674"/>
      <w:bookmarkStart w:id="67" w:name="_Toc11403"/>
      <w:bookmarkStart w:id="68" w:name="_Toc30692"/>
      <w:r>
        <w:rPr>
          <w:rFonts w:hint="eastAsia" w:ascii="宋体" w:hAnsi="宋体" w:eastAsia="宋体" w:cs="宋体"/>
          <w:b w:val="0"/>
          <w:bCs/>
          <w:sz w:val="24"/>
          <w:szCs w:val="24"/>
          <w:lang w:val="en-US" w:eastAsia="zh-CN"/>
        </w:rPr>
        <w:t>《</w:t>
      </w:r>
      <w:r>
        <w:rPr>
          <w:rFonts w:hint="eastAsia" w:cs="宋体"/>
          <w:b w:val="0"/>
          <w:bCs/>
          <w:sz w:val="24"/>
          <w:szCs w:val="24"/>
          <w:lang w:val="en-US" w:eastAsia="zh-CN"/>
        </w:rPr>
        <w:t>响应</w:t>
      </w:r>
      <w:r>
        <w:rPr>
          <w:rFonts w:hint="eastAsia" w:ascii="宋体" w:hAnsi="宋体" w:eastAsia="宋体" w:cs="宋体"/>
          <w:b w:val="0"/>
          <w:bCs/>
          <w:sz w:val="24"/>
          <w:szCs w:val="24"/>
          <w:lang w:val="en-US" w:eastAsia="zh-CN"/>
        </w:rPr>
        <w:t>文件》；</w:t>
      </w:r>
      <w:bookmarkEnd w:id="65"/>
      <w:bookmarkEnd w:id="66"/>
      <w:bookmarkEnd w:id="67"/>
      <w:bookmarkEnd w:id="68"/>
    </w:p>
    <w:p w14:paraId="002B222F">
      <w:pPr>
        <w:pStyle w:val="21"/>
        <w:keepNext w:val="0"/>
        <w:keepLines w:val="0"/>
        <w:pageBreakBefore w:val="0"/>
        <w:widowControl w:val="0"/>
        <w:numPr>
          <w:ilvl w:val="0"/>
          <w:numId w:val="12"/>
        </w:numPr>
        <w:kinsoku/>
        <w:wordWrap w:val="0"/>
        <w:overflowPunct/>
        <w:topLinePunct/>
        <w:autoSpaceDE/>
        <w:autoSpaceDN/>
        <w:bidi w:val="0"/>
        <w:adjustRightInd w:val="0"/>
        <w:snapToGrid w:val="0"/>
        <w:spacing w:line="520" w:lineRule="exact"/>
        <w:ind w:leftChars="0"/>
        <w:textAlignment w:val="auto"/>
        <w:outlineLvl w:val="9"/>
        <w:rPr>
          <w:rFonts w:hint="eastAsia" w:ascii="宋体" w:hAnsi="宋体" w:eastAsia="宋体" w:cs="宋体"/>
          <w:b w:val="0"/>
          <w:bCs/>
          <w:sz w:val="24"/>
          <w:szCs w:val="24"/>
          <w:lang w:val="en-US" w:eastAsia="zh-CN"/>
        </w:rPr>
      </w:pPr>
      <w:bookmarkStart w:id="69" w:name="_Toc13401"/>
      <w:bookmarkStart w:id="70" w:name="_Toc30165"/>
      <w:bookmarkStart w:id="71" w:name="_Toc18727"/>
      <w:bookmarkStart w:id="72" w:name="_Toc12318"/>
      <w:r>
        <w:rPr>
          <w:rFonts w:hint="eastAsia" w:ascii="宋体" w:hAnsi="宋体" w:eastAsia="宋体" w:cs="宋体"/>
          <w:b w:val="0"/>
          <w:bCs/>
          <w:sz w:val="24"/>
          <w:szCs w:val="24"/>
          <w:lang w:val="en-US" w:eastAsia="zh-CN"/>
        </w:rPr>
        <w:t>《</w:t>
      </w:r>
      <w:r>
        <w:rPr>
          <w:rFonts w:hint="eastAsia" w:cs="宋体"/>
          <w:b w:val="0"/>
          <w:bCs/>
          <w:sz w:val="24"/>
          <w:szCs w:val="24"/>
          <w:lang w:val="en-US" w:eastAsia="zh-CN"/>
        </w:rPr>
        <w:t>成交</w:t>
      </w:r>
      <w:r>
        <w:rPr>
          <w:rFonts w:hint="eastAsia" w:ascii="宋体" w:hAnsi="宋体" w:eastAsia="宋体" w:cs="宋体"/>
          <w:b w:val="0"/>
          <w:bCs/>
          <w:sz w:val="24"/>
          <w:szCs w:val="24"/>
          <w:lang w:val="en-US" w:eastAsia="zh-CN"/>
        </w:rPr>
        <w:t>通知书》；</w:t>
      </w:r>
      <w:bookmarkEnd w:id="69"/>
      <w:bookmarkEnd w:id="70"/>
      <w:bookmarkEnd w:id="71"/>
      <w:bookmarkEnd w:id="72"/>
    </w:p>
    <w:p w14:paraId="3A655F18">
      <w:pPr>
        <w:pStyle w:val="21"/>
        <w:keepNext w:val="0"/>
        <w:keepLines w:val="0"/>
        <w:pageBreakBefore w:val="0"/>
        <w:widowControl w:val="0"/>
        <w:numPr>
          <w:ilvl w:val="0"/>
          <w:numId w:val="12"/>
        </w:numPr>
        <w:kinsoku/>
        <w:wordWrap w:val="0"/>
        <w:overflowPunct/>
        <w:topLinePunct/>
        <w:autoSpaceDE/>
        <w:autoSpaceDN/>
        <w:bidi w:val="0"/>
        <w:adjustRightInd w:val="0"/>
        <w:snapToGrid w:val="0"/>
        <w:spacing w:line="520" w:lineRule="exact"/>
        <w:ind w:leftChars="0"/>
        <w:textAlignment w:val="auto"/>
        <w:outlineLvl w:val="9"/>
        <w:rPr>
          <w:rFonts w:hint="eastAsia" w:ascii="宋体" w:hAnsi="宋体" w:eastAsia="宋体" w:cs="宋体"/>
          <w:b w:val="0"/>
          <w:bCs/>
          <w:sz w:val="24"/>
          <w:szCs w:val="24"/>
          <w:lang w:val="en-US" w:eastAsia="zh-CN"/>
        </w:rPr>
      </w:pPr>
      <w:bookmarkStart w:id="73" w:name="_Toc17585"/>
      <w:bookmarkStart w:id="74" w:name="_Toc4340"/>
      <w:bookmarkStart w:id="75" w:name="_Toc11"/>
      <w:bookmarkStart w:id="76" w:name="_Toc8497"/>
      <w:r>
        <w:rPr>
          <w:rFonts w:hint="eastAsia" w:ascii="宋体" w:hAnsi="宋体" w:eastAsia="宋体" w:cs="宋体"/>
          <w:b w:val="0"/>
          <w:bCs/>
          <w:sz w:val="24"/>
          <w:szCs w:val="24"/>
          <w:lang w:val="en-US" w:eastAsia="zh-CN"/>
        </w:rPr>
        <w:t>补充合同；</w:t>
      </w:r>
      <w:bookmarkEnd w:id="73"/>
      <w:bookmarkEnd w:id="74"/>
      <w:bookmarkEnd w:id="75"/>
      <w:bookmarkEnd w:id="76"/>
    </w:p>
    <w:p w14:paraId="41425CE3">
      <w:pPr>
        <w:pStyle w:val="21"/>
        <w:keepNext w:val="0"/>
        <w:keepLines w:val="0"/>
        <w:pageBreakBefore w:val="0"/>
        <w:widowControl w:val="0"/>
        <w:numPr>
          <w:ilvl w:val="0"/>
          <w:numId w:val="12"/>
        </w:numPr>
        <w:kinsoku/>
        <w:wordWrap w:val="0"/>
        <w:overflowPunct/>
        <w:topLinePunct/>
        <w:autoSpaceDE/>
        <w:autoSpaceDN/>
        <w:bidi w:val="0"/>
        <w:adjustRightInd w:val="0"/>
        <w:snapToGrid w:val="0"/>
        <w:spacing w:line="520" w:lineRule="exact"/>
        <w:ind w:leftChars="0"/>
        <w:textAlignment w:val="auto"/>
        <w:outlineLvl w:val="9"/>
        <w:rPr>
          <w:rFonts w:hint="eastAsia" w:ascii="宋体" w:hAnsi="宋体" w:eastAsia="宋体" w:cs="宋体"/>
          <w:b w:val="0"/>
          <w:bCs/>
          <w:sz w:val="24"/>
          <w:szCs w:val="24"/>
          <w:lang w:val="en-US" w:eastAsia="zh-CN"/>
        </w:rPr>
      </w:pPr>
      <w:bookmarkStart w:id="77" w:name="_Toc18535"/>
      <w:bookmarkStart w:id="78" w:name="_Toc31636"/>
      <w:bookmarkStart w:id="79" w:name="_Toc4724"/>
      <w:bookmarkStart w:id="80" w:name="_Toc18896"/>
      <w:r>
        <w:rPr>
          <w:rFonts w:hint="eastAsia" w:ascii="宋体" w:hAnsi="宋体" w:eastAsia="宋体" w:cs="宋体"/>
          <w:b w:val="0"/>
          <w:bCs/>
          <w:sz w:val="24"/>
          <w:szCs w:val="24"/>
          <w:lang w:val="en-US" w:eastAsia="zh-CN"/>
        </w:rPr>
        <w:t>其他。</w:t>
      </w:r>
      <w:bookmarkEnd w:id="77"/>
      <w:bookmarkEnd w:id="78"/>
      <w:bookmarkEnd w:id="79"/>
      <w:bookmarkEnd w:id="80"/>
    </w:p>
    <w:p w14:paraId="7F4BFC29">
      <w:pPr>
        <w:pStyle w:val="22"/>
        <w:keepNext w:val="0"/>
        <w:keepLines w:val="0"/>
        <w:pageBreakBefore/>
        <w:widowControl w:val="0"/>
        <w:kinsoku/>
        <w:wordWrap/>
        <w:overflowPunct/>
        <w:topLinePunct w:val="0"/>
        <w:autoSpaceDE/>
        <w:autoSpaceDN/>
        <w:bidi w:val="0"/>
        <w:adjustRightInd w:val="0"/>
        <w:snapToGrid w:val="0"/>
        <w:spacing w:before="313" w:beforeLines="100" w:after="313" w:afterLines="100"/>
        <w:jc w:val="center"/>
        <w:textAlignment w:val="auto"/>
        <w:rPr>
          <w:rFonts w:hint="eastAsia"/>
          <w:b/>
          <w:bCs/>
          <w:color w:val="auto"/>
        </w:rPr>
      </w:pPr>
      <w:r>
        <w:rPr>
          <w:rFonts w:hint="eastAsia"/>
          <w:b/>
          <w:bCs/>
          <w:color w:val="auto"/>
          <w:lang w:val="en-US" w:eastAsia="zh-CN"/>
        </w:rPr>
        <w:t>(本页无正文)</w:t>
      </w:r>
    </w:p>
    <w:tbl>
      <w:tblPr>
        <w:tblStyle w:val="7"/>
        <w:tblW w:w="996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981"/>
        <w:gridCol w:w="4981"/>
      </w:tblGrid>
      <w:tr w14:paraId="2CCDF2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8" w:hRule="atLeast"/>
          <w:jc w:val="center"/>
        </w:trPr>
        <w:tc>
          <w:tcPr>
            <w:tcW w:w="4981" w:type="dxa"/>
            <w:noWrap w:val="0"/>
            <w:vAlign w:val="center"/>
          </w:tcPr>
          <w:p w14:paraId="7B9B6CAD">
            <w:pPr>
              <w:pStyle w:val="10"/>
              <w:bidi w:val="0"/>
              <w:rPr>
                <w:rFonts w:hint="eastAsia"/>
                <w:color w:val="auto"/>
              </w:rPr>
            </w:pPr>
            <w:r>
              <w:rPr>
                <w:rFonts w:hint="eastAsia"/>
                <w:color w:val="auto"/>
              </w:rPr>
              <w:t>甲方：   (盖章)</w:t>
            </w:r>
          </w:p>
        </w:tc>
        <w:tc>
          <w:tcPr>
            <w:tcW w:w="4981" w:type="dxa"/>
            <w:noWrap w:val="0"/>
            <w:vAlign w:val="center"/>
          </w:tcPr>
          <w:p w14:paraId="2230160C">
            <w:pPr>
              <w:pStyle w:val="10"/>
              <w:bidi w:val="0"/>
              <w:rPr>
                <w:rFonts w:hint="eastAsia"/>
                <w:color w:val="auto"/>
              </w:rPr>
            </w:pPr>
            <w:r>
              <w:rPr>
                <w:rFonts w:hint="eastAsia"/>
                <w:color w:val="auto"/>
              </w:rPr>
              <w:t>乙方：   (盖章)</w:t>
            </w:r>
          </w:p>
        </w:tc>
      </w:tr>
      <w:tr w14:paraId="295D08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8" w:hRule="atLeast"/>
          <w:jc w:val="center"/>
        </w:trPr>
        <w:tc>
          <w:tcPr>
            <w:tcW w:w="4981" w:type="dxa"/>
            <w:noWrap w:val="0"/>
            <w:vAlign w:val="center"/>
          </w:tcPr>
          <w:p w14:paraId="2319CBA9">
            <w:pPr>
              <w:pStyle w:val="10"/>
              <w:bidi w:val="0"/>
              <w:rPr>
                <w:rFonts w:hint="eastAsia"/>
                <w:color w:val="auto"/>
              </w:rPr>
            </w:pPr>
            <w:r>
              <w:rPr>
                <w:rFonts w:hint="eastAsia"/>
                <w:color w:val="auto"/>
              </w:rPr>
              <w:t>法定代表人(</w:t>
            </w:r>
            <w:r>
              <w:rPr>
                <w:rFonts w:hint="eastAsia"/>
                <w:color w:val="auto"/>
                <w:lang w:eastAsia="zh-CN"/>
              </w:rPr>
              <w:t>被授权人</w:t>
            </w:r>
            <w:r>
              <w:rPr>
                <w:rFonts w:hint="eastAsia"/>
                <w:color w:val="auto"/>
              </w:rPr>
              <w:t>)：</w:t>
            </w:r>
          </w:p>
        </w:tc>
        <w:tc>
          <w:tcPr>
            <w:tcW w:w="4981" w:type="dxa"/>
            <w:noWrap w:val="0"/>
            <w:vAlign w:val="center"/>
          </w:tcPr>
          <w:p w14:paraId="0FD55346">
            <w:pPr>
              <w:pStyle w:val="10"/>
              <w:bidi w:val="0"/>
              <w:rPr>
                <w:rFonts w:hint="eastAsia"/>
                <w:color w:val="auto"/>
              </w:rPr>
            </w:pPr>
            <w:r>
              <w:rPr>
                <w:rFonts w:hint="eastAsia"/>
                <w:color w:val="auto"/>
              </w:rPr>
              <w:t>法定代表人(</w:t>
            </w:r>
            <w:r>
              <w:rPr>
                <w:rFonts w:hint="eastAsia"/>
                <w:color w:val="auto"/>
                <w:lang w:eastAsia="zh-CN"/>
              </w:rPr>
              <w:t>被授权人</w:t>
            </w:r>
            <w:r>
              <w:rPr>
                <w:rFonts w:hint="eastAsia"/>
                <w:color w:val="auto"/>
              </w:rPr>
              <w:t>)：</w:t>
            </w:r>
          </w:p>
        </w:tc>
      </w:tr>
      <w:tr w14:paraId="182121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8" w:hRule="atLeast"/>
          <w:jc w:val="center"/>
        </w:trPr>
        <w:tc>
          <w:tcPr>
            <w:tcW w:w="4981" w:type="dxa"/>
            <w:noWrap w:val="0"/>
            <w:vAlign w:val="center"/>
          </w:tcPr>
          <w:p w14:paraId="18FD9724">
            <w:pPr>
              <w:pStyle w:val="10"/>
              <w:bidi w:val="0"/>
              <w:rPr>
                <w:rFonts w:hint="eastAsia"/>
                <w:color w:val="auto"/>
              </w:rPr>
            </w:pPr>
            <w:r>
              <w:rPr>
                <w:rFonts w:hint="eastAsia"/>
                <w:color w:val="auto"/>
              </w:rPr>
              <w:t>地址</w:t>
            </w:r>
            <w:r>
              <w:rPr>
                <w:rFonts w:hint="eastAsia"/>
                <w:color w:val="auto"/>
                <w:lang w:eastAsia="zh-CN"/>
              </w:rPr>
              <w:t>(</w:t>
            </w:r>
            <w:r>
              <w:rPr>
                <w:rFonts w:hint="eastAsia"/>
                <w:color w:val="auto"/>
              </w:rPr>
              <w:t>住所</w:t>
            </w:r>
            <w:r>
              <w:rPr>
                <w:rFonts w:hint="eastAsia"/>
                <w:color w:val="auto"/>
                <w:lang w:eastAsia="zh-CN"/>
              </w:rPr>
              <w:t>)</w:t>
            </w:r>
            <w:r>
              <w:rPr>
                <w:rFonts w:hint="eastAsia"/>
                <w:color w:val="auto"/>
              </w:rPr>
              <w:t>：</w:t>
            </w:r>
          </w:p>
        </w:tc>
        <w:tc>
          <w:tcPr>
            <w:tcW w:w="4981" w:type="dxa"/>
            <w:noWrap w:val="0"/>
            <w:vAlign w:val="center"/>
          </w:tcPr>
          <w:p w14:paraId="38039304">
            <w:pPr>
              <w:pStyle w:val="10"/>
              <w:bidi w:val="0"/>
              <w:rPr>
                <w:rFonts w:hint="eastAsia"/>
                <w:color w:val="auto"/>
              </w:rPr>
            </w:pPr>
            <w:r>
              <w:rPr>
                <w:rFonts w:hint="eastAsia"/>
                <w:color w:val="auto"/>
              </w:rPr>
              <w:t>地址</w:t>
            </w:r>
            <w:r>
              <w:rPr>
                <w:rFonts w:hint="eastAsia"/>
                <w:color w:val="auto"/>
                <w:lang w:eastAsia="zh-CN"/>
              </w:rPr>
              <w:t>(</w:t>
            </w:r>
            <w:r>
              <w:rPr>
                <w:rFonts w:hint="eastAsia"/>
                <w:color w:val="auto"/>
              </w:rPr>
              <w:t>住所</w:t>
            </w:r>
            <w:r>
              <w:rPr>
                <w:rFonts w:hint="eastAsia"/>
                <w:color w:val="auto"/>
                <w:lang w:eastAsia="zh-CN"/>
              </w:rPr>
              <w:t>)</w:t>
            </w:r>
            <w:r>
              <w:rPr>
                <w:rFonts w:hint="eastAsia"/>
                <w:color w:val="auto"/>
              </w:rPr>
              <w:t>：</w:t>
            </w:r>
          </w:p>
        </w:tc>
      </w:tr>
      <w:tr w14:paraId="4B052E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8" w:hRule="atLeast"/>
          <w:jc w:val="center"/>
        </w:trPr>
        <w:tc>
          <w:tcPr>
            <w:tcW w:w="4981" w:type="dxa"/>
            <w:noWrap w:val="0"/>
            <w:vAlign w:val="center"/>
          </w:tcPr>
          <w:p w14:paraId="50D7A687">
            <w:pPr>
              <w:pStyle w:val="10"/>
              <w:bidi w:val="0"/>
              <w:rPr>
                <w:rFonts w:hint="eastAsia"/>
                <w:color w:val="auto"/>
              </w:rPr>
            </w:pPr>
            <w:r>
              <w:rPr>
                <w:rFonts w:hint="eastAsia"/>
                <w:color w:val="auto"/>
              </w:rPr>
              <w:t>开户银行：</w:t>
            </w:r>
          </w:p>
        </w:tc>
        <w:tc>
          <w:tcPr>
            <w:tcW w:w="4981" w:type="dxa"/>
            <w:noWrap w:val="0"/>
            <w:vAlign w:val="center"/>
          </w:tcPr>
          <w:p w14:paraId="70E287A4">
            <w:pPr>
              <w:pStyle w:val="10"/>
              <w:bidi w:val="0"/>
              <w:rPr>
                <w:rFonts w:hint="eastAsia"/>
                <w:color w:val="auto"/>
              </w:rPr>
            </w:pPr>
            <w:r>
              <w:rPr>
                <w:rFonts w:hint="eastAsia"/>
                <w:color w:val="auto"/>
              </w:rPr>
              <w:t>开户银行：</w:t>
            </w:r>
          </w:p>
        </w:tc>
      </w:tr>
      <w:tr w14:paraId="2B479F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8" w:hRule="atLeast"/>
          <w:jc w:val="center"/>
        </w:trPr>
        <w:tc>
          <w:tcPr>
            <w:tcW w:w="4981" w:type="dxa"/>
            <w:noWrap w:val="0"/>
            <w:vAlign w:val="center"/>
          </w:tcPr>
          <w:p w14:paraId="41D70BBE">
            <w:pPr>
              <w:pStyle w:val="10"/>
              <w:bidi w:val="0"/>
              <w:rPr>
                <w:rFonts w:hint="eastAsia"/>
                <w:color w:val="auto"/>
              </w:rPr>
            </w:pPr>
            <w:r>
              <w:rPr>
                <w:rFonts w:hint="eastAsia"/>
                <w:color w:val="auto"/>
              </w:rPr>
              <w:t>账号：</w:t>
            </w:r>
          </w:p>
        </w:tc>
        <w:tc>
          <w:tcPr>
            <w:tcW w:w="4981" w:type="dxa"/>
            <w:noWrap w:val="0"/>
            <w:vAlign w:val="center"/>
          </w:tcPr>
          <w:p w14:paraId="6CBF3A1E">
            <w:pPr>
              <w:pStyle w:val="10"/>
              <w:bidi w:val="0"/>
              <w:rPr>
                <w:rFonts w:hint="eastAsia"/>
                <w:color w:val="auto"/>
              </w:rPr>
            </w:pPr>
            <w:r>
              <w:rPr>
                <w:rFonts w:hint="eastAsia"/>
                <w:color w:val="auto"/>
              </w:rPr>
              <w:t>账号：</w:t>
            </w:r>
          </w:p>
        </w:tc>
      </w:tr>
      <w:tr w14:paraId="3C5C11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8" w:hRule="atLeast"/>
          <w:jc w:val="center"/>
        </w:trPr>
        <w:tc>
          <w:tcPr>
            <w:tcW w:w="4981" w:type="dxa"/>
            <w:noWrap w:val="0"/>
            <w:vAlign w:val="center"/>
          </w:tcPr>
          <w:p w14:paraId="30D592E8">
            <w:pPr>
              <w:pStyle w:val="10"/>
              <w:bidi w:val="0"/>
              <w:rPr>
                <w:rFonts w:hint="eastAsia"/>
                <w:color w:val="auto"/>
              </w:rPr>
            </w:pPr>
            <w:r>
              <w:rPr>
                <w:rFonts w:hint="eastAsia"/>
                <w:color w:val="auto"/>
              </w:rPr>
              <w:t xml:space="preserve">电话： </w:t>
            </w:r>
          </w:p>
        </w:tc>
        <w:tc>
          <w:tcPr>
            <w:tcW w:w="4981" w:type="dxa"/>
            <w:noWrap w:val="0"/>
            <w:vAlign w:val="center"/>
          </w:tcPr>
          <w:p w14:paraId="70DF5D82">
            <w:pPr>
              <w:pStyle w:val="10"/>
              <w:bidi w:val="0"/>
              <w:rPr>
                <w:rFonts w:hint="eastAsia"/>
                <w:color w:val="auto"/>
              </w:rPr>
            </w:pPr>
            <w:r>
              <w:rPr>
                <w:rFonts w:hint="eastAsia"/>
                <w:color w:val="auto"/>
              </w:rPr>
              <w:t xml:space="preserve">电话： </w:t>
            </w:r>
          </w:p>
        </w:tc>
      </w:tr>
      <w:tr w14:paraId="63E8EC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4" w:hRule="atLeast"/>
          <w:jc w:val="center"/>
        </w:trPr>
        <w:tc>
          <w:tcPr>
            <w:tcW w:w="4981" w:type="dxa"/>
            <w:noWrap w:val="0"/>
            <w:vAlign w:val="center"/>
          </w:tcPr>
          <w:p w14:paraId="0FA1E986">
            <w:pPr>
              <w:pStyle w:val="10"/>
              <w:bidi w:val="0"/>
              <w:rPr>
                <w:rFonts w:hint="eastAsia"/>
                <w:color w:val="auto"/>
              </w:rPr>
            </w:pPr>
            <w:r>
              <w:rPr>
                <w:rFonts w:hint="eastAsia"/>
                <w:color w:val="auto"/>
              </w:rPr>
              <w:t>传真：</w:t>
            </w:r>
          </w:p>
        </w:tc>
        <w:tc>
          <w:tcPr>
            <w:tcW w:w="4981" w:type="dxa"/>
            <w:noWrap w:val="0"/>
            <w:vAlign w:val="center"/>
          </w:tcPr>
          <w:p w14:paraId="186F22BC">
            <w:pPr>
              <w:pStyle w:val="10"/>
              <w:bidi w:val="0"/>
              <w:rPr>
                <w:rFonts w:hint="eastAsia"/>
                <w:color w:val="auto"/>
              </w:rPr>
            </w:pPr>
            <w:r>
              <w:rPr>
                <w:rFonts w:hint="eastAsia"/>
                <w:color w:val="auto"/>
              </w:rPr>
              <w:t>传真：</w:t>
            </w:r>
          </w:p>
        </w:tc>
      </w:tr>
      <w:tr w14:paraId="1DB3A6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4" w:hRule="atLeast"/>
          <w:jc w:val="center"/>
        </w:trPr>
        <w:tc>
          <w:tcPr>
            <w:tcW w:w="4981" w:type="dxa"/>
            <w:noWrap w:val="0"/>
            <w:vAlign w:val="center"/>
          </w:tcPr>
          <w:p w14:paraId="62D911C3">
            <w:pPr>
              <w:pStyle w:val="10"/>
              <w:bidi w:val="0"/>
              <w:rPr>
                <w:rFonts w:hint="eastAsia"/>
                <w:color w:val="auto"/>
              </w:rPr>
            </w:pPr>
            <w:r>
              <w:rPr>
                <w:rFonts w:hint="eastAsia"/>
                <w:color w:val="auto"/>
              </w:rPr>
              <w:t>签约日期：XX年XX月XX日</w:t>
            </w:r>
          </w:p>
        </w:tc>
        <w:tc>
          <w:tcPr>
            <w:tcW w:w="4981" w:type="dxa"/>
            <w:noWrap w:val="0"/>
            <w:vAlign w:val="center"/>
          </w:tcPr>
          <w:p w14:paraId="16CAF023">
            <w:pPr>
              <w:pStyle w:val="10"/>
              <w:bidi w:val="0"/>
              <w:rPr>
                <w:rFonts w:hint="eastAsia"/>
                <w:color w:val="auto"/>
              </w:rPr>
            </w:pPr>
            <w:r>
              <w:rPr>
                <w:rFonts w:hint="eastAsia"/>
                <w:color w:val="auto"/>
              </w:rPr>
              <w:t>签约日期：XX年XX月XX日</w:t>
            </w:r>
          </w:p>
        </w:tc>
      </w:tr>
    </w:tbl>
    <w:p w14:paraId="3CE9E9A4"/>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4D8E0A"/>
    <w:multiLevelType w:val="multilevel"/>
    <w:tmpl w:val="B04D8E0A"/>
    <w:lvl w:ilvl="0" w:tentative="0">
      <w:start w:val="1"/>
      <w:numFmt w:val="chineseCounting"/>
      <w:pStyle w:val="9"/>
      <w:suff w:val="nothing"/>
      <w:lvlText w:val="第%1章 "/>
      <w:lvlJc w:val="left"/>
      <w:pPr>
        <w:tabs>
          <w:tab w:val="left" w:pos="0"/>
        </w:tabs>
        <w:ind w:left="0" w:firstLine="0"/>
      </w:pPr>
      <w:rPr>
        <w:rFonts w:hint="eastAsia" w:ascii="宋体" w:hAnsi="宋体" w:eastAsia="宋体" w:cs="宋体"/>
      </w:rPr>
    </w:lvl>
    <w:lvl w:ilvl="1" w:tentative="0">
      <w:start w:val="1"/>
      <w:numFmt w:val="chineseCounting"/>
      <w:pStyle w:val="21"/>
      <w:suff w:val="nothing"/>
      <w:lvlText w:val="%2、"/>
      <w:lvlJc w:val="left"/>
      <w:pPr>
        <w:ind w:left="0" w:firstLine="0"/>
      </w:pPr>
      <w:rPr>
        <w:rFonts w:hint="eastAsia" w:ascii="宋体" w:hAnsi="宋体" w:eastAsia="宋体" w:cs="宋体"/>
      </w:rPr>
    </w:lvl>
    <w:lvl w:ilvl="2" w:tentative="0">
      <w:start w:val="1"/>
      <w:numFmt w:val="chineseCounting"/>
      <w:suff w:val="nothing"/>
      <w:lvlText w:val="(%3)"/>
      <w:lvlJc w:val="left"/>
      <w:pPr>
        <w:tabs>
          <w:tab w:val="left" w:pos="0"/>
        </w:tabs>
        <w:ind w:left="0" w:firstLine="0"/>
      </w:pPr>
      <w:rPr>
        <w:rFonts w:hint="eastAsia" w:ascii="宋体" w:hAnsi="宋体" w:eastAsia="宋体" w:cs="宋体"/>
      </w:rPr>
    </w:lvl>
    <w:lvl w:ilvl="3" w:tentative="0">
      <w:start w:val="1"/>
      <w:numFmt w:val="decimal"/>
      <w:suff w:val="nothing"/>
      <w:lvlText w:val="%4."/>
      <w:lvlJc w:val="left"/>
      <w:pPr>
        <w:tabs>
          <w:tab w:val="left" w:pos="0"/>
        </w:tabs>
        <w:ind w:left="0" w:firstLine="0"/>
      </w:pPr>
      <w:rPr>
        <w:rFonts w:hint="eastAsia" w:ascii="宋体" w:hAnsi="宋体" w:eastAsia="宋体" w:cs="宋体"/>
      </w:rPr>
    </w:lvl>
    <w:lvl w:ilvl="4" w:tentative="0">
      <w:start w:val="1"/>
      <w:numFmt w:val="decimal"/>
      <w:suff w:val="nothing"/>
      <w:lvlText w:val="%4.%5"/>
      <w:lvlJc w:val="left"/>
      <w:pPr>
        <w:ind w:left="0" w:firstLine="0"/>
      </w:pPr>
      <w:rPr>
        <w:rFonts w:hint="eastAsia" w:ascii="宋体" w:hAnsi="宋体" w:eastAsia="宋体" w:cs="宋体"/>
      </w:rPr>
    </w:lvl>
    <w:lvl w:ilvl="5" w:tentative="0">
      <w:start w:val="1"/>
      <w:numFmt w:val="decimal"/>
      <w:suff w:val="nothing"/>
      <w:lvlText w:val="(%6)"/>
      <w:lvlJc w:val="left"/>
      <w:pPr>
        <w:ind w:left="0" w:firstLine="0"/>
      </w:pPr>
      <w:rPr>
        <w:rFonts w:hint="eastAsia" w:ascii="宋体" w:hAnsi="宋体" w:eastAsia="宋体" w:cs="宋体"/>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
    <w:nsid w:val="E1C6327C"/>
    <w:multiLevelType w:val="multilevel"/>
    <w:tmpl w:val="E1C6327C"/>
    <w:lvl w:ilvl="0" w:tentative="0">
      <w:start w:val="1"/>
      <w:numFmt w:val="chineseCounting"/>
      <w:suff w:val="nothing"/>
      <w:lvlText w:val="%1、"/>
      <w:lvlJc w:val="left"/>
      <w:pPr>
        <w:tabs>
          <w:tab w:val="left" w:pos="0"/>
        </w:tabs>
        <w:ind w:left="0" w:firstLine="0"/>
      </w:pPr>
      <w:rPr>
        <w:rFonts w:hint="eastAsia" w:ascii="宋体" w:hAnsi="宋体" w:eastAsia="宋体" w:cs="宋体"/>
      </w:rPr>
    </w:lvl>
    <w:lvl w:ilvl="1" w:tentative="0">
      <w:start w:val="1"/>
      <w:numFmt w:val="chineseCounting"/>
      <w:pStyle w:val="17"/>
      <w:suff w:val="nothing"/>
      <w:lvlText w:val="(%2)"/>
      <w:lvlJc w:val="left"/>
      <w:pPr>
        <w:ind w:left="0" w:firstLine="0"/>
      </w:pPr>
      <w:rPr>
        <w:rFonts w:hint="eastAsia" w:ascii="宋体" w:hAnsi="宋体" w:eastAsia="宋体" w:cs="宋体"/>
      </w:rPr>
    </w:lvl>
    <w:lvl w:ilvl="2" w:tentative="0">
      <w:start w:val="1"/>
      <w:numFmt w:val="decimal"/>
      <w:pStyle w:val="20"/>
      <w:suff w:val="nothing"/>
      <w:lvlText w:val="%3."/>
      <w:lvlJc w:val="left"/>
      <w:pPr>
        <w:ind w:left="0" w:firstLine="0"/>
      </w:pPr>
      <w:rPr>
        <w:rFonts w:hint="eastAsia" w:ascii="宋体" w:hAnsi="宋体" w:eastAsia="宋体" w:cs="宋体"/>
      </w:rPr>
    </w:lvl>
    <w:lvl w:ilvl="3" w:tentative="0">
      <w:start w:val="1"/>
      <w:numFmt w:val="decimal"/>
      <w:suff w:val="nothing"/>
      <w:lvlText w:val="%3.%4"/>
      <w:lvlJc w:val="left"/>
      <w:pPr>
        <w:ind w:left="0" w:firstLine="0"/>
      </w:pPr>
      <w:rPr>
        <w:rFonts w:hint="eastAsia" w:ascii="宋体" w:hAnsi="宋体" w:eastAsia="宋体" w:cs="宋体"/>
      </w:rPr>
    </w:lvl>
    <w:lvl w:ilvl="4" w:tentative="0">
      <w:start w:val="1"/>
      <w:numFmt w:val="decimal"/>
      <w:pStyle w:val="19"/>
      <w:suff w:val="nothing"/>
      <w:lvlText w:val="(%5)"/>
      <w:lvlJc w:val="left"/>
      <w:pPr>
        <w:ind w:left="0" w:firstLine="0"/>
      </w:pPr>
      <w:rPr>
        <w:rFonts w:hint="eastAsia" w:ascii="宋体" w:hAnsi="宋体" w:eastAsia="宋体" w:cs="宋体"/>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2">
    <w:nsid w:val="FA3A7800"/>
    <w:multiLevelType w:val="singleLevel"/>
    <w:tmpl w:val="FA3A7800"/>
    <w:lvl w:ilvl="0" w:tentative="0">
      <w:start w:val="1"/>
      <w:numFmt w:val="decimal"/>
      <w:suff w:val="nothing"/>
      <w:lvlText w:val="%1、"/>
      <w:lvlJc w:val="left"/>
    </w:lvl>
  </w:abstractNum>
  <w:abstractNum w:abstractNumId="3">
    <w:nsid w:val="01429B6E"/>
    <w:multiLevelType w:val="singleLevel"/>
    <w:tmpl w:val="01429B6E"/>
    <w:lvl w:ilvl="0" w:tentative="0">
      <w:start w:val="1"/>
      <w:numFmt w:val="chineseCounting"/>
      <w:pStyle w:val="11"/>
      <w:suff w:val="nothing"/>
      <w:lvlText w:val="%1、"/>
      <w:lvlJc w:val="left"/>
      <w:pPr>
        <w:tabs>
          <w:tab w:val="left" w:pos="0"/>
        </w:tabs>
        <w:ind w:left="0" w:firstLine="0"/>
      </w:pPr>
      <w:rPr>
        <w:rFonts w:hint="eastAsia" w:ascii="宋体" w:hAnsi="宋体" w:eastAsia="宋体" w:cs="宋体"/>
      </w:rPr>
    </w:lvl>
  </w:abstractNum>
  <w:abstractNum w:abstractNumId="4">
    <w:nsid w:val="0232C877"/>
    <w:multiLevelType w:val="singleLevel"/>
    <w:tmpl w:val="0232C877"/>
    <w:lvl w:ilvl="0" w:tentative="0">
      <w:start w:val="1"/>
      <w:numFmt w:val="chineseCounting"/>
      <w:suff w:val="nothing"/>
      <w:lvlText w:val="（%1）"/>
      <w:lvlJc w:val="left"/>
      <w:rPr>
        <w:rFonts w:hint="eastAsia"/>
      </w:rPr>
    </w:lvl>
  </w:abstractNum>
  <w:abstractNum w:abstractNumId="5">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13"/>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abstractNum w:abstractNumId="6">
    <w:nsid w:val="7D78E590"/>
    <w:multiLevelType w:val="multilevel"/>
    <w:tmpl w:val="7D78E590"/>
    <w:lvl w:ilvl="0" w:tentative="0">
      <w:start w:val="1"/>
      <w:numFmt w:val="chineseCounting"/>
      <w:suff w:val="nothing"/>
      <w:lvlText w:val="%1、"/>
      <w:lvlJc w:val="left"/>
      <w:pPr>
        <w:tabs>
          <w:tab w:val="left" w:pos="0"/>
        </w:tabs>
        <w:ind w:left="0" w:firstLine="0"/>
      </w:pPr>
      <w:rPr>
        <w:rFonts w:hint="eastAsia" w:ascii="宋体" w:hAnsi="宋体" w:eastAsia="宋体" w:cs="宋体"/>
      </w:rPr>
    </w:lvl>
    <w:lvl w:ilvl="1" w:tentative="0">
      <w:start w:val="1"/>
      <w:numFmt w:val="chineseCounting"/>
      <w:suff w:val="nothing"/>
      <w:lvlText w:val="(%2)"/>
      <w:lvlJc w:val="left"/>
      <w:pPr>
        <w:ind w:left="0" w:firstLine="0"/>
      </w:pPr>
      <w:rPr>
        <w:rFonts w:hint="eastAsia" w:ascii="宋体" w:hAnsi="宋体" w:eastAsia="宋体" w:cs="宋体"/>
      </w:rPr>
    </w:lvl>
    <w:lvl w:ilvl="2" w:tentative="0">
      <w:start w:val="1"/>
      <w:numFmt w:val="decimal"/>
      <w:suff w:val="nothing"/>
      <w:lvlText w:val="%3."/>
      <w:lvlJc w:val="left"/>
      <w:pPr>
        <w:ind w:left="0" w:firstLine="0"/>
      </w:pPr>
      <w:rPr>
        <w:rFonts w:hint="eastAsia" w:ascii="宋体" w:hAnsi="宋体" w:eastAsia="宋体" w:cs="宋体"/>
      </w:rPr>
    </w:lvl>
    <w:lvl w:ilvl="3" w:tentative="0">
      <w:start w:val="1"/>
      <w:numFmt w:val="decimal"/>
      <w:suff w:val="nothing"/>
      <w:lvlText w:val="%3.%4"/>
      <w:lvlJc w:val="left"/>
      <w:pPr>
        <w:ind w:left="0" w:firstLine="0"/>
      </w:pPr>
      <w:rPr>
        <w:rFonts w:hint="eastAsia" w:ascii="宋体" w:hAnsi="宋体" w:eastAsia="宋体" w:cs="宋体"/>
      </w:rPr>
    </w:lvl>
    <w:lvl w:ilvl="4" w:tentative="0">
      <w:start w:val="1"/>
      <w:numFmt w:val="decimal"/>
      <w:suff w:val="nothing"/>
      <w:lvlText w:val="(%5)"/>
      <w:lvlJc w:val="left"/>
      <w:pPr>
        <w:ind w:left="0" w:firstLine="0"/>
      </w:pPr>
      <w:rPr>
        <w:rFonts w:hint="eastAsia" w:ascii="宋体" w:hAnsi="宋体" w:eastAsia="宋体" w:cs="宋体"/>
      </w:rPr>
    </w:lvl>
    <w:lvl w:ilvl="5" w:tentative="0">
      <w:start w:val="1"/>
      <w:numFmt w:val="decimal"/>
      <w:suff w:val="nothing"/>
      <w:lvlText w:val="%6）"/>
      <w:lvlJc w:val="left"/>
      <w:pPr>
        <w:ind w:left="0" w:firstLine="402"/>
      </w:pPr>
      <w:rPr>
        <w:rFonts w:hint="eastAsia" w:ascii="宋体" w:hAnsi="宋体" w:eastAsia="宋体" w:cs="宋体"/>
      </w:rPr>
    </w:lvl>
    <w:lvl w:ilvl="6" w:tentative="0">
      <w:start w:val="1"/>
      <w:numFmt w:val="lowerLetter"/>
      <w:suff w:val="nothing"/>
      <w:lvlText w:val="%7．"/>
      <w:lvlJc w:val="left"/>
      <w:pPr>
        <w:ind w:left="0" w:firstLine="402"/>
      </w:pPr>
      <w:rPr>
        <w:rFonts w:hint="eastAsia" w:ascii="宋体" w:hAnsi="宋体" w:eastAsia="宋体" w:cs="宋体"/>
      </w:rPr>
    </w:lvl>
    <w:lvl w:ilvl="7" w:tentative="0">
      <w:start w:val="1"/>
      <w:numFmt w:val="lowerLetter"/>
      <w:suff w:val="nothing"/>
      <w:lvlText w:val="%8）"/>
      <w:lvlJc w:val="left"/>
      <w:pPr>
        <w:ind w:left="0" w:firstLine="402"/>
      </w:pPr>
      <w:rPr>
        <w:rFonts w:hint="eastAsia" w:ascii="宋体" w:hAnsi="宋体" w:eastAsia="宋体" w:cs="宋体"/>
      </w:rPr>
    </w:lvl>
    <w:lvl w:ilvl="8" w:tentative="0">
      <w:start w:val="1"/>
      <w:numFmt w:val="lowerRoman"/>
      <w:suff w:val="nothing"/>
      <w:lvlText w:val="%9 "/>
      <w:lvlJc w:val="left"/>
      <w:pPr>
        <w:ind w:left="0" w:firstLine="402"/>
      </w:pPr>
      <w:rPr>
        <w:rFonts w:hint="eastAsia" w:ascii="宋体" w:hAnsi="宋体" w:eastAsia="宋体" w:cs="宋体"/>
      </w:rPr>
    </w:lvl>
  </w:abstractNum>
  <w:num w:numId="1">
    <w:abstractNumId w:val="0"/>
  </w:num>
  <w:num w:numId="2">
    <w:abstractNumId w:val="3"/>
  </w:num>
  <w:num w:numId="3">
    <w:abstractNumId w:val="5"/>
  </w:num>
  <w:num w:numId="4">
    <w:abstractNumId w:val="1"/>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E67182"/>
    <w:rsid w:val="4AE671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abs>
        <w:tab w:val="left" w:pos="0"/>
      </w:tabs>
      <w:adjustRightInd w:val="0"/>
      <w:snapToGrid w:val="0"/>
      <w:spacing w:line="440" w:lineRule="exact"/>
    </w:pPr>
    <w:rPr>
      <w:rFonts w:ascii="宋体" w:hAnsi="宋体" w:eastAsia="宋体" w:cs="Times New Roman"/>
      <w:kern w:val="2"/>
      <w:sz w:val="24"/>
      <w:szCs w:val="24"/>
      <w:lang w:val="en-US" w:eastAsia="zh-CN" w:bidi="ar-SA"/>
    </w:rPr>
  </w:style>
  <w:style w:type="character" w:default="1" w:styleId="8">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rFonts w:ascii="Times New Roman"/>
    </w:rPr>
  </w:style>
  <w:style w:type="paragraph" w:styleId="3">
    <w:name w:val="footer"/>
    <w:basedOn w:val="1"/>
    <w:qFormat/>
    <w:uiPriority w:val="0"/>
    <w:pPr>
      <w:spacing w:line="240" w:lineRule="auto"/>
    </w:pPr>
    <w:rPr>
      <w:sz w:val="18"/>
      <w:szCs w:val="18"/>
    </w:rPr>
  </w:style>
  <w:style w:type="paragraph" w:styleId="4">
    <w:name w:val="header"/>
    <w:basedOn w:val="1"/>
    <w:qFormat/>
    <w:uiPriority w:val="0"/>
    <w:pPr>
      <w:pBdr>
        <w:bottom w:val="single" w:color="auto" w:sz="6" w:space="1"/>
      </w:pBdr>
      <w:wordWrap w:val="0"/>
      <w:topLinePunct/>
      <w:spacing w:line="240" w:lineRule="auto"/>
      <w:jc w:val="center"/>
    </w:pPr>
    <w:rPr>
      <w:sz w:val="18"/>
      <w:szCs w:val="18"/>
    </w:rPr>
  </w:style>
  <w:style w:type="paragraph" w:styleId="5">
    <w:name w:val="Normal (Web)"/>
    <w:basedOn w:val="1"/>
    <w:qFormat/>
    <w:uiPriority w:val="99"/>
    <w:pPr>
      <w:widowControl/>
      <w:spacing w:before="100" w:beforeAutospacing="1" w:after="100" w:afterAutospacing="1" w:line="240" w:lineRule="auto"/>
    </w:pPr>
    <w:rPr>
      <w:rFonts w:cs="宋体"/>
      <w:kern w:val="0"/>
    </w:rPr>
  </w:style>
  <w:style w:type="table" w:styleId="7">
    <w:name w:val="Table Grid"/>
    <w:basedOn w:val="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
    <w:name w:val="14、“第一章”一级标题"/>
    <w:basedOn w:val="10"/>
    <w:qFormat/>
    <w:uiPriority w:val="0"/>
    <w:pPr>
      <w:numPr>
        <w:ilvl w:val="0"/>
        <w:numId w:val="1"/>
      </w:numPr>
      <w:spacing w:beforeLines="50" w:afterLines="50" w:line="240" w:lineRule="auto"/>
      <w:jc w:val="center"/>
      <w:outlineLvl w:val="0"/>
    </w:pPr>
    <w:rPr>
      <w:b/>
      <w:sz w:val="36"/>
    </w:rPr>
  </w:style>
  <w:style w:type="paragraph" w:customStyle="1" w:styleId="10">
    <w:name w:val="01、普通正文"/>
    <w:basedOn w:val="1"/>
    <w:qFormat/>
    <w:uiPriority w:val="0"/>
    <w:pPr>
      <w:wordWrap w:val="0"/>
      <w:topLinePunct/>
    </w:pPr>
    <w:rPr>
      <w:snapToGrid w:val="0"/>
    </w:rPr>
  </w:style>
  <w:style w:type="paragraph" w:customStyle="1" w:styleId="11">
    <w:name w:val="21、合同二级标题序号"/>
    <w:basedOn w:val="10"/>
    <w:qFormat/>
    <w:uiPriority w:val="0"/>
    <w:pPr>
      <w:numPr>
        <w:ilvl w:val="0"/>
        <w:numId w:val="2"/>
      </w:numPr>
      <w:ind w:firstLine="803" w:firstLineChars="200"/>
      <w:outlineLvl w:val="1"/>
    </w:pPr>
    <w:rPr>
      <w:b/>
    </w:rPr>
  </w:style>
  <w:style w:type="paragraph" w:customStyle="1" w:styleId="12">
    <w:name w:val="02、首行缩进2字符正文"/>
    <w:basedOn w:val="1"/>
    <w:qFormat/>
    <w:uiPriority w:val="0"/>
    <w:pPr>
      <w:wordWrap w:val="0"/>
      <w:topLinePunct/>
      <w:ind w:firstLine="480" w:firstLineChars="200"/>
    </w:pPr>
  </w:style>
  <w:style w:type="paragraph" w:customStyle="1" w:styleId="13">
    <w:name w:val="标题 5（有编号）（绿盟科技）"/>
    <w:basedOn w:val="14"/>
    <w:next w:val="16"/>
    <w:qFormat/>
    <w:uiPriority w:val="0"/>
    <w:pPr>
      <w:keepNext/>
      <w:keepLines/>
      <w:numPr>
        <w:ilvl w:val="4"/>
        <w:numId w:val="3"/>
      </w:numPr>
      <w:tabs>
        <w:tab w:val="left" w:pos="0"/>
      </w:tabs>
      <w:spacing w:before="280" w:after="156" w:line="377" w:lineRule="auto"/>
      <w:outlineLvl w:val="4"/>
    </w:pPr>
    <w:rPr>
      <w:rFonts w:ascii="Arial" w:hAnsi="Arial" w:eastAsia="黑体"/>
      <w:b/>
      <w:kern w:val="0"/>
      <w:szCs w:val="28"/>
    </w:rPr>
  </w:style>
  <w:style w:type="paragraph" w:customStyle="1" w:styleId="14">
    <w:name w:val="正文1"/>
    <w:next w:val="15"/>
    <w:qFormat/>
    <w:uiPriority w:val="0"/>
    <w:pPr>
      <w:widowControl w:val="0"/>
      <w:suppressAutoHyphens w:val="0"/>
      <w:bidi w:val="0"/>
      <w:spacing w:beforeLines="0" w:afterLines="0"/>
      <w:jc w:val="both"/>
    </w:pPr>
    <w:rPr>
      <w:rFonts w:ascii="Calibri" w:hAnsi="Calibri" w:eastAsia="宋体" w:cs="黑体"/>
      <w:color w:val="auto"/>
      <w:kern w:val="2"/>
      <w:sz w:val="21"/>
      <w:szCs w:val="22"/>
      <w:lang w:val="en-US" w:eastAsia="zh-CN" w:bidi="ar-SA"/>
    </w:rPr>
  </w:style>
  <w:style w:type="paragraph" w:customStyle="1" w:styleId="15">
    <w:name w:val="正文文本1"/>
    <w:basedOn w:val="14"/>
    <w:next w:val="14"/>
    <w:qFormat/>
    <w:uiPriority w:val="0"/>
    <w:pPr>
      <w:spacing w:beforeLines="0" w:afterLines="50"/>
    </w:pPr>
  </w:style>
  <w:style w:type="paragraph" w:customStyle="1" w:styleId="16">
    <w:name w:val="正文（绿盟科技）"/>
    <w:next w:val="1"/>
    <w:qFormat/>
    <w:uiPriority w:val="0"/>
    <w:pPr>
      <w:spacing w:line="300" w:lineRule="auto"/>
    </w:pPr>
    <w:rPr>
      <w:rFonts w:ascii="Arial" w:hAnsi="Arial" w:eastAsia="宋体" w:cs="黑体"/>
      <w:sz w:val="21"/>
      <w:szCs w:val="21"/>
      <w:lang w:val="en-US" w:eastAsia="zh-CN" w:bidi="ar-SA"/>
    </w:rPr>
  </w:style>
  <w:style w:type="paragraph" w:customStyle="1" w:styleId="17">
    <w:name w:val="05、“(一)”正文三级标题"/>
    <w:basedOn w:val="1"/>
    <w:qFormat/>
    <w:uiPriority w:val="0"/>
    <w:pPr>
      <w:numPr>
        <w:ilvl w:val="1"/>
        <w:numId w:val="4"/>
      </w:numPr>
      <w:wordWrap w:val="0"/>
      <w:topLinePunct/>
      <w:ind w:firstLine="803" w:firstLineChars="200"/>
    </w:pPr>
  </w:style>
  <w:style w:type="paragraph" w:customStyle="1" w:styleId="18">
    <w:name w:val="null3"/>
    <w:qFormat/>
    <w:uiPriority w:val="0"/>
    <w:rPr>
      <w:rFonts w:hint="eastAsia" w:ascii="Calibri" w:hAnsi="Calibri" w:eastAsia="宋体" w:cs="Times New Roman"/>
      <w:lang w:val="en-US" w:eastAsia="zh-Hans"/>
    </w:rPr>
  </w:style>
  <w:style w:type="paragraph" w:customStyle="1" w:styleId="19">
    <w:name w:val="08、“(1)”正文六级标题"/>
    <w:basedOn w:val="1"/>
    <w:qFormat/>
    <w:uiPriority w:val="0"/>
    <w:pPr>
      <w:numPr>
        <w:ilvl w:val="4"/>
        <w:numId w:val="4"/>
      </w:numPr>
      <w:ind w:firstLine="803" w:firstLineChars="200"/>
    </w:pPr>
    <w:rPr>
      <w:snapToGrid w:val="0"/>
    </w:rPr>
  </w:style>
  <w:style w:type="paragraph" w:customStyle="1" w:styleId="20">
    <w:name w:val="06、“1.”正文四级标题"/>
    <w:basedOn w:val="1"/>
    <w:qFormat/>
    <w:uiPriority w:val="0"/>
    <w:pPr>
      <w:numPr>
        <w:ilvl w:val="2"/>
        <w:numId w:val="4"/>
      </w:numPr>
      <w:wordWrap w:val="0"/>
      <w:topLinePunct/>
      <w:ind w:firstLine="803" w:firstLineChars="200"/>
    </w:pPr>
    <w:rPr>
      <w:snapToGrid w:val="0"/>
    </w:rPr>
  </w:style>
  <w:style w:type="paragraph" w:customStyle="1" w:styleId="21">
    <w:name w:val="15、“一、”二级标题"/>
    <w:basedOn w:val="1"/>
    <w:qFormat/>
    <w:uiPriority w:val="0"/>
    <w:pPr>
      <w:numPr>
        <w:ilvl w:val="1"/>
        <w:numId w:val="1"/>
      </w:numPr>
      <w:wordWrap w:val="0"/>
      <w:topLinePunct/>
      <w:ind w:firstLine="803" w:firstLineChars="200"/>
      <w:outlineLvl w:val="1"/>
    </w:pPr>
    <w:rPr>
      <w:b/>
    </w:rPr>
  </w:style>
  <w:style w:type="paragraph" w:customStyle="1" w:styleId="22">
    <w:name w:val="00、封面正文(与其他内容无关的格式)"/>
    <w:basedOn w:val="1"/>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2025-01-23T04:37:00Z</dcterms:created>
  <dc:creator>袁先森</dc:creator>
  <cp:lastModifiedBy>袁先森</cp:lastModifiedBy>
  <dcterms:modified xsi:type="dcterms:W3CDTF">2025-01-23T04:38:01Z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6E3A6EBAFD764102B790B3BA9C31BBA9_11</vt:lpwstr>
  </property>
  <property fmtid="{D5CDD505-2E9C-101B-9397-08002B2CF9AE}" pid="4" name="KSOTemplateDocerSaveRecord">
    <vt:lpwstr>eyJoZGlkIjoiODMyMzU4OGU4OGIzMzc5N2RmODY1MTUyMmIxY2Y5MTgiLCJ1c2VySWQiOiIxNDQ5NzI1NjM0In0=</vt:lpwstr>
  </property>
</Properties>
</file>