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5D86FBEA">
      <w:pPr>
        <w:tabs>
          <w:tab w:val="left" w:pos="5117"/>
        </w:tabs>
        <w:snapToGrid w:val="0"/>
        <w:spacing w:line="360" w:lineRule="auto"/>
        <w:ind w:firstLine="643"/>
        <w:rPr>
          <w:rFonts w:hint="eastAsia" w:ascii="宋体" w:hAnsi="宋体" w:cs="宋体"/>
          <w:b/>
          <w:kern w:val="0"/>
          <w:sz w:val="32"/>
          <w:szCs w:val="32"/>
          <w:highlight w:val="none"/>
        </w:rPr>
      </w:pPr>
    </w:p>
    <w:p w14:paraId="1E7B20BE">
      <w:pPr>
        <w:tabs>
          <w:tab w:val="left" w:pos="5117"/>
        </w:tabs>
        <w:snapToGrid w:val="0"/>
        <w:spacing w:line="360" w:lineRule="auto"/>
        <w:ind w:firstLine="643"/>
        <w:rPr>
          <w:rFonts w:hint="eastAsia" w:ascii="宋体" w:hAnsi="宋体" w:cs="宋体"/>
          <w:b/>
          <w:kern w:val="0"/>
          <w:sz w:val="32"/>
          <w:szCs w:val="32"/>
          <w:highlight w:val="none"/>
        </w:rPr>
      </w:pPr>
    </w:p>
    <w:p w14:paraId="74A3DF9A">
      <w:pPr>
        <w:tabs>
          <w:tab w:val="left" w:pos="5117"/>
        </w:tabs>
        <w:snapToGrid w:val="0"/>
        <w:spacing w:line="360" w:lineRule="auto"/>
        <w:ind w:firstLine="643"/>
        <w:outlineLvl w:val="0"/>
        <w:rPr>
          <w:rFonts w:hint="eastAsia" w:ascii="宋体" w:hAnsi="宋体" w:cs="宋体"/>
          <w:b/>
          <w:kern w:val="0"/>
          <w:sz w:val="32"/>
          <w:szCs w:val="32"/>
          <w:highlight w:val="none"/>
          <w:u w:val="single"/>
        </w:rPr>
      </w:pPr>
      <w:bookmarkStart w:id="0" w:name="_Toc10569"/>
      <w:r>
        <w:rPr>
          <w:rFonts w:hint="eastAsia" w:ascii="宋体" w:hAnsi="宋体" w:cs="宋体"/>
          <w:b/>
          <w:kern w:val="0"/>
          <w:sz w:val="32"/>
          <w:szCs w:val="32"/>
          <w:highlight w:val="none"/>
        </w:rPr>
        <w:t>项目编号：</w:t>
      </w:r>
      <w:bookmarkEnd w:id="0"/>
      <w:r>
        <w:rPr>
          <w:rFonts w:hint="eastAsia" w:ascii="宋体" w:hAnsi="宋体" w:cs="宋体"/>
          <w:b/>
          <w:kern w:val="0"/>
          <w:sz w:val="32"/>
          <w:szCs w:val="32"/>
          <w:highlight w:val="none"/>
        </w:rPr>
        <w:t>DUTASZ-2025264</w:t>
      </w:r>
      <w:r>
        <w:rPr>
          <w:rFonts w:hint="eastAsia" w:ascii="宋体" w:hAnsi="宋体" w:cs="宋体"/>
          <w:b/>
          <w:kern w:val="0"/>
          <w:sz w:val="32"/>
          <w:szCs w:val="32"/>
          <w:highlight w:val="none"/>
        </w:rPr>
        <w:tab/>
      </w:r>
    </w:p>
    <w:p w14:paraId="4DC61B31">
      <w:pPr>
        <w:tabs>
          <w:tab w:val="left" w:pos="4350"/>
          <w:tab w:val="left" w:pos="5580"/>
        </w:tabs>
        <w:snapToGrid w:val="0"/>
        <w:spacing w:line="360" w:lineRule="auto"/>
        <w:ind w:firstLine="1044"/>
        <w:jc w:val="left"/>
        <w:rPr>
          <w:rFonts w:hint="eastAsia" w:ascii="宋体" w:hAnsi="宋体" w:cs="宋体"/>
          <w:b/>
          <w:kern w:val="0"/>
          <w:sz w:val="52"/>
          <w:szCs w:val="52"/>
          <w:highlight w:val="none"/>
        </w:rPr>
      </w:pPr>
      <w:r>
        <w:rPr>
          <w:rFonts w:hint="eastAsia" w:ascii="宋体" w:hAnsi="宋体" w:cs="宋体"/>
          <w:b/>
          <w:kern w:val="0"/>
          <w:sz w:val="52"/>
          <w:szCs w:val="52"/>
          <w:highlight w:val="none"/>
        </w:rPr>
        <w:tab/>
      </w:r>
      <w:r>
        <w:rPr>
          <w:rFonts w:hint="eastAsia" w:ascii="宋体" w:hAnsi="宋体" w:cs="宋体"/>
          <w:b/>
          <w:kern w:val="0"/>
          <w:sz w:val="52"/>
          <w:szCs w:val="52"/>
          <w:highlight w:val="none"/>
        </w:rPr>
        <w:tab/>
      </w:r>
    </w:p>
    <w:p w14:paraId="440E1791">
      <w:pPr>
        <w:snapToGrid w:val="0"/>
        <w:spacing w:line="360" w:lineRule="auto"/>
        <w:ind w:firstLine="1044"/>
        <w:jc w:val="center"/>
        <w:rPr>
          <w:rFonts w:hint="eastAsia" w:ascii="宋体" w:hAnsi="宋体" w:cs="宋体"/>
          <w:b/>
          <w:kern w:val="0"/>
          <w:sz w:val="52"/>
          <w:szCs w:val="52"/>
          <w:highlight w:val="none"/>
        </w:rPr>
      </w:pPr>
    </w:p>
    <w:p w14:paraId="6BAAFDAD">
      <w:pPr>
        <w:snapToGrid w:val="0"/>
        <w:spacing w:line="360" w:lineRule="auto"/>
        <w:ind w:firstLine="1044"/>
        <w:jc w:val="center"/>
        <w:outlineLvl w:val="0"/>
        <w:rPr>
          <w:rFonts w:hint="eastAsia" w:ascii="宋体" w:hAnsi="宋体" w:cs="宋体"/>
          <w:b/>
          <w:kern w:val="0"/>
          <w:sz w:val="52"/>
          <w:szCs w:val="52"/>
          <w:highlight w:val="none"/>
        </w:rPr>
      </w:pPr>
      <w:bookmarkStart w:id="1" w:name="_Toc19537"/>
      <w:r>
        <w:rPr>
          <w:rFonts w:hint="eastAsia" w:ascii="宋体" w:hAnsi="宋体" w:cs="宋体"/>
          <w:b/>
          <w:kern w:val="0"/>
          <w:sz w:val="52"/>
          <w:szCs w:val="52"/>
          <w:highlight w:val="none"/>
        </w:rPr>
        <w:t>大连理工大学货物采购</w:t>
      </w:r>
      <w:bookmarkEnd w:id="1"/>
    </w:p>
    <w:p w14:paraId="19D2B42F">
      <w:pPr>
        <w:snapToGrid w:val="0"/>
        <w:spacing w:line="360" w:lineRule="auto"/>
        <w:ind w:firstLine="1044"/>
        <w:jc w:val="center"/>
        <w:rPr>
          <w:rFonts w:hint="eastAsia" w:ascii="宋体" w:hAnsi="宋体" w:cs="宋体"/>
          <w:b/>
          <w:kern w:val="0"/>
          <w:sz w:val="52"/>
          <w:szCs w:val="52"/>
          <w:highlight w:val="none"/>
        </w:rPr>
      </w:pPr>
    </w:p>
    <w:p w14:paraId="43573CED">
      <w:pPr>
        <w:snapToGrid w:val="0"/>
        <w:spacing w:line="360" w:lineRule="auto"/>
        <w:ind w:firstLine="1687"/>
        <w:jc w:val="center"/>
        <w:rPr>
          <w:rFonts w:hint="eastAsia" w:ascii="宋体" w:hAnsi="宋体" w:cs="宋体"/>
          <w:b/>
          <w:kern w:val="0"/>
          <w:sz w:val="84"/>
          <w:szCs w:val="84"/>
          <w:highlight w:val="none"/>
        </w:rPr>
      </w:pPr>
      <w:r>
        <w:rPr>
          <w:rFonts w:hint="eastAsia" w:ascii="宋体" w:hAnsi="宋体" w:cs="宋体"/>
          <w:b/>
          <w:kern w:val="0"/>
          <w:sz w:val="84"/>
          <w:szCs w:val="84"/>
          <w:highlight w:val="none"/>
        </w:rPr>
        <w:t>招标文件</w:t>
      </w:r>
    </w:p>
    <w:p w14:paraId="04C91F60">
      <w:pPr>
        <w:snapToGrid w:val="0"/>
        <w:spacing w:line="360" w:lineRule="auto"/>
        <w:ind w:firstLine="480"/>
        <w:jc w:val="center"/>
        <w:rPr>
          <w:rFonts w:hint="eastAsia" w:ascii="宋体" w:hAnsi="宋体" w:cs="宋体"/>
          <w:kern w:val="0"/>
          <w:highlight w:val="none"/>
        </w:rPr>
      </w:pPr>
    </w:p>
    <w:p w14:paraId="32C56018">
      <w:pPr>
        <w:snapToGrid w:val="0"/>
        <w:spacing w:line="360" w:lineRule="auto"/>
        <w:ind w:firstLine="480"/>
        <w:jc w:val="center"/>
        <w:rPr>
          <w:rFonts w:hint="eastAsia" w:ascii="宋体" w:hAnsi="宋体" w:cs="宋体"/>
          <w:kern w:val="0"/>
          <w:highlight w:val="none"/>
        </w:rPr>
      </w:pPr>
    </w:p>
    <w:p w14:paraId="590457BA">
      <w:pPr>
        <w:pStyle w:val="98"/>
        <w:numPr>
          <w:ilvl w:val="0"/>
          <w:numId w:val="0"/>
        </w:numPr>
        <w:snapToGrid w:val="0"/>
        <w:rPr>
          <w:rFonts w:hint="eastAsia" w:ascii="宋体" w:hAnsi="宋体" w:cs="宋体"/>
          <w:kern w:val="0"/>
          <w:highlight w:val="none"/>
        </w:rPr>
      </w:pPr>
    </w:p>
    <w:p w14:paraId="16A660B3">
      <w:pPr>
        <w:snapToGrid w:val="0"/>
        <w:spacing w:line="360" w:lineRule="auto"/>
        <w:ind w:firstLine="480"/>
        <w:jc w:val="center"/>
        <w:rPr>
          <w:rFonts w:hint="eastAsia" w:ascii="宋体" w:hAnsi="宋体" w:cs="宋体"/>
          <w:kern w:val="0"/>
          <w:highlight w:val="none"/>
        </w:rPr>
      </w:pPr>
    </w:p>
    <w:p w14:paraId="07D87C9C">
      <w:pPr>
        <w:spacing w:line="480" w:lineRule="auto"/>
        <w:rPr>
          <w:rFonts w:hint="eastAsia" w:ascii="宋体" w:hAnsi="宋体" w:cs="宋体"/>
          <w:b/>
          <w:sz w:val="30"/>
          <w:szCs w:val="30"/>
          <w:highlight w:val="none"/>
        </w:rPr>
      </w:pPr>
      <w:r>
        <w:rPr>
          <w:rFonts w:hint="eastAsia" w:ascii="宋体" w:hAnsi="宋体" w:cs="宋体"/>
          <w:b/>
          <w:sz w:val="30"/>
          <w:szCs w:val="30"/>
          <w:highlight w:val="none"/>
        </w:rPr>
        <w:t>项目名称：大连理工大学PEM/AEM水电解制氢实验教学系统采购项目</w:t>
      </w:r>
    </w:p>
    <w:p w14:paraId="17312E63">
      <w:pPr>
        <w:spacing w:line="480" w:lineRule="auto"/>
        <w:outlineLvl w:val="0"/>
        <w:rPr>
          <w:rFonts w:hint="eastAsia" w:ascii="宋体" w:hAnsi="宋体" w:cs="宋体"/>
          <w:b/>
          <w:sz w:val="30"/>
          <w:szCs w:val="30"/>
          <w:highlight w:val="none"/>
        </w:rPr>
      </w:pPr>
      <w:bookmarkStart w:id="2" w:name="_Toc13735"/>
      <w:r>
        <w:rPr>
          <w:rFonts w:hint="eastAsia" w:ascii="宋体" w:hAnsi="宋体" w:cs="宋体"/>
          <w:b/>
          <w:sz w:val="30"/>
          <w:szCs w:val="30"/>
          <w:highlight w:val="none"/>
        </w:rPr>
        <w:t>采购人：大连理工大学</w:t>
      </w:r>
      <w:bookmarkEnd w:id="2"/>
    </w:p>
    <w:p w14:paraId="54CD4AE7">
      <w:pPr>
        <w:spacing w:line="480" w:lineRule="auto"/>
        <w:rPr>
          <w:rFonts w:hint="eastAsia" w:ascii="宋体" w:hAnsi="宋体" w:cs="宋体"/>
          <w:b/>
          <w:sz w:val="30"/>
          <w:szCs w:val="30"/>
          <w:highlight w:val="none"/>
        </w:rPr>
      </w:pPr>
      <w:r>
        <w:rPr>
          <w:rFonts w:hint="eastAsia" w:ascii="宋体" w:hAnsi="宋体" w:cs="宋体"/>
          <w:b/>
          <w:sz w:val="30"/>
          <w:szCs w:val="30"/>
          <w:highlight w:val="none"/>
        </w:rPr>
        <w:t>采购代理机构：大连机械设备成套有限公司</w:t>
      </w:r>
    </w:p>
    <w:p w14:paraId="62BF6FEF">
      <w:pPr>
        <w:spacing w:line="480" w:lineRule="auto"/>
        <w:ind w:firstLine="904" w:firstLineChars="300"/>
        <w:rPr>
          <w:rFonts w:hint="eastAsia" w:ascii="宋体" w:hAnsi="宋体" w:cs="宋体"/>
          <w:b/>
          <w:sz w:val="30"/>
          <w:szCs w:val="30"/>
          <w:highlight w:val="none"/>
        </w:rPr>
      </w:pPr>
    </w:p>
    <w:p w14:paraId="75CBEA66">
      <w:pPr>
        <w:spacing w:line="480" w:lineRule="auto"/>
        <w:ind w:firstLine="904" w:firstLineChars="300"/>
        <w:jc w:val="center"/>
        <w:rPr>
          <w:rFonts w:hint="eastAsia" w:ascii="宋体" w:hAnsi="宋体" w:cs="宋体"/>
          <w:b/>
          <w:sz w:val="30"/>
          <w:szCs w:val="30"/>
          <w:highlight w:val="none"/>
        </w:rPr>
        <w:sectPr>
          <w:footerReference r:id="rId5" w:type="first"/>
          <w:headerReference r:id="rId3" w:type="default"/>
          <w:footerReference r:id="rId4" w:type="default"/>
          <w:pgSz w:w="11905" w:h="16838"/>
          <w:pgMar w:top="1984" w:right="1417" w:bottom="1417" w:left="1417" w:header="1417" w:footer="1134" w:gutter="0"/>
          <w:pgNumType w:start="0"/>
          <w:cols w:space="720" w:num="1"/>
          <w:titlePg/>
          <w:docGrid w:linePitch="286" w:charSpace="0"/>
        </w:sectPr>
      </w:pPr>
      <w:bookmarkStart w:id="3" w:name="_Toc28920_WPSOffice_Level1"/>
      <w:bookmarkStart w:id="4" w:name="_Toc3005_WPSOffice_Level1"/>
      <w:bookmarkStart w:id="5" w:name="_Toc18386_WPSOffice_Level1"/>
      <w:bookmarkStart w:id="6" w:name="_Toc527007499"/>
      <w:r>
        <w:rPr>
          <w:rFonts w:hint="eastAsia" w:ascii="宋体" w:hAnsi="宋体" w:cs="宋体"/>
          <w:b/>
          <w:sz w:val="30"/>
          <w:szCs w:val="30"/>
          <w:highlight w:val="none"/>
        </w:rPr>
        <w:t>2025年</w:t>
      </w:r>
      <w:r>
        <w:rPr>
          <w:rFonts w:hint="eastAsia" w:ascii="宋体" w:hAnsi="宋体" w:cs="宋体"/>
          <w:b/>
          <w:sz w:val="30"/>
          <w:szCs w:val="30"/>
          <w:highlight w:val="none"/>
          <w:lang w:val="en-US" w:eastAsia="zh-CN"/>
        </w:rPr>
        <w:t>11</w:t>
      </w:r>
      <w:r>
        <w:rPr>
          <w:rFonts w:hint="eastAsia" w:ascii="宋体" w:hAnsi="宋体" w:cs="宋体"/>
          <w:b/>
          <w:sz w:val="30"/>
          <w:szCs w:val="30"/>
          <w:highlight w:val="none"/>
        </w:rPr>
        <w:t>月</w:t>
      </w:r>
    </w:p>
    <w:p w14:paraId="667EAFD4">
      <w:pPr>
        <w:pStyle w:val="304"/>
        <w:snapToGrid w:val="0"/>
        <w:spacing w:before="0" w:line="360" w:lineRule="auto"/>
        <w:ind w:firstLine="602"/>
        <w:jc w:val="center"/>
        <w:rPr>
          <w:rFonts w:hint="eastAsia" w:ascii="宋体" w:hAnsi="宋体" w:cs="宋体"/>
          <w:color w:val="auto"/>
          <w:sz w:val="30"/>
          <w:szCs w:val="30"/>
          <w:highlight w:val="none"/>
        </w:rPr>
      </w:pPr>
      <w:r>
        <w:rPr>
          <w:rFonts w:hint="eastAsia" w:ascii="宋体" w:hAnsi="宋体" w:cs="宋体"/>
          <w:color w:val="auto"/>
          <w:sz w:val="30"/>
          <w:szCs w:val="30"/>
          <w:highlight w:val="none"/>
          <w:lang w:val="zh-CN"/>
        </w:rPr>
        <w:t>目  录</w:t>
      </w:r>
    </w:p>
    <w:p w14:paraId="252C4869">
      <w:pPr>
        <w:pStyle w:val="378"/>
        <w:tabs>
          <w:tab w:val="right" w:leader="dot" w:pos="9040"/>
        </w:tabs>
        <w:spacing w:line="360" w:lineRule="auto"/>
        <w:ind w:firstLine="0" w:firstLineChars="0"/>
        <w:jc w:val="distribute"/>
        <w:rPr>
          <w:rFonts w:hint="eastAsia" w:ascii="宋体" w:hAnsi="宋体" w:eastAsia="宋体" w:cs="宋体"/>
          <w:b/>
          <w:sz w:val="32"/>
          <w:szCs w:val="28"/>
          <w:highlight w:val="none"/>
        </w:rPr>
      </w:pPr>
    </w:p>
    <w:p w14:paraId="2EE2A94E">
      <w:pPr>
        <w:snapToGrid w:val="0"/>
        <w:spacing w:line="360" w:lineRule="auto"/>
        <w:ind w:firstLine="643"/>
        <w:rPr>
          <w:rFonts w:hint="eastAsia" w:ascii="宋体" w:hAnsi="宋体" w:cs="宋体"/>
          <w:b/>
          <w:bCs/>
          <w:kern w:val="0"/>
          <w:sz w:val="32"/>
          <w:szCs w:val="28"/>
          <w:highlight w:val="none"/>
          <w:lang w:val="zh-CN"/>
        </w:rPr>
      </w:pPr>
    </w:p>
    <w:sdt>
      <w:sdtPr>
        <w:rPr>
          <w:rFonts w:ascii="宋体" w:hAnsi="宋体"/>
          <w:highlight w:val="none"/>
        </w:rPr>
        <w:id w:val="147472727"/>
        <w15:color w:val="DBDBDB"/>
        <w:docPartObj>
          <w:docPartGallery w:val="Table of Contents"/>
          <w:docPartUnique/>
        </w:docPartObj>
      </w:sdtPr>
      <w:sdtEndPr>
        <w:rPr>
          <w:rFonts w:ascii="宋体" w:hAnsi="宋体" w:cs="宋体"/>
          <w:kern w:val="0"/>
          <w:highlight w:val="none"/>
        </w:rPr>
      </w:sdtEndPr>
      <w:sdtContent>
        <w:p w14:paraId="4885E1EA">
          <w:pPr>
            <w:jc w:val="center"/>
            <w:rPr>
              <w:highlight w:val="none"/>
            </w:rPr>
          </w:pPr>
        </w:p>
        <w:p w14:paraId="533899E9">
          <w:pPr>
            <w:pStyle w:val="346"/>
            <w:tabs>
              <w:tab w:val="right" w:leader="dot" w:pos="9071"/>
            </w:tabs>
            <w:spacing w:line="480" w:lineRule="auto"/>
            <w:rPr>
              <w:sz w:val="24"/>
              <w:szCs w:val="24"/>
              <w:highlight w:val="none"/>
            </w:rPr>
          </w:pPr>
          <w:r>
            <w:rPr>
              <w:rFonts w:ascii="宋体" w:hAnsi="宋体" w:cs="宋体"/>
              <w:sz w:val="24"/>
              <w:szCs w:val="24"/>
              <w:highlight w:val="none"/>
            </w:rPr>
            <w:fldChar w:fldCharType="begin"/>
          </w:r>
          <w:r>
            <w:rPr>
              <w:rFonts w:ascii="宋体" w:hAnsi="宋体" w:cs="宋体"/>
              <w:sz w:val="24"/>
              <w:szCs w:val="24"/>
              <w:highlight w:val="none"/>
            </w:rPr>
            <w:instrText xml:space="preserve">TOC \o "1-1" \h \u </w:instrText>
          </w:r>
          <w:r>
            <w:rPr>
              <w:rFonts w:ascii="宋体" w:hAnsi="宋体" w:cs="宋体"/>
              <w:sz w:val="24"/>
              <w:szCs w:val="24"/>
              <w:highlight w:val="none"/>
            </w:rPr>
            <w:fldChar w:fldCharType="separate"/>
          </w:r>
        </w:p>
        <w:p w14:paraId="3D75598F">
          <w:pPr>
            <w:pStyle w:val="346"/>
            <w:tabs>
              <w:tab w:val="right" w:leader="dot" w:pos="9071"/>
            </w:tabs>
            <w:spacing w:line="480" w:lineRule="auto"/>
            <w:rPr>
              <w:sz w:val="24"/>
              <w:szCs w:val="24"/>
              <w:highlight w:val="none"/>
            </w:rPr>
          </w:pPr>
          <w:r>
            <w:rPr>
              <w:highlight w:val="none"/>
            </w:rPr>
            <w:fldChar w:fldCharType="begin"/>
          </w:r>
          <w:r>
            <w:rPr>
              <w:highlight w:val="none"/>
            </w:rPr>
            <w:instrText xml:space="preserve"> HYPERLINK \l "_Toc23627" </w:instrText>
          </w:r>
          <w:r>
            <w:rPr>
              <w:highlight w:val="none"/>
            </w:rPr>
            <w:fldChar w:fldCharType="separate"/>
          </w:r>
          <w:r>
            <w:rPr>
              <w:rFonts w:hint="eastAsia" w:ascii="宋体" w:hAnsi="宋体" w:cs="宋体"/>
              <w:sz w:val="24"/>
              <w:szCs w:val="24"/>
              <w:highlight w:val="none"/>
            </w:rPr>
            <w:t>招标公告</w:t>
          </w:r>
          <w:r>
            <w:rPr>
              <w:sz w:val="24"/>
              <w:szCs w:val="24"/>
              <w:highlight w:val="none"/>
            </w:rPr>
            <w:tab/>
          </w:r>
          <w:r>
            <w:rPr>
              <w:sz w:val="24"/>
              <w:szCs w:val="24"/>
              <w:highlight w:val="none"/>
            </w:rPr>
            <w:fldChar w:fldCharType="begin"/>
          </w:r>
          <w:r>
            <w:rPr>
              <w:sz w:val="24"/>
              <w:szCs w:val="24"/>
              <w:highlight w:val="none"/>
            </w:rPr>
            <w:instrText xml:space="preserve"> PAGEREF _Toc23627 \h </w:instrText>
          </w:r>
          <w:r>
            <w:rPr>
              <w:sz w:val="24"/>
              <w:szCs w:val="24"/>
              <w:highlight w:val="none"/>
            </w:rPr>
            <w:fldChar w:fldCharType="separate"/>
          </w:r>
          <w:r>
            <w:rPr>
              <w:sz w:val="24"/>
              <w:szCs w:val="24"/>
              <w:highlight w:val="none"/>
            </w:rPr>
            <w:t>2</w:t>
          </w:r>
          <w:r>
            <w:rPr>
              <w:sz w:val="24"/>
              <w:szCs w:val="24"/>
              <w:highlight w:val="none"/>
            </w:rPr>
            <w:fldChar w:fldCharType="end"/>
          </w:r>
          <w:r>
            <w:rPr>
              <w:sz w:val="24"/>
              <w:szCs w:val="24"/>
              <w:highlight w:val="none"/>
            </w:rPr>
            <w:fldChar w:fldCharType="end"/>
          </w:r>
        </w:p>
        <w:p w14:paraId="59F99B97">
          <w:pPr>
            <w:pStyle w:val="346"/>
            <w:tabs>
              <w:tab w:val="right" w:leader="dot" w:pos="9071"/>
            </w:tabs>
            <w:spacing w:line="480" w:lineRule="auto"/>
            <w:rPr>
              <w:sz w:val="24"/>
              <w:szCs w:val="24"/>
              <w:highlight w:val="none"/>
            </w:rPr>
          </w:pPr>
          <w:r>
            <w:rPr>
              <w:highlight w:val="none"/>
            </w:rPr>
            <w:fldChar w:fldCharType="begin"/>
          </w:r>
          <w:r>
            <w:rPr>
              <w:highlight w:val="none"/>
            </w:rPr>
            <w:instrText xml:space="preserve"> HYPERLINK \l "_Toc29337" </w:instrText>
          </w:r>
          <w:r>
            <w:rPr>
              <w:highlight w:val="none"/>
            </w:rPr>
            <w:fldChar w:fldCharType="separate"/>
          </w:r>
          <w:r>
            <w:rPr>
              <w:rFonts w:hint="eastAsia" w:ascii="宋体" w:hAnsi="宋体" w:cs="宋体"/>
              <w:sz w:val="24"/>
              <w:szCs w:val="24"/>
              <w:highlight w:val="none"/>
            </w:rPr>
            <w:t>第一章  投标人须知及前附表</w:t>
          </w:r>
          <w:r>
            <w:rPr>
              <w:sz w:val="24"/>
              <w:szCs w:val="24"/>
              <w:highlight w:val="none"/>
            </w:rPr>
            <w:tab/>
          </w:r>
          <w:r>
            <w:rPr>
              <w:sz w:val="24"/>
              <w:szCs w:val="24"/>
              <w:highlight w:val="none"/>
            </w:rPr>
            <w:fldChar w:fldCharType="begin"/>
          </w:r>
          <w:r>
            <w:rPr>
              <w:sz w:val="24"/>
              <w:szCs w:val="24"/>
              <w:highlight w:val="none"/>
            </w:rPr>
            <w:instrText xml:space="preserve"> PAGEREF _Toc29337 \h </w:instrText>
          </w:r>
          <w:r>
            <w:rPr>
              <w:sz w:val="24"/>
              <w:szCs w:val="24"/>
              <w:highlight w:val="none"/>
            </w:rPr>
            <w:fldChar w:fldCharType="separate"/>
          </w:r>
          <w:r>
            <w:rPr>
              <w:sz w:val="24"/>
              <w:szCs w:val="24"/>
              <w:highlight w:val="none"/>
            </w:rPr>
            <w:t>5</w:t>
          </w:r>
          <w:r>
            <w:rPr>
              <w:sz w:val="24"/>
              <w:szCs w:val="24"/>
              <w:highlight w:val="none"/>
            </w:rPr>
            <w:fldChar w:fldCharType="end"/>
          </w:r>
          <w:r>
            <w:rPr>
              <w:sz w:val="24"/>
              <w:szCs w:val="24"/>
              <w:highlight w:val="none"/>
            </w:rPr>
            <w:fldChar w:fldCharType="end"/>
          </w:r>
        </w:p>
        <w:p w14:paraId="57D2C51F">
          <w:pPr>
            <w:pStyle w:val="346"/>
            <w:tabs>
              <w:tab w:val="right" w:leader="dot" w:pos="9071"/>
            </w:tabs>
            <w:spacing w:line="480" w:lineRule="auto"/>
            <w:rPr>
              <w:sz w:val="24"/>
              <w:szCs w:val="24"/>
              <w:highlight w:val="none"/>
            </w:rPr>
          </w:pPr>
          <w:r>
            <w:rPr>
              <w:highlight w:val="none"/>
            </w:rPr>
            <w:fldChar w:fldCharType="begin"/>
          </w:r>
          <w:r>
            <w:rPr>
              <w:highlight w:val="none"/>
            </w:rPr>
            <w:instrText xml:space="preserve"> HYPERLINK \l "_Toc14958" </w:instrText>
          </w:r>
          <w:r>
            <w:rPr>
              <w:highlight w:val="none"/>
            </w:rPr>
            <w:fldChar w:fldCharType="separate"/>
          </w:r>
          <w:r>
            <w:rPr>
              <w:rFonts w:hint="eastAsia" w:ascii="宋体" w:hAnsi="宋体" w:cs="宋体"/>
              <w:sz w:val="24"/>
              <w:szCs w:val="24"/>
              <w:highlight w:val="none"/>
            </w:rPr>
            <w:t>第二章  合同条款及前附表</w:t>
          </w:r>
          <w:r>
            <w:rPr>
              <w:sz w:val="24"/>
              <w:szCs w:val="24"/>
              <w:highlight w:val="none"/>
            </w:rPr>
            <w:tab/>
          </w:r>
          <w:r>
            <w:rPr>
              <w:sz w:val="24"/>
              <w:szCs w:val="24"/>
              <w:highlight w:val="none"/>
            </w:rPr>
            <w:fldChar w:fldCharType="begin"/>
          </w:r>
          <w:r>
            <w:rPr>
              <w:sz w:val="24"/>
              <w:szCs w:val="24"/>
              <w:highlight w:val="none"/>
            </w:rPr>
            <w:instrText xml:space="preserve"> PAGEREF _Toc14958 \h </w:instrText>
          </w:r>
          <w:r>
            <w:rPr>
              <w:sz w:val="24"/>
              <w:szCs w:val="24"/>
              <w:highlight w:val="none"/>
            </w:rPr>
            <w:fldChar w:fldCharType="separate"/>
          </w:r>
          <w:r>
            <w:rPr>
              <w:sz w:val="24"/>
              <w:szCs w:val="24"/>
              <w:highlight w:val="none"/>
            </w:rPr>
            <w:t>25</w:t>
          </w:r>
          <w:r>
            <w:rPr>
              <w:sz w:val="24"/>
              <w:szCs w:val="24"/>
              <w:highlight w:val="none"/>
            </w:rPr>
            <w:fldChar w:fldCharType="end"/>
          </w:r>
          <w:r>
            <w:rPr>
              <w:sz w:val="24"/>
              <w:szCs w:val="24"/>
              <w:highlight w:val="none"/>
            </w:rPr>
            <w:fldChar w:fldCharType="end"/>
          </w:r>
        </w:p>
        <w:p w14:paraId="4BE12B39">
          <w:pPr>
            <w:pStyle w:val="346"/>
            <w:tabs>
              <w:tab w:val="right" w:leader="dot" w:pos="9071"/>
            </w:tabs>
            <w:spacing w:line="480" w:lineRule="auto"/>
            <w:rPr>
              <w:sz w:val="24"/>
              <w:szCs w:val="24"/>
              <w:highlight w:val="none"/>
            </w:rPr>
          </w:pPr>
          <w:r>
            <w:rPr>
              <w:highlight w:val="none"/>
            </w:rPr>
            <w:fldChar w:fldCharType="begin"/>
          </w:r>
          <w:r>
            <w:rPr>
              <w:highlight w:val="none"/>
            </w:rPr>
            <w:instrText xml:space="preserve"> HYPERLINK \l "_Toc11522" </w:instrText>
          </w:r>
          <w:r>
            <w:rPr>
              <w:highlight w:val="none"/>
            </w:rPr>
            <w:fldChar w:fldCharType="separate"/>
          </w:r>
          <w:r>
            <w:rPr>
              <w:rFonts w:hint="eastAsia" w:ascii="宋体" w:hAnsi="宋体" w:cs="宋体"/>
              <w:sz w:val="24"/>
              <w:szCs w:val="24"/>
              <w:highlight w:val="none"/>
            </w:rPr>
            <w:t>第三章  用户需求书</w:t>
          </w:r>
          <w:r>
            <w:rPr>
              <w:sz w:val="24"/>
              <w:szCs w:val="24"/>
              <w:highlight w:val="none"/>
            </w:rPr>
            <w:tab/>
          </w:r>
          <w:r>
            <w:rPr>
              <w:sz w:val="24"/>
              <w:szCs w:val="24"/>
              <w:highlight w:val="none"/>
            </w:rPr>
            <w:fldChar w:fldCharType="begin"/>
          </w:r>
          <w:r>
            <w:rPr>
              <w:sz w:val="24"/>
              <w:szCs w:val="24"/>
              <w:highlight w:val="none"/>
            </w:rPr>
            <w:instrText xml:space="preserve"> PAGEREF _Toc11522 \h </w:instrText>
          </w:r>
          <w:r>
            <w:rPr>
              <w:sz w:val="24"/>
              <w:szCs w:val="24"/>
              <w:highlight w:val="none"/>
            </w:rPr>
            <w:fldChar w:fldCharType="separate"/>
          </w:r>
          <w:r>
            <w:rPr>
              <w:sz w:val="24"/>
              <w:szCs w:val="24"/>
              <w:highlight w:val="none"/>
            </w:rPr>
            <w:t>37</w:t>
          </w:r>
          <w:r>
            <w:rPr>
              <w:sz w:val="24"/>
              <w:szCs w:val="24"/>
              <w:highlight w:val="none"/>
            </w:rPr>
            <w:fldChar w:fldCharType="end"/>
          </w:r>
          <w:r>
            <w:rPr>
              <w:sz w:val="24"/>
              <w:szCs w:val="24"/>
              <w:highlight w:val="none"/>
            </w:rPr>
            <w:fldChar w:fldCharType="end"/>
          </w:r>
        </w:p>
        <w:p w14:paraId="1844184E">
          <w:pPr>
            <w:pStyle w:val="346"/>
            <w:tabs>
              <w:tab w:val="right" w:leader="dot" w:pos="9071"/>
            </w:tabs>
            <w:spacing w:line="480" w:lineRule="auto"/>
            <w:rPr>
              <w:sz w:val="24"/>
              <w:szCs w:val="24"/>
              <w:highlight w:val="none"/>
            </w:rPr>
          </w:pPr>
          <w:r>
            <w:rPr>
              <w:highlight w:val="none"/>
            </w:rPr>
            <w:fldChar w:fldCharType="begin"/>
          </w:r>
          <w:r>
            <w:rPr>
              <w:highlight w:val="none"/>
            </w:rPr>
            <w:instrText xml:space="preserve"> HYPERLINK \l "_Toc31436" </w:instrText>
          </w:r>
          <w:r>
            <w:rPr>
              <w:highlight w:val="none"/>
            </w:rPr>
            <w:fldChar w:fldCharType="separate"/>
          </w:r>
          <w:r>
            <w:rPr>
              <w:rFonts w:hint="eastAsia" w:ascii="宋体" w:hAnsi="宋体" w:cs="宋体"/>
              <w:sz w:val="24"/>
              <w:szCs w:val="24"/>
              <w:highlight w:val="none"/>
            </w:rPr>
            <w:t>第四章  投标文件格式</w:t>
          </w:r>
          <w:r>
            <w:rPr>
              <w:sz w:val="24"/>
              <w:szCs w:val="24"/>
              <w:highlight w:val="none"/>
            </w:rPr>
            <w:tab/>
          </w:r>
          <w:r>
            <w:rPr>
              <w:sz w:val="24"/>
              <w:szCs w:val="24"/>
              <w:highlight w:val="none"/>
            </w:rPr>
            <w:fldChar w:fldCharType="begin"/>
          </w:r>
          <w:r>
            <w:rPr>
              <w:sz w:val="24"/>
              <w:szCs w:val="24"/>
              <w:highlight w:val="none"/>
            </w:rPr>
            <w:instrText xml:space="preserve"> PAGEREF _Toc31436 \h </w:instrText>
          </w:r>
          <w:r>
            <w:rPr>
              <w:sz w:val="24"/>
              <w:szCs w:val="24"/>
              <w:highlight w:val="none"/>
            </w:rPr>
            <w:fldChar w:fldCharType="separate"/>
          </w:r>
          <w:r>
            <w:rPr>
              <w:sz w:val="24"/>
              <w:szCs w:val="24"/>
              <w:highlight w:val="none"/>
            </w:rPr>
            <w:t>40</w:t>
          </w:r>
          <w:r>
            <w:rPr>
              <w:sz w:val="24"/>
              <w:szCs w:val="24"/>
              <w:highlight w:val="none"/>
            </w:rPr>
            <w:fldChar w:fldCharType="end"/>
          </w:r>
          <w:r>
            <w:rPr>
              <w:sz w:val="24"/>
              <w:szCs w:val="24"/>
              <w:highlight w:val="none"/>
            </w:rPr>
            <w:fldChar w:fldCharType="end"/>
          </w:r>
        </w:p>
        <w:p w14:paraId="07651FB6">
          <w:pPr>
            <w:pStyle w:val="346"/>
            <w:tabs>
              <w:tab w:val="right" w:leader="dot" w:pos="9071"/>
            </w:tabs>
            <w:spacing w:line="480" w:lineRule="auto"/>
            <w:rPr>
              <w:sz w:val="24"/>
              <w:szCs w:val="24"/>
              <w:highlight w:val="none"/>
            </w:rPr>
          </w:pPr>
          <w:r>
            <w:rPr>
              <w:highlight w:val="none"/>
            </w:rPr>
            <w:fldChar w:fldCharType="begin"/>
          </w:r>
          <w:r>
            <w:rPr>
              <w:highlight w:val="none"/>
            </w:rPr>
            <w:instrText xml:space="preserve"> HYPERLINK \l "_Toc2838" </w:instrText>
          </w:r>
          <w:r>
            <w:rPr>
              <w:highlight w:val="none"/>
            </w:rPr>
            <w:fldChar w:fldCharType="separate"/>
          </w:r>
          <w:r>
            <w:rPr>
              <w:rFonts w:hint="eastAsia" w:ascii="宋体" w:hAnsi="宋体" w:cs="宋体"/>
              <w:sz w:val="24"/>
              <w:szCs w:val="24"/>
              <w:highlight w:val="none"/>
            </w:rPr>
            <w:t>附件    评分标准</w:t>
          </w:r>
          <w:r>
            <w:rPr>
              <w:sz w:val="24"/>
              <w:szCs w:val="24"/>
              <w:highlight w:val="none"/>
            </w:rPr>
            <w:tab/>
          </w:r>
          <w:r>
            <w:rPr>
              <w:sz w:val="24"/>
              <w:szCs w:val="24"/>
              <w:highlight w:val="none"/>
            </w:rPr>
            <w:fldChar w:fldCharType="begin"/>
          </w:r>
          <w:r>
            <w:rPr>
              <w:sz w:val="24"/>
              <w:szCs w:val="24"/>
              <w:highlight w:val="none"/>
            </w:rPr>
            <w:instrText xml:space="preserve"> PAGEREF _Toc2838 \h </w:instrText>
          </w:r>
          <w:r>
            <w:rPr>
              <w:sz w:val="24"/>
              <w:szCs w:val="24"/>
              <w:highlight w:val="none"/>
            </w:rPr>
            <w:fldChar w:fldCharType="separate"/>
          </w:r>
          <w:r>
            <w:rPr>
              <w:sz w:val="24"/>
              <w:szCs w:val="24"/>
              <w:highlight w:val="none"/>
            </w:rPr>
            <w:t>65</w:t>
          </w:r>
          <w:r>
            <w:rPr>
              <w:sz w:val="24"/>
              <w:szCs w:val="24"/>
              <w:highlight w:val="none"/>
            </w:rPr>
            <w:fldChar w:fldCharType="end"/>
          </w:r>
          <w:r>
            <w:rPr>
              <w:sz w:val="24"/>
              <w:szCs w:val="24"/>
              <w:highlight w:val="none"/>
            </w:rPr>
            <w:fldChar w:fldCharType="end"/>
          </w:r>
        </w:p>
        <w:p w14:paraId="4D7E4582">
          <w:pPr>
            <w:snapToGrid w:val="0"/>
            <w:spacing w:line="480" w:lineRule="auto"/>
            <w:ind w:firstLine="640"/>
            <w:jc w:val="center"/>
            <w:rPr>
              <w:rFonts w:hint="eastAsia" w:ascii="宋体" w:hAnsi="宋体" w:cs="宋体"/>
              <w:kern w:val="0"/>
              <w:highlight w:val="none"/>
            </w:rPr>
          </w:pPr>
          <w:r>
            <w:rPr>
              <w:rFonts w:ascii="宋体" w:hAnsi="宋体" w:cs="宋体"/>
              <w:kern w:val="0"/>
              <w:sz w:val="24"/>
              <w:highlight w:val="none"/>
            </w:rPr>
            <w:fldChar w:fldCharType="end"/>
          </w:r>
        </w:p>
      </w:sdtContent>
    </w:sdt>
    <w:p w14:paraId="003D7581">
      <w:pPr>
        <w:rPr>
          <w:highlight w:val="none"/>
        </w:rPr>
      </w:pPr>
    </w:p>
    <w:p w14:paraId="50D19135">
      <w:pPr>
        <w:rPr>
          <w:highlight w:val="none"/>
        </w:rPr>
      </w:pPr>
    </w:p>
    <w:p w14:paraId="12BC72B4">
      <w:pPr>
        <w:rPr>
          <w:highlight w:val="none"/>
        </w:rPr>
      </w:pPr>
    </w:p>
    <w:p w14:paraId="59D0164F">
      <w:pPr>
        <w:tabs>
          <w:tab w:val="left" w:pos="5834"/>
        </w:tabs>
        <w:jc w:val="left"/>
        <w:rPr>
          <w:highlight w:val="none"/>
        </w:rPr>
        <w:sectPr>
          <w:headerReference r:id="rId7" w:type="first"/>
          <w:footerReference r:id="rId8" w:type="first"/>
          <w:headerReference r:id="rId6" w:type="default"/>
          <w:pgSz w:w="11905" w:h="16838"/>
          <w:pgMar w:top="1984" w:right="1417" w:bottom="1417" w:left="1417" w:header="1134" w:footer="1134" w:gutter="0"/>
          <w:pgNumType w:start="1"/>
          <w:cols w:space="720" w:num="1"/>
          <w:titlePg/>
          <w:docGrid w:linePitch="286" w:charSpace="0"/>
        </w:sectPr>
      </w:pPr>
      <w:r>
        <w:rPr>
          <w:rFonts w:hint="eastAsia"/>
          <w:highlight w:val="none"/>
        </w:rPr>
        <w:tab/>
      </w:r>
    </w:p>
    <w:p w14:paraId="40BAAEC2">
      <w:pPr>
        <w:pStyle w:val="3"/>
        <w:snapToGrid w:val="0"/>
        <w:spacing w:before="0" w:after="0" w:line="360" w:lineRule="auto"/>
        <w:ind w:firstLine="602"/>
        <w:jc w:val="center"/>
        <w:rPr>
          <w:rFonts w:hint="eastAsia" w:ascii="宋体" w:hAnsi="宋体" w:cs="宋体"/>
          <w:kern w:val="0"/>
          <w:sz w:val="30"/>
          <w:szCs w:val="30"/>
          <w:highlight w:val="none"/>
        </w:rPr>
      </w:pPr>
      <w:bookmarkStart w:id="7" w:name="_Toc7145"/>
      <w:bookmarkStart w:id="8" w:name="_Toc23627"/>
      <w:r>
        <w:rPr>
          <w:rFonts w:hint="eastAsia" w:ascii="宋体" w:hAnsi="宋体" w:cs="宋体"/>
          <w:kern w:val="0"/>
          <w:sz w:val="30"/>
          <w:szCs w:val="30"/>
          <w:highlight w:val="none"/>
        </w:rPr>
        <w:t>大连理工大学PEM/AEM水电解制氢实验教学系统采购项目招标公告</w:t>
      </w:r>
      <w:bookmarkEnd w:id="3"/>
      <w:bookmarkEnd w:id="4"/>
      <w:bookmarkEnd w:id="5"/>
      <w:bookmarkEnd w:id="6"/>
      <w:bookmarkEnd w:id="7"/>
      <w:bookmarkEnd w:id="8"/>
    </w:p>
    <w:p w14:paraId="54CF307A">
      <w:pPr>
        <w:pBdr>
          <w:top w:val="single" w:color="auto" w:sz="4" w:space="1"/>
          <w:left w:val="single" w:color="auto" w:sz="4" w:space="4"/>
          <w:bottom w:val="single" w:color="auto" w:sz="4" w:space="1"/>
          <w:right w:val="single" w:color="auto" w:sz="4" w:space="4"/>
        </w:pBdr>
        <w:snapToGrid w:val="0"/>
        <w:spacing w:line="360" w:lineRule="auto"/>
        <w:ind w:firstLine="480"/>
        <w:jc w:val="left"/>
        <w:rPr>
          <w:rFonts w:hint="eastAsia" w:ascii="宋体" w:hAnsi="宋体" w:cs="宋体"/>
          <w:kern w:val="0"/>
          <w:sz w:val="24"/>
          <w:highlight w:val="none"/>
        </w:rPr>
      </w:pPr>
      <w:r>
        <w:rPr>
          <w:rFonts w:hint="eastAsia" w:ascii="宋体" w:hAnsi="宋体" w:cs="宋体"/>
          <w:kern w:val="0"/>
          <w:sz w:val="24"/>
          <w:highlight w:val="none"/>
        </w:rPr>
        <w:t>项目概况：</w:t>
      </w:r>
    </w:p>
    <w:p w14:paraId="2B8396A8">
      <w:pPr>
        <w:pBdr>
          <w:top w:val="single" w:color="auto" w:sz="4" w:space="1"/>
          <w:left w:val="single" w:color="auto" w:sz="4" w:space="4"/>
          <w:bottom w:val="single" w:color="auto" w:sz="4" w:space="1"/>
          <w:right w:val="single" w:color="auto" w:sz="4" w:space="4"/>
        </w:pBdr>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大连理工大学PEM/AEM水电解制氢实验教学系统采购项目招标项目的潜在投标人应在</w:t>
      </w:r>
      <w:r>
        <w:rPr>
          <w:rFonts w:hint="eastAsia" w:ascii="宋体" w:hAnsi="宋体" w:cs="宋体"/>
          <w:kern w:val="0"/>
          <w:sz w:val="24"/>
          <w:highlight w:val="none"/>
          <w:u w:val="single"/>
        </w:rPr>
        <w:t>大连机械设备成套有限公司（大连市沙河口区西南路350-2号）</w:t>
      </w:r>
      <w:r>
        <w:rPr>
          <w:rFonts w:hint="eastAsia" w:ascii="宋体" w:hAnsi="宋体" w:cs="宋体"/>
          <w:kern w:val="0"/>
          <w:sz w:val="24"/>
          <w:highlight w:val="none"/>
        </w:rPr>
        <w:t>获取招标文件，并于</w:t>
      </w:r>
      <w:r>
        <w:rPr>
          <w:rFonts w:hint="eastAsia" w:ascii="宋体" w:hAnsi="宋体" w:cs="宋体"/>
          <w:kern w:val="0"/>
          <w:sz w:val="24"/>
          <w:highlight w:val="none"/>
          <w:u w:val="single"/>
        </w:rPr>
        <w:t>2025年</w:t>
      </w:r>
      <w:r>
        <w:rPr>
          <w:rFonts w:hint="eastAsia" w:ascii="宋体" w:hAnsi="宋体" w:cs="宋体"/>
          <w:kern w:val="0"/>
          <w:sz w:val="24"/>
          <w:highlight w:val="none"/>
          <w:u w:val="single"/>
          <w:lang w:eastAsia="zh-CN"/>
        </w:rPr>
        <w:t>11月19日</w:t>
      </w:r>
      <w:r>
        <w:rPr>
          <w:rFonts w:hint="eastAsia" w:ascii="宋体" w:hAnsi="宋体" w:cs="宋体"/>
          <w:kern w:val="0"/>
          <w:sz w:val="24"/>
          <w:highlight w:val="none"/>
          <w:u w:val="single"/>
        </w:rPr>
        <w:t>09点30分</w:t>
      </w:r>
      <w:r>
        <w:rPr>
          <w:rFonts w:hint="eastAsia" w:ascii="宋体" w:hAnsi="宋体" w:cs="宋体"/>
          <w:bCs/>
          <w:kern w:val="0"/>
          <w:sz w:val="24"/>
          <w:highlight w:val="none"/>
          <w:u w:val="single"/>
        </w:rPr>
        <w:t>（</w:t>
      </w:r>
      <w:r>
        <w:rPr>
          <w:rFonts w:hint="eastAsia" w:ascii="宋体" w:hAnsi="宋体" w:cs="宋体"/>
          <w:bCs/>
          <w:kern w:val="0"/>
          <w:sz w:val="24"/>
          <w:highlight w:val="none"/>
        </w:rPr>
        <w:t>北京时间）前递交投标文件</w:t>
      </w:r>
      <w:r>
        <w:rPr>
          <w:rFonts w:hint="eastAsia" w:ascii="宋体" w:hAnsi="宋体" w:cs="宋体"/>
          <w:kern w:val="0"/>
          <w:sz w:val="24"/>
          <w:highlight w:val="none"/>
        </w:rPr>
        <w:t>。</w:t>
      </w:r>
    </w:p>
    <w:p w14:paraId="723778CE">
      <w:pPr>
        <w:snapToGrid w:val="0"/>
        <w:spacing w:line="360" w:lineRule="auto"/>
        <w:ind w:firstLine="480" w:firstLineChars="200"/>
        <w:rPr>
          <w:rFonts w:hint="eastAsia" w:ascii="宋体" w:hAnsi="宋体" w:cs="宋体"/>
          <w:kern w:val="0"/>
          <w:sz w:val="24"/>
          <w:highlight w:val="none"/>
        </w:rPr>
      </w:pPr>
    </w:p>
    <w:p w14:paraId="55226581">
      <w:pPr>
        <w:pStyle w:val="4"/>
        <w:snapToGrid w:val="0"/>
        <w:spacing w:line="360" w:lineRule="auto"/>
        <w:ind w:left="0" w:firstLine="482" w:firstLineChars="200"/>
        <w:rPr>
          <w:rFonts w:hint="eastAsia" w:ascii="宋体" w:hAnsi="宋体" w:cs="宋体"/>
          <w:bCs w:val="0"/>
          <w:kern w:val="0"/>
          <w:sz w:val="24"/>
          <w:highlight w:val="none"/>
        </w:rPr>
      </w:pPr>
      <w:bookmarkStart w:id="9" w:name="_Toc28359002"/>
      <w:bookmarkStart w:id="10" w:name="_Toc35393621"/>
      <w:bookmarkStart w:id="11" w:name="_Toc28359079"/>
      <w:bookmarkStart w:id="12" w:name="_Toc35393790"/>
      <w:bookmarkStart w:id="13" w:name="_Toc6307"/>
      <w:bookmarkStart w:id="14" w:name="_Hlk24379207"/>
      <w:r>
        <w:rPr>
          <w:rFonts w:hint="eastAsia" w:ascii="宋体" w:hAnsi="宋体" w:cs="宋体"/>
          <w:bCs w:val="0"/>
          <w:kern w:val="0"/>
          <w:sz w:val="24"/>
          <w:highlight w:val="none"/>
        </w:rPr>
        <w:t>一、项目基本情况</w:t>
      </w:r>
      <w:bookmarkEnd w:id="9"/>
      <w:bookmarkEnd w:id="10"/>
      <w:bookmarkEnd w:id="11"/>
      <w:bookmarkEnd w:id="12"/>
      <w:bookmarkEnd w:id="13"/>
    </w:p>
    <w:p w14:paraId="239CEAA5">
      <w:pPr>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项目编号：DUTASZ-2025264</w:t>
      </w:r>
    </w:p>
    <w:p w14:paraId="55E27B2E">
      <w:pPr>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项目名称：</w:t>
      </w:r>
      <w:bookmarkEnd w:id="14"/>
      <w:r>
        <w:rPr>
          <w:rFonts w:hint="eastAsia" w:ascii="宋体" w:hAnsi="宋体" w:cs="宋体"/>
          <w:kern w:val="0"/>
          <w:sz w:val="24"/>
          <w:highlight w:val="none"/>
        </w:rPr>
        <w:t>大连理工大学PEM/AEM水电解制氢实验教学系统采购项目</w:t>
      </w:r>
    </w:p>
    <w:p w14:paraId="6C9C793D">
      <w:pPr>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预算金额：130万元（人民币）</w:t>
      </w:r>
    </w:p>
    <w:p w14:paraId="49E3F7B8">
      <w:pPr>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最高限价：130万元（人民币）</w:t>
      </w:r>
    </w:p>
    <w:p w14:paraId="49A330AD">
      <w:pPr>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采购需求：本项目拟采购PEM/AEM水电解制氢实验教学系统1套，用于“氢能+AI”技术相关电化学工程领域的实验教学。主要实现：通过超声喷涂装备，学生可以自主制备电极材料；通过工业机器人，学生可以实现电解槽的自动装配；通过可视化流场，实现不同流场内气液两相流动及分布的智能识别；具备完整的流体输送、温度感知与控制、冷凝、背压、气液分离、产物浓度分析等完善的水电解制氢评价平台。具体详见招标文件。</w:t>
      </w:r>
    </w:p>
    <w:p w14:paraId="148F26BB">
      <w:pPr>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合同履行期限：自签订合同之日起，接到采购人供货通知后6个月内，货到采购人指定地点安装调试验收合格。</w:t>
      </w:r>
    </w:p>
    <w:p w14:paraId="52CD8B28">
      <w:pPr>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本项目（不接受）联合体投标。</w:t>
      </w:r>
    </w:p>
    <w:p w14:paraId="3260525A">
      <w:pPr>
        <w:pStyle w:val="4"/>
        <w:snapToGrid w:val="0"/>
        <w:spacing w:line="360" w:lineRule="auto"/>
        <w:ind w:left="0" w:firstLine="482" w:firstLineChars="200"/>
        <w:rPr>
          <w:rFonts w:hint="eastAsia" w:ascii="宋体" w:hAnsi="宋体" w:cs="宋体"/>
          <w:bCs w:val="0"/>
          <w:kern w:val="0"/>
          <w:sz w:val="24"/>
          <w:highlight w:val="none"/>
        </w:rPr>
      </w:pPr>
      <w:bookmarkStart w:id="15" w:name="_Toc28359003"/>
      <w:bookmarkStart w:id="16" w:name="_Toc35393622"/>
      <w:bookmarkStart w:id="17" w:name="_Toc22678"/>
      <w:bookmarkStart w:id="18" w:name="_Toc35393791"/>
      <w:bookmarkStart w:id="19" w:name="_Toc28359080"/>
      <w:r>
        <w:rPr>
          <w:rFonts w:hint="eastAsia" w:ascii="宋体" w:hAnsi="宋体" w:cs="宋体"/>
          <w:bCs w:val="0"/>
          <w:kern w:val="0"/>
          <w:sz w:val="24"/>
          <w:highlight w:val="none"/>
        </w:rPr>
        <w:t>二、申请人的资格要求</w:t>
      </w:r>
      <w:bookmarkEnd w:id="15"/>
      <w:bookmarkEnd w:id="16"/>
      <w:bookmarkEnd w:id="17"/>
      <w:bookmarkEnd w:id="18"/>
      <w:bookmarkEnd w:id="19"/>
    </w:p>
    <w:p w14:paraId="344411D9">
      <w:pPr>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1.满足《中华人民共和国政府采购法》第二十二条规定。</w:t>
      </w:r>
    </w:p>
    <w:p w14:paraId="326D92CA">
      <w:pPr>
        <w:widowControl/>
        <w:spacing w:line="360" w:lineRule="auto"/>
        <w:ind w:firstLine="480" w:firstLineChars="200"/>
        <w:jc w:val="left"/>
        <w:rPr>
          <w:rFonts w:hint="eastAsia" w:ascii="宋体" w:hAnsi="宋体" w:cs="宋体"/>
          <w:kern w:val="0"/>
          <w:sz w:val="24"/>
          <w:highlight w:val="none"/>
        </w:rPr>
      </w:pPr>
      <w:bookmarkStart w:id="20" w:name="_Toc28359004"/>
      <w:bookmarkStart w:id="21" w:name="_Toc28359081"/>
      <w:r>
        <w:rPr>
          <w:rFonts w:hint="eastAsia" w:ascii="宋体" w:hAnsi="宋体" w:cs="宋体"/>
          <w:kern w:val="0"/>
          <w:sz w:val="24"/>
          <w:highlight w:val="none"/>
        </w:rPr>
        <w:t>2.落实政府采购政策需满足的资格要求：</w:t>
      </w:r>
    </w:p>
    <w:p w14:paraId="30A52ADF">
      <w:pPr>
        <w:widowControl/>
        <w:spacing w:line="360" w:lineRule="auto"/>
        <w:ind w:firstLine="480" w:firstLineChars="200"/>
        <w:jc w:val="left"/>
        <w:rPr>
          <w:rFonts w:hint="eastAsia" w:ascii="宋体" w:hAnsi="宋体" w:cs="宋体"/>
          <w:kern w:val="0"/>
          <w:sz w:val="24"/>
          <w:highlight w:val="none"/>
        </w:rPr>
      </w:pPr>
      <w:r>
        <w:rPr>
          <w:rFonts w:hint="eastAsia" w:ascii="宋体" w:hAnsi="宋体" w:cs="宋体"/>
          <w:kern w:val="0"/>
          <w:sz w:val="24"/>
          <w:highlight w:val="none"/>
        </w:rPr>
        <w:t>1)专门面向中小企业采购；</w:t>
      </w:r>
    </w:p>
    <w:p w14:paraId="4B6A7E89">
      <w:pPr>
        <w:widowControl/>
        <w:spacing w:line="360" w:lineRule="auto"/>
        <w:ind w:firstLine="480" w:firstLineChars="200"/>
        <w:jc w:val="left"/>
        <w:rPr>
          <w:rFonts w:hint="eastAsia" w:ascii="宋体" w:hAnsi="宋体" w:cs="宋体"/>
          <w:kern w:val="0"/>
          <w:sz w:val="24"/>
          <w:highlight w:val="none"/>
        </w:rPr>
      </w:pPr>
      <w:r>
        <w:rPr>
          <w:rFonts w:hint="eastAsia" w:ascii="宋体" w:hAnsi="宋体" w:cs="宋体"/>
          <w:kern w:val="0"/>
          <w:sz w:val="24"/>
          <w:highlight w:val="none"/>
        </w:rPr>
        <w:t>2)</w:t>
      </w:r>
      <w:r>
        <w:rPr>
          <w:rFonts w:hint="eastAsia" w:ascii="宋体" w:hAnsi="宋体" w:cs="宋体"/>
          <w:iCs/>
          <w:kern w:val="0"/>
          <w:sz w:val="24"/>
          <w:highlight w:val="none"/>
        </w:rPr>
        <w:t>中小微企业、监狱企业、残疾人福利性单位、节能、环保产品优</w:t>
      </w:r>
      <w:r>
        <w:rPr>
          <w:rFonts w:hint="eastAsia" w:ascii="宋体" w:hAnsi="宋体" w:cs="宋体"/>
          <w:kern w:val="0"/>
          <w:sz w:val="24"/>
          <w:highlight w:val="none"/>
        </w:rPr>
        <w:t>先采购等；</w:t>
      </w:r>
    </w:p>
    <w:p w14:paraId="4F851939">
      <w:pPr>
        <w:widowControl/>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3）截至开标时间，经“信用中国”网站（</w:t>
      </w:r>
      <w:r>
        <w:rPr>
          <w:rFonts w:ascii="宋体" w:hAnsi="宋体" w:cs="宋体"/>
          <w:kern w:val="0"/>
          <w:sz w:val="24"/>
          <w:highlight w:val="none"/>
        </w:rPr>
        <w:t>www.creditchina.gov.cn）、</w:t>
      </w:r>
      <w:r>
        <w:rPr>
          <w:rFonts w:hint="eastAsia" w:ascii="宋体" w:hAnsi="宋体" w:cs="宋体"/>
          <w:kern w:val="0"/>
          <w:sz w:val="24"/>
          <w:highlight w:val="none"/>
        </w:rPr>
        <w:t>“中国政府采购网”网站（</w:t>
      </w:r>
      <w:r>
        <w:rPr>
          <w:rFonts w:ascii="宋体" w:hAnsi="宋体" w:cs="宋体"/>
          <w:kern w:val="0"/>
          <w:sz w:val="24"/>
          <w:highlight w:val="none"/>
        </w:rPr>
        <w:t>www.ccgp.gov.cn）查询，被列入失信被执行人、重大税收违法案件当事人名单、政府采购严重违法失信行为记录名单的不得参加本采购项目，</w:t>
      </w:r>
      <w:r>
        <w:rPr>
          <w:rFonts w:hint="eastAsia" w:ascii="宋体" w:hAnsi="宋体" w:cs="宋体"/>
          <w:kern w:val="0"/>
          <w:sz w:val="24"/>
          <w:highlight w:val="none"/>
        </w:rPr>
        <w:t>查询结果以评审过程中现场网络截图为准；</w:t>
      </w:r>
    </w:p>
    <w:p w14:paraId="4025762D">
      <w:pPr>
        <w:widowControl/>
        <w:spacing w:line="360" w:lineRule="auto"/>
        <w:ind w:firstLine="480" w:firstLineChars="200"/>
        <w:rPr>
          <w:rFonts w:hint="eastAsia" w:ascii="宋体" w:hAnsi="宋体" w:cs="宋体"/>
          <w:sz w:val="24"/>
          <w:highlight w:val="none"/>
        </w:rPr>
      </w:pPr>
      <w:r>
        <w:rPr>
          <w:rFonts w:hint="eastAsia" w:ascii="宋体" w:hAnsi="宋体" w:cs="宋体"/>
          <w:kern w:val="0"/>
          <w:sz w:val="24"/>
          <w:highlight w:val="none"/>
        </w:rPr>
        <w:t>4）</w:t>
      </w:r>
      <w:r>
        <w:rPr>
          <w:rFonts w:ascii="宋体" w:hAnsi="宋体" w:cs="宋体"/>
          <w:kern w:val="0"/>
          <w:sz w:val="24"/>
          <w:highlight w:val="none"/>
        </w:rPr>
        <w:t>单位负责人为同一人或者存在直接控股、管理关系的不同供应商，不得参加同一合同项下的政府采购活动。为本采购项目提供整体设计、规范编制或者项目管理、监理、检测等服务的供应商，不得再参加本采购项目的采购活动。</w:t>
      </w:r>
    </w:p>
    <w:p w14:paraId="78336759">
      <w:pPr>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3.本项目的特定资格要求：无。</w:t>
      </w:r>
    </w:p>
    <w:p w14:paraId="6710BAB7">
      <w:pPr>
        <w:pStyle w:val="4"/>
        <w:snapToGrid w:val="0"/>
        <w:spacing w:line="360" w:lineRule="auto"/>
        <w:ind w:left="0" w:firstLine="482" w:firstLineChars="200"/>
        <w:rPr>
          <w:rFonts w:hint="eastAsia" w:ascii="宋体" w:hAnsi="宋体" w:cs="宋体"/>
          <w:bCs w:val="0"/>
          <w:kern w:val="0"/>
          <w:sz w:val="24"/>
          <w:highlight w:val="none"/>
        </w:rPr>
      </w:pPr>
      <w:bookmarkStart w:id="22" w:name="_Toc35393623"/>
      <w:bookmarkStart w:id="23" w:name="_Toc35393792"/>
      <w:bookmarkStart w:id="24" w:name="_Toc32330"/>
      <w:r>
        <w:rPr>
          <w:rFonts w:hint="eastAsia" w:ascii="宋体" w:hAnsi="宋体" w:cs="宋体"/>
          <w:bCs w:val="0"/>
          <w:kern w:val="0"/>
          <w:sz w:val="24"/>
          <w:highlight w:val="none"/>
        </w:rPr>
        <w:t>三、获取招标文件</w:t>
      </w:r>
      <w:bookmarkEnd w:id="20"/>
      <w:bookmarkEnd w:id="21"/>
      <w:bookmarkEnd w:id="22"/>
      <w:bookmarkEnd w:id="23"/>
      <w:bookmarkEnd w:id="24"/>
    </w:p>
    <w:p w14:paraId="07D7E237">
      <w:pPr>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时间：</w:t>
      </w:r>
      <w:r>
        <w:rPr>
          <w:rFonts w:hint="eastAsia" w:ascii="宋体" w:hAnsi="宋体" w:cs="宋体"/>
          <w:kern w:val="0"/>
          <w:sz w:val="24"/>
          <w:highlight w:val="none"/>
          <w:u w:val="single"/>
          <w:lang w:eastAsia="zh-CN"/>
        </w:rPr>
        <w:t>2025年10月29日至2025年11月5日</w:t>
      </w:r>
      <w:r>
        <w:rPr>
          <w:rFonts w:hint="eastAsia" w:ascii="宋体" w:hAnsi="宋体" w:cs="宋体"/>
          <w:kern w:val="0"/>
          <w:sz w:val="24"/>
          <w:highlight w:val="none"/>
        </w:rPr>
        <w:t>，每天上午</w:t>
      </w:r>
      <w:r>
        <w:rPr>
          <w:rFonts w:hint="eastAsia" w:ascii="宋体" w:hAnsi="宋体" w:cs="宋体"/>
          <w:kern w:val="0"/>
          <w:sz w:val="24"/>
          <w:highlight w:val="none"/>
          <w:u w:val="single"/>
        </w:rPr>
        <w:t>8:30</w:t>
      </w:r>
      <w:r>
        <w:rPr>
          <w:rFonts w:hint="eastAsia" w:ascii="宋体" w:hAnsi="宋体" w:cs="宋体"/>
          <w:kern w:val="0"/>
          <w:sz w:val="24"/>
          <w:highlight w:val="none"/>
        </w:rPr>
        <w:t>至</w:t>
      </w:r>
      <w:r>
        <w:rPr>
          <w:rFonts w:hint="eastAsia" w:ascii="宋体" w:hAnsi="宋体" w:cs="宋体"/>
          <w:kern w:val="0"/>
          <w:sz w:val="24"/>
          <w:highlight w:val="none"/>
          <w:u w:val="single"/>
        </w:rPr>
        <w:t>11:30</w:t>
      </w:r>
      <w:r>
        <w:rPr>
          <w:rFonts w:hint="eastAsia" w:ascii="宋体" w:hAnsi="宋体" w:cs="宋体"/>
          <w:kern w:val="0"/>
          <w:sz w:val="24"/>
          <w:highlight w:val="none"/>
        </w:rPr>
        <w:t>，下午</w:t>
      </w:r>
      <w:r>
        <w:rPr>
          <w:rFonts w:hint="eastAsia" w:ascii="宋体" w:hAnsi="宋体" w:cs="宋体"/>
          <w:kern w:val="0"/>
          <w:sz w:val="24"/>
          <w:highlight w:val="none"/>
          <w:u w:val="single"/>
        </w:rPr>
        <w:t>13:00</w:t>
      </w:r>
      <w:r>
        <w:rPr>
          <w:rFonts w:hint="eastAsia" w:ascii="宋体" w:hAnsi="宋体" w:cs="宋体"/>
          <w:kern w:val="0"/>
          <w:sz w:val="24"/>
          <w:highlight w:val="none"/>
        </w:rPr>
        <w:t>至</w:t>
      </w:r>
      <w:r>
        <w:rPr>
          <w:rFonts w:hint="eastAsia" w:ascii="宋体" w:hAnsi="宋体" w:cs="宋体"/>
          <w:kern w:val="0"/>
          <w:sz w:val="24"/>
          <w:highlight w:val="none"/>
          <w:u w:val="single"/>
        </w:rPr>
        <w:t>17:00</w:t>
      </w:r>
      <w:r>
        <w:rPr>
          <w:rFonts w:hint="eastAsia" w:ascii="宋体" w:hAnsi="宋体" w:cs="宋体"/>
          <w:kern w:val="0"/>
          <w:sz w:val="24"/>
          <w:highlight w:val="none"/>
        </w:rPr>
        <w:t>（北京时间，法定节假日除外）。</w:t>
      </w:r>
    </w:p>
    <w:p w14:paraId="000E0265">
      <w:pPr>
        <w:widowControl/>
        <w:snapToGrid w:val="0"/>
        <w:spacing w:line="360" w:lineRule="auto"/>
        <w:ind w:firstLine="480" w:firstLineChars="200"/>
        <w:contextualSpacing/>
        <w:rPr>
          <w:rFonts w:hint="eastAsia" w:ascii="宋体" w:hAnsi="宋体" w:cs="宋体"/>
          <w:kern w:val="0"/>
          <w:sz w:val="24"/>
          <w:highlight w:val="none"/>
        </w:rPr>
      </w:pPr>
      <w:r>
        <w:rPr>
          <w:rFonts w:hint="eastAsia" w:ascii="宋体" w:hAnsi="宋体" w:cs="宋体"/>
          <w:kern w:val="0"/>
          <w:sz w:val="24"/>
          <w:highlight w:val="none"/>
        </w:rPr>
        <w:t>地点：</w:t>
      </w:r>
      <w:r>
        <w:rPr>
          <w:rFonts w:hint="eastAsia" w:ascii="宋体" w:hAnsi="宋体" w:cs="宋体"/>
          <w:kern w:val="0"/>
          <w:sz w:val="24"/>
          <w:highlight w:val="none"/>
          <w:u w:val="single"/>
        </w:rPr>
        <w:t>大连机械设备成套有限公司（大连市沙河口区西南路350-2号）</w:t>
      </w:r>
      <w:r>
        <w:rPr>
          <w:rFonts w:hint="eastAsia" w:ascii="宋体" w:hAnsi="宋体" w:cs="宋体"/>
          <w:kern w:val="0"/>
          <w:sz w:val="24"/>
          <w:highlight w:val="none"/>
        </w:rPr>
        <w:t>。</w:t>
      </w:r>
    </w:p>
    <w:p w14:paraId="6716A663">
      <w:pPr>
        <w:spacing w:line="360" w:lineRule="auto"/>
        <w:ind w:firstLine="480" w:firstLineChars="200"/>
        <w:rPr>
          <w:rFonts w:hint="eastAsia" w:ascii="宋体" w:hAnsi="宋体" w:cs="宋体"/>
          <w:sz w:val="24"/>
          <w:highlight w:val="none"/>
        </w:rPr>
      </w:pPr>
      <w:r>
        <w:rPr>
          <w:rFonts w:hint="eastAsia" w:ascii="宋体" w:hAnsi="宋体" w:cs="宋体"/>
          <w:kern w:val="0"/>
          <w:sz w:val="24"/>
          <w:highlight w:val="none"/>
        </w:rPr>
        <w:t>方式：</w:t>
      </w:r>
      <w:r>
        <w:rPr>
          <w:rFonts w:hint="eastAsia" w:ascii="宋体" w:hAnsi="宋体" w:cs="宋体"/>
          <w:sz w:val="24"/>
          <w:highlight w:val="none"/>
        </w:rPr>
        <w:t>现场获取或线上获取。</w:t>
      </w:r>
    </w:p>
    <w:p w14:paraId="4E8F3A4D">
      <w:pPr>
        <w:spacing w:line="360" w:lineRule="auto"/>
        <w:ind w:firstLine="480" w:firstLineChars="200"/>
        <w:rPr>
          <w:highlight w:val="none"/>
        </w:rPr>
      </w:pPr>
      <w:r>
        <w:rPr>
          <w:rFonts w:hint="eastAsia" w:ascii="宋体" w:hAnsi="宋体" w:cs="宋体"/>
          <w:sz w:val="24"/>
          <w:highlight w:val="none"/>
        </w:rPr>
        <w:t>现场获取方式：须携带①营业执照或法人证书等主体证明文件复印件、②法定代表人身份证复印件（法定代表人本人报名有效）或委托代理人证明原件（授权书原件和被授权人身份证复印件），上述复印件须加盖公章。</w:t>
      </w:r>
    </w:p>
    <w:p w14:paraId="777BDF47">
      <w:pPr>
        <w:spacing w:line="360" w:lineRule="auto"/>
        <w:ind w:firstLine="480" w:firstLineChars="200"/>
        <w:rPr>
          <w:rFonts w:hint="eastAsia" w:ascii="宋体" w:hAnsi="宋体" w:cs="宋体"/>
          <w:sz w:val="24"/>
          <w:highlight w:val="none"/>
        </w:rPr>
      </w:pPr>
      <w:r>
        <w:rPr>
          <w:rFonts w:hint="eastAsia" w:ascii="宋体" w:hAnsi="宋体" w:cs="宋体"/>
          <w:sz w:val="24"/>
          <w:highlight w:val="none"/>
        </w:rPr>
        <w:t>线上获取方式：须发送以下材料的PDF扫描件（须加盖单位公章），邮箱地址为：guochongjin@163.com(邮件标题注明：项目名称+供应商单位名称+报名材料字样），以收到邮件为准。邮件内容包含：①购买登记表（公告链接下自行下载）；②营业执照或法人证书等主体证明文件；③法定代表人身份证（法定代表人本人报名）或委托代理人证明（授权书和被授权人身份证）；④招标文件获取汇款凭证，邮件内容写明单位名称，联系人，联系电话。如果报名材料齐全，采购代理机构会将招标文件发送至供应商邮箱内，如报名资料不齐全，采购代理机构会写明缺少资料发送至供应商邮箱内，请各供应商务必核实邮件回复内容，若因此造成的领取文件失败，无法参加本项目的责任由各供应商自行承担。</w:t>
      </w:r>
    </w:p>
    <w:p w14:paraId="7553DFF7">
      <w:pPr>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售价：300.00元。</w:t>
      </w:r>
    </w:p>
    <w:p w14:paraId="2DC401FD">
      <w:pPr>
        <w:pStyle w:val="4"/>
        <w:snapToGrid w:val="0"/>
        <w:spacing w:line="360" w:lineRule="auto"/>
        <w:ind w:left="0" w:firstLine="482" w:firstLineChars="200"/>
        <w:rPr>
          <w:rFonts w:hint="eastAsia" w:ascii="宋体" w:hAnsi="宋体" w:cs="宋体"/>
          <w:bCs w:val="0"/>
          <w:kern w:val="0"/>
          <w:sz w:val="24"/>
          <w:highlight w:val="none"/>
        </w:rPr>
      </w:pPr>
      <w:bookmarkStart w:id="25" w:name="_Toc28359005"/>
      <w:bookmarkStart w:id="26" w:name="_Toc28359082"/>
      <w:bookmarkStart w:id="27" w:name="_Toc35393793"/>
      <w:bookmarkStart w:id="28" w:name="_Toc35393624"/>
      <w:bookmarkStart w:id="29" w:name="_Toc1207"/>
      <w:r>
        <w:rPr>
          <w:rFonts w:hint="eastAsia" w:ascii="宋体" w:hAnsi="宋体" w:cs="宋体"/>
          <w:bCs w:val="0"/>
          <w:kern w:val="0"/>
          <w:sz w:val="24"/>
          <w:highlight w:val="none"/>
        </w:rPr>
        <w:t>四、提交投标文件</w:t>
      </w:r>
      <w:bookmarkEnd w:id="25"/>
      <w:bookmarkEnd w:id="26"/>
      <w:r>
        <w:rPr>
          <w:rFonts w:hint="eastAsia" w:ascii="宋体" w:hAnsi="宋体" w:cs="宋体"/>
          <w:bCs w:val="0"/>
          <w:kern w:val="0"/>
          <w:sz w:val="24"/>
          <w:highlight w:val="none"/>
        </w:rPr>
        <w:t>截止时间、开标时间和地点</w:t>
      </w:r>
      <w:bookmarkEnd w:id="27"/>
      <w:bookmarkEnd w:id="28"/>
      <w:bookmarkEnd w:id="29"/>
    </w:p>
    <w:p w14:paraId="538D191B">
      <w:pPr>
        <w:snapToGrid w:val="0"/>
        <w:spacing w:line="360" w:lineRule="auto"/>
        <w:ind w:firstLine="480" w:firstLineChars="200"/>
        <w:rPr>
          <w:rFonts w:hint="eastAsia" w:ascii="宋体" w:hAnsi="宋体" w:cs="宋体"/>
          <w:bCs/>
          <w:kern w:val="0"/>
          <w:sz w:val="24"/>
          <w:highlight w:val="none"/>
          <w:u w:val="single"/>
        </w:rPr>
      </w:pPr>
      <w:r>
        <w:rPr>
          <w:rFonts w:hint="eastAsia" w:ascii="宋体" w:hAnsi="宋体" w:cs="宋体"/>
          <w:kern w:val="0"/>
          <w:sz w:val="24"/>
          <w:highlight w:val="none"/>
        </w:rPr>
        <w:t>时间：</w:t>
      </w:r>
      <w:r>
        <w:rPr>
          <w:rFonts w:hint="eastAsia" w:ascii="宋体" w:hAnsi="宋体" w:cs="宋体"/>
          <w:bCs/>
          <w:kern w:val="0"/>
          <w:sz w:val="24"/>
          <w:highlight w:val="none"/>
          <w:u w:val="single"/>
        </w:rPr>
        <w:t>2025年</w:t>
      </w:r>
      <w:r>
        <w:rPr>
          <w:rFonts w:hint="eastAsia" w:ascii="宋体" w:hAnsi="宋体" w:cs="宋体"/>
          <w:bCs/>
          <w:kern w:val="0"/>
          <w:sz w:val="24"/>
          <w:highlight w:val="none"/>
          <w:u w:val="single"/>
          <w:lang w:eastAsia="zh-CN"/>
        </w:rPr>
        <w:t>11月19日</w:t>
      </w:r>
      <w:r>
        <w:rPr>
          <w:rFonts w:hint="eastAsia" w:ascii="宋体" w:hAnsi="宋体" w:cs="宋体"/>
          <w:bCs/>
          <w:kern w:val="0"/>
          <w:sz w:val="24"/>
          <w:highlight w:val="none"/>
          <w:u w:val="single"/>
        </w:rPr>
        <w:t>09点30分</w:t>
      </w:r>
      <w:r>
        <w:rPr>
          <w:rFonts w:hint="eastAsia" w:ascii="宋体" w:hAnsi="宋体" w:cs="宋体"/>
          <w:bCs/>
          <w:kern w:val="0"/>
          <w:sz w:val="24"/>
          <w:highlight w:val="none"/>
        </w:rPr>
        <w:t>（北京时间）。</w:t>
      </w:r>
    </w:p>
    <w:p w14:paraId="6709049C">
      <w:pPr>
        <w:widowControl/>
        <w:snapToGrid w:val="0"/>
        <w:spacing w:line="360" w:lineRule="auto"/>
        <w:ind w:firstLine="480" w:firstLineChars="200"/>
        <w:contextualSpacing/>
        <w:rPr>
          <w:rFonts w:hint="eastAsia" w:ascii="宋体" w:hAnsi="宋体" w:cs="宋体"/>
          <w:kern w:val="0"/>
          <w:sz w:val="24"/>
          <w:highlight w:val="none"/>
        </w:rPr>
      </w:pPr>
      <w:r>
        <w:rPr>
          <w:rFonts w:hint="eastAsia" w:ascii="宋体" w:hAnsi="宋体" w:cs="宋体"/>
          <w:kern w:val="0"/>
          <w:sz w:val="24"/>
          <w:highlight w:val="none"/>
        </w:rPr>
        <w:t>地点：</w:t>
      </w:r>
      <w:r>
        <w:rPr>
          <w:rFonts w:hint="eastAsia" w:ascii="宋体" w:hAnsi="宋体" w:cs="宋体"/>
          <w:kern w:val="0"/>
          <w:sz w:val="24"/>
          <w:highlight w:val="none"/>
          <w:u w:val="single"/>
        </w:rPr>
        <w:t>大连机械设备成套有限公司会议室（大连市沙河口区西南路350-2号）</w:t>
      </w:r>
      <w:r>
        <w:rPr>
          <w:rFonts w:hint="eastAsia" w:ascii="宋体" w:hAnsi="宋体" w:cs="宋体"/>
          <w:kern w:val="0"/>
          <w:sz w:val="24"/>
          <w:highlight w:val="none"/>
        </w:rPr>
        <w:t>。</w:t>
      </w:r>
    </w:p>
    <w:p w14:paraId="6002D2C6">
      <w:pPr>
        <w:pStyle w:val="4"/>
        <w:snapToGrid w:val="0"/>
        <w:spacing w:line="360" w:lineRule="auto"/>
        <w:ind w:left="0" w:firstLine="482" w:firstLineChars="200"/>
        <w:rPr>
          <w:rFonts w:hint="eastAsia" w:ascii="宋体" w:hAnsi="宋体" w:cs="宋体"/>
          <w:bCs w:val="0"/>
          <w:kern w:val="0"/>
          <w:sz w:val="24"/>
          <w:highlight w:val="none"/>
        </w:rPr>
      </w:pPr>
      <w:bookmarkStart w:id="30" w:name="_Toc35393625"/>
      <w:bookmarkStart w:id="31" w:name="_Toc35393794"/>
      <w:bookmarkStart w:id="32" w:name="_Toc28359084"/>
      <w:bookmarkStart w:id="33" w:name="_Toc21056"/>
      <w:bookmarkStart w:id="34" w:name="_Toc28359007"/>
      <w:r>
        <w:rPr>
          <w:rFonts w:hint="eastAsia" w:ascii="宋体" w:hAnsi="宋体" w:cs="宋体"/>
          <w:bCs w:val="0"/>
          <w:kern w:val="0"/>
          <w:sz w:val="24"/>
          <w:highlight w:val="none"/>
        </w:rPr>
        <w:t>五、公告期限</w:t>
      </w:r>
      <w:bookmarkEnd w:id="30"/>
      <w:bookmarkEnd w:id="31"/>
      <w:bookmarkEnd w:id="32"/>
      <w:bookmarkEnd w:id="33"/>
      <w:bookmarkEnd w:id="34"/>
    </w:p>
    <w:p w14:paraId="675CEAAA">
      <w:pPr>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自本公告发布之日起5个工作日。</w:t>
      </w:r>
    </w:p>
    <w:p w14:paraId="72A37BCF">
      <w:pPr>
        <w:pStyle w:val="4"/>
        <w:snapToGrid w:val="0"/>
        <w:spacing w:line="360" w:lineRule="auto"/>
        <w:ind w:left="0" w:firstLine="482" w:firstLineChars="200"/>
        <w:rPr>
          <w:rFonts w:hint="eastAsia" w:ascii="宋体" w:hAnsi="宋体" w:cs="宋体"/>
          <w:bCs w:val="0"/>
          <w:kern w:val="0"/>
          <w:sz w:val="24"/>
          <w:highlight w:val="none"/>
        </w:rPr>
      </w:pPr>
      <w:bookmarkStart w:id="35" w:name="_Toc12522"/>
      <w:bookmarkStart w:id="36" w:name="_Toc35393795"/>
      <w:bookmarkStart w:id="37" w:name="_Toc35393626"/>
      <w:r>
        <w:rPr>
          <w:rFonts w:hint="eastAsia" w:ascii="宋体" w:hAnsi="宋体" w:cs="宋体"/>
          <w:bCs w:val="0"/>
          <w:kern w:val="0"/>
          <w:sz w:val="24"/>
          <w:highlight w:val="none"/>
        </w:rPr>
        <w:t>六、其他补充事宜</w:t>
      </w:r>
      <w:bookmarkEnd w:id="35"/>
      <w:bookmarkEnd w:id="36"/>
      <w:bookmarkEnd w:id="37"/>
    </w:p>
    <w:p w14:paraId="04D19E4D">
      <w:pPr>
        <w:snapToGrid w:val="0"/>
        <w:spacing w:line="360" w:lineRule="auto"/>
        <w:ind w:firstLine="480" w:firstLineChars="200"/>
        <w:jc w:val="left"/>
        <w:rPr>
          <w:rFonts w:hint="eastAsia" w:ascii="宋体" w:hAnsi="宋体" w:cs="宋体"/>
          <w:kern w:val="0"/>
          <w:sz w:val="24"/>
          <w:highlight w:val="none"/>
        </w:rPr>
      </w:pPr>
      <w:bookmarkStart w:id="38" w:name="_Toc16912"/>
      <w:bookmarkStart w:id="39" w:name="_Toc15970"/>
      <w:bookmarkStart w:id="40" w:name="_Toc28359085"/>
      <w:bookmarkStart w:id="41" w:name="_Toc35393796"/>
      <w:bookmarkStart w:id="42" w:name="_Toc35393627"/>
      <w:bookmarkStart w:id="43" w:name="_Toc28359008"/>
      <w:r>
        <w:rPr>
          <w:rFonts w:hint="eastAsia" w:ascii="宋体" w:hAnsi="宋体" w:cs="宋体"/>
          <w:kern w:val="0"/>
          <w:sz w:val="24"/>
          <w:highlight w:val="none"/>
        </w:rPr>
        <w:t>1.本项目不接受进口产品投标，本文件所称进口产品是指通过中国海关报关验放进入中国境内且产自关境外的产品。</w:t>
      </w:r>
      <w:bookmarkEnd w:id="38"/>
    </w:p>
    <w:p w14:paraId="78B2AB3D">
      <w:pPr>
        <w:snapToGrid w:val="0"/>
        <w:spacing w:line="360" w:lineRule="auto"/>
        <w:ind w:firstLine="480" w:firstLineChars="200"/>
        <w:jc w:val="left"/>
        <w:rPr>
          <w:rFonts w:hint="eastAsia" w:ascii="宋体" w:hAnsi="宋体" w:cs="宋体"/>
          <w:kern w:val="0"/>
          <w:sz w:val="24"/>
          <w:highlight w:val="none"/>
        </w:rPr>
      </w:pPr>
      <w:r>
        <w:rPr>
          <w:rFonts w:hint="eastAsia" w:ascii="宋体" w:hAnsi="宋体" w:cs="宋体"/>
          <w:kern w:val="0"/>
          <w:sz w:val="24"/>
          <w:highlight w:val="none"/>
        </w:rPr>
        <w:t>2.招标文件售价（人民币）：300元，售后不退。如电汇，请公对公汇至“账户名称：大连机械设备成套有限公司，开户行：招商银行大连沙河口支行，账号：411910958510018”，以到账时间为准。</w:t>
      </w:r>
    </w:p>
    <w:p w14:paraId="796036FF">
      <w:pPr>
        <w:pStyle w:val="4"/>
        <w:snapToGrid w:val="0"/>
        <w:spacing w:line="360" w:lineRule="auto"/>
        <w:ind w:left="0" w:firstLine="482" w:firstLineChars="200"/>
        <w:rPr>
          <w:rFonts w:hint="eastAsia" w:ascii="宋体" w:hAnsi="宋体" w:cs="宋体"/>
          <w:bCs w:val="0"/>
          <w:kern w:val="0"/>
          <w:sz w:val="24"/>
          <w:highlight w:val="none"/>
        </w:rPr>
      </w:pPr>
      <w:r>
        <w:rPr>
          <w:rFonts w:hint="eastAsia" w:ascii="宋体" w:hAnsi="宋体" w:cs="宋体"/>
          <w:bCs w:val="0"/>
          <w:kern w:val="0"/>
          <w:sz w:val="24"/>
          <w:highlight w:val="none"/>
        </w:rPr>
        <w:t>七、对本次招标提出询问，请按以下方式联系</w:t>
      </w:r>
      <w:bookmarkEnd w:id="39"/>
      <w:bookmarkEnd w:id="40"/>
      <w:bookmarkEnd w:id="41"/>
      <w:bookmarkEnd w:id="42"/>
      <w:bookmarkEnd w:id="43"/>
    </w:p>
    <w:p w14:paraId="7B2ACDF1">
      <w:pPr>
        <w:widowControl/>
        <w:snapToGrid w:val="0"/>
        <w:spacing w:line="360" w:lineRule="auto"/>
        <w:ind w:firstLine="480" w:firstLineChars="200"/>
        <w:jc w:val="left"/>
        <w:rPr>
          <w:rFonts w:hint="eastAsia" w:ascii="宋体" w:hAnsi="宋体" w:cs="宋体"/>
          <w:kern w:val="0"/>
          <w:sz w:val="24"/>
          <w:highlight w:val="none"/>
        </w:rPr>
      </w:pPr>
      <w:r>
        <w:rPr>
          <w:rFonts w:hint="eastAsia" w:ascii="宋体" w:hAnsi="宋体" w:cs="宋体"/>
          <w:kern w:val="0"/>
          <w:sz w:val="24"/>
          <w:highlight w:val="none"/>
        </w:rPr>
        <w:t>1.采购人信息：</w:t>
      </w:r>
    </w:p>
    <w:p w14:paraId="342B99C0">
      <w:pPr>
        <w:snapToGrid w:val="0"/>
        <w:spacing w:line="360" w:lineRule="auto"/>
        <w:ind w:firstLine="480" w:firstLineChars="200"/>
        <w:jc w:val="left"/>
        <w:rPr>
          <w:rFonts w:hint="eastAsia" w:ascii="宋体" w:hAnsi="宋体" w:cs="宋体"/>
          <w:kern w:val="0"/>
          <w:sz w:val="24"/>
          <w:highlight w:val="none"/>
        </w:rPr>
      </w:pPr>
      <w:r>
        <w:rPr>
          <w:rFonts w:hint="eastAsia" w:ascii="宋体" w:hAnsi="宋体" w:cs="宋体"/>
          <w:kern w:val="0"/>
          <w:sz w:val="24"/>
          <w:highlight w:val="none"/>
        </w:rPr>
        <w:t>名称：大连理工大学</w:t>
      </w:r>
    </w:p>
    <w:p w14:paraId="07B636B1">
      <w:pPr>
        <w:snapToGrid w:val="0"/>
        <w:spacing w:line="360" w:lineRule="auto"/>
        <w:ind w:firstLine="480" w:firstLineChars="200"/>
        <w:jc w:val="left"/>
        <w:rPr>
          <w:rFonts w:hint="eastAsia" w:ascii="宋体" w:hAnsi="宋体" w:cs="宋体"/>
          <w:kern w:val="0"/>
          <w:sz w:val="24"/>
          <w:highlight w:val="none"/>
        </w:rPr>
      </w:pPr>
      <w:r>
        <w:rPr>
          <w:rFonts w:hint="eastAsia" w:ascii="宋体" w:hAnsi="宋体" w:cs="宋体"/>
          <w:kern w:val="0"/>
          <w:sz w:val="24"/>
          <w:highlight w:val="none"/>
        </w:rPr>
        <w:t>地址：辽宁省大连市高新园区凌工路2号大连理工大学科技园大厦C座409室。</w:t>
      </w:r>
    </w:p>
    <w:p w14:paraId="745CD2E7">
      <w:pPr>
        <w:snapToGrid w:val="0"/>
        <w:spacing w:line="360" w:lineRule="auto"/>
        <w:ind w:firstLine="480" w:firstLineChars="200"/>
        <w:jc w:val="left"/>
        <w:rPr>
          <w:rFonts w:hint="eastAsia" w:ascii="宋体" w:hAnsi="宋体" w:cs="宋体"/>
          <w:kern w:val="0"/>
          <w:sz w:val="24"/>
          <w:highlight w:val="none"/>
        </w:rPr>
      </w:pPr>
      <w:r>
        <w:rPr>
          <w:rFonts w:hint="eastAsia" w:ascii="宋体" w:hAnsi="宋体" w:cs="宋体"/>
          <w:kern w:val="0"/>
          <w:sz w:val="24"/>
          <w:highlight w:val="none"/>
        </w:rPr>
        <w:t>联系方式：</w:t>
      </w:r>
      <w:bookmarkStart w:id="44" w:name="_Toc28359086"/>
      <w:bookmarkStart w:id="45" w:name="_Toc28359009"/>
      <w:r>
        <w:rPr>
          <w:rFonts w:hint="eastAsia" w:ascii="宋体" w:hAnsi="宋体" w:cs="宋体"/>
          <w:kern w:val="0"/>
          <w:sz w:val="24"/>
          <w:highlight w:val="none"/>
        </w:rPr>
        <w:t>李老师/孙老师；0411-8470996</w:t>
      </w:r>
      <w:r>
        <w:rPr>
          <w:rFonts w:ascii="宋体" w:hAnsi="宋体" w:cs="宋体"/>
          <w:kern w:val="0"/>
          <w:sz w:val="24"/>
          <w:highlight w:val="none"/>
        </w:rPr>
        <w:t>9/84706297</w:t>
      </w:r>
    </w:p>
    <w:bookmarkEnd w:id="44"/>
    <w:bookmarkEnd w:id="45"/>
    <w:p w14:paraId="2813E75F">
      <w:pPr>
        <w:snapToGrid w:val="0"/>
        <w:spacing w:line="360" w:lineRule="auto"/>
        <w:ind w:firstLine="480" w:firstLineChars="200"/>
        <w:jc w:val="left"/>
        <w:rPr>
          <w:rFonts w:hint="eastAsia" w:ascii="宋体" w:hAnsi="宋体" w:cs="宋体"/>
          <w:kern w:val="0"/>
          <w:sz w:val="24"/>
          <w:highlight w:val="none"/>
        </w:rPr>
      </w:pPr>
      <w:r>
        <w:rPr>
          <w:rFonts w:hint="eastAsia" w:ascii="宋体" w:hAnsi="宋体" w:cs="宋体"/>
          <w:kern w:val="0"/>
          <w:sz w:val="24"/>
          <w:highlight w:val="none"/>
        </w:rPr>
        <w:t>2.采购代理机构信息</w:t>
      </w:r>
    </w:p>
    <w:p w14:paraId="1EA0004E">
      <w:pPr>
        <w:snapToGrid w:val="0"/>
        <w:spacing w:line="360" w:lineRule="auto"/>
        <w:ind w:firstLine="480" w:firstLineChars="200"/>
        <w:jc w:val="left"/>
        <w:rPr>
          <w:rFonts w:hint="eastAsia" w:ascii="宋体" w:hAnsi="宋体" w:cs="宋体"/>
          <w:kern w:val="0"/>
          <w:sz w:val="24"/>
          <w:highlight w:val="none"/>
        </w:rPr>
      </w:pPr>
      <w:r>
        <w:rPr>
          <w:rFonts w:hint="eastAsia" w:ascii="宋体" w:hAnsi="宋体" w:cs="宋体"/>
          <w:kern w:val="0"/>
          <w:sz w:val="24"/>
          <w:highlight w:val="none"/>
        </w:rPr>
        <w:t>名称：大连机械设备成套有限公司</w:t>
      </w:r>
    </w:p>
    <w:p w14:paraId="7B386D2D">
      <w:pPr>
        <w:snapToGrid w:val="0"/>
        <w:spacing w:line="360" w:lineRule="auto"/>
        <w:ind w:firstLine="480" w:firstLineChars="200"/>
        <w:jc w:val="left"/>
        <w:rPr>
          <w:rFonts w:hint="eastAsia" w:ascii="宋体" w:hAnsi="宋体" w:cs="宋体"/>
          <w:kern w:val="0"/>
          <w:sz w:val="24"/>
          <w:highlight w:val="none"/>
        </w:rPr>
      </w:pPr>
      <w:r>
        <w:rPr>
          <w:rFonts w:hint="eastAsia" w:ascii="宋体" w:hAnsi="宋体" w:cs="宋体"/>
          <w:kern w:val="0"/>
          <w:sz w:val="24"/>
          <w:highlight w:val="none"/>
        </w:rPr>
        <w:t>地　址：大连市沙河口区西南路350-2号</w:t>
      </w:r>
    </w:p>
    <w:p w14:paraId="3EC14412">
      <w:pPr>
        <w:snapToGrid w:val="0"/>
        <w:spacing w:line="360" w:lineRule="auto"/>
        <w:ind w:firstLine="480" w:firstLineChars="200"/>
        <w:jc w:val="left"/>
        <w:rPr>
          <w:rFonts w:hint="eastAsia" w:ascii="宋体" w:hAnsi="宋体" w:cs="宋体"/>
          <w:kern w:val="0"/>
          <w:sz w:val="24"/>
          <w:highlight w:val="none"/>
        </w:rPr>
      </w:pPr>
      <w:r>
        <w:rPr>
          <w:rFonts w:hint="eastAsia" w:ascii="宋体" w:hAnsi="宋体" w:cs="宋体"/>
          <w:kern w:val="0"/>
          <w:sz w:val="24"/>
          <w:highlight w:val="none"/>
        </w:rPr>
        <w:t>联系方式：0411-83609543-151、152</w:t>
      </w:r>
    </w:p>
    <w:p w14:paraId="175D2F99">
      <w:pPr>
        <w:snapToGrid w:val="0"/>
        <w:spacing w:line="360" w:lineRule="auto"/>
        <w:ind w:firstLine="480" w:firstLineChars="200"/>
        <w:jc w:val="left"/>
        <w:rPr>
          <w:rFonts w:hint="eastAsia" w:ascii="宋体" w:hAnsi="宋体" w:cs="宋体"/>
          <w:kern w:val="0"/>
          <w:sz w:val="24"/>
          <w:highlight w:val="none"/>
        </w:rPr>
      </w:pPr>
      <w:r>
        <w:rPr>
          <w:rFonts w:hint="eastAsia" w:ascii="宋体" w:hAnsi="宋体" w:cs="宋体"/>
          <w:kern w:val="0"/>
          <w:sz w:val="24"/>
          <w:highlight w:val="none"/>
        </w:rPr>
        <w:t>3.项目联系方式</w:t>
      </w:r>
    </w:p>
    <w:p w14:paraId="6CF7B7E0">
      <w:pPr>
        <w:snapToGrid w:val="0"/>
        <w:spacing w:line="360" w:lineRule="auto"/>
        <w:ind w:firstLine="480" w:firstLineChars="200"/>
        <w:jc w:val="left"/>
        <w:rPr>
          <w:rFonts w:hint="eastAsia" w:ascii="宋体" w:hAnsi="宋体" w:cs="宋体"/>
          <w:kern w:val="0"/>
          <w:sz w:val="24"/>
          <w:highlight w:val="none"/>
        </w:rPr>
      </w:pPr>
      <w:r>
        <w:rPr>
          <w:rFonts w:hint="eastAsia" w:ascii="宋体" w:hAnsi="宋体" w:cs="宋体"/>
          <w:kern w:val="0"/>
          <w:sz w:val="24"/>
          <w:highlight w:val="none"/>
        </w:rPr>
        <w:t>采购项目联系人：郭崇瑾、杜俊峰</w:t>
      </w:r>
    </w:p>
    <w:p w14:paraId="76560E86">
      <w:pPr>
        <w:snapToGrid w:val="0"/>
        <w:spacing w:line="360" w:lineRule="auto"/>
        <w:ind w:firstLine="480" w:firstLineChars="200"/>
        <w:jc w:val="left"/>
        <w:rPr>
          <w:rFonts w:hint="eastAsia" w:ascii="宋体" w:hAnsi="宋体" w:cs="宋体"/>
          <w:kern w:val="0"/>
          <w:sz w:val="24"/>
          <w:highlight w:val="none"/>
        </w:rPr>
      </w:pPr>
      <w:r>
        <w:rPr>
          <w:rFonts w:hint="eastAsia" w:ascii="宋体" w:hAnsi="宋体" w:cs="宋体"/>
          <w:kern w:val="0"/>
          <w:sz w:val="24"/>
          <w:highlight w:val="none"/>
        </w:rPr>
        <w:t>电话：0411-83609543-151、152</w:t>
      </w:r>
    </w:p>
    <w:p w14:paraId="5E781826">
      <w:pPr>
        <w:snapToGrid w:val="0"/>
        <w:spacing w:line="360" w:lineRule="auto"/>
        <w:ind w:firstLine="480" w:firstLineChars="200"/>
        <w:jc w:val="left"/>
        <w:rPr>
          <w:rFonts w:hint="eastAsia" w:ascii="宋体" w:hAnsi="宋体" w:cs="宋体"/>
          <w:kern w:val="0"/>
          <w:highlight w:val="none"/>
        </w:rPr>
      </w:pPr>
      <w:r>
        <w:rPr>
          <w:rFonts w:hint="eastAsia" w:ascii="宋体" w:hAnsi="宋体" w:cs="宋体"/>
          <w:kern w:val="0"/>
          <w:sz w:val="24"/>
          <w:highlight w:val="none"/>
        </w:rPr>
        <w:t xml:space="preserve">传真：0411-83683879   </w:t>
      </w:r>
      <w:r>
        <w:rPr>
          <w:rFonts w:ascii="宋体" w:hAnsi="宋体" w:cs="宋体"/>
          <w:kern w:val="0"/>
          <w:highlight w:val="none"/>
        </w:rPr>
        <w:br w:type="page"/>
      </w:r>
    </w:p>
    <w:p w14:paraId="4043522E">
      <w:pPr>
        <w:pStyle w:val="3"/>
        <w:snapToGrid w:val="0"/>
        <w:spacing w:before="0" w:after="0" w:line="360" w:lineRule="auto"/>
        <w:ind w:firstLine="643"/>
        <w:jc w:val="center"/>
        <w:rPr>
          <w:rFonts w:hint="eastAsia" w:ascii="宋体" w:hAnsi="宋体" w:cs="宋体"/>
          <w:kern w:val="0"/>
          <w:sz w:val="32"/>
          <w:szCs w:val="32"/>
          <w:highlight w:val="none"/>
        </w:rPr>
      </w:pPr>
      <w:bookmarkStart w:id="46" w:name="_Toc21649"/>
      <w:bookmarkStart w:id="47" w:name="_Toc20587_WPSOffice_Level2"/>
      <w:bookmarkStart w:id="48" w:name="_Toc29337"/>
      <w:bookmarkStart w:id="49" w:name="_Toc527007500"/>
      <w:r>
        <w:rPr>
          <w:rFonts w:hint="eastAsia" w:ascii="宋体" w:hAnsi="宋体" w:cs="宋体"/>
          <w:kern w:val="0"/>
          <w:sz w:val="32"/>
          <w:szCs w:val="32"/>
          <w:highlight w:val="none"/>
        </w:rPr>
        <w:t>第一章  投标人须知及前附表</w:t>
      </w:r>
      <w:bookmarkEnd w:id="46"/>
      <w:bookmarkEnd w:id="47"/>
      <w:bookmarkEnd w:id="48"/>
      <w:bookmarkEnd w:id="49"/>
    </w:p>
    <w:p w14:paraId="71B48985">
      <w:pPr>
        <w:snapToGrid w:val="0"/>
        <w:spacing w:line="360" w:lineRule="auto"/>
        <w:ind w:firstLine="562"/>
        <w:jc w:val="center"/>
        <w:rPr>
          <w:rFonts w:hint="eastAsia" w:ascii="宋体" w:hAnsi="宋体" w:cs="宋体"/>
          <w:b/>
          <w:kern w:val="0"/>
          <w:sz w:val="28"/>
          <w:szCs w:val="28"/>
          <w:highlight w:val="none"/>
        </w:rPr>
      </w:pPr>
      <w:bookmarkStart w:id="50" w:name="_Toc9376_WPSOffice_Level3"/>
      <w:r>
        <w:rPr>
          <w:rFonts w:hint="eastAsia" w:ascii="宋体" w:hAnsi="宋体" w:cs="宋体"/>
          <w:b/>
          <w:kern w:val="0"/>
          <w:sz w:val="28"/>
          <w:szCs w:val="28"/>
          <w:highlight w:val="none"/>
        </w:rPr>
        <w:t>投标人须知前附表</w:t>
      </w:r>
      <w:bookmarkEnd w:id="50"/>
    </w:p>
    <w:tbl>
      <w:tblPr>
        <w:tblStyle w:val="88"/>
        <w:tblW w:w="92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5"/>
        <w:gridCol w:w="8515"/>
      </w:tblGrid>
      <w:tr w14:paraId="6C7C00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5" w:type="dxa"/>
            <w:vAlign w:val="center"/>
          </w:tcPr>
          <w:p w14:paraId="360CB937">
            <w:pPr>
              <w:widowControl/>
              <w:snapToGrid w:val="0"/>
              <w:spacing w:line="360" w:lineRule="auto"/>
              <w:contextualSpacing/>
              <w:rPr>
                <w:rFonts w:hint="eastAsia" w:ascii="宋体" w:hAnsi="宋体" w:cs="宋体"/>
                <w:b/>
                <w:kern w:val="0"/>
                <w:sz w:val="24"/>
                <w:highlight w:val="none"/>
              </w:rPr>
            </w:pPr>
            <w:r>
              <w:rPr>
                <w:rFonts w:hint="eastAsia" w:ascii="宋体" w:hAnsi="宋体" w:cs="宋体"/>
                <w:b/>
                <w:kern w:val="0"/>
                <w:sz w:val="24"/>
                <w:highlight w:val="none"/>
              </w:rPr>
              <w:t>序号</w:t>
            </w:r>
          </w:p>
        </w:tc>
        <w:tc>
          <w:tcPr>
            <w:tcW w:w="8515" w:type="dxa"/>
            <w:vAlign w:val="center"/>
          </w:tcPr>
          <w:p w14:paraId="212A3D3D">
            <w:pPr>
              <w:widowControl/>
              <w:snapToGrid w:val="0"/>
              <w:spacing w:line="360" w:lineRule="auto"/>
              <w:contextualSpacing/>
              <w:jc w:val="center"/>
              <w:rPr>
                <w:rFonts w:hint="eastAsia" w:ascii="宋体" w:hAnsi="宋体" w:cs="宋体"/>
                <w:b/>
                <w:kern w:val="0"/>
                <w:sz w:val="24"/>
                <w:highlight w:val="none"/>
              </w:rPr>
            </w:pPr>
            <w:r>
              <w:rPr>
                <w:rFonts w:hint="eastAsia" w:ascii="宋体" w:hAnsi="宋体" w:cs="宋体"/>
                <w:b/>
                <w:kern w:val="0"/>
                <w:sz w:val="24"/>
                <w:highlight w:val="none"/>
              </w:rPr>
              <w:t>内容</w:t>
            </w:r>
          </w:p>
        </w:tc>
      </w:tr>
      <w:tr w14:paraId="45DE38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5" w:type="dxa"/>
            <w:vAlign w:val="center"/>
          </w:tcPr>
          <w:p w14:paraId="6C39DE7F">
            <w:pPr>
              <w:widowControl/>
              <w:snapToGrid w:val="0"/>
              <w:spacing w:line="360" w:lineRule="auto"/>
              <w:contextualSpacing/>
              <w:jc w:val="center"/>
              <w:rPr>
                <w:rFonts w:hint="eastAsia" w:ascii="宋体" w:hAnsi="宋体" w:cs="宋体"/>
                <w:kern w:val="0"/>
                <w:sz w:val="24"/>
                <w:highlight w:val="none"/>
              </w:rPr>
            </w:pPr>
            <w:r>
              <w:rPr>
                <w:rFonts w:hint="eastAsia" w:ascii="宋体" w:hAnsi="宋体" w:cs="宋体"/>
                <w:kern w:val="0"/>
                <w:sz w:val="24"/>
                <w:highlight w:val="none"/>
              </w:rPr>
              <w:t>1</w:t>
            </w:r>
          </w:p>
        </w:tc>
        <w:tc>
          <w:tcPr>
            <w:tcW w:w="8515" w:type="dxa"/>
            <w:vAlign w:val="center"/>
          </w:tcPr>
          <w:p w14:paraId="0319A19B">
            <w:pPr>
              <w:widowControl/>
              <w:adjustRightInd w:val="0"/>
              <w:snapToGrid w:val="0"/>
              <w:spacing w:line="360" w:lineRule="auto"/>
              <w:jc w:val="left"/>
              <w:rPr>
                <w:rFonts w:hint="eastAsia" w:ascii="宋体" w:hAnsi="宋体" w:cs="宋体"/>
                <w:kern w:val="0"/>
                <w:sz w:val="24"/>
                <w:highlight w:val="none"/>
              </w:rPr>
            </w:pPr>
            <w:r>
              <w:rPr>
                <w:rFonts w:hint="eastAsia" w:ascii="宋体" w:hAnsi="宋体" w:cs="宋体"/>
                <w:kern w:val="0"/>
                <w:sz w:val="24"/>
                <w:highlight w:val="none"/>
              </w:rPr>
              <w:t>项目名称：大连理工大学PEM/AEM水电解制氢实验教学系统采购项目</w:t>
            </w:r>
          </w:p>
          <w:p w14:paraId="09596757">
            <w:pPr>
              <w:snapToGrid w:val="0"/>
              <w:spacing w:line="360" w:lineRule="auto"/>
              <w:rPr>
                <w:rFonts w:hint="eastAsia" w:ascii="宋体" w:hAnsi="宋体" w:cs="宋体"/>
                <w:kern w:val="0"/>
                <w:sz w:val="24"/>
                <w:highlight w:val="none"/>
                <w:u w:val="single"/>
              </w:rPr>
            </w:pPr>
            <w:r>
              <w:rPr>
                <w:rFonts w:hint="eastAsia" w:ascii="宋体" w:hAnsi="宋体" w:cs="宋体"/>
                <w:bCs/>
                <w:kern w:val="0"/>
                <w:sz w:val="24"/>
                <w:highlight w:val="none"/>
              </w:rPr>
              <w:t>招标范围：</w:t>
            </w:r>
            <w:r>
              <w:rPr>
                <w:rFonts w:hint="eastAsia" w:ascii="宋体" w:hAnsi="宋体" w:cs="宋体"/>
                <w:kern w:val="0"/>
                <w:sz w:val="24"/>
                <w:highlight w:val="none"/>
              </w:rPr>
              <w:t>本项目拟采购PEM/AEM水电解制氢实验教学系统1套，用于“氢能+AI”技术相关电化学工程领域的实验教学。主要实现：通过超声喷涂装备，学生可以自主制备电极材料；通过工业机器人，学生可以实现电解槽的自动装配；通过可视化流场与AI软件，实现不同流场内气液两相流动及分布的智能识别；具备完整的流体输送、温度感知与控制、冷凝、背压、气液分离、产物浓度分析等完善的水电解制氢评价平台。具体详见招标文件。</w:t>
            </w:r>
          </w:p>
        </w:tc>
      </w:tr>
      <w:tr w14:paraId="644ADC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5" w:type="dxa"/>
            <w:vAlign w:val="center"/>
          </w:tcPr>
          <w:p w14:paraId="792FD9B6">
            <w:pPr>
              <w:widowControl/>
              <w:snapToGrid w:val="0"/>
              <w:spacing w:line="360" w:lineRule="auto"/>
              <w:contextualSpacing/>
              <w:jc w:val="center"/>
              <w:rPr>
                <w:rFonts w:hint="eastAsia" w:ascii="宋体" w:hAnsi="宋体" w:cs="宋体"/>
                <w:kern w:val="0"/>
                <w:sz w:val="24"/>
                <w:highlight w:val="none"/>
              </w:rPr>
            </w:pPr>
            <w:r>
              <w:rPr>
                <w:rFonts w:hint="eastAsia" w:ascii="宋体" w:hAnsi="宋体" w:cs="宋体"/>
                <w:kern w:val="0"/>
                <w:sz w:val="24"/>
                <w:highlight w:val="none"/>
              </w:rPr>
              <w:t>2</w:t>
            </w:r>
          </w:p>
        </w:tc>
        <w:tc>
          <w:tcPr>
            <w:tcW w:w="8515" w:type="dxa"/>
            <w:vAlign w:val="center"/>
          </w:tcPr>
          <w:p w14:paraId="3BC00C7C">
            <w:pPr>
              <w:widowControl/>
              <w:adjustRightInd w:val="0"/>
              <w:snapToGrid w:val="0"/>
              <w:spacing w:line="360" w:lineRule="auto"/>
              <w:jc w:val="left"/>
              <w:rPr>
                <w:rFonts w:hint="eastAsia" w:ascii="宋体" w:hAnsi="宋体" w:cs="宋体"/>
                <w:kern w:val="0"/>
                <w:sz w:val="24"/>
                <w:highlight w:val="none"/>
              </w:rPr>
            </w:pPr>
            <w:r>
              <w:rPr>
                <w:rFonts w:hint="eastAsia" w:ascii="宋体" w:hAnsi="宋体" w:cs="宋体"/>
                <w:kern w:val="0"/>
                <w:sz w:val="24"/>
                <w:highlight w:val="none"/>
              </w:rPr>
              <w:t>投标人须具备《中华人民共和国政府采购法》第二十二条关于投标人条件的条件：</w:t>
            </w:r>
          </w:p>
          <w:p w14:paraId="51ABC424">
            <w:pPr>
              <w:widowControl/>
              <w:snapToGrid w:val="0"/>
              <w:spacing w:line="360" w:lineRule="auto"/>
              <w:rPr>
                <w:rFonts w:hint="eastAsia" w:ascii="宋体" w:hAnsi="宋体" w:cs="宋体"/>
                <w:kern w:val="0"/>
                <w:sz w:val="24"/>
                <w:highlight w:val="none"/>
              </w:rPr>
            </w:pPr>
            <w:r>
              <w:rPr>
                <w:rFonts w:hint="eastAsia" w:ascii="宋体" w:hAnsi="宋体" w:cs="宋体"/>
                <w:kern w:val="0"/>
                <w:sz w:val="24"/>
                <w:highlight w:val="none"/>
              </w:rPr>
              <w:t>（1）具有独立承担民事责任的能力；</w:t>
            </w:r>
          </w:p>
          <w:p w14:paraId="459083C7">
            <w:pPr>
              <w:widowControl/>
              <w:snapToGrid w:val="0"/>
              <w:spacing w:line="360" w:lineRule="auto"/>
              <w:rPr>
                <w:rFonts w:hint="eastAsia" w:ascii="宋体" w:hAnsi="宋体" w:cs="宋体"/>
                <w:kern w:val="0"/>
                <w:sz w:val="24"/>
                <w:highlight w:val="none"/>
              </w:rPr>
            </w:pPr>
            <w:r>
              <w:rPr>
                <w:rFonts w:hint="eastAsia" w:ascii="宋体" w:hAnsi="宋体" w:cs="宋体"/>
                <w:kern w:val="0"/>
                <w:sz w:val="24"/>
                <w:highlight w:val="none"/>
              </w:rPr>
              <w:t>（2）具有良好的商业信誉和健全的财务会计制度；</w:t>
            </w:r>
          </w:p>
          <w:p w14:paraId="541C35F2">
            <w:pPr>
              <w:widowControl/>
              <w:snapToGrid w:val="0"/>
              <w:spacing w:line="360" w:lineRule="auto"/>
              <w:rPr>
                <w:rFonts w:hint="eastAsia" w:ascii="宋体" w:hAnsi="宋体" w:cs="宋体"/>
                <w:kern w:val="0"/>
                <w:sz w:val="24"/>
                <w:highlight w:val="none"/>
              </w:rPr>
            </w:pPr>
            <w:r>
              <w:rPr>
                <w:rFonts w:hint="eastAsia" w:ascii="宋体" w:hAnsi="宋体" w:cs="宋体"/>
                <w:kern w:val="0"/>
                <w:sz w:val="24"/>
                <w:highlight w:val="none"/>
              </w:rPr>
              <w:t>（3）具有履行合同所必需的设备和专业技术能力；</w:t>
            </w:r>
          </w:p>
          <w:p w14:paraId="594E57C9">
            <w:pPr>
              <w:widowControl/>
              <w:snapToGrid w:val="0"/>
              <w:spacing w:line="360" w:lineRule="auto"/>
              <w:rPr>
                <w:rFonts w:hint="eastAsia" w:ascii="宋体" w:hAnsi="宋体" w:cs="宋体"/>
                <w:kern w:val="0"/>
                <w:sz w:val="24"/>
                <w:highlight w:val="none"/>
              </w:rPr>
            </w:pPr>
            <w:r>
              <w:rPr>
                <w:rFonts w:hint="eastAsia" w:ascii="宋体" w:hAnsi="宋体" w:cs="宋体"/>
                <w:kern w:val="0"/>
                <w:sz w:val="24"/>
                <w:highlight w:val="none"/>
              </w:rPr>
              <w:t>（4）有依法缴纳税收和社会保障资金的良好记录；</w:t>
            </w:r>
          </w:p>
          <w:p w14:paraId="2D8A8FD0">
            <w:pPr>
              <w:widowControl/>
              <w:snapToGrid w:val="0"/>
              <w:spacing w:line="360" w:lineRule="auto"/>
              <w:rPr>
                <w:rFonts w:hint="eastAsia" w:ascii="宋体" w:hAnsi="宋体" w:cs="宋体"/>
                <w:kern w:val="0"/>
                <w:sz w:val="24"/>
                <w:highlight w:val="none"/>
              </w:rPr>
            </w:pPr>
            <w:r>
              <w:rPr>
                <w:rFonts w:hint="eastAsia" w:ascii="宋体" w:hAnsi="宋体" w:cs="宋体"/>
                <w:kern w:val="0"/>
                <w:sz w:val="24"/>
                <w:highlight w:val="none"/>
              </w:rPr>
              <w:t>（5）参加政府采购活动前三年内，在经营活动中没有重大违法记录；</w:t>
            </w:r>
          </w:p>
          <w:p w14:paraId="37BBF794">
            <w:pPr>
              <w:widowControl/>
              <w:snapToGrid w:val="0"/>
              <w:spacing w:line="360" w:lineRule="auto"/>
              <w:rPr>
                <w:rFonts w:hint="eastAsia" w:ascii="宋体" w:hAnsi="宋体" w:cs="宋体"/>
                <w:kern w:val="0"/>
                <w:sz w:val="24"/>
                <w:highlight w:val="none"/>
              </w:rPr>
            </w:pPr>
            <w:r>
              <w:rPr>
                <w:rFonts w:hint="eastAsia" w:ascii="宋体" w:hAnsi="宋体" w:cs="宋体"/>
                <w:kern w:val="0"/>
                <w:sz w:val="24"/>
                <w:highlight w:val="none"/>
              </w:rPr>
              <w:t>（6）法律、行政法规规定的其他条件。</w:t>
            </w:r>
          </w:p>
          <w:p w14:paraId="4115BA83">
            <w:pPr>
              <w:widowControl/>
              <w:adjustRightInd w:val="0"/>
              <w:snapToGrid w:val="0"/>
              <w:spacing w:line="360" w:lineRule="auto"/>
              <w:jc w:val="left"/>
              <w:rPr>
                <w:rFonts w:hint="eastAsia" w:ascii="宋体" w:hAnsi="宋体" w:cs="宋体"/>
                <w:kern w:val="0"/>
                <w:sz w:val="24"/>
                <w:highlight w:val="none"/>
              </w:rPr>
            </w:pPr>
            <w:r>
              <w:rPr>
                <w:rFonts w:hint="eastAsia" w:ascii="宋体" w:hAnsi="宋体" w:cs="宋体"/>
                <w:kern w:val="0"/>
                <w:sz w:val="24"/>
                <w:highlight w:val="none"/>
              </w:rPr>
              <w:t>落实政府采购政策需满足的资格要求：</w:t>
            </w:r>
          </w:p>
          <w:p w14:paraId="79A113F2">
            <w:pPr>
              <w:widowControl/>
              <w:snapToGrid w:val="0"/>
              <w:spacing w:line="360" w:lineRule="auto"/>
              <w:rPr>
                <w:rFonts w:hint="eastAsia" w:ascii="宋体" w:hAnsi="宋体" w:cs="宋体"/>
                <w:kern w:val="0"/>
                <w:sz w:val="24"/>
                <w:highlight w:val="none"/>
              </w:rPr>
            </w:pPr>
            <w:r>
              <w:rPr>
                <w:rFonts w:hint="eastAsia" w:ascii="宋体" w:hAnsi="宋体" w:cs="宋体"/>
                <w:kern w:val="0"/>
                <w:sz w:val="24"/>
                <w:highlight w:val="none"/>
              </w:rPr>
              <w:t>（1）专门面向中小企业采购项目；</w:t>
            </w:r>
          </w:p>
          <w:p w14:paraId="33871B62">
            <w:pPr>
              <w:widowControl/>
              <w:snapToGrid w:val="0"/>
              <w:spacing w:line="360" w:lineRule="auto"/>
              <w:rPr>
                <w:rFonts w:hint="eastAsia" w:ascii="宋体" w:hAnsi="宋体" w:cs="宋体"/>
                <w:kern w:val="0"/>
                <w:sz w:val="24"/>
                <w:highlight w:val="none"/>
              </w:rPr>
            </w:pPr>
            <w:r>
              <w:rPr>
                <w:rFonts w:hint="eastAsia" w:ascii="宋体" w:hAnsi="宋体" w:cs="宋体"/>
                <w:kern w:val="0"/>
                <w:sz w:val="24"/>
                <w:highlight w:val="none"/>
              </w:rPr>
              <w:t>（2）中小微企业、监狱企业、残疾人福利性单位、节能、环保产品优先采购等；</w:t>
            </w:r>
          </w:p>
          <w:p w14:paraId="61324ACD">
            <w:pPr>
              <w:widowControl/>
              <w:spacing w:line="360" w:lineRule="auto"/>
              <w:jc w:val="left"/>
              <w:rPr>
                <w:rFonts w:hint="eastAsia" w:ascii="宋体" w:hAnsi="宋体" w:cs="宋体"/>
                <w:kern w:val="0"/>
                <w:sz w:val="24"/>
                <w:highlight w:val="none"/>
              </w:rPr>
            </w:pPr>
            <w:r>
              <w:rPr>
                <w:rFonts w:hint="eastAsia" w:ascii="宋体" w:hAnsi="宋体" w:cs="宋体"/>
                <w:kern w:val="0"/>
                <w:sz w:val="24"/>
                <w:highlight w:val="none"/>
              </w:rPr>
              <w:t>（3）截至开标时间，经“信用中国”网站（</w:t>
            </w:r>
            <w:r>
              <w:rPr>
                <w:rFonts w:ascii="宋体" w:hAnsi="宋体" w:cs="宋体"/>
                <w:kern w:val="0"/>
                <w:sz w:val="24"/>
                <w:highlight w:val="none"/>
              </w:rPr>
              <w:t xml:space="preserve">www.creditchina.gov.cn）、 </w:t>
            </w:r>
            <w:r>
              <w:rPr>
                <w:rFonts w:hint="eastAsia" w:ascii="宋体" w:hAnsi="宋体" w:cs="宋体"/>
                <w:kern w:val="0"/>
                <w:sz w:val="24"/>
                <w:highlight w:val="none"/>
              </w:rPr>
              <w:t>“中国政府采购网”网站（</w:t>
            </w:r>
            <w:r>
              <w:rPr>
                <w:rFonts w:ascii="宋体" w:hAnsi="宋体" w:cs="宋体"/>
                <w:kern w:val="0"/>
                <w:sz w:val="24"/>
                <w:highlight w:val="none"/>
              </w:rPr>
              <w:t>www.ccgp.gov.cn）查询，被列入失信被执行人、重大税收违法案件当事人名单、政府采购严重违法失信行为记录名单的不得参加本采购项目，</w:t>
            </w:r>
            <w:r>
              <w:rPr>
                <w:rFonts w:hint="eastAsia" w:ascii="宋体" w:hAnsi="宋体" w:cs="宋体"/>
                <w:kern w:val="0"/>
                <w:sz w:val="24"/>
                <w:highlight w:val="none"/>
              </w:rPr>
              <w:t>查询结果以评审过程中现场网络截图为准；</w:t>
            </w:r>
          </w:p>
          <w:p w14:paraId="616C9042">
            <w:pPr>
              <w:widowControl/>
              <w:snapToGrid w:val="0"/>
              <w:spacing w:line="360" w:lineRule="auto"/>
              <w:rPr>
                <w:rFonts w:hint="eastAsia" w:ascii="宋体" w:hAnsi="宋体" w:cs="宋体"/>
                <w:kern w:val="0"/>
                <w:sz w:val="24"/>
                <w:highlight w:val="none"/>
              </w:rPr>
            </w:pPr>
            <w:r>
              <w:rPr>
                <w:rFonts w:hint="eastAsia" w:ascii="宋体" w:hAnsi="宋体" w:cs="宋体"/>
                <w:kern w:val="0"/>
                <w:sz w:val="24"/>
                <w:highlight w:val="none"/>
              </w:rPr>
              <w:t>（4）</w:t>
            </w:r>
            <w:r>
              <w:rPr>
                <w:rFonts w:ascii="宋体" w:hAnsi="宋体" w:cs="宋体"/>
                <w:kern w:val="0"/>
                <w:sz w:val="24"/>
                <w:highlight w:val="none"/>
              </w:rPr>
              <w:t>单位负责人为同一人或者存在直接控股、管理关系的不同供应商，不得参加同一合同项下的政府采购活动。为本采购项目提供整体设计、规范编制或者项目管理、监理、检测等服务的供应商，不得再参加本采购项目的采购活动。</w:t>
            </w:r>
          </w:p>
          <w:p w14:paraId="1CE72280">
            <w:pPr>
              <w:widowControl/>
              <w:snapToGrid w:val="0"/>
              <w:spacing w:line="360" w:lineRule="auto"/>
              <w:rPr>
                <w:rFonts w:hint="eastAsia" w:ascii="宋体" w:hAnsi="宋体" w:cs="宋体"/>
                <w:kern w:val="0"/>
                <w:sz w:val="24"/>
                <w:highlight w:val="none"/>
              </w:rPr>
            </w:pPr>
            <w:r>
              <w:rPr>
                <w:rFonts w:hint="eastAsia" w:ascii="宋体" w:hAnsi="宋体" w:cs="宋体"/>
                <w:kern w:val="0"/>
                <w:sz w:val="24"/>
                <w:highlight w:val="none"/>
              </w:rPr>
              <w:t>本项目的特定资格要求：无。</w:t>
            </w:r>
          </w:p>
          <w:p w14:paraId="6A2338E7">
            <w:pPr>
              <w:widowControl/>
              <w:tabs>
                <w:tab w:val="left" w:pos="432"/>
              </w:tabs>
              <w:snapToGrid w:val="0"/>
              <w:spacing w:line="360" w:lineRule="auto"/>
              <w:jc w:val="left"/>
              <w:rPr>
                <w:highlight w:val="none"/>
              </w:rPr>
            </w:pPr>
            <w:r>
              <w:rPr>
                <w:rFonts w:hint="eastAsia" w:ascii="宋体" w:hAnsi="宋体" w:cs="宋体"/>
                <w:b/>
                <w:kern w:val="0"/>
                <w:sz w:val="24"/>
                <w:highlight w:val="none"/>
              </w:rPr>
              <w:t>注：1.本项目不接受联合体投标。</w:t>
            </w:r>
          </w:p>
        </w:tc>
      </w:tr>
      <w:tr w14:paraId="25915C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5" w:type="dxa"/>
            <w:vAlign w:val="center"/>
          </w:tcPr>
          <w:p w14:paraId="270540A6">
            <w:pPr>
              <w:widowControl/>
              <w:snapToGrid w:val="0"/>
              <w:spacing w:line="360" w:lineRule="auto"/>
              <w:contextualSpacing/>
              <w:jc w:val="center"/>
              <w:rPr>
                <w:rFonts w:hint="eastAsia" w:ascii="宋体" w:hAnsi="宋体" w:cs="宋体"/>
                <w:kern w:val="0"/>
                <w:sz w:val="24"/>
                <w:highlight w:val="none"/>
              </w:rPr>
            </w:pPr>
            <w:r>
              <w:rPr>
                <w:rFonts w:hint="eastAsia" w:ascii="宋体" w:hAnsi="宋体" w:cs="宋体"/>
                <w:kern w:val="0"/>
                <w:sz w:val="24"/>
                <w:highlight w:val="none"/>
              </w:rPr>
              <w:t>3</w:t>
            </w:r>
          </w:p>
        </w:tc>
        <w:tc>
          <w:tcPr>
            <w:tcW w:w="8515" w:type="dxa"/>
            <w:vAlign w:val="center"/>
          </w:tcPr>
          <w:p w14:paraId="0F8DDF2C">
            <w:pPr>
              <w:widowControl/>
              <w:snapToGrid w:val="0"/>
              <w:spacing w:line="360" w:lineRule="auto"/>
              <w:contextualSpacing/>
              <w:rPr>
                <w:rFonts w:hint="eastAsia" w:ascii="宋体" w:hAnsi="宋体" w:cs="宋体"/>
                <w:kern w:val="0"/>
                <w:sz w:val="24"/>
                <w:highlight w:val="none"/>
              </w:rPr>
            </w:pPr>
            <w:r>
              <w:rPr>
                <w:rFonts w:hint="eastAsia" w:ascii="宋体" w:hAnsi="宋体" w:cs="宋体"/>
                <w:kern w:val="0"/>
                <w:sz w:val="24"/>
                <w:highlight w:val="none"/>
              </w:rPr>
              <w:t>交货地点：采购人指定地点。</w:t>
            </w:r>
          </w:p>
          <w:p w14:paraId="50B75DAB">
            <w:pPr>
              <w:widowControl/>
              <w:snapToGrid w:val="0"/>
              <w:spacing w:line="360" w:lineRule="auto"/>
              <w:contextualSpacing/>
              <w:rPr>
                <w:rFonts w:hint="eastAsia" w:ascii="宋体" w:hAnsi="宋体" w:cs="宋体"/>
                <w:kern w:val="0"/>
                <w:sz w:val="24"/>
                <w:highlight w:val="none"/>
              </w:rPr>
            </w:pPr>
            <w:r>
              <w:rPr>
                <w:rFonts w:hint="eastAsia" w:ascii="宋体" w:hAnsi="宋体"/>
                <w:sz w:val="24"/>
                <w:highlight w:val="none"/>
              </w:rPr>
              <w:t>★</w:t>
            </w:r>
            <w:r>
              <w:rPr>
                <w:rFonts w:hint="eastAsia" w:ascii="宋体" w:hAnsi="宋体" w:cs="宋体"/>
                <w:kern w:val="0"/>
                <w:sz w:val="24"/>
                <w:highlight w:val="none"/>
              </w:rPr>
              <w:t>供货期：自签订合同之日起，接到采购人供货通知后6个月内，货到采购人指定地点安装调试验收合格。</w:t>
            </w:r>
          </w:p>
        </w:tc>
      </w:tr>
      <w:tr w14:paraId="21D79E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5" w:type="dxa"/>
            <w:vAlign w:val="center"/>
          </w:tcPr>
          <w:p w14:paraId="548E3D53">
            <w:pPr>
              <w:widowControl/>
              <w:snapToGrid w:val="0"/>
              <w:spacing w:line="360" w:lineRule="auto"/>
              <w:contextualSpacing/>
              <w:jc w:val="center"/>
              <w:rPr>
                <w:rFonts w:hint="eastAsia" w:ascii="宋体" w:hAnsi="宋体" w:cs="宋体"/>
                <w:kern w:val="0"/>
                <w:sz w:val="24"/>
                <w:highlight w:val="none"/>
              </w:rPr>
            </w:pPr>
            <w:r>
              <w:rPr>
                <w:rFonts w:hint="eastAsia" w:ascii="宋体" w:hAnsi="宋体" w:cs="宋体"/>
                <w:kern w:val="0"/>
                <w:sz w:val="24"/>
                <w:highlight w:val="none"/>
              </w:rPr>
              <w:t>4</w:t>
            </w:r>
          </w:p>
        </w:tc>
        <w:tc>
          <w:tcPr>
            <w:tcW w:w="8515" w:type="dxa"/>
            <w:vAlign w:val="center"/>
          </w:tcPr>
          <w:p w14:paraId="6FD38D10">
            <w:pPr>
              <w:widowControl/>
              <w:snapToGrid w:val="0"/>
              <w:spacing w:line="360" w:lineRule="auto"/>
              <w:contextualSpacing/>
              <w:rPr>
                <w:rFonts w:hint="eastAsia" w:ascii="宋体" w:hAnsi="宋体" w:cs="宋体"/>
                <w:kern w:val="0"/>
                <w:sz w:val="24"/>
                <w:highlight w:val="none"/>
              </w:rPr>
            </w:pPr>
            <w:r>
              <w:rPr>
                <w:rFonts w:hint="eastAsia" w:ascii="宋体" w:hAnsi="宋体" w:cs="宋体"/>
                <w:kern w:val="0"/>
                <w:sz w:val="24"/>
                <w:highlight w:val="none"/>
              </w:rPr>
              <w:t>投标人要求对招标文件进行询问的，请将询问问题以书面形式发到guochongjin@163.com邮箱，由采购人进行统一解答澄清；（邮件主题：大连理工大学PEM/AEM水电解制氢实验教学系统采购项目询问 +</w:t>
            </w:r>
            <w:r>
              <w:rPr>
                <w:rFonts w:ascii="宋体" w:hAnsi="宋体" w:cs="宋体"/>
                <w:kern w:val="0"/>
                <w:sz w:val="24"/>
                <w:highlight w:val="none"/>
              </w:rPr>
              <w:t xml:space="preserve"> </w:t>
            </w:r>
            <w:r>
              <w:rPr>
                <w:rFonts w:hint="eastAsia" w:ascii="宋体" w:hAnsi="宋体" w:cs="宋体"/>
                <w:kern w:val="0"/>
                <w:sz w:val="24"/>
                <w:highlight w:val="none"/>
              </w:rPr>
              <w:t>投标人名称）。</w:t>
            </w:r>
          </w:p>
        </w:tc>
      </w:tr>
      <w:tr w14:paraId="0D2AFA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5" w:type="dxa"/>
            <w:vAlign w:val="center"/>
          </w:tcPr>
          <w:p w14:paraId="67F94E67">
            <w:pPr>
              <w:widowControl/>
              <w:snapToGrid w:val="0"/>
              <w:spacing w:line="360" w:lineRule="auto"/>
              <w:contextualSpacing/>
              <w:jc w:val="center"/>
              <w:rPr>
                <w:rFonts w:hint="eastAsia" w:ascii="宋体" w:hAnsi="宋体" w:cs="宋体"/>
                <w:kern w:val="0"/>
                <w:sz w:val="24"/>
                <w:highlight w:val="none"/>
              </w:rPr>
            </w:pPr>
            <w:r>
              <w:rPr>
                <w:rFonts w:hint="eastAsia" w:ascii="宋体" w:hAnsi="宋体" w:cs="宋体"/>
                <w:kern w:val="0"/>
                <w:sz w:val="24"/>
                <w:highlight w:val="none"/>
              </w:rPr>
              <w:t>5</w:t>
            </w:r>
          </w:p>
        </w:tc>
        <w:tc>
          <w:tcPr>
            <w:tcW w:w="8515" w:type="dxa"/>
            <w:vAlign w:val="center"/>
          </w:tcPr>
          <w:p w14:paraId="6241B0DD">
            <w:pPr>
              <w:widowControl/>
              <w:snapToGrid w:val="0"/>
              <w:spacing w:line="360" w:lineRule="auto"/>
              <w:contextualSpacing/>
              <w:rPr>
                <w:rFonts w:hint="eastAsia" w:ascii="宋体" w:hAnsi="宋体" w:cs="宋体"/>
                <w:kern w:val="0"/>
                <w:sz w:val="24"/>
                <w:highlight w:val="none"/>
              </w:rPr>
            </w:pPr>
            <w:r>
              <w:rPr>
                <w:rFonts w:hint="eastAsia" w:ascii="宋体" w:hAnsi="宋体" w:cs="宋体"/>
                <w:kern w:val="0"/>
                <w:sz w:val="24"/>
                <w:highlight w:val="none"/>
              </w:rPr>
              <w:t>投标人提交的投标文件以及投标人与采购人就有关投标的所有来往函电均应使用中文。</w:t>
            </w:r>
          </w:p>
        </w:tc>
      </w:tr>
      <w:tr w14:paraId="0DE095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5" w:type="dxa"/>
            <w:vAlign w:val="center"/>
          </w:tcPr>
          <w:p w14:paraId="44CF8600">
            <w:pPr>
              <w:widowControl/>
              <w:snapToGrid w:val="0"/>
              <w:spacing w:line="360" w:lineRule="auto"/>
              <w:contextualSpacing/>
              <w:jc w:val="center"/>
              <w:rPr>
                <w:rFonts w:hint="eastAsia" w:ascii="宋体" w:hAnsi="宋体" w:cs="宋体"/>
                <w:kern w:val="0"/>
                <w:sz w:val="24"/>
                <w:highlight w:val="none"/>
              </w:rPr>
            </w:pPr>
            <w:r>
              <w:rPr>
                <w:rFonts w:hint="eastAsia" w:ascii="宋体" w:hAnsi="宋体" w:cs="宋体"/>
                <w:kern w:val="0"/>
                <w:sz w:val="24"/>
                <w:highlight w:val="none"/>
              </w:rPr>
              <w:t>6</w:t>
            </w:r>
          </w:p>
        </w:tc>
        <w:tc>
          <w:tcPr>
            <w:tcW w:w="8515" w:type="dxa"/>
            <w:vAlign w:val="center"/>
          </w:tcPr>
          <w:p w14:paraId="6854878A">
            <w:pPr>
              <w:widowControl/>
              <w:snapToGrid w:val="0"/>
              <w:spacing w:line="360" w:lineRule="auto"/>
              <w:contextualSpacing/>
              <w:rPr>
                <w:rFonts w:hint="eastAsia" w:ascii="宋体" w:hAnsi="宋体" w:cs="宋体"/>
                <w:b/>
                <w:kern w:val="0"/>
                <w:sz w:val="24"/>
                <w:highlight w:val="none"/>
              </w:rPr>
            </w:pPr>
            <w:r>
              <w:rPr>
                <w:rFonts w:hint="eastAsia" w:ascii="宋体" w:hAnsi="宋体" w:cs="宋体"/>
                <w:b/>
                <w:kern w:val="0"/>
                <w:sz w:val="24"/>
                <w:highlight w:val="none"/>
              </w:rPr>
              <w:t>投标人必须以人民币报价。</w:t>
            </w:r>
          </w:p>
        </w:tc>
      </w:tr>
      <w:tr w14:paraId="43DB58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5" w:type="dxa"/>
            <w:vAlign w:val="center"/>
          </w:tcPr>
          <w:p w14:paraId="7BCC481E">
            <w:pPr>
              <w:widowControl/>
              <w:snapToGrid w:val="0"/>
              <w:spacing w:line="360" w:lineRule="auto"/>
              <w:contextualSpacing/>
              <w:jc w:val="center"/>
              <w:rPr>
                <w:rFonts w:hint="eastAsia" w:ascii="宋体" w:hAnsi="宋体" w:cs="宋体"/>
                <w:kern w:val="0"/>
                <w:sz w:val="24"/>
                <w:highlight w:val="none"/>
              </w:rPr>
            </w:pPr>
            <w:r>
              <w:rPr>
                <w:rFonts w:hint="eastAsia" w:ascii="宋体" w:hAnsi="宋体" w:cs="宋体"/>
                <w:kern w:val="0"/>
                <w:sz w:val="24"/>
                <w:highlight w:val="none"/>
              </w:rPr>
              <w:t>7</w:t>
            </w:r>
          </w:p>
        </w:tc>
        <w:tc>
          <w:tcPr>
            <w:tcW w:w="8515" w:type="dxa"/>
            <w:vAlign w:val="center"/>
          </w:tcPr>
          <w:p w14:paraId="66F799FC">
            <w:pPr>
              <w:widowControl/>
              <w:snapToGrid w:val="0"/>
              <w:spacing w:line="360" w:lineRule="auto"/>
              <w:contextualSpacing/>
              <w:rPr>
                <w:rFonts w:hint="eastAsia" w:ascii="宋体" w:hAnsi="宋体" w:cs="宋体"/>
                <w:kern w:val="0"/>
                <w:sz w:val="24"/>
                <w:highlight w:val="none"/>
              </w:rPr>
            </w:pPr>
            <w:r>
              <w:rPr>
                <w:rFonts w:hint="eastAsia" w:ascii="宋体" w:hAnsi="宋体" w:cs="宋体"/>
                <w:kern w:val="0"/>
                <w:sz w:val="24"/>
                <w:highlight w:val="none"/>
              </w:rPr>
              <w:t>投标有效期：90日历日。</w:t>
            </w:r>
          </w:p>
        </w:tc>
      </w:tr>
      <w:tr w14:paraId="3F1D03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5" w:type="dxa"/>
            <w:vAlign w:val="center"/>
          </w:tcPr>
          <w:p w14:paraId="50E88F6C">
            <w:pPr>
              <w:widowControl/>
              <w:snapToGrid w:val="0"/>
              <w:spacing w:line="360" w:lineRule="auto"/>
              <w:contextualSpacing/>
              <w:jc w:val="center"/>
              <w:rPr>
                <w:rFonts w:hint="eastAsia" w:ascii="宋体" w:hAnsi="宋体" w:cs="宋体"/>
                <w:kern w:val="0"/>
                <w:sz w:val="24"/>
                <w:highlight w:val="none"/>
              </w:rPr>
            </w:pPr>
            <w:r>
              <w:rPr>
                <w:rFonts w:hint="eastAsia" w:ascii="宋体" w:hAnsi="宋体" w:cs="宋体"/>
                <w:kern w:val="0"/>
                <w:sz w:val="24"/>
                <w:highlight w:val="none"/>
              </w:rPr>
              <w:t>8</w:t>
            </w:r>
          </w:p>
        </w:tc>
        <w:tc>
          <w:tcPr>
            <w:tcW w:w="8515" w:type="dxa"/>
            <w:vAlign w:val="center"/>
          </w:tcPr>
          <w:p w14:paraId="04D2FBA1">
            <w:pPr>
              <w:widowControl/>
              <w:snapToGrid w:val="0"/>
              <w:spacing w:line="360" w:lineRule="auto"/>
              <w:contextualSpacing/>
              <w:rPr>
                <w:rFonts w:hint="eastAsia" w:ascii="宋体" w:hAnsi="宋体" w:cs="宋体"/>
                <w:kern w:val="0"/>
                <w:sz w:val="24"/>
                <w:highlight w:val="none"/>
              </w:rPr>
            </w:pPr>
            <w:r>
              <w:rPr>
                <w:rFonts w:hint="eastAsia" w:ascii="宋体" w:hAnsi="宋体" w:cs="宋体"/>
                <w:kern w:val="0"/>
                <w:sz w:val="24"/>
                <w:highlight w:val="none"/>
              </w:rPr>
              <w:t>投标文件份数：纸质正本1份，副本5份；电子版投标文件2份（正本签字盖章后的扫描件，光盘或U盘）；密封在密封袋中。</w:t>
            </w:r>
          </w:p>
          <w:p w14:paraId="2D0BF75A">
            <w:pPr>
              <w:widowControl/>
              <w:snapToGrid w:val="0"/>
              <w:spacing w:line="360" w:lineRule="auto"/>
              <w:contextualSpacing/>
              <w:rPr>
                <w:rFonts w:hint="eastAsia" w:ascii="宋体" w:hAnsi="宋体" w:cs="宋体"/>
                <w:kern w:val="0"/>
                <w:sz w:val="24"/>
                <w:highlight w:val="none"/>
              </w:rPr>
            </w:pPr>
            <w:r>
              <w:rPr>
                <w:rFonts w:hint="eastAsia" w:ascii="宋体" w:hAnsi="宋体" w:cs="宋体"/>
                <w:kern w:val="0"/>
                <w:sz w:val="24"/>
                <w:highlight w:val="none"/>
              </w:rPr>
              <w:t>投标文件须在封面注明“正本”和“副本”字样。投标文件必须打印、胶装成册、不易拆分并有连续的页码，纸张规格A4纸。</w:t>
            </w:r>
          </w:p>
        </w:tc>
      </w:tr>
      <w:tr w14:paraId="15B8E7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5" w:type="dxa"/>
            <w:vAlign w:val="center"/>
          </w:tcPr>
          <w:p w14:paraId="571A1EC1">
            <w:pPr>
              <w:widowControl/>
              <w:snapToGrid w:val="0"/>
              <w:spacing w:line="360" w:lineRule="auto"/>
              <w:contextualSpacing/>
              <w:jc w:val="center"/>
              <w:rPr>
                <w:rFonts w:hint="eastAsia" w:ascii="宋体" w:hAnsi="宋体" w:cs="宋体"/>
                <w:kern w:val="0"/>
                <w:sz w:val="24"/>
                <w:highlight w:val="none"/>
              </w:rPr>
            </w:pPr>
            <w:r>
              <w:rPr>
                <w:rFonts w:hint="eastAsia" w:ascii="宋体" w:hAnsi="宋体" w:cs="宋体"/>
                <w:kern w:val="0"/>
                <w:sz w:val="24"/>
                <w:highlight w:val="none"/>
              </w:rPr>
              <w:t>9</w:t>
            </w:r>
          </w:p>
        </w:tc>
        <w:tc>
          <w:tcPr>
            <w:tcW w:w="8515" w:type="dxa"/>
            <w:vAlign w:val="center"/>
          </w:tcPr>
          <w:p w14:paraId="201AB2FF">
            <w:pPr>
              <w:widowControl/>
              <w:spacing w:line="360" w:lineRule="auto"/>
              <w:contextualSpacing/>
              <w:rPr>
                <w:rFonts w:hint="eastAsia" w:ascii="宋体" w:hAnsi="宋体" w:cs="宋体"/>
                <w:kern w:val="0"/>
                <w:sz w:val="24"/>
                <w:highlight w:val="none"/>
              </w:rPr>
            </w:pPr>
            <w:r>
              <w:rPr>
                <w:rFonts w:hint="eastAsia" w:ascii="宋体" w:hAnsi="宋体" w:cs="宋体"/>
                <w:kern w:val="0"/>
                <w:sz w:val="24"/>
                <w:highlight w:val="none"/>
              </w:rPr>
              <w:t>投标文件递交方式、时间：</w:t>
            </w:r>
          </w:p>
          <w:p w14:paraId="3B51B528">
            <w:pPr>
              <w:widowControl/>
              <w:spacing w:line="360" w:lineRule="auto"/>
              <w:contextualSpacing/>
              <w:rPr>
                <w:rFonts w:hint="eastAsia" w:ascii="宋体" w:hAnsi="宋体" w:cs="宋体"/>
                <w:kern w:val="0"/>
                <w:sz w:val="24"/>
                <w:highlight w:val="none"/>
              </w:rPr>
            </w:pPr>
            <w:r>
              <w:rPr>
                <w:rFonts w:hint="eastAsia" w:ascii="宋体" w:hAnsi="宋体" w:cs="宋体"/>
                <w:kern w:val="0"/>
                <w:sz w:val="24"/>
                <w:highlight w:val="none"/>
              </w:rPr>
              <w:t>递交方式：现场递交</w:t>
            </w:r>
          </w:p>
          <w:p w14:paraId="489F952D">
            <w:pPr>
              <w:widowControl/>
              <w:spacing w:line="360" w:lineRule="auto"/>
              <w:contextualSpacing/>
              <w:rPr>
                <w:rFonts w:hint="eastAsia" w:ascii="宋体" w:hAnsi="宋体" w:cs="宋体"/>
                <w:kern w:val="0"/>
                <w:sz w:val="24"/>
                <w:highlight w:val="none"/>
              </w:rPr>
            </w:pPr>
            <w:r>
              <w:rPr>
                <w:rFonts w:hint="eastAsia" w:ascii="宋体" w:hAnsi="宋体" w:cs="宋体"/>
                <w:kern w:val="0"/>
                <w:sz w:val="24"/>
                <w:highlight w:val="none"/>
              </w:rPr>
              <w:t>递交时间：2025年</w:t>
            </w:r>
            <w:r>
              <w:rPr>
                <w:rFonts w:hint="eastAsia" w:ascii="宋体" w:hAnsi="宋体" w:cs="宋体"/>
                <w:kern w:val="0"/>
                <w:sz w:val="24"/>
                <w:highlight w:val="none"/>
                <w:lang w:eastAsia="zh-CN"/>
              </w:rPr>
              <w:t>11月19日</w:t>
            </w:r>
            <w:r>
              <w:rPr>
                <w:rFonts w:hint="eastAsia" w:ascii="宋体" w:hAnsi="宋体" w:cs="宋体"/>
                <w:kern w:val="0"/>
                <w:sz w:val="24"/>
                <w:highlight w:val="none"/>
              </w:rPr>
              <w:t>09点00分-09点30分(北京时间)</w:t>
            </w:r>
          </w:p>
          <w:p w14:paraId="2D2AAA6D">
            <w:pPr>
              <w:widowControl/>
              <w:spacing w:line="360" w:lineRule="auto"/>
              <w:contextualSpacing/>
              <w:rPr>
                <w:rFonts w:hint="eastAsia" w:ascii="宋体" w:hAnsi="宋体" w:cs="宋体"/>
                <w:bCs/>
                <w:kern w:val="0"/>
                <w:sz w:val="24"/>
                <w:highlight w:val="none"/>
              </w:rPr>
            </w:pPr>
            <w:r>
              <w:rPr>
                <w:rFonts w:hint="eastAsia" w:ascii="宋体" w:hAnsi="宋体" w:cs="宋体"/>
                <w:kern w:val="0"/>
                <w:sz w:val="24"/>
                <w:highlight w:val="none"/>
              </w:rPr>
              <w:t>递交截止时间：2025年</w:t>
            </w:r>
            <w:r>
              <w:rPr>
                <w:rFonts w:hint="eastAsia" w:ascii="宋体" w:hAnsi="宋体" w:cs="宋体"/>
                <w:kern w:val="0"/>
                <w:sz w:val="24"/>
                <w:highlight w:val="none"/>
                <w:lang w:eastAsia="zh-CN"/>
              </w:rPr>
              <w:t>11月19日</w:t>
            </w:r>
            <w:r>
              <w:rPr>
                <w:rFonts w:hint="eastAsia" w:ascii="宋体" w:hAnsi="宋体" w:cs="宋体"/>
                <w:kern w:val="0"/>
                <w:sz w:val="24"/>
                <w:highlight w:val="none"/>
              </w:rPr>
              <w:t>09点30分</w:t>
            </w:r>
            <w:r>
              <w:rPr>
                <w:rFonts w:hint="eastAsia" w:ascii="宋体" w:hAnsi="宋体" w:cs="宋体"/>
                <w:bCs/>
                <w:kern w:val="0"/>
                <w:sz w:val="24"/>
                <w:highlight w:val="none"/>
              </w:rPr>
              <w:t>（北京时间），逾期送达的投标文件恕不接受。</w:t>
            </w:r>
          </w:p>
          <w:p w14:paraId="58D8F196">
            <w:pPr>
              <w:widowControl/>
              <w:spacing w:line="360" w:lineRule="auto"/>
              <w:contextualSpacing/>
              <w:rPr>
                <w:rFonts w:hint="eastAsia" w:ascii="宋体" w:hAnsi="宋体" w:cs="宋体"/>
                <w:kern w:val="0"/>
                <w:sz w:val="24"/>
                <w:highlight w:val="none"/>
              </w:rPr>
            </w:pPr>
            <w:r>
              <w:rPr>
                <w:rFonts w:hint="eastAsia" w:ascii="宋体" w:hAnsi="宋体" w:cs="宋体"/>
                <w:kern w:val="0"/>
                <w:sz w:val="24"/>
                <w:highlight w:val="none"/>
              </w:rPr>
              <w:t>递交地址：</w:t>
            </w:r>
            <w:r>
              <w:rPr>
                <w:rFonts w:hint="eastAsia" w:ascii="宋体" w:hAnsi="宋体" w:cs="宋体"/>
                <w:kern w:val="0"/>
                <w:sz w:val="24"/>
                <w:highlight w:val="none"/>
                <w:u w:val="single"/>
              </w:rPr>
              <w:t>大连机械设备成套有限公司会议室（大连市沙河口区西南路350-2号）</w:t>
            </w:r>
            <w:r>
              <w:rPr>
                <w:rFonts w:hint="eastAsia" w:ascii="宋体" w:hAnsi="宋体" w:cs="宋体"/>
                <w:kern w:val="0"/>
                <w:sz w:val="24"/>
                <w:highlight w:val="none"/>
              </w:rPr>
              <w:t>。</w:t>
            </w:r>
          </w:p>
        </w:tc>
      </w:tr>
      <w:tr w14:paraId="1F13F0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5" w:type="dxa"/>
            <w:vAlign w:val="center"/>
          </w:tcPr>
          <w:p w14:paraId="7186A197">
            <w:pPr>
              <w:widowControl/>
              <w:snapToGrid w:val="0"/>
              <w:spacing w:line="360" w:lineRule="auto"/>
              <w:contextualSpacing/>
              <w:jc w:val="center"/>
              <w:rPr>
                <w:rFonts w:hint="eastAsia" w:ascii="宋体" w:hAnsi="宋体" w:cs="宋体"/>
                <w:kern w:val="0"/>
                <w:sz w:val="24"/>
                <w:highlight w:val="none"/>
              </w:rPr>
            </w:pPr>
            <w:r>
              <w:rPr>
                <w:rFonts w:hint="eastAsia" w:ascii="宋体" w:hAnsi="宋体" w:cs="宋体"/>
                <w:kern w:val="0"/>
                <w:sz w:val="24"/>
                <w:highlight w:val="none"/>
              </w:rPr>
              <w:t>10</w:t>
            </w:r>
          </w:p>
        </w:tc>
        <w:tc>
          <w:tcPr>
            <w:tcW w:w="8515" w:type="dxa"/>
            <w:vAlign w:val="center"/>
          </w:tcPr>
          <w:p w14:paraId="54F21331">
            <w:pPr>
              <w:spacing w:line="360" w:lineRule="auto"/>
              <w:rPr>
                <w:rFonts w:hint="eastAsia" w:ascii="宋体" w:hAnsi="宋体" w:cs="宋体"/>
                <w:bCs/>
                <w:kern w:val="0"/>
                <w:sz w:val="24"/>
                <w:highlight w:val="none"/>
              </w:rPr>
            </w:pPr>
            <w:r>
              <w:rPr>
                <w:rFonts w:hint="eastAsia" w:ascii="宋体" w:hAnsi="宋体" w:cs="宋体"/>
                <w:bCs/>
                <w:kern w:val="0"/>
                <w:sz w:val="24"/>
                <w:highlight w:val="none"/>
              </w:rPr>
              <w:t>开标时间：2025年</w:t>
            </w:r>
            <w:r>
              <w:rPr>
                <w:rFonts w:hint="eastAsia" w:ascii="宋体" w:hAnsi="宋体" w:cs="宋体"/>
                <w:bCs/>
                <w:kern w:val="0"/>
                <w:sz w:val="24"/>
                <w:highlight w:val="none"/>
                <w:lang w:eastAsia="zh-CN"/>
              </w:rPr>
              <w:t>11月19日</w:t>
            </w:r>
            <w:r>
              <w:rPr>
                <w:rFonts w:hint="eastAsia" w:ascii="宋体" w:hAnsi="宋体" w:cs="宋体"/>
                <w:bCs/>
                <w:kern w:val="0"/>
                <w:sz w:val="24"/>
                <w:highlight w:val="none"/>
              </w:rPr>
              <w:t>09点30分（北京时间）</w:t>
            </w:r>
          </w:p>
          <w:p w14:paraId="65D72A05">
            <w:pPr>
              <w:spacing w:line="360" w:lineRule="auto"/>
              <w:rPr>
                <w:rFonts w:hint="eastAsia" w:ascii="宋体" w:hAnsi="宋体" w:cs="宋体"/>
                <w:bCs/>
                <w:kern w:val="0"/>
                <w:sz w:val="24"/>
                <w:highlight w:val="none"/>
              </w:rPr>
            </w:pPr>
            <w:r>
              <w:rPr>
                <w:rFonts w:hint="eastAsia" w:ascii="宋体" w:hAnsi="宋体" w:cs="宋体"/>
                <w:bCs/>
                <w:kern w:val="0"/>
                <w:sz w:val="24"/>
                <w:highlight w:val="none"/>
              </w:rPr>
              <w:t>开标地点：</w:t>
            </w:r>
            <w:r>
              <w:rPr>
                <w:rFonts w:hint="eastAsia" w:ascii="宋体" w:hAnsi="宋体" w:cs="宋体"/>
                <w:kern w:val="0"/>
                <w:sz w:val="24"/>
                <w:highlight w:val="none"/>
                <w:u w:val="single"/>
              </w:rPr>
              <w:t>大连机械设备成套有限公司会议室（大连市沙河口区西南路350-2号）</w:t>
            </w:r>
            <w:r>
              <w:rPr>
                <w:rFonts w:hint="eastAsia" w:ascii="宋体" w:hAnsi="宋体" w:cs="宋体"/>
                <w:bCs/>
                <w:kern w:val="0"/>
                <w:sz w:val="24"/>
                <w:highlight w:val="none"/>
              </w:rPr>
              <w:t>。</w:t>
            </w:r>
          </w:p>
          <w:p w14:paraId="0A73FF40">
            <w:pPr>
              <w:spacing w:line="360" w:lineRule="auto"/>
              <w:rPr>
                <w:rFonts w:hint="eastAsia" w:ascii="宋体" w:hAnsi="宋体" w:cs="宋体"/>
                <w:b/>
                <w:kern w:val="0"/>
                <w:sz w:val="24"/>
                <w:highlight w:val="none"/>
              </w:rPr>
            </w:pPr>
            <w:r>
              <w:rPr>
                <w:rFonts w:hint="eastAsia" w:ascii="宋体" w:hAnsi="宋体" w:cs="宋体"/>
                <w:bCs/>
                <w:kern w:val="0"/>
                <w:sz w:val="24"/>
                <w:highlight w:val="none"/>
              </w:rPr>
              <w:t>本项目邀请所有投标人参加开标会议，参加开标会议的投标人代表须携带本人身份证原件，委托代理人还须携带授权委托书原件以证明其身份，未携带证明材料的视为未参加开标会议。投标人未参加开标的，视同认可开标结果。</w:t>
            </w:r>
          </w:p>
        </w:tc>
      </w:tr>
      <w:tr w14:paraId="69DBD4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5" w:type="dxa"/>
            <w:vAlign w:val="center"/>
          </w:tcPr>
          <w:p w14:paraId="5AF585D8">
            <w:pPr>
              <w:widowControl/>
              <w:snapToGrid w:val="0"/>
              <w:spacing w:line="360" w:lineRule="auto"/>
              <w:contextualSpacing/>
              <w:jc w:val="center"/>
              <w:rPr>
                <w:rFonts w:hint="eastAsia" w:ascii="宋体" w:hAnsi="宋体" w:cs="宋体"/>
                <w:kern w:val="0"/>
                <w:sz w:val="24"/>
                <w:highlight w:val="none"/>
              </w:rPr>
            </w:pPr>
            <w:r>
              <w:rPr>
                <w:rFonts w:hint="eastAsia" w:ascii="宋体" w:hAnsi="宋体" w:cs="宋体"/>
                <w:kern w:val="0"/>
                <w:sz w:val="24"/>
                <w:highlight w:val="none"/>
              </w:rPr>
              <w:t>11</w:t>
            </w:r>
          </w:p>
        </w:tc>
        <w:tc>
          <w:tcPr>
            <w:tcW w:w="8515" w:type="dxa"/>
            <w:vAlign w:val="center"/>
          </w:tcPr>
          <w:p w14:paraId="181C9633">
            <w:pPr>
              <w:widowControl/>
              <w:tabs>
                <w:tab w:val="left" w:pos="4045"/>
              </w:tabs>
              <w:snapToGrid w:val="0"/>
              <w:spacing w:line="360" w:lineRule="auto"/>
              <w:contextualSpacing/>
              <w:rPr>
                <w:rFonts w:hint="eastAsia" w:ascii="宋体" w:hAnsi="宋体" w:cs="宋体"/>
                <w:kern w:val="0"/>
                <w:sz w:val="24"/>
                <w:highlight w:val="none"/>
              </w:rPr>
            </w:pPr>
            <w:r>
              <w:rPr>
                <w:rFonts w:hint="eastAsia" w:ascii="宋体" w:hAnsi="宋体" w:cs="宋体"/>
                <w:kern w:val="0"/>
                <w:sz w:val="24"/>
                <w:highlight w:val="none"/>
              </w:rPr>
              <w:t>投标人资格审查：资格后审。</w:t>
            </w:r>
          </w:p>
          <w:p w14:paraId="1BBAD721">
            <w:pPr>
              <w:widowControl/>
              <w:snapToGrid w:val="0"/>
              <w:spacing w:line="360" w:lineRule="auto"/>
              <w:contextualSpacing/>
              <w:rPr>
                <w:rFonts w:hint="eastAsia" w:ascii="宋体" w:hAnsi="宋体" w:cs="宋体"/>
                <w:kern w:val="0"/>
                <w:sz w:val="24"/>
                <w:highlight w:val="none"/>
              </w:rPr>
            </w:pPr>
            <w:r>
              <w:rPr>
                <w:rFonts w:hint="eastAsia" w:ascii="宋体" w:hAnsi="宋体" w:cs="宋体"/>
                <w:kern w:val="0"/>
                <w:sz w:val="24"/>
                <w:highlight w:val="none"/>
              </w:rPr>
              <w:t>公开招标项目开标结束后，采购项目评审前，采购人或者采购代理机构依法对投标人的资格进行审查。</w:t>
            </w:r>
          </w:p>
        </w:tc>
      </w:tr>
      <w:tr w14:paraId="2C040B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5" w:type="dxa"/>
            <w:vAlign w:val="center"/>
          </w:tcPr>
          <w:p w14:paraId="31648505">
            <w:pPr>
              <w:widowControl/>
              <w:snapToGrid w:val="0"/>
              <w:spacing w:line="360" w:lineRule="auto"/>
              <w:contextualSpacing/>
              <w:jc w:val="center"/>
              <w:rPr>
                <w:rFonts w:hint="eastAsia" w:ascii="宋体" w:hAnsi="宋体" w:cs="宋体"/>
                <w:kern w:val="0"/>
                <w:sz w:val="24"/>
                <w:highlight w:val="none"/>
              </w:rPr>
            </w:pPr>
            <w:r>
              <w:rPr>
                <w:rFonts w:hint="eastAsia" w:ascii="宋体" w:hAnsi="宋体" w:cs="宋体"/>
                <w:kern w:val="0"/>
                <w:sz w:val="24"/>
                <w:highlight w:val="none"/>
              </w:rPr>
              <w:t>1</w:t>
            </w:r>
            <w:r>
              <w:rPr>
                <w:rFonts w:ascii="宋体" w:hAnsi="宋体" w:cs="宋体"/>
                <w:kern w:val="0"/>
                <w:sz w:val="24"/>
                <w:highlight w:val="none"/>
              </w:rPr>
              <w:t>2</w:t>
            </w:r>
          </w:p>
        </w:tc>
        <w:tc>
          <w:tcPr>
            <w:tcW w:w="8515" w:type="dxa"/>
            <w:vAlign w:val="center"/>
          </w:tcPr>
          <w:p w14:paraId="784FE4A8">
            <w:pPr>
              <w:widowControl/>
              <w:snapToGrid w:val="0"/>
              <w:spacing w:line="360" w:lineRule="auto"/>
              <w:contextualSpacing/>
              <w:rPr>
                <w:rFonts w:hint="eastAsia" w:ascii="宋体" w:hAnsi="宋体" w:cs="宋体"/>
                <w:kern w:val="0"/>
                <w:sz w:val="24"/>
                <w:highlight w:val="none"/>
              </w:rPr>
            </w:pPr>
            <w:r>
              <w:rPr>
                <w:rFonts w:hint="eastAsia" w:ascii="宋体" w:hAnsi="宋体" w:cs="宋体"/>
                <w:kern w:val="0"/>
                <w:sz w:val="24"/>
                <w:highlight w:val="none"/>
              </w:rPr>
              <w:t>合同签订时间、地点另行通知。</w:t>
            </w:r>
          </w:p>
        </w:tc>
      </w:tr>
      <w:tr w14:paraId="7C7F4A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5" w:type="dxa"/>
            <w:vAlign w:val="center"/>
          </w:tcPr>
          <w:p w14:paraId="3228BBAE">
            <w:pPr>
              <w:widowControl/>
              <w:snapToGrid w:val="0"/>
              <w:spacing w:line="360" w:lineRule="auto"/>
              <w:contextualSpacing/>
              <w:jc w:val="center"/>
              <w:rPr>
                <w:rFonts w:hint="eastAsia" w:ascii="宋体" w:hAnsi="宋体" w:cs="宋体"/>
                <w:kern w:val="0"/>
                <w:sz w:val="24"/>
                <w:highlight w:val="none"/>
              </w:rPr>
            </w:pPr>
            <w:r>
              <w:rPr>
                <w:rFonts w:hint="eastAsia" w:ascii="宋体" w:hAnsi="宋体" w:cs="宋体"/>
                <w:kern w:val="0"/>
                <w:sz w:val="24"/>
                <w:highlight w:val="none"/>
              </w:rPr>
              <w:t>1</w:t>
            </w:r>
            <w:r>
              <w:rPr>
                <w:rFonts w:ascii="宋体" w:hAnsi="宋体" w:cs="宋体"/>
                <w:kern w:val="0"/>
                <w:sz w:val="24"/>
                <w:highlight w:val="none"/>
              </w:rPr>
              <w:t>3</w:t>
            </w:r>
          </w:p>
        </w:tc>
        <w:tc>
          <w:tcPr>
            <w:tcW w:w="8515" w:type="dxa"/>
            <w:vAlign w:val="center"/>
          </w:tcPr>
          <w:p w14:paraId="5FB4C066">
            <w:pPr>
              <w:widowControl/>
              <w:tabs>
                <w:tab w:val="left" w:pos="4045"/>
              </w:tabs>
              <w:snapToGrid w:val="0"/>
              <w:spacing w:line="360" w:lineRule="auto"/>
              <w:contextualSpacing/>
              <w:rPr>
                <w:rFonts w:hint="eastAsia" w:ascii="宋体" w:hAnsi="宋体" w:cs="宋体"/>
                <w:kern w:val="0"/>
                <w:sz w:val="24"/>
                <w:highlight w:val="none"/>
              </w:rPr>
            </w:pPr>
            <w:r>
              <w:rPr>
                <w:rFonts w:hint="eastAsia" w:ascii="宋体" w:hAnsi="宋体" w:cs="宋体"/>
                <w:kern w:val="0"/>
                <w:sz w:val="24"/>
                <w:highlight w:val="none"/>
              </w:rPr>
              <w:t>招标文件获取时间：</w:t>
            </w:r>
          </w:p>
          <w:p w14:paraId="3446001E">
            <w:pPr>
              <w:widowControl/>
              <w:tabs>
                <w:tab w:val="left" w:pos="4045"/>
              </w:tabs>
              <w:snapToGrid w:val="0"/>
              <w:spacing w:line="360" w:lineRule="auto"/>
              <w:contextualSpacing/>
              <w:rPr>
                <w:rFonts w:hint="eastAsia" w:ascii="宋体" w:hAnsi="宋体" w:cs="宋体"/>
                <w:kern w:val="0"/>
                <w:sz w:val="24"/>
                <w:highlight w:val="none"/>
              </w:rPr>
            </w:pPr>
            <w:r>
              <w:rPr>
                <w:rFonts w:hint="eastAsia" w:ascii="宋体" w:hAnsi="宋体" w:cs="宋体"/>
                <w:kern w:val="0"/>
                <w:sz w:val="24"/>
                <w:highlight w:val="none"/>
              </w:rPr>
              <w:t>发售时间：</w:t>
            </w:r>
            <w:r>
              <w:rPr>
                <w:rFonts w:hint="eastAsia" w:ascii="宋体" w:hAnsi="宋体" w:cs="宋体"/>
                <w:kern w:val="0"/>
                <w:sz w:val="24"/>
                <w:highlight w:val="none"/>
                <w:u w:val="single"/>
                <w:lang w:eastAsia="zh-CN"/>
              </w:rPr>
              <w:t>2025年10月29日至2025年11月5日</w:t>
            </w:r>
            <w:r>
              <w:rPr>
                <w:rFonts w:hint="eastAsia" w:ascii="宋体" w:hAnsi="宋体" w:cs="宋体"/>
                <w:kern w:val="0"/>
                <w:sz w:val="24"/>
                <w:highlight w:val="none"/>
              </w:rPr>
              <w:t>，每天上午8:30至11:30，下午13:00至17:00（北京时间，法定节假日除外）。</w:t>
            </w:r>
          </w:p>
        </w:tc>
      </w:tr>
      <w:tr w14:paraId="167826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5" w:type="dxa"/>
            <w:vAlign w:val="center"/>
          </w:tcPr>
          <w:p w14:paraId="3A571509">
            <w:pPr>
              <w:widowControl/>
              <w:snapToGrid w:val="0"/>
              <w:spacing w:line="360" w:lineRule="auto"/>
              <w:contextualSpacing/>
              <w:jc w:val="center"/>
              <w:rPr>
                <w:rFonts w:hint="eastAsia" w:ascii="宋体" w:hAnsi="宋体" w:cs="宋体"/>
                <w:kern w:val="0"/>
                <w:sz w:val="24"/>
                <w:highlight w:val="none"/>
              </w:rPr>
            </w:pPr>
            <w:r>
              <w:rPr>
                <w:rFonts w:hint="eastAsia" w:ascii="宋体" w:hAnsi="宋体" w:cs="宋体"/>
                <w:kern w:val="0"/>
                <w:sz w:val="24"/>
                <w:highlight w:val="none"/>
              </w:rPr>
              <w:t>1</w:t>
            </w:r>
            <w:r>
              <w:rPr>
                <w:rFonts w:ascii="宋体" w:hAnsi="宋体" w:cs="宋体"/>
                <w:kern w:val="0"/>
                <w:sz w:val="24"/>
                <w:highlight w:val="none"/>
              </w:rPr>
              <w:t>4</w:t>
            </w:r>
          </w:p>
        </w:tc>
        <w:tc>
          <w:tcPr>
            <w:tcW w:w="8515" w:type="dxa"/>
            <w:vAlign w:val="center"/>
          </w:tcPr>
          <w:p w14:paraId="39CEC13A">
            <w:pPr>
              <w:widowControl/>
              <w:tabs>
                <w:tab w:val="left" w:pos="4045"/>
              </w:tabs>
              <w:snapToGrid w:val="0"/>
              <w:spacing w:line="360" w:lineRule="auto"/>
              <w:contextualSpacing/>
              <w:rPr>
                <w:rFonts w:hint="eastAsia" w:ascii="宋体" w:hAnsi="宋体" w:cs="宋体"/>
                <w:kern w:val="0"/>
                <w:sz w:val="24"/>
                <w:highlight w:val="none"/>
              </w:rPr>
            </w:pPr>
            <w:r>
              <w:rPr>
                <w:rFonts w:hint="eastAsia" w:ascii="宋体" w:hAnsi="宋体" w:cs="宋体"/>
                <w:kern w:val="0"/>
                <w:sz w:val="24"/>
                <w:highlight w:val="none"/>
              </w:rPr>
              <w:t>1.投标保证金：</w:t>
            </w:r>
            <w:r>
              <w:rPr>
                <w:rFonts w:hint="eastAsia" w:ascii="宋体" w:hAnsi="宋体" w:cs="宋体"/>
                <w:kern w:val="0"/>
                <w:sz w:val="24"/>
                <w:highlight w:val="none"/>
                <w:u w:val="single"/>
                <w:lang w:val="en-US" w:eastAsia="zh-CN"/>
              </w:rPr>
              <w:t>2</w:t>
            </w:r>
            <w:r>
              <w:rPr>
                <w:rFonts w:hint="eastAsia" w:ascii="宋体" w:hAnsi="宋体" w:cs="宋体"/>
                <w:kern w:val="0"/>
                <w:sz w:val="24"/>
                <w:highlight w:val="none"/>
                <w:u w:val="single"/>
              </w:rPr>
              <w:t>0000</w:t>
            </w:r>
            <w:r>
              <w:rPr>
                <w:rFonts w:hint="eastAsia" w:ascii="宋体" w:hAnsi="宋体" w:cs="宋体"/>
                <w:kern w:val="0"/>
                <w:sz w:val="24"/>
                <w:highlight w:val="none"/>
              </w:rPr>
              <w:t>元(人民币大写：</w:t>
            </w:r>
            <w:r>
              <w:rPr>
                <w:rFonts w:hint="eastAsia" w:ascii="宋体" w:hAnsi="宋体" w:cs="宋体"/>
                <w:kern w:val="0"/>
                <w:sz w:val="24"/>
                <w:highlight w:val="none"/>
                <w:u w:val="single"/>
                <w:lang w:val="en-US" w:eastAsia="zh-CN"/>
              </w:rPr>
              <w:t>贰</w:t>
            </w:r>
            <w:r>
              <w:rPr>
                <w:rFonts w:hint="eastAsia" w:ascii="宋体" w:hAnsi="宋体" w:cs="宋体"/>
                <w:kern w:val="0"/>
                <w:sz w:val="24"/>
                <w:highlight w:val="none"/>
                <w:u w:val="single"/>
              </w:rPr>
              <w:t>万元整</w:t>
            </w:r>
            <w:r>
              <w:rPr>
                <w:rFonts w:ascii="宋体" w:hAnsi="宋体" w:cs="宋体"/>
                <w:kern w:val="0"/>
                <w:sz w:val="24"/>
                <w:highlight w:val="none"/>
                <w:u w:val="single"/>
              </w:rPr>
              <w:t xml:space="preserve"> </w:t>
            </w:r>
            <w:r>
              <w:rPr>
                <w:rFonts w:hint="eastAsia" w:ascii="宋体" w:hAnsi="宋体" w:cs="宋体"/>
                <w:kern w:val="0"/>
                <w:sz w:val="24"/>
                <w:highlight w:val="none"/>
              </w:rPr>
              <w:t>)。</w:t>
            </w:r>
          </w:p>
          <w:p w14:paraId="4BD7A86F">
            <w:pPr>
              <w:widowControl/>
              <w:snapToGrid w:val="0"/>
              <w:spacing w:line="360" w:lineRule="auto"/>
              <w:contextualSpacing/>
              <w:rPr>
                <w:rFonts w:hint="eastAsia" w:ascii="宋体" w:hAnsi="宋体" w:cs="宋体"/>
                <w:kern w:val="0"/>
                <w:sz w:val="24"/>
                <w:highlight w:val="none"/>
              </w:rPr>
            </w:pPr>
            <w:r>
              <w:rPr>
                <w:rFonts w:hint="eastAsia" w:ascii="宋体" w:hAnsi="宋体" w:cs="宋体"/>
                <w:kern w:val="0"/>
                <w:sz w:val="24"/>
                <w:highlight w:val="none"/>
              </w:rPr>
              <w:t>2.投标保证金采用下列形式之一种：</w:t>
            </w:r>
          </w:p>
          <w:p w14:paraId="2B65866A">
            <w:pPr>
              <w:widowControl/>
              <w:snapToGrid w:val="0"/>
              <w:spacing w:line="360" w:lineRule="auto"/>
              <w:contextualSpacing/>
              <w:rPr>
                <w:rFonts w:hint="eastAsia" w:ascii="宋体" w:hAnsi="宋体" w:cs="宋体"/>
                <w:kern w:val="0"/>
                <w:sz w:val="24"/>
                <w:highlight w:val="none"/>
              </w:rPr>
            </w:pPr>
            <w:r>
              <w:rPr>
                <w:rFonts w:hint="eastAsia" w:ascii="宋体" w:hAnsi="宋体" w:cs="宋体"/>
                <w:kern w:val="0"/>
                <w:sz w:val="24"/>
                <w:highlight w:val="none"/>
              </w:rPr>
              <w:t>①银行汇票；</w:t>
            </w:r>
          </w:p>
          <w:p w14:paraId="70E24D0C">
            <w:pPr>
              <w:widowControl/>
              <w:snapToGrid w:val="0"/>
              <w:spacing w:line="360" w:lineRule="auto"/>
              <w:contextualSpacing/>
              <w:rPr>
                <w:rFonts w:hint="eastAsia" w:ascii="宋体" w:hAnsi="宋体" w:cs="宋体"/>
                <w:kern w:val="0"/>
                <w:sz w:val="24"/>
                <w:highlight w:val="none"/>
              </w:rPr>
            </w:pPr>
            <w:r>
              <w:rPr>
                <w:rFonts w:hint="eastAsia" w:ascii="宋体" w:hAnsi="宋体" w:cs="宋体"/>
                <w:kern w:val="0"/>
                <w:sz w:val="24"/>
                <w:highlight w:val="none"/>
              </w:rPr>
              <w:t>②支票；</w:t>
            </w:r>
          </w:p>
          <w:p w14:paraId="34B2BC92">
            <w:pPr>
              <w:widowControl/>
              <w:snapToGrid w:val="0"/>
              <w:spacing w:line="360" w:lineRule="auto"/>
              <w:contextualSpacing/>
              <w:rPr>
                <w:rFonts w:hint="eastAsia" w:ascii="宋体" w:hAnsi="宋体" w:cs="宋体"/>
                <w:kern w:val="0"/>
                <w:sz w:val="24"/>
                <w:highlight w:val="none"/>
              </w:rPr>
            </w:pPr>
            <w:r>
              <w:rPr>
                <w:rFonts w:hint="eastAsia" w:ascii="宋体" w:hAnsi="宋体" w:cs="宋体"/>
                <w:kern w:val="0"/>
                <w:sz w:val="24"/>
                <w:highlight w:val="none"/>
              </w:rPr>
              <w:t>③电汇；</w:t>
            </w:r>
          </w:p>
          <w:p w14:paraId="47F90694">
            <w:pPr>
              <w:widowControl/>
              <w:snapToGrid w:val="0"/>
              <w:spacing w:line="360" w:lineRule="auto"/>
              <w:contextualSpacing/>
              <w:rPr>
                <w:rFonts w:hint="eastAsia" w:ascii="宋体" w:hAnsi="宋体" w:cs="宋体"/>
                <w:kern w:val="0"/>
                <w:sz w:val="24"/>
                <w:highlight w:val="none"/>
              </w:rPr>
            </w:pPr>
            <w:r>
              <w:rPr>
                <w:rFonts w:hint="eastAsia" w:ascii="宋体" w:hAnsi="宋体" w:cs="宋体"/>
                <w:kern w:val="0"/>
                <w:sz w:val="24"/>
                <w:highlight w:val="none"/>
              </w:rPr>
              <w:t>④银行保函。</w:t>
            </w:r>
          </w:p>
          <w:p w14:paraId="377E37EE">
            <w:pPr>
              <w:widowControl/>
              <w:snapToGrid w:val="0"/>
              <w:spacing w:line="360" w:lineRule="auto"/>
              <w:contextualSpacing/>
              <w:rPr>
                <w:rFonts w:hint="eastAsia" w:ascii="宋体" w:hAnsi="宋体" w:cs="宋体"/>
                <w:kern w:val="0"/>
                <w:sz w:val="24"/>
                <w:highlight w:val="none"/>
              </w:rPr>
            </w:pPr>
            <w:r>
              <w:rPr>
                <w:rFonts w:hint="eastAsia" w:ascii="宋体" w:hAnsi="宋体" w:cs="宋体"/>
                <w:kern w:val="0"/>
                <w:sz w:val="24"/>
                <w:highlight w:val="none"/>
              </w:rPr>
              <w:t>（注：本项目不接受现金形式以及个人名头汇款的投标保证金。）</w:t>
            </w:r>
          </w:p>
          <w:p w14:paraId="003468FA">
            <w:pPr>
              <w:widowControl/>
              <w:snapToGrid w:val="0"/>
              <w:spacing w:line="360" w:lineRule="auto"/>
              <w:contextualSpacing/>
              <w:rPr>
                <w:rFonts w:hint="eastAsia" w:ascii="宋体" w:hAnsi="宋体" w:cs="宋体"/>
                <w:kern w:val="0"/>
                <w:sz w:val="24"/>
                <w:highlight w:val="none"/>
              </w:rPr>
            </w:pPr>
            <w:r>
              <w:rPr>
                <w:rFonts w:hint="eastAsia" w:ascii="宋体" w:hAnsi="宋体" w:cs="宋体"/>
                <w:kern w:val="0"/>
                <w:sz w:val="24"/>
                <w:highlight w:val="none"/>
              </w:rPr>
              <w:t>3.投标保证金的递交时间及地点：投标人应在投标截止时间前将投标保证金递交至大连机械设备成套有限公司。</w:t>
            </w:r>
          </w:p>
          <w:p w14:paraId="75ABE52E">
            <w:pPr>
              <w:widowControl/>
              <w:snapToGrid w:val="0"/>
              <w:spacing w:line="360" w:lineRule="auto"/>
              <w:contextualSpacing/>
              <w:rPr>
                <w:rFonts w:hint="eastAsia" w:ascii="宋体" w:hAnsi="宋体" w:cs="宋体"/>
                <w:kern w:val="0"/>
                <w:sz w:val="24"/>
                <w:highlight w:val="none"/>
              </w:rPr>
            </w:pPr>
            <w:r>
              <w:rPr>
                <w:rFonts w:hint="eastAsia" w:ascii="宋体" w:hAnsi="宋体" w:cs="宋体"/>
                <w:kern w:val="0"/>
                <w:sz w:val="24"/>
                <w:highlight w:val="none"/>
              </w:rPr>
              <w:t>企业若要汇款，请汇至：</w:t>
            </w:r>
          </w:p>
          <w:p w14:paraId="5E8415EA">
            <w:pPr>
              <w:adjustRightInd w:val="0"/>
              <w:snapToGrid w:val="0"/>
              <w:spacing w:line="360" w:lineRule="auto"/>
              <w:ind w:firstLine="720" w:firstLineChars="300"/>
              <w:rPr>
                <w:rFonts w:hint="eastAsia" w:ascii="宋体" w:hAnsi="宋体"/>
                <w:bCs/>
                <w:sz w:val="24"/>
                <w:highlight w:val="none"/>
              </w:rPr>
            </w:pPr>
            <w:r>
              <w:rPr>
                <w:rFonts w:ascii="宋体" w:hAnsi="宋体"/>
                <w:bCs/>
                <w:sz w:val="24"/>
                <w:highlight w:val="none"/>
              </w:rPr>
              <w:t>账户名称：大连机械设备成套有限公司</w:t>
            </w:r>
          </w:p>
          <w:p w14:paraId="0C499225">
            <w:pPr>
              <w:adjustRightInd w:val="0"/>
              <w:snapToGrid w:val="0"/>
              <w:spacing w:line="360" w:lineRule="auto"/>
              <w:ind w:left="1680" w:hanging="1680" w:hangingChars="700"/>
              <w:rPr>
                <w:rFonts w:hint="eastAsia" w:ascii="宋体" w:hAnsi="宋体"/>
                <w:bCs/>
                <w:sz w:val="24"/>
                <w:highlight w:val="none"/>
              </w:rPr>
            </w:pPr>
            <w:r>
              <w:rPr>
                <w:rFonts w:ascii="宋体" w:hAnsi="宋体"/>
                <w:bCs/>
                <w:sz w:val="24"/>
                <w:highlight w:val="none"/>
              </w:rPr>
              <w:t xml:space="preserve">      开户行：农业银行大连高新万达广场支行（或农业银行大连高新技术产业园支行）</w:t>
            </w:r>
          </w:p>
          <w:p w14:paraId="7D784AA3">
            <w:pPr>
              <w:adjustRightInd w:val="0"/>
              <w:snapToGrid w:val="0"/>
              <w:spacing w:line="360" w:lineRule="auto"/>
              <w:rPr>
                <w:rFonts w:hint="eastAsia" w:ascii="宋体" w:hAnsi="宋体"/>
                <w:bCs/>
                <w:sz w:val="24"/>
                <w:highlight w:val="none"/>
              </w:rPr>
            </w:pPr>
            <w:r>
              <w:rPr>
                <w:rFonts w:ascii="宋体" w:hAnsi="宋体"/>
                <w:bCs/>
                <w:sz w:val="24"/>
                <w:highlight w:val="none"/>
              </w:rPr>
              <w:t xml:space="preserve">      账  号：34 06300 10400 05029</w:t>
            </w:r>
          </w:p>
          <w:p w14:paraId="0AD44E12">
            <w:pPr>
              <w:adjustRightInd w:val="0"/>
              <w:snapToGrid w:val="0"/>
              <w:spacing w:line="360" w:lineRule="auto"/>
              <w:rPr>
                <w:rFonts w:hint="eastAsia" w:ascii="宋体" w:hAnsi="宋体"/>
                <w:bCs/>
                <w:sz w:val="24"/>
                <w:highlight w:val="none"/>
              </w:rPr>
            </w:pPr>
            <w:r>
              <w:rPr>
                <w:rFonts w:ascii="宋体" w:hAnsi="宋体"/>
                <w:bCs/>
                <w:sz w:val="24"/>
                <w:highlight w:val="none"/>
              </w:rPr>
              <w:t xml:space="preserve">      行  号：103 222 006 805</w:t>
            </w:r>
          </w:p>
          <w:p w14:paraId="0DC3CFF3">
            <w:pPr>
              <w:adjustRightInd w:val="0"/>
              <w:snapToGrid w:val="0"/>
              <w:spacing w:line="360" w:lineRule="auto"/>
              <w:rPr>
                <w:rFonts w:hint="eastAsia" w:ascii="宋体" w:hAnsi="宋体"/>
                <w:bCs/>
                <w:sz w:val="24"/>
                <w:highlight w:val="none"/>
              </w:rPr>
            </w:pPr>
            <w:r>
              <w:rPr>
                <w:rFonts w:ascii="宋体" w:hAnsi="宋体"/>
                <w:bCs/>
                <w:sz w:val="24"/>
                <w:highlight w:val="none"/>
              </w:rPr>
              <w:t xml:space="preserve">      客户号：859 989 501 95</w:t>
            </w:r>
          </w:p>
          <w:p w14:paraId="2C0D54BA">
            <w:pPr>
              <w:adjustRightInd w:val="0"/>
              <w:snapToGrid w:val="0"/>
              <w:spacing w:line="360" w:lineRule="auto"/>
              <w:rPr>
                <w:rFonts w:hint="eastAsia" w:ascii="宋体" w:hAnsi="宋体" w:cs="宋体"/>
                <w:kern w:val="0"/>
                <w:sz w:val="24"/>
                <w:highlight w:val="none"/>
              </w:rPr>
            </w:pPr>
            <w:r>
              <w:rPr>
                <w:rFonts w:hint="eastAsia" w:ascii="宋体" w:hAnsi="宋体" w:cs="宋体"/>
                <w:kern w:val="0"/>
                <w:sz w:val="24"/>
                <w:highlight w:val="none"/>
              </w:rPr>
              <w:t>4.投标人的投标保证金须从开户行基本存款账户汇出，投标保证金以到账时间为准，</w:t>
            </w:r>
            <w:r>
              <w:rPr>
                <w:rFonts w:hint="eastAsia" w:ascii="宋体" w:hAnsi="宋体" w:cs="宋体"/>
                <w:b/>
                <w:kern w:val="0"/>
                <w:sz w:val="24"/>
                <w:highlight w:val="none"/>
              </w:rPr>
              <w:t>将</w:t>
            </w:r>
            <w:r>
              <w:rPr>
                <w:rFonts w:ascii="宋体" w:hAnsi="宋体" w:cs="宋体"/>
                <w:b/>
                <w:kern w:val="0"/>
                <w:sz w:val="24"/>
                <w:highlight w:val="none"/>
              </w:rPr>
              <w:t>投标保证金缴纳凭证</w:t>
            </w:r>
            <w:r>
              <w:rPr>
                <w:rFonts w:hint="eastAsia" w:ascii="宋体" w:hAnsi="宋体" w:cs="宋体"/>
                <w:b/>
                <w:kern w:val="0"/>
                <w:sz w:val="24"/>
                <w:highlight w:val="none"/>
              </w:rPr>
              <w:t>附在投标文件中</w:t>
            </w:r>
            <w:r>
              <w:rPr>
                <w:rFonts w:hint="eastAsia" w:ascii="宋体" w:hAnsi="宋体" w:cs="宋体"/>
                <w:kern w:val="0"/>
                <w:sz w:val="24"/>
                <w:highlight w:val="none"/>
              </w:rPr>
              <w:t>，以证明保证金的递交符合文件要求，否则将导致响应无效。若在投标截止时间前没有收到任何形式的投标保证金，则视为自动放弃此次投标。</w:t>
            </w:r>
            <w:r>
              <w:rPr>
                <w:rFonts w:ascii="宋体" w:hAnsi="宋体"/>
                <w:bCs/>
                <w:sz w:val="24"/>
                <w:highlight w:val="none"/>
              </w:rPr>
              <w:t>财务电话：0411-83683835</w:t>
            </w:r>
            <w:r>
              <w:rPr>
                <w:rFonts w:hint="eastAsia" w:ascii="宋体" w:hAnsi="宋体"/>
                <w:bCs/>
                <w:sz w:val="24"/>
                <w:highlight w:val="none"/>
              </w:rPr>
              <w:t>。</w:t>
            </w:r>
          </w:p>
        </w:tc>
      </w:tr>
      <w:tr w14:paraId="629D79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5" w:type="dxa"/>
            <w:vAlign w:val="center"/>
          </w:tcPr>
          <w:p w14:paraId="1A7A5D9E">
            <w:pPr>
              <w:widowControl/>
              <w:snapToGrid w:val="0"/>
              <w:spacing w:line="360" w:lineRule="auto"/>
              <w:contextualSpacing/>
              <w:jc w:val="center"/>
              <w:rPr>
                <w:rFonts w:hint="eastAsia" w:ascii="宋体" w:hAnsi="宋体" w:cs="宋体"/>
                <w:kern w:val="0"/>
                <w:sz w:val="24"/>
                <w:highlight w:val="none"/>
              </w:rPr>
            </w:pPr>
            <w:r>
              <w:rPr>
                <w:rFonts w:hint="eastAsia" w:ascii="宋体" w:hAnsi="宋体" w:cs="宋体"/>
                <w:kern w:val="0"/>
                <w:sz w:val="24"/>
                <w:highlight w:val="none"/>
              </w:rPr>
              <w:t>1</w:t>
            </w:r>
            <w:r>
              <w:rPr>
                <w:rFonts w:ascii="宋体" w:hAnsi="宋体" w:cs="宋体"/>
                <w:kern w:val="0"/>
                <w:sz w:val="24"/>
                <w:highlight w:val="none"/>
              </w:rPr>
              <w:t>5</w:t>
            </w:r>
          </w:p>
        </w:tc>
        <w:tc>
          <w:tcPr>
            <w:tcW w:w="8515" w:type="dxa"/>
            <w:vAlign w:val="center"/>
          </w:tcPr>
          <w:p w14:paraId="6366321D">
            <w:pPr>
              <w:widowControl/>
              <w:tabs>
                <w:tab w:val="left" w:pos="4045"/>
              </w:tabs>
              <w:snapToGrid w:val="0"/>
              <w:spacing w:line="360" w:lineRule="auto"/>
              <w:contextualSpacing/>
              <w:rPr>
                <w:rFonts w:hint="eastAsia" w:ascii="宋体" w:hAnsi="宋体" w:cs="宋体"/>
                <w:kern w:val="0"/>
                <w:sz w:val="24"/>
                <w:highlight w:val="none"/>
              </w:rPr>
            </w:pPr>
            <w:r>
              <w:rPr>
                <w:rFonts w:hint="eastAsia" w:ascii="宋体" w:hAnsi="宋体" w:cs="宋体"/>
                <w:kern w:val="0"/>
                <w:sz w:val="24"/>
                <w:highlight w:val="none"/>
              </w:rPr>
              <w:t>评标办法：综合评分法。评分标准详见附件一。</w:t>
            </w:r>
          </w:p>
        </w:tc>
      </w:tr>
      <w:tr w14:paraId="071DB0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5" w:type="dxa"/>
            <w:vAlign w:val="center"/>
          </w:tcPr>
          <w:p w14:paraId="4E574DB9">
            <w:pPr>
              <w:widowControl/>
              <w:snapToGrid w:val="0"/>
              <w:spacing w:line="360" w:lineRule="auto"/>
              <w:contextualSpacing/>
              <w:jc w:val="center"/>
              <w:rPr>
                <w:rFonts w:hint="eastAsia" w:ascii="宋体" w:hAnsi="宋体" w:cs="宋体"/>
                <w:kern w:val="0"/>
                <w:sz w:val="24"/>
                <w:highlight w:val="none"/>
              </w:rPr>
            </w:pPr>
            <w:r>
              <w:rPr>
                <w:rFonts w:hint="eastAsia" w:ascii="宋体" w:hAnsi="宋体" w:cs="宋体"/>
                <w:kern w:val="0"/>
                <w:sz w:val="24"/>
                <w:highlight w:val="none"/>
              </w:rPr>
              <w:t>1</w:t>
            </w:r>
            <w:r>
              <w:rPr>
                <w:rFonts w:ascii="宋体" w:hAnsi="宋体" w:cs="宋体"/>
                <w:kern w:val="0"/>
                <w:sz w:val="24"/>
                <w:highlight w:val="none"/>
              </w:rPr>
              <w:t>6</w:t>
            </w:r>
          </w:p>
        </w:tc>
        <w:tc>
          <w:tcPr>
            <w:tcW w:w="8515" w:type="dxa"/>
            <w:vAlign w:val="center"/>
          </w:tcPr>
          <w:p w14:paraId="064D8349">
            <w:pPr>
              <w:widowControl/>
              <w:tabs>
                <w:tab w:val="left" w:pos="4045"/>
              </w:tabs>
              <w:snapToGrid w:val="0"/>
              <w:spacing w:line="360" w:lineRule="auto"/>
              <w:contextualSpacing/>
              <w:rPr>
                <w:rFonts w:hint="eastAsia" w:ascii="宋体" w:hAnsi="宋体" w:cs="宋体"/>
                <w:kern w:val="0"/>
                <w:sz w:val="24"/>
                <w:highlight w:val="none"/>
              </w:rPr>
            </w:pPr>
            <w:r>
              <w:rPr>
                <w:rFonts w:hint="eastAsia" w:ascii="宋体" w:hAnsi="宋体" w:cs="宋体"/>
                <w:kern w:val="0"/>
                <w:sz w:val="24"/>
                <w:highlight w:val="none"/>
              </w:rPr>
              <w:t>本项目采购预算：130万元。</w:t>
            </w:r>
          </w:p>
          <w:p w14:paraId="66B22929">
            <w:pPr>
              <w:widowControl/>
              <w:tabs>
                <w:tab w:val="left" w:pos="4045"/>
              </w:tabs>
              <w:snapToGrid w:val="0"/>
              <w:spacing w:line="360" w:lineRule="auto"/>
              <w:contextualSpacing/>
              <w:rPr>
                <w:rFonts w:hint="eastAsia" w:ascii="宋体" w:hAnsi="宋体" w:cs="宋体"/>
                <w:kern w:val="0"/>
                <w:sz w:val="24"/>
                <w:highlight w:val="none"/>
              </w:rPr>
            </w:pPr>
            <w:r>
              <w:rPr>
                <w:rFonts w:hint="eastAsia" w:ascii="宋体" w:hAnsi="宋体" w:cs="宋体"/>
                <w:kern w:val="0"/>
                <w:sz w:val="24"/>
                <w:highlight w:val="none"/>
              </w:rPr>
              <w:t>最高限价：130万元。</w:t>
            </w:r>
          </w:p>
          <w:p w14:paraId="5BE1F916">
            <w:pPr>
              <w:widowControl/>
              <w:snapToGrid w:val="0"/>
              <w:spacing w:line="360" w:lineRule="auto"/>
              <w:contextualSpacing/>
              <w:rPr>
                <w:rFonts w:hint="eastAsia" w:ascii="宋体" w:hAnsi="宋体" w:cs="宋体"/>
                <w:kern w:val="0"/>
                <w:sz w:val="24"/>
                <w:highlight w:val="none"/>
              </w:rPr>
            </w:pPr>
            <w:r>
              <w:rPr>
                <w:rFonts w:hint="eastAsia" w:ascii="宋体" w:hAnsi="宋体" w:cs="宋体"/>
                <w:kern w:val="0"/>
                <w:sz w:val="24"/>
                <w:highlight w:val="none"/>
              </w:rPr>
              <w:t>注：投标报价超过预算、最高限价的，其投标无效。</w:t>
            </w:r>
          </w:p>
        </w:tc>
      </w:tr>
      <w:tr w14:paraId="233263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5" w:type="dxa"/>
            <w:vAlign w:val="center"/>
          </w:tcPr>
          <w:p w14:paraId="18FA0A53">
            <w:pPr>
              <w:widowControl/>
              <w:snapToGrid w:val="0"/>
              <w:spacing w:line="360" w:lineRule="auto"/>
              <w:contextualSpacing/>
              <w:jc w:val="center"/>
              <w:rPr>
                <w:rFonts w:hint="eastAsia" w:ascii="宋体" w:hAnsi="宋体" w:cs="宋体"/>
                <w:kern w:val="0"/>
                <w:sz w:val="24"/>
                <w:highlight w:val="none"/>
              </w:rPr>
            </w:pPr>
            <w:r>
              <w:rPr>
                <w:rFonts w:hint="eastAsia" w:ascii="宋体" w:hAnsi="宋体" w:cs="宋体"/>
                <w:kern w:val="0"/>
                <w:sz w:val="24"/>
                <w:highlight w:val="none"/>
              </w:rPr>
              <w:t>1</w:t>
            </w:r>
            <w:r>
              <w:rPr>
                <w:rFonts w:ascii="宋体" w:hAnsi="宋体" w:cs="宋体"/>
                <w:kern w:val="0"/>
                <w:sz w:val="24"/>
                <w:highlight w:val="none"/>
              </w:rPr>
              <w:t>7</w:t>
            </w:r>
          </w:p>
        </w:tc>
        <w:tc>
          <w:tcPr>
            <w:tcW w:w="8515" w:type="dxa"/>
            <w:vAlign w:val="center"/>
          </w:tcPr>
          <w:p w14:paraId="4B6AD80F">
            <w:pPr>
              <w:widowControl/>
              <w:tabs>
                <w:tab w:val="left" w:pos="4045"/>
              </w:tabs>
              <w:snapToGrid w:val="0"/>
              <w:spacing w:line="360" w:lineRule="auto"/>
              <w:contextualSpacing/>
              <w:rPr>
                <w:rFonts w:hint="eastAsia" w:ascii="宋体" w:hAnsi="宋体" w:cs="宋体"/>
                <w:bCs/>
                <w:kern w:val="0"/>
                <w:sz w:val="24"/>
                <w:highlight w:val="none"/>
              </w:rPr>
            </w:pPr>
            <w:r>
              <w:rPr>
                <w:rFonts w:hint="eastAsia" w:ascii="宋体" w:hAnsi="宋体" w:cs="宋体"/>
                <w:bCs/>
                <w:kern w:val="0"/>
                <w:sz w:val="24"/>
                <w:highlight w:val="none"/>
              </w:rPr>
              <w:t>特殊说明：</w:t>
            </w:r>
          </w:p>
          <w:p w14:paraId="5CEFA358">
            <w:pPr>
              <w:widowControl/>
              <w:tabs>
                <w:tab w:val="left" w:pos="4045"/>
              </w:tabs>
              <w:snapToGrid w:val="0"/>
              <w:spacing w:line="360" w:lineRule="auto"/>
              <w:contextualSpacing/>
              <w:rPr>
                <w:rFonts w:hint="eastAsia" w:ascii="宋体" w:hAnsi="宋体" w:cs="宋体"/>
                <w:bCs/>
                <w:kern w:val="0"/>
                <w:sz w:val="24"/>
                <w:highlight w:val="none"/>
              </w:rPr>
            </w:pPr>
            <w:r>
              <w:rPr>
                <w:rFonts w:hint="eastAsia" w:ascii="宋体" w:hAnsi="宋体" w:cs="宋体"/>
                <w:bCs/>
                <w:kern w:val="0"/>
                <w:sz w:val="24"/>
                <w:highlight w:val="none"/>
              </w:rPr>
              <w:t>1.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p>
          <w:p w14:paraId="705A5662">
            <w:pPr>
              <w:widowControl/>
              <w:snapToGrid w:val="0"/>
              <w:spacing w:line="360" w:lineRule="auto"/>
              <w:jc w:val="left"/>
              <w:textAlignment w:val="center"/>
              <w:rPr>
                <w:rFonts w:hint="eastAsia" w:ascii="宋体" w:hAnsi="宋体" w:cs="宋体"/>
                <w:bCs/>
                <w:kern w:val="0"/>
                <w:sz w:val="24"/>
                <w:highlight w:val="none"/>
              </w:rPr>
            </w:pPr>
            <w:r>
              <w:rPr>
                <w:rFonts w:hint="eastAsia" w:ascii="宋体" w:hAnsi="宋体" w:cs="宋体"/>
                <w:bCs/>
                <w:kern w:val="0"/>
                <w:sz w:val="24"/>
                <w:highlight w:val="none"/>
              </w:rPr>
              <w:t>2.非单一产品采购项目，采购人应当根据采购项目技术构成、产品价格比重等合理确定核心产品，本项目以</w:t>
            </w:r>
            <w:r>
              <w:rPr>
                <w:rFonts w:hint="eastAsia" w:ascii="宋体" w:hAnsi="宋体" w:cs="宋体"/>
                <w:b/>
                <w:bCs/>
                <w:kern w:val="0"/>
                <w:sz w:val="24"/>
                <w:highlight w:val="none"/>
              </w:rPr>
              <w:t>“PEM/AEM水电解制氢实验教学系统”</w:t>
            </w:r>
            <w:r>
              <w:rPr>
                <w:rFonts w:hint="eastAsia" w:ascii="宋体" w:hAnsi="宋体" w:cs="宋体"/>
                <w:bCs/>
                <w:kern w:val="0"/>
                <w:sz w:val="24"/>
                <w:highlight w:val="none"/>
              </w:rPr>
              <w:t>为核心产品，据此判定不同投标人是否为相同品牌投标。</w:t>
            </w:r>
          </w:p>
          <w:p w14:paraId="54B0F1A0">
            <w:pPr>
              <w:widowControl/>
              <w:snapToGrid w:val="0"/>
              <w:spacing w:line="360" w:lineRule="auto"/>
              <w:jc w:val="left"/>
              <w:textAlignment w:val="center"/>
              <w:rPr>
                <w:rFonts w:hint="eastAsia" w:ascii="宋体" w:hAnsi="宋体" w:cs="宋体"/>
                <w:bCs/>
                <w:kern w:val="0"/>
                <w:sz w:val="24"/>
                <w:highlight w:val="none"/>
              </w:rPr>
            </w:pPr>
            <w:r>
              <w:rPr>
                <w:rFonts w:hint="eastAsia" w:ascii="宋体" w:hAnsi="宋体" w:cs="宋体"/>
                <w:b/>
                <w:kern w:val="0"/>
                <w:sz w:val="24"/>
                <w:highlight w:val="none"/>
              </w:rPr>
              <w:t>注：多个投标人所投所有“核心产品”品牌均相同时，认定为“相同品牌”投标人。</w:t>
            </w:r>
          </w:p>
        </w:tc>
      </w:tr>
      <w:tr w14:paraId="093544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5" w:type="dxa"/>
            <w:vAlign w:val="center"/>
          </w:tcPr>
          <w:p w14:paraId="5F0F31C8">
            <w:pPr>
              <w:widowControl/>
              <w:snapToGrid w:val="0"/>
              <w:spacing w:line="360" w:lineRule="auto"/>
              <w:contextualSpacing/>
              <w:jc w:val="center"/>
              <w:rPr>
                <w:rFonts w:hint="eastAsia" w:ascii="宋体" w:hAnsi="宋体" w:cs="宋体"/>
                <w:kern w:val="0"/>
                <w:sz w:val="24"/>
                <w:highlight w:val="none"/>
              </w:rPr>
            </w:pPr>
            <w:r>
              <w:rPr>
                <w:rFonts w:hint="eastAsia" w:ascii="宋体" w:hAnsi="宋体" w:cs="宋体"/>
                <w:kern w:val="0"/>
                <w:sz w:val="24"/>
                <w:highlight w:val="none"/>
              </w:rPr>
              <w:t>1</w:t>
            </w:r>
            <w:r>
              <w:rPr>
                <w:rFonts w:ascii="宋体" w:hAnsi="宋体" w:cs="宋体"/>
                <w:kern w:val="0"/>
                <w:sz w:val="24"/>
                <w:highlight w:val="none"/>
              </w:rPr>
              <w:t>8</w:t>
            </w:r>
          </w:p>
        </w:tc>
        <w:tc>
          <w:tcPr>
            <w:tcW w:w="8515" w:type="dxa"/>
            <w:vAlign w:val="center"/>
          </w:tcPr>
          <w:p w14:paraId="64F59EBE">
            <w:pPr>
              <w:widowControl/>
              <w:tabs>
                <w:tab w:val="left" w:pos="4045"/>
              </w:tabs>
              <w:snapToGrid w:val="0"/>
              <w:spacing w:line="360" w:lineRule="auto"/>
              <w:contextualSpacing/>
              <w:rPr>
                <w:rFonts w:hint="eastAsia" w:ascii="宋体" w:hAnsi="宋体" w:cs="宋体"/>
                <w:bCs/>
                <w:kern w:val="0"/>
                <w:sz w:val="24"/>
                <w:highlight w:val="none"/>
              </w:rPr>
            </w:pPr>
            <w:r>
              <w:rPr>
                <w:rFonts w:hint="eastAsia" w:ascii="宋体" w:hAnsi="宋体" w:cs="宋体"/>
                <w:b/>
                <w:bCs/>
                <w:kern w:val="0"/>
                <w:sz w:val="24"/>
                <w:highlight w:val="none"/>
              </w:rPr>
              <w:t>1.采购标的对应的中小企业划分标准所属企业：工业</w:t>
            </w:r>
            <w:r>
              <w:rPr>
                <w:rFonts w:hint="eastAsia" w:ascii="宋体" w:hAnsi="宋体" w:cs="宋体"/>
                <w:b/>
                <w:bCs/>
                <w:kern w:val="0"/>
                <w:sz w:val="24"/>
                <w:highlight w:val="none"/>
                <w:lang w:eastAsia="zh-CN"/>
              </w:rPr>
              <w:t>（</w:t>
            </w:r>
            <w:r>
              <w:rPr>
                <w:rFonts w:hint="eastAsia" w:ascii="宋体" w:hAnsi="宋体" w:cs="宋体"/>
                <w:b/>
                <w:bCs/>
                <w:kern w:val="0"/>
                <w:sz w:val="24"/>
                <w:highlight w:val="none"/>
              </w:rPr>
              <w:t>包括采矿业，制造业，电力、热力、燃气及水生产和供应业</w:t>
            </w:r>
            <w:r>
              <w:rPr>
                <w:rFonts w:hint="eastAsia" w:ascii="宋体" w:hAnsi="宋体" w:cs="宋体"/>
                <w:b/>
                <w:bCs/>
                <w:kern w:val="0"/>
                <w:sz w:val="24"/>
                <w:highlight w:val="none"/>
                <w:lang w:eastAsia="zh-CN"/>
              </w:rPr>
              <w:t>）</w:t>
            </w:r>
            <w:r>
              <w:rPr>
                <w:rFonts w:hint="eastAsia" w:ascii="宋体" w:hAnsi="宋体" w:cs="宋体"/>
                <w:b/>
                <w:bCs/>
                <w:kern w:val="0"/>
                <w:sz w:val="24"/>
                <w:highlight w:val="none"/>
              </w:rPr>
              <w:t>。</w:t>
            </w:r>
          </w:p>
          <w:p w14:paraId="3DD7DE1A">
            <w:pPr>
              <w:widowControl/>
              <w:tabs>
                <w:tab w:val="left" w:pos="4045"/>
              </w:tabs>
              <w:snapToGrid w:val="0"/>
              <w:spacing w:line="360" w:lineRule="auto"/>
              <w:contextualSpacing/>
              <w:rPr>
                <w:rFonts w:hint="eastAsia" w:ascii="宋体" w:hAnsi="宋体" w:cs="宋体"/>
                <w:bCs/>
                <w:kern w:val="0"/>
                <w:sz w:val="24"/>
                <w:highlight w:val="none"/>
              </w:rPr>
            </w:pPr>
            <w:r>
              <w:rPr>
                <w:rFonts w:ascii="宋体" w:hAnsi="宋体" w:cs="宋体"/>
                <w:bCs/>
                <w:kern w:val="0"/>
                <w:sz w:val="24"/>
                <w:highlight w:val="none"/>
              </w:rPr>
              <w:t>2.根据财政部发布的《政府采购促进中小企业发展管理办法》规定，本项目为预留份额专门面向中小企业采购项目。</w:t>
            </w:r>
          </w:p>
          <w:p w14:paraId="1D7067AF">
            <w:pPr>
              <w:widowControl/>
              <w:tabs>
                <w:tab w:val="left" w:pos="4045"/>
              </w:tabs>
              <w:snapToGrid w:val="0"/>
              <w:spacing w:line="360" w:lineRule="auto"/>
              <w:contextualSpacing/>
              <w:rPr>
                <w:rFonts w:hint="eastAsia" w:ascii="宋体" w:hAnsi="宋体" w:cs="宋体"/>
                <w:bCs/>
                <w:kern w:val="0"/>
                <w:sz w:val="24"/>
                <w:highlight w:val="none"/>
              </w:rPr>
            </w:pPr>
            <w:r>
              <w:rPr>
                <w:rFonts w:ascii="宋体" w:hAnsi="宋体" w:cs="宋体"/>
                <w:bCs/>
                <w:kern w:val="0"/>
                <w:sz w:val="24"/>
                <w:highlight w:val="none"/>
              </w:rPr>
              <w:t>3.根据财政部发布的《关于政府采购支持监狱企业发展有关问题的通知》规定，在政府采购活动中，监狱企业视同小型、微型企业。</w:t>
            </w:r>
          </w:p>
          <w:p w14:paraId="7C466F0D">
            <w:pPr>
              <w:widowControl/>
              <w:tabs>
                <w:tab w:val="left" w:pos="4045"/>
              </w:tabs>
              <w:snapToGrid w:val="0"/>
              <w:spacing w:line="360" w:lineRule="auto"/>
              <w:contextualSpacing/>
              <w:rPr>
                <w:rFonts w:hint="eastAsia" w:ascii="宋体" w:hAnsi="宋体" w:cs="宋体"/>
                <w:bCs/>
                <w:kern w:val="0"/>
                <w:sz w:val="24"/>
                <w:highlight w:val="none"/>
              </w:rPr>
            </w:pPr>
            <w:r>
              <w:rPr>
                <w:rFonts w:ascii="宋体" w:hAnsi="宋体" w:cs="宋体"/>
                <w:bCs/>
                <w:kern w:val="0"/>
                <w:sz w:val="24"/>
                <w:highlight w:val="none"/>
              </w:rPr>
              <w:t>4.根据财政部发布的《关于促进残疾人就业政府采购政策的通知》规定，在政府采购活动中，残疾人福利性单位视同小型、微型企业，残疾人福利性单位属于小型、微型企业的，不重复享受政策。</w:t>
            </w:r>
          </w:p>
          <w:p w14:paraId="351F34B1">
            <w:pPr>
              <w:widowControl/>
              <w:tabs>
                <w:tab w:val="left" w:pos="4045"/>
              </w:tabs>
              <w:snapToGrid w:val="0"/>
              <w:spacing w:line="360" w:lineRule="auto"/>
              <w:contextualSpacing/>
              <w:rPr>
                <w:rFonts w:hint="eastAsia" w:ascii="宋体" w:hAnsi="宋体" w:cs="宋体"/>
                <w:bCs/>
                <w:kern w:val="0"/>
                <w:sz w:val="24"/>
                <w:highlight w:val="none"/>
              </w:rPr>
            </w:pPr>
            <w:r>
              <w:rPr>
                <w:rFonts w:ascii="宋体" w:hAnsi="宋体" w:cs="宋体"/>
                <w:bCs/>
                <w:kern w:val="0"/>
                <w:sz w:val="24"/>
                <w:highlight w:val="none"/>
              </w:rPr>
              <w:t>注：中小微企业均须供应商提供《中小企业声明函》；监狱企业须供应商提供由省级以上监狱管理局、戒毒管理局（含新疆生产建设兵团）出具的属于监狱企业的证明文件</w:t>
            </w:r>
            <w:r>
              <w:rPr>
                <w:rFonts w:hint="eastAsia" w:ascii="宋体" w:hAnsi="宋体" w:cs="宋体"/>
                <w:bCs/>
                <w:kern w:val="0"/>
                <w:sz w:val="24"/>
                <w:highlight w:val="none"/>
              </w:rPr>
              <w:t>；</w:t>
            </w:r>
            <w:r>
              <w:rPr>
                <w:rFonts w:ascii="宋体" w:hAnsi="宋体" w:cs="宋体"/>
                <w:bCs/>
                <w:kern w:val="0"/>
                <w:sz w:val="24"/>
                <w:highlight w:val="none"/>
              </w:rPr>
              <w:t>残疾人企业提供《残疾人福利性单位声明函》</w:t>
            </w:r>
            <w:r>
              <w:rPr>
                <w:rFonts w:hint="eastAsia" w:ascii="宋体" w:hAnsi="宋体" w:cs="宋体"/>
                <w:bCs/>
                <w:kern w:val="0"/>
                <w:sz w:val="24"/>
                <w:highlight w:val="none"/>
              </w:rPr>
              <w:t>，</w:t>
            </w:r>
            <w:r>
              <w:rPr>
                <w:rFonts w:ascii="宋体" w:hAnsi="宋体" w:cs="宋体"/>
                <w:bCs/>
                <w:kern w:val="0"/>
                <w:sz w:val="24"/>
                <w:highlight w:val="none"/>
              </w:rPr>
              <w:t>否则不予认定。</w:t>
            </w:r>
          </w:p>
        </w:tc>
      </w:tr>
      <w:tr w14:paraId="318078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5" w:type="dxa"/>
            <w:vAlign w:val="center"/>
          </w:tcPr>
          <w:p w14:paraId="5B9529F9">
            <w:pPr>
              <w:widowControl/>
              <w:snapToGrid w:val="0"/>
              <w:spacing w:line="360" w:lineRule="auto"/>
              <w:contextualSpacing/>
              <w:jc w:val="center"/>
              <w:rPr>
                <w:rFonts w:hint="eastAsia" w:ascii="宋体" w:hAnsi="宋体" w:cs="宋体"/>
                <w:kern w:val="0"/>
                <w:sz w:val="24"/>
                <w:highlight w:val="none"/>
              </w:rPr>
            </w:pPr>
            <w:r>
              <w:rPr>
                <w:rFonts w:hint="eastAsia" w:ascii="宋体" w:hAnsi="宋体" w:cs="宋体"/>
                <w:kern w:val="0"/>
                <w:sz w:val="24"/>
                <w:highlight w:val="none"/>
              </w:rPr>
              <w:t>19</w:t>
            </w:r>
          </w:p>
        </w:tc>
        <w:tc>
          <w:tcPr>
            <w:tcW w:w="8515" w:type="dxa"/>
          </w:tcPr>
          <w:p w14:paraId="04781C7D">
            <w:pPr>
              <w:snapToGrid w:val="0"/>
              <w:spacing w:line="360" w:lineRule="auto"/>
              <w:rPr>
                <w:rFonts w:hint="eastAsia" w:ascii="宋体" w:hAnsi="宋体" w:cs="宋体"/>
                <w:b/>
                <w:bCs/>
                <w:kern w:val="0"/>
                <w:sz w:val="24"/>
                <w:highlight w:val="none"/>
              </w:rPr>
            </w:pPr>
            <w:r>
              <w:rPr>
                <w:rFonts w:hint="eastAsia" w:ascii="宋体" w:hAnsi="宋体" w:cs="宋体"/>
                <w:b/>
                <w:bCs/>
                <w:kern w:val="0"/>
                <w:sz w:val="24"/>
                <w:highlight w:val="none"/>
              </w:rPr>
              <w:t>节能环保政策：</w:t>
            </w:r>
          </w:p>
          <w:p w14:paraId="0EE99186">
            <w:pPr>
              <w:snapToGrid w:val="0"/>
              <w:spacing w:line="360" w:lineRule="auto"/>
              <w:rPr>
                <w:rFonts w:hint="eastAsia" w:ascii="宋体" w:hAnsi="宋体" w:cs="宋体"/>
                <w:kern w:val="0"/>
                <w:sz w:val="24"/>
                <w:highlight w:val="none"/>
              </w:rPr>
            </w:pPr>
            <w:r>
              <w:rPr>
                <w:rFonts w:ascii="宋体" w:hAnsi="宋体" w:cs="宋体"/>
                <w:kern w:val="0"/>
                <w:sz w:val="24"/>
                <w:highlight w:val="none"/>
              </w:rPr>
              <w:t>采购人采购的产品如果是政府采购强制采购范围内的（详见《关于印发节能产品政府采购品目清单的通知》财库〔2019〕19号），供应商必须提供经国家确定的认证机构（市场监管总局关于发布参与实施政府采购节能产品、环境标志产品认证机构名录的公告〔2019年第16号〕）出具的、处于有效期之内的认证证书复印件，否则响应无效。采购人采购的产品如属于政府采购优先采购范围内的（详见财库〔2019〕18号、19号），供应商提供经国家确定的认证机构（市场监管总局 2019 年第 16 号）出具的、处于有效期之内的认证证书复印件或法定信息发布平台公布的认证信息截图证明材料，享受优先采购政策（具体详见评分标准）。对于同属于节能产品和环境标志产品的，可以分别享受优先采购政策。</w:t>
            </w:r>
          </w:p>
        </w:tc>
      </w:tr>
      <w:tr w14:paraId="23B3ED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5" w:type="dxa"/>
            <w:vAlign w:val="center"/>
          </w:tcPr>
          <w:p w14:paraId="28940BC6">
            <w:pPr>
              <w:widowControl/>
              <w:snapToGrid w:val="0"/>
              <w:spacing w:line="360" w:lineRule="auto"/>
              <w:contextualSpacing/>
              <w:jc w:val="center"/>
              <w:rPr>
                <w:rFonts w:hint="eastAsia" w:ascii="宋体" w:hAnsi="宋体" w:cs="宋体"/>
                <w:kern w:val="0"/>
                <w:sz w:val="24"/>
                <w:highlight w:val="none"/>
              </w:rPr>
            </w:pPr>
            <w:r>
              <w:rPr>
                <w:rFonts w:hint="eastAsia" w:ascii="宋体" w:hAnsi="宋体" w:cs="宋体"/>
                <w:kern w:val="0"/>
                <w:sz w:val="24"/>
                <w:highlight w:val="none"/>
              </w:rPr>
              <w:t>20</w:t>
            </w:r>
          </w:p>
        </w:tc>
        <w:tc>
          <w:tcPr>
            <w:tcW w:w="8515" w:type="dxa"/>
          </w:tcPr>
          <w:p w14:paraId="529470B0">
            <w:pPr>
              <w:snapToGrid w:val="0"/>
              <w:spacing w:line="360" w:lineRule="auto"/>
              <w:rPr>
                <w:rFonts w:hint="eastAsia" w:ascii="宋体" w:hAnsi="宋体" w:cs="宋体"/>
                <w:kern w:val="0"/>
                <w:sz w:val="24"/>
                <w:highlight w:val="none"/>
              </w:rPr>
            </w:pPr>
            <w:r>
              <w:rPr>
                <w:rFonts w:hint="eastAsia" w:ascii="宋体" w:hAnsi="宋体" w:cs="宋体"/>
                <w:kern w:val="0"/>
                <w:sz w:val="24"/>
                <w:highlight w:val="none"/>
              </w:rPr>
              <w:t>投标人应保证提供的产品均来源于正规厂家，并且是全新的合格产品。如提供的产品经采购人或相关部门检验不合格，所产生的一切后果由投标人自行承担，并追究其相关责任。</w:t>
            </w:r>
          </w:p>
        </w:tc>
      </w:tr>
      <w:tr w14:paraId="502ED5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9" w:hRule="exact"/>
          <w:jc w:val="center"/>
        </w:trPr>
        <w:tc>
          <w:tcPr>
            <w:tcW w:w="705" w:type="dxa"/>
            <w:vAlign w:val="center"/>
          </w:tcPr>
          <w:p w14:paraId="48BA61DA">
            <w:pPr>
              <w:widowControl/>
              <w:snapToGrid w:val="0"/>
              <w:spacing w:line="360" w:lineRule="auto"/>
              <w:contextualSpacing/>
              <w:jc w:val="center"/>
              <w:rPr>
                <w:rFonts w:hint="eastAsia" w:ascii="宋体" w:hAnsi="宋体" w:cs="宋体"/>
                <w:kern w:val="0"/>
                <w:sz w:val="24"/>
                <w:highlight w:val="none"/>
              </w:rPr>
            </w:pPr>
            <w:r>
              <w:rPr>
                <w:rFonts w:hint="eastAsia" w:ascii="宋体" w:hAnsi="宋体" w:cs="宋体"/>
                <w:kern w:val="0"/>
                <w:sz w:val="24"/>
                <w:highlight w:val="none"/>
              </w:rPr>
              <w:t>21</w:t>
            </w:r>
          </w:p>
        </w:tc>
        <w:tc>
          <w:tcPr>
            <w:tcW w:w="8515" w:type="dxa"/>
          </w:tcPr>
          <w:p w14:paraId="3148C51C">
            <w:pPr>
              <w:widowControl/>
              <w:snapToGrid w:val="0"/>
              <w:spacing w:line="360" w:lineRule="auto"/>
              <w:contextualSpacing/>
              <w:rPr>
                <w:rFonts w:hint="eastAsia" w:ascii="宋体" w:hAnsi="宋体" w:cs="宋体"/>
                <w:kern w:val="0"/>
                <w:sz w:val="24"/>
                <w:highlight w:val="none"/>
              </w:rPr>
            </w:pPr>
            <w:r>
              <w:rPr>
                <w:rFonts w:hint="eastAsia" w:ascii="宋体" w:hAnsi="宋体" w:cs="宋体"/>
                <w:kern w:val="0"/>
                <w:sz w:val="24"/>
                <w:highlight w:val="none"/>
              </w:rPr>
              <w:t>1.合同计价方式：</w:t>
            </w:r>
          </w:p>
          <w:p w14:paraId="4FBE7FA3">
            <w:pPr>
              <w:pStyle w:val="45"/>
              <w:snapToGrid w:val="0"/>
              <w:spacing w:line="360" w:lineRule="auto"/>
              <w:rPr>
                <w:rFonts w:hint="eastAsia" w:hAnsi="宋体" w:cs="宋体"/>
                <w:b/>
                <w:bCs/>
                <w:kern w:val="0"/>
                <w:sz w:val="24"/>
                <w:szCs w:val="24"/>
                <w:highlight w:val="none"/>
              </w:rPr>
            </w:pPr>
            <w:bookmarkStart w:id="51" w:name="_Hlk111289395"/>
            <w:r>
              <w:rPr>
                <w:rFonts w:hint="eastAsia" w:hAnsi="宋体" w:cs="宋体"/>
                <w:kern w:val="0"/>
                <w:sz w:val="24"/>
                <w:szCs w:val="24"/>
                <w:highlight w:val="none"/>
              </w:rPr>
              <w:t>本项目采用固定总价合同，投标报价为与项目有关的开发、设计、人员、税金、保险、培训、代理服务费等所有费用的报价。</w:t>
            </w:r>
            <w:bookmarkEnd w:id="51"/>
            <w:r>
              <w:rPr>
                <w:rFonts w:hint="eastAsia" w:hAnsi="宋体" w:cs="宋体"/>
                <w:kern w:val="0"/>
                <w:sz w:val="24"/>
                <w:szCs w:val="24"/>
                <w:highlight w:val="none"/>
              </w:rPr>
              <w:t>该报价应包括：全部货物和服务的人员费用、深化设计、设计审核、材料费、加工费、零配件购置费、现场监造费、出厂验收费、安装费、运输费、保险费、有关部门检测验收费、售后技术服务、必不可少的部件、标准备件、专用工具、踏勘费及相关专业配合等费用。投标人还应充分考虑水、电及与本项目有关的其他一切费用，一并报入综合单价中，采购人不再支付除合同价款以外的任何费用。</w:t>
            </w:r>
          </w:p>
          <w:p w14:paraId="5A338075">
            <w:pPr>
              <w:snapToGrid w:val="0"/>
              <w:spacing w:line="360" w:lineRule="auto"/>
              <w:contextualSpacing/>
              <w:rPr>
                <w:highlight w:val="none"/>
              </w:rPr>
            </w:pPr>
            <w:r>
              <w:rPr>
                <w:rFonts w:hint="eastAsia" w:ascii="宋体" w:hAnsi="宋体" w:cs="宋体"/>
                <w:kern w:val="0"/>
                <w:sz w:val="24"/>
                <w:highlight w:val="none"/>
              </w:rPr>
              <w:t>2.投标报价表中标明的价格在合同执行过程中是固定不变的，不得以任何理由予以变更。投标人在报价时应充分考虑本次招标的各种风险（包括漏项风险），在合同执行期间中标价不再实行政策性调整和变动。以可调整的价格提交的投标将作为非实质性响应投标而予以拒绝。</w:t>
            </w:r>
          </w:p>
          <w:p w14:paraId="04D3E618">
            <w:pPr>
              <w:snapToGrid w:val="0"/>
              <w:contextualSpacing/>
              <w:rPr>
                <w:highlight w:val="none"/>
              </w:rPr>
            </w:pPr>
          </w:p>
        </w:tc>
      </w:tr>
      <w:tr w14:paraId="438631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5" w:type="dxa"/>
            <w:vAlign w:val="center"/>
          </w:tcPr>
          <w:p w14:paraId="2FB4EA81">
            <w:pPr>
              <w:widowControl/>
              <w:snapToGrid w:val="0"/>
              <w:spacing w:line="360" w:lineRule="auto"/>
              <w:contextualSpacing/>
              <w:jc w:val="center"/>
              <w:rPr>
                <w:rFonts w:hint="eastAsia" w:ascii="宋体" w:hAnsi="宋体" w:cs="宋体"/>
                <w:kern w:val="0"/>
                <w:sz w:val="24"/>
                <w:highlight w:val="none"/>
              </w:rPr>
            </w:pPr>
            <w:r>
              <w:rPr>
                <w:rFonts w:hint="eastAsia" w:ascii="宋体" w:hAnsi="宋体" w:cs="宋体"/>
                <w:kern w:val="0"/>
                <w:sz w:val="24"/>
                <w:highlight w:val="none"/>
              </w:rPr>
              <w:t>22</w:t>
            </w:r>
          </w:p>
        </w:tc>
        <w:tc>
          <w:tcPr>
            <w:tcW w:w="8515" w:type="dxa"/>
            <w:vAlign w:val="center"/>
          </w:tcPr>
          <w:p w14:paraId="4A951175">
            <w:pPr>
              <w:snapToGrid w:val="0"/>
              <w:spacing w:line="360" w:lineRule="auto"/>
              <w:contextualSpacing/>
              <w:rPr>
                <w:sz w:val="24"/>
                <w:highlight w:val="none"/>
              </w:rPr>
            </w:pPr>
            <w:r>
              <w:rPr>
                <w:rFonts w:hint="eastAsia" w:ascii="宋体" w:hAnsi="宋体"/>
                <w:sz w:val="24"/>
                <w:highlight w:val="none"/>
              </w:rPr>
              <w:t>★</w:t>
            </w:r>
            <w:r>
              <w:rPr>
                <w:rFonts w:hint="eastAsia"/>
                <w:sz w:val="24"/>
                <w:highlight w:val="none"/>
              </w:rPr>
              <w:t>付款方式：</w:t>
            </w:r>
          </w:p>
          <w:p w14:paraId="53CB90FE">
            <w:pPr>
              <w:widowControl/>
              <w:spacing w:line="360" w:lineRule="auto"/>
              <w:jc w:val="left"/>
              <w:rPr>
                <w:sz w:val="24"/>
                <w:szCs w:val="32"/>
                <w:highlight w:val="none"/>
              </w:rPr>
            </w:pPr>
            <w:r>
              <w:rPr>
                <w:rFonts w:hint="eastAsia"/>
                <w:sz w:val="24"/>
                <w:szCs w:val="32"/>
                <w:highlight w:val="none"/>
              </w:rPr>
              <w:t>合同签订后，中标人向采购人开具合同总金额100%的预付款保函，采购人收到预付款保函后，向中标人一次性支付合同全款作为预付款。货到采购人指定地点后，中标人向采购人开具合同总金额10%的履约保函，采购人验收合格后退回预付款保函。预付款保函和履约保函必须为银行见索即付独立保函。预付款保函有效期覆盖供货期和验收期，履约保函有效期覆盖质保期第一年。如履约期间因特殊原因导致保函有效期不满足上述条件，中标人应无条件办理保函展期，直至满足条件为止。</w:t>
            </w:r>
          </w:p>
        </w:tc>
      </w:tr>
      <w:tr w14:paraId="36095C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5" w:type="dxa"/>
            <w:vAlign w:val="center"/>
          </w:tcPr>
          <w:p w14:paraId="0E312A91">
            <w:pPr>
              <w:widowControl/>
              <w:snapToGrid w:val="0"/>
              <w:spacing w:line="360" w:lineRule="auto"/>
              <w:contextualSpacing/>
              <w:jc w:val="center"/>
              <w:rPr>
                <w:rFonts w:hint="eastAsia" w:ascii="宋体" w:hAnsi="宋体" w:cs="宋体"/>
                <w:kern w:val="0"/>
                <w:sz w:val="24"/>
                <w:highlight w:val="none"/>
              </w:rPr>
            </w:pPr>
            <w:r>
              <w:rPr>
                <w:rFonts w:hint="eastAsia" w:ascii="宋体" w:hAnsi="宋体" w:cs="宋体"/>
                <w:kern w:val="0"/>
                <w:sz w:val="24"/>
                <w:highlight w:val="none"/>
              </w:rPr>
              <w:t>23</w:t>
            </w:r>
          </w:p>
        </w:tc>
        <w:tc>
          <w:tcPr>
            <w:tcW w:w="8515" w:type="dxa"/>
          </w:tcPr>
          <w:p w14:paraId="0F3AACC8">
            <w:pPr>
              <w:snapToGrid w:val="0"/>
              <w:spacing w:line="360" w:lineRule="auto"/>
              <w:rPr>
                <w:rFonts w:hint="eastAsia" w:ascii="宋体" w:hAnsi="宋体" w:cs="宋体"/>
                <w:kern w:val="0"/>
                <w:sz w:val="24"/>
                <w:highlight w:val="none"/>
              </w:rPr>
            </w:pPr>
            <w:r>
              <w:rPr>
                <w:rFonts w:hint="eastAsia" w:ascii="宋体" w:hAnsi="宋体" w:cs="宋体"/>
                <w:kern w:val="0"/>
                <w:sz w:val="24"/>
                <w:highlight w:val="none"/>
              </w:rPr>
              <w:t>1．投标人认为招标文件、招标过程、中标结果使得自己的权益受到损害的，可以在知道或者应知其权益受到损害之日起7个工作日内，以书面形式向采购人、采购代理机构提出质疑。</w:t>
            </w:r>
            <w:r>
              <w:rPr>
                <w:rFonts w:hint="eastAsia" w:ascii="宋体" w:hAnsi="宋体" w:cs="宋体"/>
                <w:b/>
                <w:bCs/>
                <w:kern w:val="0"/>
                <w:sz w:val="24"/>
                <w:highlight w:val="none"/>
              </w:rPr>
              <w:t>投标人在法定质疑期内须一次性提出针对同一采购程序环节的质疑，重复针对同一采购程序环节提出的质疑将不予受理。</w:t>
            </w:r>
          </w:p>
          <w:p w14:paraId="59033FA9">
            <w:pPr>
              <w:snapToGrid w:val="0"/>
              <w:spacing w:line="360" w:lineRule="auto"/>
              <w:rPr>
                <w:rFonts w:hint="eastAsia" w:ascii="宋体" w:hAnsi="宋体" w:cs="宋体"/>
                <w:kern w:val="0"/>
                <w:sz w:val="24"/>
                <w:highlight w:val="none"/>
              </w:rPr>
            </w:pPr>
            <w:r>
              <w:rPr>
                <w:rFonts w:hint="eastAsia" w:ascii="宋体" w:hAnsi="宋体" w:cs="宋体"/>
                <w:kern w:val="0"/>
                <w:sz w:val="24"/>
                <w:highlight w:val="none"/>
              </w:rPr>
              <w:t>2.投标人提出质疑应当提交质疑函和必要的证明材料。质疑函应当包括下列内容：</w:t>
            </w:r>
          </w:p>
          <w:p w14:paraId="6CAE096A">
            <w:pPr>
              <w:snapToGrid w:val="0"/>
              <w:spacing w:line="360" w:lineRule="auto"/>
              <w:rPr>
                <w:rFonts w:hint="eastAsia" w:ascii="宋体" w:hAnsi="宋体" w:cs="宋体"/>
                <w:kern w:val="0"/>
                <w:sz w:val="24"/>
                <w:highlight w:val="none"/>
              </w:rPr>
            </w:pPr>
            <w:r>
              <w:rPr>
                <w:rFonts w:hint="eastAsia" w:ascii="宋体" w:hAnsi="宋体" w:cs="宋体"/>
                <w:kern w:val="0"/>
                <w:sz w:val="24"/>
                <w:highlight w:val="none"/>
              </w:rPr>
              <w:t>（1）投标人的姓名或者名称、地址、邮编、联系人及联系电话；</w:t>
            </w:r>
          </w:p>
          <w:p w14:paraId="6BAC0B3C">
            <w:pPr>
              <w:snapToGrid w:val="0"/>
              <w:spacing w:line="360" w:lineRule="auto"/>
              <w:rPr>
                <w:rFonts w:hint="eastAsia" w:ascii="宋体" w:hAnsi="宋体" w:cs="宋体"/>
                <w:kern w:val="0"/>
                <w:sz w:val="24"/>
                <w:highlight w:val="none"/>
              </w:rPr>
            </w:pPr>
            <w:r>
              <w:rPr>
                <w:rFonts w:hint="eastAsia" w:ascii="宋体" w:hAnsi="宋体" w:cs="宋体"/>
                <w:kern w:val="0"/>
                <w:sz w:val="24"/>
                <w:highlight w:val="none"/>
              </w:rPr>
              <w:t>（2）质疑项目的名称、编号；</w:t>
            </w:r>
          </w:p>
          <w:p w14:paraId="4237F402">
            <w:pPr>
              <w:snapToGrid w:val="0"/>
              <w:spacing w:line="360" w:lineRule="auto"/>
              <w:rPr>
                <w:rFonts w:hint="eastAsia" w:ascii="宋体" w:hAnsi="宋体" w:cs="宋体"/>
                <w:kern w:val="0"/>
                <w:sz w:val="24"/>
                <w:highlight w:val="none"/>
              </w:rPr>
            </w:pPr>
            <w:r>
              <w:rPr>
                <w:rFonts w:hint="eastAsia" w:ascii="宋体" w:hAnsi="宋体" w:cs="宋体"/>
                <w:kern w:val="0"/>
                <w:sz w:val="24"/>
                <w:highlight w:val="none"/>
              </w:rPr>
              <w:t>（3）具体、明确的质疑事项和与质疑事项相关的请求；</w:t>
            </w:r>
          </w:p>
          <w:p w14:paraId="7798CA43">
            <w:pPr>
              <w:snapToGrid w:val="0"/>
              <w:spacing w:line="360" w:lineRule="auto"/>
              <w:rPr>
                <w:rFonts w:hint="eastAsia" w:ascii="宋体" w:hAnsi="宋体" w:cs="宋体"/>
                <w:kern w:val="0"/>
                <w:sz w:val="24"/>
                <w:highlight w:val="none"/>
              </w:rPr>
            </w:pPr>
            <w:r>
              <w:rPr>
                <w:rFonts w:hint="eastAsia" w:ascii="宋体" w:hAnsi="宋体" w:cs="宋体"/>
                <w:kern w:val="0"/>
                <w:sz w:val="24"/>
                <w:highlight w:val="none"/>
              </w:rPr>
              <w:t>（4）事实依据；</w:t>
            </w:r>
          </w:p>
          <w:p w14:paraId="3B946EDE">
            <w:pPr>
              <w:snapToGrid w:val="0"/>
              <w:spacing w:line="360" w:lineRule="auto"/>
              <w:rPr>
                <w:rFonts w:hint="eastAsia" w:ascii="宋体" w:hAnsi="宋体" w:cs="宋体"/>
                <w:kern w:val="0"/>
                <w:sz w:val="24"/>
                <w:highlight w:val="none"/>
              </w:rPr>
            </w:pPr>
            <w:r>
              <w:rPr>
                <w:rFonts w:hint="eastAsia" w:ascii="宋体" w:hAnsi="宋体" w:cs="宋体"/>
                <w:kern w:val="0"/>
                <w:sz w:val="24"/>
                <w:highlight w:val="none"/>
              </w:rPr>
              <w:t>（5）必要的法律依据；</w:t>
            </w:r>
          </w:p>
          <w:p w14:paraId="486DFE4F">
            <w:pPr>
              <w:snapToGrid w:val="0"/>
              <w:spacing w:line="360" w:lineRule="auto"/>
              <w:rPr>
                <w:rFonts w:hint="eastAsia" w:ascii="宋体" w:hAnsi="宋体" w:cs="宋体"/>
                <w:kern w:val="0"/>
                <w:sz w:val="24"/>
                <w:highlight w:val="none"/>
              </w:rPr>
            </w:pPr>
            <w:r>
              <w:rPr>
                <w:rFonts w:hint="eastAsia" w:ascii="宋体" w:hAnsi="宋体" w:cs="宋体"/>
                <w:kern w:val="0"/>
                <w:sz w:val="24"/>
                <w:highlight w:val="none"/>
              </w:rPr>
              <w:t>（6）提出质疑的日期。</w:t>
            </w:r>
          </w:p>
          <w:p w14:paraId="3EC1F75D">
            <w:pPr>
              <w:snapToGrid w:val="0"/>
              <w:spacing w:line="360" w:lineRule="auto"/>
              <w:rPr>
                <w:rFonts w:hint="eastAsia" w:ascii="宋体" w:hAnsi="宋体" w:cs="宋体"/>
                <w:kern w:val="0"/>
                <w:sz w:val="24"/>
                <w:highlight w:val="none"/>
              </w:rPr>
            </w:pPr>
            <w:r>
              <w:rPr>
                <w:rFonts w:hint="eastAsia" w:ascii="宋体" w:hAnsi="宋体" w:cs="宋体"/>
                <w:kern w:val="0"/>
                <w:sz w:val="24"/>
                <w:highlight w:val="none"/>
              </w:rPr>
              <w:t>投标人为自然人的，应当由本人签字；投标人为法人或者其他组织的，应当由法定代表人、主要负责人或者其授权代表签字或者盖章，并加盖公章。未按要求签署的质疑函采购人不予受理。</w:t>
            </w:r>
          </w:p>
          <w:p w14:paraId="323B7C62">
            <w:pPr>
              <w:snapToGrid w:val="0"/>
              <w:spacing w:line="360" w:lineRule="auto"/>
              <w:rPr>
                <w:rFonts w:hint="eastAsia" w:ascii="宋体" w:hAnsi="宋体" w:cs="宋体"/>
                <w:kern w:val="0"/>
                <w:sz w:val="24"/>
                <w:highlight w:val="none"/>
              </w:rPr>
            </w:pPr>
            <w:r>
              <w:rPr>
                <w:rFonts w:hint="eastAsia" w:ascii="宋体" w:hAnsi="宋体" w:cs="宋体"/>
                <w:kern w:val="0"/>
                <w:sz w:val="24"/>
                <w:highlight w:val="none"/>
              </w:rPr>
              <w:t>（1）接收质疑函的方式：采购人接收纸质版加盖公章质疑函（同时将电子版发送至采购代理机构（或采购人）邮箱</w:t>
            </w:r>
            <w:r>
              <w:rPr>
                <w:rFonts w:hint="eastAsia" w:ascii="宋体" w:hAnsi="宋体" w:cs="宋体"/>
                <w:kern w:val="0"/>
                <w:sz w:val="24"/>
                <w:highlight w:val="none"/>
                <w:u w:val="single"/>
              </w:rPr>
              <w:t>_guochongjin@163.com</w:t>
            </w:r>
            <w:r>
              <w:rPr>
                <w:rFonts w:hint="eastAsia" w:ascii="宋体" w:hAnsi="宋体" w:cs="宋体"/>
                <w:kern w:val="0"/>
                <w:sz w:val="24"/>
                <w:highlight w:val="none"/>
              </w:rPr>
              <w:t>）。</w:t>
            </w:r>
          </w:p>
          <w:p w14:paraId="2F1F8E06">
            <w:pPr>
              <w:snapToGrid w:val="0"/>
              <w:spacing w:line="360" w:lineRule="auto"/>
              <w:rPr>
                <w:rFonts w:hint="eastAsia" w:ascii="宋体" w:hAnsi="宋体" w:cs="宋体"/>
                <w:kern w:val="0"/>
                <w:sz w:val="24"/>
                <w:highlight w:val="none"/>
              </w:rPr>
            </w:pPr>
            <w:r>
              <w:rPr>
                <w:rFonts w:hint="eastAsia" w:ascii="宋体" w:hAnsi="宋体" w:cs="宋体"/>
                <w:kern w:val="0"/>
                <w:sz w:val="24"/>
                <w:highlight w:val="none"/>
              </w:rPr>
              <w:t>（2）联系人及电话：郭崇瑾0411-83608842-151</w:t>
            </w:r>
            <w:r>
              <w:rPr>
                <w:rFonts w:ascii="宋体" w:hAnsi="宋体" w:cs="宋体"/>
                <w:kern w:val="0"/>
                <w:sz w:val="24"/>
                <w:highlight w:val="none"/>
              </w:rPr>
              <w:t xml:space="preserve"> </w:t>
            </w:r>
            <w:r>
              <w:rPr>
                <w:rFonts w:hint="eastAsia" w:ascii="宋体" w:hAnsi="宋体" w:cs="宋体"/>
                <w:kern w:val="0"/>
                <w:sz w:val="24"/>
                <w:highlight w:val="none"/>
              </w:rPr>
              <w:t>。</w:t>
            </w:r>
          </w:p>
          <w:p w14:paraId="68984E86">
            <w:pPr>
              <w:snapToGrid w:val="0"/>
              <w:spacing w:line="360" w:lineRule="auto"/>
              <w:rPr>
                <w:rFonts w:hint="eastAsia" w:ascii="宋体" w:hAnsi="宋体" w:cs="宋体"/>
                <w:kern w:val="0"/>
                <w:sz w:val="24"/>
                <w:highlight w:val="none"/>
              </w:rPr>
            </w:pPr>
            <w:r>
              <w:rPr>
                <w:rFonts w:hint="eastAsia" w:ascii="宋体" w:hAnsi="宋体" w:cs="宋体"/>
                <w:kern w:val="0"/>
                <w:sz w:val="24"/>
                <w:highlight w:val="none"/>
              </w:rPr>
              <w:t>（3）通信地址：大连市沙河口区西南路350-2号。</w:t>
            </w:r>
          </w:p>
        </w:tc>
      </w:tr>
      <w:tr w14:paraId="739A6A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5" w:type="dxa"/>
            <w:vAlign w:val="center"/>
          </w:tcPr>
          <w:p w14:paraId="202B6ABC">
            <w:pPr>
              <w:widowControl/>
              <w:snapToGrid w:val="0"/>
              <w:spacing w:line="360" w:lineRule="auto"/>
              <w:contextualSpacing/>
              <w:jc w:val="center"/>
              <w:rPr>
                <w:rFonts w:hint="eastAsia" w:ascii="宋体" w:hAnsi="宋体" w:cs="宋体"/>
                <w:kern w:val="0"/>
                <w:sz w:val="24"/>
                <w:highlight w:val="none"/>
              </w:rPr>
            </w:pPr>
            <w:r>
              <w:rPr>
                <w:rFonts w:hint="eastAsia" w:ascii="宋体" w:hAnsi="宋体" w:cs="宋体"/>
                <w:kern w:val="0"/>
                <w:sz w:val="24"/>
                <w:highlight w:val="none"/>
              </w:rPr>
              <w:t>24</w:t>
            </w:r>
          </w:p>
        </w:tc>
        <w:tc>
          <w:tcPr>
            <w:tcW w:w="8515" w:type="dxa"/>
          </w:tcPr>
          <w:p w14:paraId="3CAA7D6C">
            <w:pPr>
              <w:snapToGrid w:val="0"/>
              <w:spacing w:line="360" w:lineRule="auto"/>
              <w:rPr>
                <w:rFonts w:hint="eastAsia" w:ascii="宋体" w:hAnsi="宋体" w:cs="宋体"/>
                <w:bCs/>
                <w:kern w:val="0"/>
                <w:sz w:val="24"/>
                <w:highlight w:val="none"/>
              </w:rPr>
            </w:pPr>
            <w:r>
              <w:rPr>
                <w:rFonts w:hint="eastAsia" w:ascii="宋体" w:hAnsi="宋体" w:cs="宋体"/>
                <w:kern w:val="0"/>
                <w:sz w:val="24"/>
                <w:highlight w:val="none"/>
              </w:rPr>
              <w:t>履约保证金：无。</w:t>
            </w:r>
          </w:p>
        </w:tc>
      </w:tr>
      <w:tr w14:paraId="0CA148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5" w:type="dxa"/>
            <w:vAlign w:val="center"/>
          </w:tcPr>
          <w:p w14:paraId="060320FE">
            <w:pPr>
              <w:widowControl/>
              <w:snapToGrid w:val="0"/>
              <w:spacing w:line="360" w:lineRule="auto"/>
              <w:contextualSpacing/>
              <w:jc w:val="center"/>
              <w:rPr>
                <w:rFonts w:hint="eastAsia" w:ascii="宋体" w:hAnsi="宋体" w:cs="宋体"/>
                <w:kern w:val="0"/>
                <w:sz w:val="24"/>
                <w:highlight w:val="none"/>
              </w:rPr>
            </w:pPr>
            <w:r>
              <w:rPr>
                <w:rFonts w:hint="eastAsia" w:ascii="宋体" w:hAnsi="宋体" w:cs="宋体"/>
                <w:kern w:val="0"/>
                <w:sz w:val="24"/>
                <w:highlight w:val="none"/>
              </w:rPr>
              <w:t>25</w:t>
            </w:r>
          </w:p>
        </w:tc>
        <w:tc>
          <w:tcPr>
            <w:tcW w:w="8515" w:type="dxa"/>
            <w:vAlign w:val="center"/>
          </w:tcPr>
          <w:p w14:paraId="6495CDB9">
            <w:pPr>
              <w:widowControl/>
              <w:snapToGrid w:val="0"/>
              <w:spacing w:line="360" w:lineRule="auto"/>
              <w:contextualSpacing/>
              <w:rPr>
                <w:highlight w:val="none"/>
              </w:rPr>
            </w:pPr>
            <w:r>
              <w:rPr>
                <w:rFonts w:hint="eastAsia" w:ascii="宋体" w:hAnsi="宋体" w:cs="宋体"/>
                <w:kern w:val="0"/>
                <w:sz w:val="24"/>
                <w:highlight w:val="none"/>
                <w:lang w:bidi="ar"/>
              </w:rPr>
              <w:t>本项目采购代理服务费由中标人支付，包含在投标总价中不单独列项。收费标准：</w:t>
            </w:r>
          </w:p>
          <w:tbl>
            <w:tblPr>
              <w:tblStyle w:val="88"/>
              <w:tblpPr w:leftFromText="180" w:rightFromText="180" w:vertAnchor="text" w:horzAnchor="page" w:tblpX="642" w:tblpY="753"/>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13"/>
              <w:gridCol w:w="649"/>
              <w:gridCol w:w="1116"/>
              <w:gridCol w:w="1210"/>
              <w:gridCol w:w="1210"/>
              <w:gridCol w:w="1029"/>
              <w:gridCol w:w="1009"/>
            </w:tblGrid>
            <w:tr w14:paraId="056392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013" w:type="dxa"/>
                  <w:tcBorders>
                    <w:top w:val="single" w:color="auto" w:sz="4" w:space="0"/>
                    <w:left w:val="single" w:color="auto" w:sz="4" w:space="0"/>
                    <w:bottom w:val="single" w:color="auto" w:sz="4" w:space="0"/>
                    <w:right w:val="single" w:color="auto" w:sz="4" w:space="0"/>
                  </w:tcBorders>
                  <w:vAlign w:val="center"/>
                </w:tcPr>
                <w:p w14:paraId="376D9EC2">
                  <w:pPr>
                    <w:snapToGrid w:val="0"/>
                    <w:jc w:val="center"/>
                    <w:rPr>
                      <w:rFonts w:hint="eastAsia" w:ascii="宋体" w:hAnsi="宋体" w:cs="宋体"/>
                      <w:b/>
                      <w:bCs/>
                      <w:kern w:val="0"/>
                      <w:szCs w:val="21"/>
                      <w:highlight w:val="none"/>
                    </w:rPr>
                  </w:pPr>
                  <w:r>
                    <w:rPr>
                      <w:rFonts w:hint="eastAsia" w:ascii="宋体" w:hAnsi="宋体" w:cs="宋体"/>
                      <w:b/>
                      <w:bCs/>
                      <w:kern w:val="0"/>
                      <w:szCs w:val="21"/>
                      <w:highlight w:val="none"/>
                    </w:rPr>
                    <w:t>计费方式</w:t>
                  </w:r>
                </w:p>
              </w:tc>
              <w:tc>
                <w:tcPr>
                  <w:tcW w:w="6223" w:type="dxa"/>
                  <w:gridSpan w:val="6"/>
                  <w:tcBorders>
                    <w:top w:val="single" w:color="auto" w:sz="4" w:space="0"/>
                    <w:left w:val="single" w:color="auto" w:sz="4" w:space="0"/>
                    <w:bottom w:val="single" w:color="auto" w:sz="4" w:space="0"/>
                    <w:right w:val="single" w:color="auto" w:sz="4" w:space="0"/>
                  </w:tcBorders>
                  <w:vAlign w:val="center"/>
                </w:tcPr>
                <w:p w14:paraId="03704715">
                  <w:pPr>
                    <w:snapToGrid w:val="0"/>
                    <w:jc w:val="center"/>
                    <w:rPr>
                      <w:rFonts w:hint="eastAsia" w:ascii="宋体" w:hAnsi="宋体" w:cs="宋体"/>
                      <w:b/>
                      <w:bCs/>
                      <w:kern w:val="0"/>
                      <w:szCs w:val="21"/>
                      <w:highlight w:val="none"/>
                    </w:rPr>
                  </w:pPr>
                  <w:r>
                    <w:rPr>
                      <w:rFonts w:hint="eastAsia" w:ascii="宋体" w:hAnsi="宋体" w:cs="宋体"/>
                      <w:b/>
                      <w:bCs/>
                      <w:kern w:val="0"/>
                      <w:szCs w:val="21"/>
                      <w:highlight w:val="none"/>
                    </w:rPr>
                    <w:t>每标段（包组）收费标准</w:t>
                  </w:r>
                </w:p>
              </w:tc>
            </w:tr>
            <w:tr w14:paraId="594D8E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013" w:type="dxa"/>
                  <w:tcBorders>
                    <w:top w:val="single" w:color="auto" w:sz="4" w:space="0"/>
                    <w:left w:val="single" w:color="auto" w:sz="4" w:space="0"/>
                    <w:bottom w:val="single" w:color="auto" w:sz="4" w:space="0"/>
                    <w:right w:val="single" w:color="auto" w:sz="4" w:space="0"/>
                  </w:tcBorders>
                  <w:vAlign w:val="center"/>
                </w:tcPr>
                <w:p w14:paraId="57F7EFDF">
                  <w:pPr>
                    <w:snapToGrid w:val="0"/>
                    <w:jc w:val="center"/>
                    <w:rPr>
                      <w:rFonts w:hint="eastAsia" w:ascii="宋体" w:hAnsi="宋体" w:cs="宋体"/>
                      <w:kern w:val="0"/>
                      <w:szCs w:val="21"/>
                      <w:highlight w:val="none"/>
                    </w:rPr>
                  </w:pPr>
                  <w:r>
                    <w:rPr>
                      <w:rFonts w:hint="eastAsia" w:ascii="宋体" w:hAnsi="宋体" w:cs="宋体"/>
                      <w:kern w:val="0"/>
                      <w:szCs w:val="21"/>
                      <w:highlight w:val="none"/>
                    </w:rPr>
                    <w:t>计费金额（万）</w:t>
                  </w:r>
                </w:p>
              </w:tc>
              <w:tc>
                <w:tcPr>
                  <w:tcW w:w="649" w:type="dxa"/>
                  <w:tcBorders>
                    <w:top w:val="single" w:color="auto" w:sz="4" w:space="0"/>
                    <w:left w:val="single" w:color="auto" w:sz="4" w:space="0"/>
                    <w:bottom w:val="single" w:color="auto" w:sz="4" w:space="0"/>
                    <w:right w:val="single" w:color="auto" w:sz="4" w:space="0"/>
                  </w:tcBorders>
                  <w:vAlign w:val="center"/>
                </w:tcPr>
                <w:p w14:paraId="5DBA20C4">
                  <w:pPr>
                    <w:snapToGrid w:val="0"/>
                    <w:jc w:val="center"/>
                    <w:rPr>
                      <w:rFonts w:hint="eastAsia" w:ascii="宋体" w:hAnsi="宋体" w:cs="宋体"/>
                      <w:kern w:val="0"/>
                      <w:szCs w:val="21"/>
                      <w:highlight w:val="none"/>
                    </w:rPr>
                  </w:pPr>
                  <w:r>
                    <w:rPr>
                      <w:rFonts w:hint="eastAsia" w:ascii="宋体" w:hAnsi="宋体" w:cs="宋体"/>
                      <w:kern w:val="0"/>
                      <w:szCs w:val="21"/>
                      <w:highlight w:val="none"/>
                    </w:rPr>
                    <w:t>A&lt;50</w:t>
                  </w:r>
                </w:p>
              </w:tc>
              <w:tc>
                <w:tcPr>
                  <w:tcW w:w="1116" w:type="dxa"/>
                  <w:tcBorders>
                    <w:top w:val="single" w:color="auto" w:sz="4" w:space="0"/>
                    <w:left w:val="single" w:color="auto" w:sz="4" w:space="0"/>
                    <w:bottom w:val="single" w:color="auto" w:sz="4" w:space="0"/>
                    <w:right w:val="single" w:color="auto" w:sz="4" w:space="0"/>
                  </w:tcBorders>
                  <w:vAlign w:val="center"/>
                </w:tcPr>
                <w:p w14:paraId="4887E87A">
                  <w:pPr>
                    <w:snapToGrid w:val="0"/>
                    <w:jc w:val="center"/>
                    <w:rPr>
                      <w:rFonts w:hint="eastAsia" w:ascii="宋体" w:hAnsi="宋体" w:cs="宋体"/>
                      <w:kern w:val="0"/>
                      <w:szCs w:val="21"/>
                      <w:highlight w:val="none"/>
                    </w:rPr>
                  </w:pPr>
                  <w:r>
                    <w:rPr>
                      <w:rFonts w:hint="eastAsia" w:ascii="宋体" w:hAnsi="宋体" w:cs="宋体"/>
                      <w:kern w:val="0"/>
                      <w:szCs w:val="21"/>
                      <w:highlight w:val="none"/>
                    </w:rPr>
                    <w:t>50≤A&lt;100</w:t>
                  </w:r>
                </w:p>
              </w:tc>
              <w:tc>
                <w:tcPr>
                  <w:tcW w:w="1210" w:type="dxa"/>
                  <w:tcBorders>
                    <w:top w:val="single" w:color="auto" w:sz="4" w:space="0"/>
                    <w:left w:val="single" w:color="auto" w:sz="4" w:space="0"/>
                    <w:bottom w:val="single" w:color="auto" w:sz="4" w:space="0"/>
                    <w:right w:val="single" w:color="auto" w:sz="4" w:space="0"/>
                  </w:tcBorders>
                  <w:vAlign w:val="center"/>
                </w:tcPr>
                <w:p w14:paraId="20EE7207">
                  <w:pPr>
                    <w:snapToGrid w:val="0"/>
                    <w:jc w:val="center"/>
                    <w:rPr>
                      <w:rFonts w:hint="eastAsia" w:ascii="宋体" w:hAnsi="宋体" w:cs="宋体"/>
                      <w:kern w:val="0"/>
                      <w:szCs w:val="21"/>
                      <w:highlight w:val="none"/>
                    </w:rPr>
                  </w:pPr>
                  <w:r>
                    <w:rPr>
                      <w:rFonts w:hint="eastAsia" w:ascii="宋体" w:hAnsi="宋体" w:cs="宋体"/>
                      <w:kern w:val="0"/>
                      <w:szCs w:val="21"/>
                      <w:highlight w:val="none"/>
                    </w:rPr>
                    <w:t>100≤A&lt;200</w:t>
                  </w:r>
                </w:p>
              </w:tc>
              <w:tc>
                <w:tcPr>
                  <w:tcW w:w="1210" w:type="dxa"/>
                  <w:tcBorders>
                    <w:top w:val="single" w:color="auto" w:sz="4" w:space="0"/>
                    <w:left w:val="single" w:color="auto" w:sz="4" w:space="0"/>
                    <w:bottom w:val="single" w:color="auto" w:sz="4" w:space="0"/>
                    <w:right w:val="single" w:color="auto" w:sz="4" w:space="0"/>
                  </w:tcBorders>
                  <w:vAlign w:val="center"/>
                </w:tcPr>
                <w:p w14:paraId="76994AFC">
                  <w:pPr>
                    <w:snapToGrid w:val="0"/>
                    <w:jc w:val="center"/>
                    <w:rPr>
                      <w:rFonts w:hint="eastAsia" w:ascii="宋体" w:hAnsi="宋体" w:cs="宋体"/>
                      <w:kern w:val="0"/>
                      <w:szCs w:val="21"/>
                      <w:highlight w:val="none"/>
                    </w:rPr>
                  </w:pPr>
                  <w:r>
                    <w:rPr>
                      <w:rFonts w:hint="eastAsia" w:ascii="宋体" w:hAnsi="宋体" w:cs="宋体"/>
                      <w:kern w:val="0"/>
                      <w:szCs w:val="21"/>
                      <w:highlight w:val="none"/>
                    </w:rPr>
                    <w:t>200≤A&lt;500</w:t>
                  </w:r>
                </w:p>
              </w:tc>
              <w:tc>
                <w:tcPr>
                  <w:tcW w:w="1029" w:type="dxa"/>
                  <w:tcBorders>
                    <w:top w:val="single" w:color="auto" w:sz="4" w:space="0"/>
                    <w:left w:val="single" w:color="auto" w:sz="4" w:space="0"/>
                    <w:bottom w:val="single" w:color="auto" w:sz="4" w:space="0"/>
                    <w:right w:val="single" w:color="auto" w:sz="4" w:space="0"/>
                  </w:tcBorders>
                  <w:vAlign w:val="center"/>
                </w:tcPr>
                <w:p w14:paraId="71DE9A95">
                  <w:pPr>
                    <w:snapToGrid w:val="0"/>
                    <w:jc w:val="center"/>
                    <w:rPr>
                      <w:rFonts w:hint="eastAsia" w:ascii="宋体" w:hAnsi="宋体" w:cs="宋体"/>
                      <w:kern w:val="0"/>
                      <w:szCs w:val="21"/>
                      <w:highlight w:val="none"/>
                    </w:rPr>
                  </w:pPr>
                  <w:r>
                    <w:rPr>
                      <w:rFonts w:hint="eastAsia" w:ascii="宋体" w:hAnsi="宋体" w:cs="宋体"/>
                      <w:kern w:val="0"/>
                      <w:szCs w:val="21"/>
                      <w:highlight w:val="none"/>
                    </w:rPr>
                    <w:t>500≤A&lt;1000</w:t>
                  </w:r>
                </w:p>
              </w:tc>
              <w:tc>
                <w:tcPr>
                  <w:tcW w:w="1009" w:type="dxa"/>
                  <w:tcBorders>
                    <w:top w:val="single" w:color="auto" w:sz="4" w:space="0"/>
                    <w:left w:val="single" w:color="auto" w:sz="4" w:space="0"/>
                    <w:bottom w:val="single" w:color="auto" w:sz="4" w:space="0"/>
                    <w:right w:val="single" w:color="auto" w:sz="4" w:space="0"/>
                  </w:tcBorders>
                  <w:vAlign w:val="center"/>
                </w:tcPr>
                <w:p w14:paraId="03DD3BD8">
                  <w:pPr>
                    <w:snapToGrid w:val="0"/>
                    <w:jc w:val="center"/>
                    <w:rPr>
                      <w:rFonts w:hint="eastAsia" w:ascii="宋体" w:hAnsi="宋体" w:cs="宋体"/>
                      <w:kern w:val="0"/>
                      <w:szCs w:val="21"/>
                      <w:highlight w:val="none"/>
                    </w:rPr>
                  </w:pPr>
                  <w:r>
                    <w:rPr>
                      <w:rFonts w:hint="eastAsia" w:ascii="宋体" w:hAnsi="宋体" w:cs="宋体"/>
                      <w:kern w:val="0"/>
                      <w:szCs w:val="21"/>
                      <w:highlight w:val="none"/>
                    </w:rPr>
                    <w:t>A≥1000</w:t>
                  </w:r>
                </w:p>
              </w:tc>
            </w:tr>
            <w:tr w14:paraId="3566F2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013" w:type="dxa"/>
                  <w:tcBorders>
                    <w:top w:val="single" w:color="auto" w:sz="4" w:space="0"/>
                    <w:left w:val="single" w:color="auto" w:sz="4" w:space="0"/>
                    <w:bottom w:val="single" w:color="auto" w:sz="4" w:space="0"/>
                    <w:right w:val="single" w:color="auto" w:sz="4" w:space="0"/>
                  </w:tcBorders>
                  <w:vAlign w:val="center"/>
                </w:tcPr>
                <w:p w14:paraId="0F697DCB">
                  <w:pPr>
                    <w:snapToGrid w:val="0"/>
                    <w:jc w:val="center"/>
                    <w:rPr>
                      <w:rFonts w:hint="eastAsia" w:ascii="宋体" w:hAnsi="宋体" w:cs="宋体"/>
                      <w:kern w:val="0"/>
                      <w:szCs w:val="21"/>
                      <w:highlight w:val="none"/>
                    </w:rPr>
                  </w:pPr>
                  <w:r>
                    <w:rPr>
                      <w:rFonts w:hint="eastAsia" w:ascii="宋体" w:hAnsi="宋体" w:cs="宋体"/>
                      <w:kern w:val="0"/>
                      <w:szCs w:val="21"/>
                      <w:highlight w:val="none"/>
                    </w:rPr>
                    <w:t>固定</w:t>
                  </w:r>
                </w:p>
                <w:p w14:paraId="5D0B90C3">
                  <w:pPr>
                    <w:snapToGrid w:val="0"/>
                    <w:jc w:val="center"/>
                    <w:rPr>
                      <w:rFonts w:hint="eastAsia" w:ascii="宋体" w:hAnsi="宋体" w:cs="宋体"/>
                      <w:kern w:val="0"/>
                      <w:szCs w:val="21"/>
                      <w:highlight w:val="none"/>
                    </w:rPr>
                  </w:pPr>
                  <w:r>
                    <w:rPr>
                      <w:rFonts w:hint="eastAsia" w:ascii="宋体" w:hAnsi="宋体" w:cs="宋体"/>
                      <w:kern w:val="0"/>
                      <w:szCs w:val="21"/>
                      <w:highlight w:val="none"/>
                    </w:rPr>
                    <w:t>费率</w:t>
                  </w:r>
                </w:p>
              </w:tc>
              <w:tc>
                <w:tcPr>
                  <w:tcW w:w="649" w:type="dxa"/>
                  <w:tcBorders>
                    <w:top w:val="single" w:color="auto" w:sz="4" w:space="0"/>
                    <w:left w:val="single" w:color="auto" w:sz="4" w:space="0"/>
                    <w:bottom w:val="single" w:color="auto" w:sz="4" w:space="0"/>
                    <w:right w:val="single" w:color="auto" w:sz="4" w:space="0"/>
                  </w:tcBorders>
                  <w:vAlign w:val="center"/>
                </w:tcPr>
                <w:p w14:paraId="1FBD75A3">
                  <w:pPr>
                    <w:snapToGrid w:val="0"/>
                    <w:jc w:val="center"/>
                    <w:rPr>
                      <w:rFonts w:hint="eastAsia" w:ascii="宋体" w:hAnsi="宋体" w:cs="宋体"/>
                      <w:kern w:val="0"/>
                      <w:szCs w:val="21"/>
                      <w:highlight w:val="none"/>
                    </w:rPr>
                  </w:pPr>
                  <w:r>
                    <w:rPr>
                      <w:rFonts w:hint="eastAsia" w:ascii="宋体" w:hAnsi="宋体" w:cs="宋体"/>
                      <w:kern w:val="0"/>
                      <w:szCs w:val="21"/>
                      <w:highlight w:val="none"/>
                    </w:rPr>
                    <w:t>/</w:t>
                  </w:r>
                </w:p>
              </w:tc>
              <w:tc>
                <w:tcPr>
                  <w:tcW w:w="1116" w:type="dxa"/>
                  <w:tcBorders>
                    <w:top w:val="single" w:color="auto" w:sz="4" w:space="0"/>
                    <w:left w:val="single" w:color="auto" w:sz="4" w:space="0"/>
                    <w:bottom w:val="single" w:color="auto" w:sz="4" w:space="0"/>
                    <w:right w:val="single" w:color="auto" w:sz="4" w:space="0"/>
                  </w:tcBorders>
                  <w:vAlign w:val="center"/>
                </w:tcPr>
                <w:p w14:paraId="4256BE2A">
                  <w:pPr>
                    <w:snapToGrid w:val="0"/>
                    <w:jc w:val="center"/>
                    <w:rPr>
                      <w:rFonts w:hint="eastAsia" w:ascii="宋体" w:hAnsi="宋体" w:cs="宋体"/>
                      <w:kern w:val="0"/>
                      <w:szCs w:val="21"/>
                      <w:highlight w:val="none"/>
                    </w:rPr>
                  </w:pPr>
                  <w:r>
                    <w:rPr>
                      <w:rFonts w:hint="eastAsia" w:ascii="宋体" w:hAnsi="宋体" w:cs="宋体"/>
                      <w:kern w:val="0"/>
                      <w:szCs w:val="21"/>
                      <w:highlight w:val="none"/>
                    </w:rPr>
                    <w:t>0.55%</w:t>
                  </w:r>
                </w:p>
              </w:tc>
              <w:tc>
                <w:tcPr>
                  <w:tcW w:w="1210" w:type="dxa"/>
                  <w:tcBorders>
                    <w:top w:val="single" w:color="auto" w:sz="4" w:space="0"/>
                    <w:left w:val="single" w:color="auto" w:sz="4" w:space="0"/>
                    <w:bottom w:val="single" w:color="auto" w:sz="4" w:space="0"/>
                    <w:right w:val="single" w:color="auto" w:sz="4" w:space="0"/>
                  </w:tcBorders>
                  <w:vAlign w:val="center"/>
                </w:tcPr>
                <w:p w14:paraId="14CA23D5">
                  <w:pPr>
                    <w:snapToGrid w:val="0"/>
                    <w:jc w:val="center"/>
                    <w:rPr>
                      <w:rFonts w:hint="eastAsia" w:ascii="宋体" w:hAnsi="宋体" w:cs="宋体"/>
                      <w:kern w:val="0"/>
                      <w:szCs w:val="21"/>
                      <w:highlight w:val="none"/>
                    </w:rPr>
                  </w:pPr>
                  <w:r>
                    <w:rPr>
                      <w:rFonts w:hint="eastAsia" w:ascii="宋体" w:hAnsi="宋体" w:cs="宋体"/>
                      <w:kern w:val="0"/>
                      <w:szCs w:val="21"/>
                      <w:highlight w:val="none"/>
                    </w:rPr>
                    <w:t>0.54%</w:t>
                  </w:r>
                </w:p>
              </w:tc>
              <w:tc>
                <w:tcPr>
                  <w:tcW w:w="1210" w:type="dxa"/>
                  <w:tcBorders>
                    <w:top w:val="single" w:color="auto" w:sz="4" w:space="0"/>
                    <w:left w:val="single" w:color="auto" w:sz="4" w:space="0"/>
                    <w:bottom w:val="single" w:color="auto" w:sz="4" w:space="0"/>
                    <w:right w:val="single" w:color="auto" w:sz="4" w:space="0"/>
                  </w:tcBorders>
                  <w:vAlign w:val="center"/>
                </w:tcPr>
                <w:p w14:paraId="29CD5C4D">
                  <w:pPr>
                    <w:snapToGrid w:val="0"/>
                    <w:jc w:val="center"/>
                    <w:rPr>
                      <w:rFonts w:hint="eastAsia" w:ascii="宋体" w:hAnsi="宋体" w:cs="宋体"/>
                      <w:kern w:val="0"/>
                      <w:szCs w:val="21"/>
                      <w:highlight w:val="none"/>
                    </w:rPr>
                  </w:pPr>
                  <w:r>
                    <w:rPr>
                      <w:rFonts w:hint="eastAsia" w:ascii="宋体" w:hAnsi="宋体" w:cs="宋体"/>
                      <w:kern w:val="0"/>
                      <w:szCs w:val="21"/>
                      <w:highlight w:val="none"/>
                    </w:rPr>
                    <w:t>0.486%</w:t>
                  </w:r>
                </w:p>
              </w:tc>
              <w:tc>
                <w:tcPr>
                  <w:tcW w:w="1029" w:type="dxa"/>
                  <w:tcBorders>
                    <w:top w:val="single" w:color="auto" w:sz="4" w:space="0"/>
                    <w:left w:val="single" w:color="auto" w:sz="4" w:space="0"/>
                    <w:bottom w:val="single" w:color="auto" w:sz="4" w:space="0"/>
                    <w:right w:val="single" w:color="auto" w:sz="4" w:space="0"/>
                  </w:tcBorders>
                  <w:vAlign w:val="center"/>
                </w:tcPr>
                <w:p w14:paraId="465AB91C">
                  <w:pPr>
                    <w:snapToGrid w:val="0"/>
                    <w:jc w:val="center"/>
                    <w:rPr>
                      <w:rFonts w:hint="eastAsia" w:ascii="宋体" w:hAnsi="宋体" w:cs="宋体"/>
                      <w:kern w:val="0"/>
                      <w:szCs w:val="21"/>
                      <w:highlight w:val="none"/>
                    </w:rPr>
                  </w:pPr>
                  <w:r>
                    <w:rPr>
                      <w:rFonts w:hint="eastAsia" w:ascii="宋体" w:hAnsi="宋体" w:cs="宋体"/>
                      <w:kern w:val="0"/>
                      <w:szCs w:val="21"/>
                      <w:highlight w:val="none"/>
                    </w:rPr>
                    <w:t>0.432%</w:t>
                  </w:r>
                </w:p>
              </w:tc>
              <w:tc>
                <w:tcPr>
                  <w:tcW w:w="1009" w:type="dxa"/>
                  <w:tcBorders>
                    <w:top w:val="single" w:color="auto" w:sz="4" w:space="0"/>
                    <w:left w:val="single" w:color="auto" w:sz="4" w:space="0"/>
                    <w:bottom w:val="single" w:color="auto" w:sz="4" w:space="0"/>
                    <w:right w:val="single" w:color="auto" w:sz="4" w:space="0"/>
                  </w:tcBorders>
                  <w:vAlign w:val="center"/>
                </w:tcPr>
                <w:p w14:paraId="217C376C">
                  <w:pPr>
                    <w:snapToGrid w:val="0"/>
                    <w:jc w:val="center"/>
                    <w:rPr>
                      <w:rFonts w:hint="eastAsia" w:ascii="宋体" w:hAnsi="宋体" w:cs="宋体"/>
                      <w:kern w:val="0"/>
                      <w:szCs w:val="21"/>
                      <w:highlight w:val="none"/>
                    </w:rPr>
                  </w:pPr>
                  <w:r>
                    <w:rPr>
                      <w:rFonts w:hint="eastAsia" w:ascii="宋体" w:hAnsi="宋体" w:cs="宋体"/>
                      <w:kern w:val="0"/>
                      <w:szCs w:val="21"/>
                      <w:highlight w:val="none"/>
                    </w:rPr>
                    <w:t>0.405%</w:t>
                  </w:r>
                </w:p>
              </w:tc>
            </w:tr>
            <w:tr w14:paraId="2F6B4D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013" w:type="dxa"/>
                  <w:tcBorders>
                    <w:top w:val="single" w:color="auto" w:sz="4" w:space="0"/>
                    <w:left w:val="single" w:color="auto" w:sz="4" w:space="0"/>
                    <w:bottom w:val="single" w:color="auto" w:sz="4" w:space="0"/>
                    <w:right w:val="single" w:color="auto" w:sz="4" w:space="0"/>
                  </w:tcBorders>
                  <w:vAlign w:val="center"/>
                </w:tcPr>
                <w:p w14:paraId="496ADD39">
                  <w:pPr>
                    <w:snapToGrid w:val="0"/>
                    <w:jc w:val="center"/>
                    <w:rPr>
                      <w:rFonts w:hint="eastAsia" w:ascii="宋体" w:hAnsi="宋体" w:cs="宋体"/>
                      <w:kern w:val="0"/>
                      <w:szCs w:val="21"/>
                      <w:highlight w:val="none"/>
                    </w:rPr>
                  </w:pPr>
                  <w:r>
                    <w:rPr>
                      <w:rFonts w:hint="eastAsia" w:ascii="宋体" w:hAnsi="宋体" w:cs="宋体"/>
                      <w:kern w:val="0"/>
                      <w:szCs w:val="21"/>
                      <w:highlight w:val="none"/>
                    </w:rPr>
                    <w:t>固定</w:t>
                  </w:r>
                </w:p>
                <w:p w14:paraId="23B5BEB5">
                  <w:pPr>
                    <w:snapToGrid w:val="0"/>
                    <w:jc w:val="center"/>
                    <w:rPr>
                      <w:rFonts w:hint="eastAsia" w:ascii="宋体" w:hAnsi="宋体" w:cs="宋体"/>
                      <w:kern w:val="0"/>
                      <w:szCs w:val="21"/>
                      <w:highlight w:val="none"/>
                    </w:rPr>
                  </w:pPr>
                  <w:r>
                    <w:rPr>
                      <w:rFonts w:hint="eastAsia" w:ascii="宋体" w:hAnsi="宋体" w:cs="宋体"/>
                      <w:kern w:val="0"/>
                      <w:szCs w:val="21"/>
                      <w:highlight w:val="none"/>
                    </w:rPr>
                    <w:t>价格</w:t>
                  </w:r>
                </w:p>
              </w:tc>
              <w:tc>
                <w:tcPr>
                  <w:tcW w:w="649" w:type="dxa"/>
                  <w:tcBorders>
                    <w:top w:val="single" w:color="auto" w:sz="4" w:space="0"/>
                    <w:left w:val="single" w:color="auto" w:sz="4" w:space="0"/>
                    <w:bottom w:val="single" w:color="auto" w:sz="4" w:space="0"/>
                    <w:right w:val="single" w:color="auto" w:sz="4" w:space="0"/>
                  </w:tcBorders>
                  <w:vAlign w:val="center"/>
                </w:tcPr>
                <w:p w14:paraId="0E61E7EB">
                  <w:pPr>
                    <w:snapToGrid w:val="0"/>
                    <w:jc w:val="center"/>
                    <w:rPr>
                      <w:rFonts w:hint="eastAsia" w:ascii="宋体" w:hAnsi="宋体" w:cs="宋体"/>
                      <w:kern w:val="0"/>
                      <w:szCs w:val="21"/>
                      <w:highlight w:val="none"/>
                    </w:rPr>
                  </w:pPr>
                  <w:r>
                    <w:rPr>
                      <w:rFonts w:hint="eastAsia" w:ascii="宋体" w:hAnsi="宋体" w:cs="宋体"/>
                      <w:kern w:val="0"/>
                      <w:szCs w:val="21"/>
                      <w:highlight w:val="none"/>
                    </w:rPr>
                    <w:t>2200元</w:t>
                  </w:r>
                </w:p>
              </w:tc>
              <w:tc>
                <w:tcPr>
                  <w:tcW w:w="1116" w:type="dxa"/>
                  <w:tcBorders>
                    <w:top w:val="single" w:color="auto" w:sz="4" w:space="0"/>
                    <w:left w:val="single" w:color="auto" w:sz="4" w:space="0"/>
                    <w:bottom w:val="single" w:color="auto" w:sz="4" w:space="0"/>
                    <w:right w:val="single" w:color="auto" w:sz="4" w:space="0"/>
                  </w:tcBorders>
                  <w:vAlign w:val="center"/>
                </w:tcPr>
                <w:p w14:paraId="5D0AE4C2">
                  <w:pPr>
                    <w:snapToGrid w:val="0"/>
                    <w:jc w:val="center"/>
                    <w:rPr>
                      <w:rFonts w:hint="eastAsia" w:ascii="宋体" w:hAnsi="宋体" w:cs="宋体"/>
                      <w:kern w:val="0"/>
                      <w:szCs w:val="21"/>
                      <w:highlight w:val="none"/>
                    </w:rPr>
                  </w:pPr>
                  <w:r>
                    <w:rPr>
                      <w:rFonts w:hint="eastAsia" w:ascii="宋体" w:hAnsi="宋体" w:cs="宋体"/>
                      <w:kern w:val="0"/>
                      <w:szCs w:val="21"/>
                      <w:highlight w:val="none"/>
                    </w:rPr>
                    <w:t>/</w:t>
                  </w:r>
                </w:p>
              </w:tc>
              <w:tc>
                <w:tcPr>
                  <w:tcW w:w="1210" w:type="dxa"/>
                  <w:tcBorders>
                    <w:top w:val="single" w:color="auto" w:sz="4" w:space="0"/>
                    <w:left w:val="single" w:color="auto" w:sz="4" w:space="0"/>
                    <w:bottom w:val="single" w:color="auto" w:sz="4" w:space="0"/>
                    <w:right w:val="single" w:color="auto" w:sz="4" w:space="0"/>
                  </w:tcBorders>
                  <w:vAlign w:val="center"/>
                </w:tcPr>
                <w:p w14:paraId="05F6BDC6">
                  <w:pPr>
                    <w:snapToGrid w:val="0"/>
                    <w:jc w:val="center"/>
                    <w:rPr>
                      <w:rFonts w:hint="eastAsia" w:ascii="宋体" w:hAnsi="宋体" w:cs="宋体"/>
                      <w:kern w:val="0"/>
                      <w:szCs w:val="21"/>
                      <w:highlight w:val="none"/>
                    </w:rPr>
                  </w:pPr>
                  <w:r>
                    <w:rPr>
                      <w:rFonts w:hint="eastAsia" w:ascii="宋体" w:hAnsi="宋体" w:cs="宋体"/>
                      <w:kern w:val="0"/>
                      <w:szCs w:val="21"/>
                      <w:highlight w:val="none"/>
                    </w:rPr>
                    <w:t>/</w:t>
                  </w:r>
                </w:p>
              </w:tc>
              <w:tc>
                <w:tcPr>
                  <w:tcW w:w="1210" w:type="dxa"/>
                  <w:tcBorders>
                    <w:top w:val="single" w:color="auto" w:sz="4" w:space="0"/>
                    <w:left w:val="single" w:color="auto" w:sz="4" w:space="0"/>
                    <w:bottom w:val="single" w:color="auto" w:sz="4" w:space="0"/>
                    <w:right w:val="single" w:color="auto" w:sz="4" w:space="0"/>
                  </w:tcBorders>
                  <w:vAlign w:val="center"/>
                </w:tcPr>
                <w:p w14:paraId="65DAF97E">
                  <w:pPr>
                    <w:snapToGrid w:val="0"/>
                    <w:jc w:val="center"/>
                    <w:rPr>
                      <w:rFonts w:hint="eastAsia" w:ascii="宋体" w:hAnsi="宋体" w:cs="宋体"/>
                      <w:kern w:val="0"/>
                      <w:szCs w:val="21"/>
                      <w:highlight w:val="none"/>
                    </w:rPr>
                  </w:pPr>
                  <w:r>
                    <w:rPr>
                      <w:rFonts w:hint="eastAsia" w:ascii="宋体" w:hAnsi="宋体" w:cs="宋体"/>
                      <w:kern w:val="0"/>
                      <w:szCs w:val="21"/>
                      <w:highlight w:val="none"/>
                    </w:rPr>
                    <w:t>/</w:t>
                  </w:r>
                </w:p>
              </w:tc>
              <w:tc>
                <w:tcPr>
                  <w:tcW w:w="1029" w:type="dxa"/>
                  <w:tcBorders>
                    <w:top w:val="single" w:color="auto" w:sz="4" w:space="0"/>
                    <w:left w:val="single" w:color="auto" w:sz="4" w:space="0"/>
                    <w:bottom w:val="single" w:color="auto" w:sz="4" w:space="0"/>
                    <w:right w:val="single" w:color="auto" w:sz="4" w:space="0"/>
                  </w:tcBorders>
                  <w:vAlign w:val="center"/>
                </w:tcPr>
                <w:p w14:paraId="1CA24931">
                  <w:pPr>
                    <w:snapToGrid w:val="0"/>
                    <w:jc w:val="center"/>
                    <w:rPr>
                      <w:rFonts w:hint="eastAsia" w:ascii="宋体" w:hAnsi="宋体" w:cs="宋体"/>
                      <w:kern w:val="0"/>
                      <w:szCs w:val="21"/>
                      <w:highlight w:val="none"/>
                    </w:rPr>
                  </w:pPr>
                  <w:r>
                    <w:rPr>
                      <w:rFonts w:hint="eastAsia" w:ascii="宋体" w:hAnsi="宋体" w:cs="宋体"/>
                      <w:kern w:val="0"/>
                      <w:szCs w:val="21"/>
                      <w:highlight w:val="none"/>
                    </w:rPr>
                    <w:t>/</w:t>
                  </w:r>
                </w:p>
              </w:tc>
              <w:tc>
                <w:tcPr>
                  <w:tcW w:w="1009" w:type="dxa"/>
                  <w:tcBorders>
                    <w:top w:val="single" w:color="auto" w:sz="4" w:space="0"/>
                    <w:left w:val="single" w:color="auto" w:sz="4" w:space="0"/>
                    <w:bottom w:val="single" w:color="auto" w:sz="4" w:space="0"/>
                    <w:right w:val="single" w:color="auto" w:sz="4" w:space="0"/>
                  </w:tcBorders>
                  <w:vAlign w:val="center"/>
                </w:tcPr>
                <w:p w14:paraId="18DE9E4A">
                  <w:pPr>
                    <w:snapToGrid w:val="0"/>
                    <w:jc w:val="center"/>
                    <w:rPr>
                      <w:rFonts w:hint="eastAsia" w:ascii="宋体" w:hAnsi="宋体" w:cs="宋体"/>
                      <w:kern w:val="0"/>
                      <w:szCs w:val="21"/>
                      <w:highlight w:val="none"/>
                    </w:rPr>
                  </w:pPr>
                  <w:bookmarkStart w:id="52" w:name="OLE_LINK1"/>
                  <w:r>
                    <w:rPr>
                      <w:rFonts w:hint="eastAsia" w:ascii="宋体" w:hAnsi="宋体" w:cs="宋体"/>
                      <w:kern w:val="0"/>
                      <w:szCs w:val="21"/>
                      <w:highlight w:val="none"/>
                    </w:rPr>
                    <w:t>/</w:t>
                  </w:r>
                  <w:bookmarkEnd w:id="52"/>
                </w:p>
              </w:tc>
            </w:tr>
            <w:tr w14:paraId="5A811A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3" w:hRule="atLeast"/>
              </w:trPr>
              <w:tc>
                <w:tcPr>
                  <w:tcW w:w="7236" w:type="dxa"/>
                  <w:gridSpan w:val="7"/>
                  <w:tcBorders>
                    <w:top w:val="single" w:color="auto" w:sz="4" w:space="0"/>
                    <w:left w:val="single" w:color="auto" w:sz="4" w:space="0"/>
                    <w:bottom w:val="single" w:color="auto" w:sz="4" w:space="0"/>
                    <w:right w:val="single" w:color="auto" w:sz="4" w:space="0"/>
                  </w:tcBorders>
                  <w:vAlign w:val="center"/>
                </w:tcPr>
                <w:p w14:paraId="4280992D">
                  <w:pPr>
                    <w:snapToGrid w:val="0"/>
                    <w:jc w:val="center"/>
                    <w:rPr>
                      <w:rFonts w:hint="eastAsia" w:ascii="宋体" w:hAnsi="宋体" w:cs="宋体"/>
                      <w:kern w:val="0"/>
                      <w:szCs w:val="21"/>
                      <w:highlight w:val="none"/>
                    </w:rPr>
                  </w:pPr>
                  <w:r>
                    <w:rPr>
                      <w:rFonts w:hint="eastAsia" w:ascii="宋体" w:hAnsi="宋体" w:cs="宋体"/>
                      <w:kern w:val="0"/>
                      <w:szCs w:val="21"/>
                      <w:highlight w:val="none"/>
                    </w:rPr>
                    <w:t>每标段（包组）的代理服务费封顶价格：10万元</w:t>
                  </w:r>
                </w:p>
              </w:tc>
            </w:tr>
          </w:tbl>
          <w:p w14:paraId="65EEBF62">
            <w:pPr>
              <w:widowControl/>
              <w:snapToGrid w:val="0"/>
              <w:spacing w:line="360" w:lineRule="auto"/>
              <w:contextualSpacing/>
              <w:jc w:val="left"/>
              <w:rPr>
                <w:highlight w:val="none"/>
              </w:rPr>
            </w:pPr>
          </w:p>
          <w:p w14:paraId="1330F8A8">
            <w:pPr>
              <w:widowControl/>
              <w:spacing w:line="360" w:lineRule="auto"/>
              <w:rPr>
                <w:rFonts w:hint="eastAsia" w:ascii="宋体" w:hAnsi="宋体" w:cs="宋体"/>
                <w:kern w:val="0"/>
                <w:sz w:val="24"/>
                <w:highlight w:val="none"/>
              </w:rPr>
            </w:pPr>
            <w:r>
              <w:rPr>
                <w:rFonts w:hint="eastAsia" w:ascii="宋体" w:hAnsi="宋体" w:cs="宋体"/>
                <w:kern w:val="0"/>
                <w:sz w:val="24"/>
                <w:highlight w:val="none"/>
              </w:rPr>
              <w:t>支付形式：</w:t>
            </w:r>
            <w:r>
              <w:rPr>
                <w:rFonts w:hint="eastAsia" w:ascii="宋体" w:hAnsi="宋体" w:cs="宋体"/>
                <w:sz w:val="24"/>
                <w:highlight w:val="none"/>
              </w:rPr>
              <w:sym w:font="Wingdings 2" w:char="F052"/>
            </w:r>
            <w:r>
              <w:rPr>
                <w:rFonts w:hint="eastAsia" w:ascii="宋体" w:hAnsi="宋体" w:cs="宋体"/>
                <w:sz w:val="24"/>
                <w:highlight w:val="none"/>
              </w:rPr>
              <w:t xml:space="preserve">支票  </w:t>
            </w:r>
            <w:r>
              <w:rPr>
                <w:rFonts w:hint="eastAsia" w:ascii="宋体" w:hAnsi="宋体" w:cs="宋体"/>
                <w:sz w:val="24"/>
                <w:highlight w:val="none"/>
              </w:rPr>
              <w:sym w:font="Wingdings 2" w:char="F052"/>
            </w:r>
            <w:r>
              <w:rPr>
                <w:rFonts w:hint="eastAsia" w:ascii="宋体" w:hAnsi="宋体" w:cs="宋体"/>
                <w:sz w:val="24"/>
                <w:highlight w:val="none"/>
              </w:rPr>
              <w:t xml:space="preserve">电汇  </w:t>
            </w:r>
            <w:r>
              <w:rPr>
                <w:rFonts w:hint="eastAsia" w:ascii="宋体" w:hAnsi="宋体" w:cs="宋体"/>
                <w:sz w:val="24"/>
                <w:highlight w:val="none"/>
              </w:rPr>
              <w:sym w:font="Wingdings 2" w:char="0052"/>
            </w:r>
            <w:r>
              <w:rPr>
                <w:rFonts w:hint="eastAsia" w:ascii="宋体" w:hAnsi="宋体" w:cs="宋体"/>
                <w:sz w:val="24"/>
                <w:highlight w:val="none"/>
              </w:rPr>
              <w:t xml:space="preserve"> 现金</w:t>
            </w:r>
          </w:p>
          <w:p w14:paraId="293E1445">
            <w:pPr>
              <w:widowControl/>
              <w:spacing w:line="360" w:lineRule="auto"/>
              <w:rPr>
                <w:rFonts w:hint="eastAsia" w:ascii="宋体" w:hAnsi="宋体" w:cs="宋体"/>
                <w:kern w:val="0"/>
                <w:sz w:val="24"/>
                <w:highlight w:val="none"/>
              </w:rPr>
            </w:pPr>
            <w:r>
              <w:rPr>
                <w:rFonts w:hint="eastAsia" w:ascii="宋体" w:hAnsi="宋体" w:cs="宋体"/>
                <w:kern w:val="0"/>
                <w:sz w:val="24"/>
                <w:highlight w:val="none"/>
              </w:rPr>
              <w:t>支付时间：中标人应在收到采购代理机构的通知后三(3)天内将中标服务费一次性付清，并领取中标通知书。</w:t>
            </w:r>
          </w:p>
          <w:p w14:paraId="591C9B8E">
            <w:pPr>
              <w:widowControl/>
              <w:snapToGrid w:val="0"/>
              <w:spacing w:line="360" w:lineRule="auto"/>
              <w:contextualSpacing/>
              <w:rPr>
                <w:rFonts w:hint="eastAsia" w:ascii="宋体" w:hAnsi="宋体" w:cs="宋体"/>
                <w:kern w:val="0"/>
                <w:sz w:val="24"/>
                <w:highlight w:val="none"/>
                <w:lang w:bidi="ar"/>
              </w:rPr>
            </w:pPr>
            <w:r>
              <w:rPr>
                <w:rFonts w:hint="eastAsia" w:ascii="宋体" w:hAnsi="宋体" w:cs="宋体"/>
                <w:kern w:val="0"/>
                <w:sz w:val="24"/>
                <w:highlight w:val="none"/>
                <w:lang w:bidi="ar"/>
              </w:rPr>
              <w:t>采购代理机构账号信息：</w:t>
            </w:r>
          </w:p>
          <w:p w14:paraId="22336287">
            <w:pPr>
              <w:widowControl/>
              <w:snapToGrid w:val="0"/>
              <w:spacing w:line="360" w:lineRule="auto"/>
              <w:contextualSpacing/>
              <w:rPr>
                <w:rFonts w:hint="eastAsia" w:ascii="宋体" w:hAnsi="宋体" w:cs="宋体"/>
                <w:kern w:val="0"/>
                <w:sz w:val="24"/>
                <w:highlight w:val="none"/>
                <w:lang w:bidi="ar"/>
              </w:rPr>
            </w:pPr>
            <w:r>
              <w:rPr>
                <w:rFonts w:hint="eastAsia" w:ascii="宋体" w:hAnsi="宋体" w:cs="宋体"/>
                <w:kern w:val="0"/>
                <w:sz w:val="24"/>
                <w:highlight w:val="none"/>
                <w:lang w:bidi="ar"/>
              </w:rPr>
              <w:t>账户名称：大连机械设备成套有限公司</w:t>
            </w:r>
          </w:p>
          <w:p w14:paraId="5E391951">
            <w:pPr>
              <w:widowControl/>
              <w:snapToGrid w:val="0"/>
              <w:spacing w:line="360" w:lineRule="auto"/>
              <w:contextualSpacing/>
              <w:rPr>
                <w:rFonts w:hint="eastAsia" w:ascii="宋体" w:hAnsi="宋体" w:cs="宋体"/>
                <w:kern w:val="0"/>
                <w:sz w:val="24"/>
                <w:highlight w:val="none"/>
                <w:lang w:bidi="ar"/>
              </w:rPr>
            </w:pPr>
            <w:r>
              <w:rPr>
                <w:rFonts w:hint="eastAsia" w:ascii="宋体" w:hAnsi="宋体" w:cs="宋体"/>
                <w:kern w:val="0"/>
                <w:sz w:val="24"/>
                <w:highlight w:val="none"/>
                <w:lang w:bidi="ar"/>
              </w:rPr>
              <w:t>开户行：招商银行大连沙河口支行</w:t>
            </w:r>
          </w:p>
          <w:p w14:paraId="5C36EC6E">
            <w:pPr>
              <w:rPr>
                <w:highlight w:val="none"/>
              </w:rPr>
            </w:pPr>
            <w:r>
              <w:rPr>
                <w:rFonts w:hint="eastAsia" w:ascii="宋体" w:hAnsi="宋体" w:cs="宋体"/>
                <w:kern w:val="0"/>
                <w:sz w:val="24"/>
                <w:highlight w:val="none"/>
                <w:lang w:bidi="ar"/>
              </w:rPr>
              <w:t>账号：411910958510018</w:t>
            </w:r>
          </w:p>
        </w:tc>
      </w:tr>
      <w:tr w14:paraId="14F311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5" w:type="dxa"/>
            <w:vAlign w:val="center"/>
          </w:tcPr>
          <w:p w14:paraId="22658C25">
            <w:pPr>
              <w:widowControl/>
              <w:snapToGrid w:val="0"/>
              <w:spacing w:line="360" w:lineRule="auto"/>
              <w:contextualSpacing/>
              <w:jc w:val="center"/>
              <w:rPr>
                <w:rFonts w:hint="eastAsia" w:ascii="宋体" w:hAnsi="宋体" w:cs="宋体"/>
                <w:kern w:val="0"/>
                <w:sz w:val="24"/>
                <w:highlight w:val="none"/>
              </w:rPr>
            </w:pPr>
            <w:r>
              <w:rPr>
                <w:rFonts w:hint="eastAsia" w:ascii="宋体" w:hAnsi="宋体" w:cs="宋体"/>
                <w:kern w:val="0"/>
                <w:sz w:val="24"/>
                <w:highlight w:val="none"/>
              </w:rPr>
              <w:t>26</w:t>
            </w:r>
          </w:p>
        </w:tc>
        <w:tc>
          <w:tcPr>
            <w:tcW w:w="8515" w:type="dxa"/>
            <w:vAlign w:val="center"/>
          </w:tcPr>
          <w:p w14:paraId="2CBE208A">
            <w:pPr>
              <w:widowControl/>
              <w:snapToGrid w:val="0"/>
              <w:spacing w:line="360" w:lineRule="auto"/>
              <w:contextualSpacing/>
              <w:rPr>
                <w:rFonts w:hint="eastAsia" w:ascii="宋体" w:hAnsi="宋体" w:cs="宋体"/>
                <w:kern w:val="0"/>
                <w:sz w:val="24"/>
                <w:highlight w:val="none"/>
              </w:rPr>
            </w:pPr>
            <w:r>
              <w:rPr>
                <w:rFonts w:hint="eastAsia" w:ascii="宋体" w:hAnsi="宋体" w:cs="宋体"/>
                <w:kern w:val="0"/>
                <w:sz w:val="24"/>
                <w:highlight w:val="none"/>
                <w:lang w:bidi="ar"/>
              </w:rPr>
              <w:t>对于投标文件中含义不明确、同类问题表述不一致或者有明显文字和计算错误的内容，投标人</w:t>
            </w:r>
            <w:r>
              <w:rPr>
                <w:rFonts w:hint="eastAsia" w:ascii="宋体" w:hAnsi="宋体" w:cs="宋体"/>
                <w:kern w:val="0"/>
                <w:sz w:val="24"/>
                <w:highlight w:val="none"/>
                <w:lang w:eastAsia="zh-Hans" w:bidi="ar"/>
              </w:rPr>
              <w:t>应以书面形式</w:t>
            </w:r>
            <w:r>
              <w:rPr>
                <w:rFonts w:hint="eastAsia" w:ascii="宋体" w:hAnsi="宋体" w:cs="宋体"/>
                <w:kern w:val="0"/>
                <w:sz w:val="24"/>
                <w:highlight w:val="none"/>
                <w:lang w:bidi="ar"/>
              </w:rPr>
              <w:t>作出必要的澄清、说明或者补正。</w:t>
            </w:r>
            <w:r>
              <w:rPr>
                <w:rFonts w:hint="eastAsia" w:ascii="宋体" w:hAnsi="宋体" w:cs="宋体"/>
                <w:kern w:val="0"/>
                <w:sz w:val="24"/>
                <w:highlight w:val="none"/>
                <w:lang w:eastAsia="zh-Hans" w:bidi="ar"/>
              </w:rPr>
              <w:t>如无法提供合理的</w:t>
            </w:r>
            <w:r>
              <w:rPr>
                <w:rFonts w:hint="eastAsia" w:ascii="宋体" w:hAnsi="宋体" w:cs="宋体"/>
                <w:kern w:val="0"/>
                <w:sz w:val="24"/>
                <w:highlight w:val="none"/>
                <w:lang w:bidi="ar"/>
              </w:rPr>
              <w:t>澄清、说明或者补正</w:t>
            </w:r>
            <w:r>
              <w:rPr>
                <w:rFonts w:hint="eastAsia" w:ascii="宋体" w:hAnsi="宋体" w:cs="宋体"/>
                <w:kern w:val="0"/>
                <w:sz w:val="24"/>
                <w:highlight w:val="none"/>
                <w:lang w:eastAsia="zh-Hans"/>
              </w:rPr>
              <w:t>则认为该内容</w:t>
            </w:r>
            <w:r>
              <w:rPr>
                <w:rFonts w:hint="eastAsia" w:ascii="宋体" w:hAnsi="宋体" w:cs="宋体"/>
                <w:kern w:val="0"/>
                <w:sz w:val="24"/>
                <w:highlight w:val="none"/>
              </w:rPr>
              <w:t>无效，不采信。</w:t>
            </w:r>
            <w:r>
              <w:rPr>
                <w:rFonts w:hint="eastAsia" w:ascii="宋体" w:hAnsi="宋体" w:cs="宋体"/>
                <w:kern w:val="0"/>
                <w:sz w:val="24"/>
                <w:highlight w:val="none"/>
                <w:lang w:bidi="ar"/>
              </w:rPr>
              <w:t>投标人的澄清、说明或者补正不得超出投标文件的范围或者改变投标文件的实质性内容</w:t>
            </w:r>
            <w:r>
              <w:rPr>
                <w:rFonts w:hint="eastAsia" w:cs="宋体" w:asciiTheme="minorEastAsia" w:hAnsiTheme="minorEastAsia" w:eastAsiaTheme="minorEastAsia"/>
                <w:kern w:val="0"/>
                <w:sz w:val="24"/>
                <w:highlight w:val="none"/>
                <w:lang w:bidi="ar"/>
              </w:rPr>
              <w:t>。</w:t>
            </w:r>
          </w:p>
        </w:tc>
      </w:tr>
      <w:tr w14:paraId="11CF0E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5" w:type="dxa"/>
            <w:vAlign w:val="center"/>
          </w:tcPr>
          <w:p w14:paraId="4BED342F">
            <w:pPr>
              <w:widowControl/>
              <w:snapToGrid w:val="0"/>
              <w:spacing w:line="360" w:lineRule="auto"/>
              <w:contextualSpacing/>
              <w:jc w:val="center"/>
              <w:rPr>
                <w:rFonts w:hint="eastAsia" w:ascii="宋体" w:hAnsi="宋体" w:cs="宋体"/>
                <w:kern w:val="0"/>
                <w:sz w:val="24"/>
                <w:highlight w:val="none"/>
              </w:rPr>
            </w:pPr>
            <w:r>
              <w:rPr>
                <w:rFonts w:hint="eastAsia" w:ascii="宋体" w:hAnsi="宋体" w:cs="宋体"/>
                <w:kern w:val="0"/>
                <w:sz w:val="24"/>
                <w:highlight w:val="none"/>
              </w:rPr>
              <w:t>27</w:t>
            </w:r>
          </w:p>
        </w:tc>
        <w:tc>
          <w:tcPr>
            <w:tcW w:w="8515" w:type="dxa"/>
            <w:vAlign w:val="center"/>
          </w:tcPr>
          <w:p w14:paraId="65F7D965">
            <w:pPr>
              <w:widowControl/>
              <w:snapToGrid w:val="0"/>
              <w:spacing w:line="360" w:lineRule="auto"/>
              <w:contextualSpacing/>
              <w:jc w:val="left"/>
              <w:rPr>
                <w:rFonts w:hint="eastAsia" w:ascii="宋体" w:hAnsi="宋体" w:cs="宋体"/>
                <w:kern w:val="0"/>
                <w:sz w:val="24"/>
                <w:highlight w:val="none"/>
              </w:rPr>
            </w:pPr>
            <w:r>
              <w:rPr>
                <w:rFonts w:hint="eastAsia" w:ascii="宋体" w:hAnsi="宋体" w:cs="宋体"/>
                <w:kern w:val="0"/>
                <w:sz w:val="24"/>
                <w:highlight w:val="none"/>
              </w:rPr>
              <w:t>（1）标记“★”号条款为必须满足条款，如不响应或不能满足，视为无效投标。</w:t>
            </w:r>
          </w:p>
          <w:p w14:paraId="705BEE3A">
            <w:pPr>
              <w:widowControl/>
              <w:snapToGrid w:val="0"/>
              <w:spacing w:line="360" w:lineRule="auto"/>
              <w:contextualSpacing/>
              <w:jc w:val="left"/>
              <w:rPr>
                <w:rFonts w:hint="eastAsia" w:ascii="宋体" w:hAnsi="宋体" w:cs="宋体"/>
                <w:kern w:val="0"/>
                <w:sz w:val="24"/>
                <w:highlight w:val="none"/>
              </w:rPr>
            </w:pPr>
            <w:r>
              <w:rPr>
                <w:rFonts w:hint="eastAsia" w:ascii="宋体" w:hAnsi="宋体" w:cs="宋体"/>
                <w:kern w:val="0"/>
                <w:sz w:val="24"/>
                <w:highlight w:val="none"/>
              </w:rPr>
              <w:t>（2）招标文件的技术和商务条款中未标记“★”号的为非实质性要求，未响应非实质性要求的投标文件仍为有效，但可能影响评分。</w:t>
            </w:r>
          </w:p>
        </w:tc>
      </w:tr>
      <w:tr w14:paraId="5A80B6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5" w:type="dxa"/>
            <w:vAlign w:val="center"/>
          </w:tcPr>
          <w:p w14:paraId="4F6DE4DA">
            <w:pPr>
              <w:widowControl/>
              <w:snapToGrid w:val="0"/>
              <w:spacing w:line="360" w:lineRule="auto"/>
              <w:contextualSpacing/>
              <w:jc w:val="center"/>
              <w:rPr>
                <w:rFonts w:hint="eastAsia" w:ascii="宋体" w:hAnsi="宋体" w:cs="宋体"/>
                <w:kern w:val="0"/>
                <w:sz w:val="24"/>
                <w:highlight w:val="none"/>
              </w:rPr>
            </w:pPr>
            <w:r>
              <w:rPr>
                <w:rFonts w:hint="eastAsia" w:ascii="宋体" w:hAnsi="宋体" w:cs="宋体"/>
                <w:kern w:val="0"/>
                <w:sz w:val="24"/>
                <w:highlight w:val="none"/>
              </w:rPr>
              <w:t>28</w:t>
            </w:r>
          </w:p>
        </w:tc>
        <w:tc>
          <w:tcPr>
            <w:tcW w:w="8515" w:type="dxa"/>
            <w:vAlign w:val="center"/>
          </w:tcPr>
          <w:p w14:paraId="45F170C9">
            <w:pPr>
              <w:keepNext/>
              <w:keepLines/>
              <w:widowControl/>
              <w:snapToGrid w:val="0"/>
              <w:spacing w:line="360" w:lineRule="auto"/>
              <w:contextualSpacing/>
              <w:outlineLvl w:val="2"/>
              <w:rPr>
                <w:rFonts w:hint="eastAsia" w:ascii="宋体" w:hAnsi="宋体" w:cs="宋体"/>
                <w:b/>
                <w:kern w:val="0"/>
                <w:sz w:val="24"/>
                <w:highlight w:val="none"/>
              </w:rPr>
            </w:pPr>
            <w:bookmarkStart w:id="53" w:name="_Toc24902"/>
            <w:r>
              <w:rPr>
                <w:rFonts w:hint="eastAsia" w:ascii="宋体" w:hAnsi="宋体" w:cs="宋体"/>
                <w:kern w:val="0"/>
                <w:sz w:val="24"/>
                <w:highlight w:val="none"/>
              </w:rPr>
              <w:t>★质保期：货到采购人指定地点安装调试验收合格之日起，免费质保不低于1年。</w:t>
            </w:r>
            <w:bookmarkEnd w:id="53"/>
          </w:p>
        </w:tc>
      </w:tr>
    </w:tbl>
    <w:p w14:paraId="16F73949">
      <w:pPr>
        <w:adjustRightInd w:val="0"/>
        <w:snapToGrid w:val="0"/>
        <w:spacing w:line="360" w:lineRule="auto"/>
        <w:ind w:firstLine="643"/>
        <w:jc w:val="center"/>
        <w:rPr>
          <w:rFonts w:hint="eastAsia" w:ascii="宋体" w:hAnsi="宋体" w:cs="宋体"/>
          <w:b/>
          <w:bCs/>
          <w:kern w:val="0"/>
          <w:sz w:val="32"/>
          <w:szCs w:val="32"/>
          <w:highlight w:val="none"/>
        </w:rPr>
      </w:pPr>
    </w:p>
    <w:p w14:paraId="255D510E">
      <w:pPr>
        <w:adjustRightInd w:val="0"/>
        <w:snapToGrid w:val="0"/>
        <w:spacing w:line="360" w:lineRule="auto"/>
        <w:ind w:firstLine="643"/>
        <w:jc w:val="center"/>
        <w:rPr>
          <w:rFonts w:hint="eastAsia" w:ascii="宋体" w:hAnsi="宋体" w:cs="宋体"/>
          <w:b/>
          <w:bCs/>
          <w:kern w:val="0"/>
          <w:sz w:val="32"/>
          <w:szCs w:val="32"/>
          <w:highlight w:val="none"/>
        </w:rPr>
      </w:pPr>
    </w:p>
    <w:p w14:paraId="07FB4E05">
      <w:pPr>
        <w:widowControl/>
        <w:ind w:firstLine="643"/>
        <w:jc w:val="left"/>
        <w:rPr>
          <w:rFonts w:hint="eastAsia" w:ascii="宋体" w:hAnsi="宋体" w:cs="宋体"/>
          <w:b/>
          <w:bCs/>
          <w:kern w:val="0"/>
          <w:sz w:val="32"/>
          <w:szCs w:val="32"/>
          <w:highlight w:val="none"/>
        </w:rPr>
      </w:pPr>
      <w:r>
        <w:rPr>
          <w:rFonts w:ascii="宋体" w:hAnsi="宋体" w:cs="宋体"/>
          <w:b/>
          <w:bCs/>
          <w:kern w:val="0"/>
          <w:sz w:val="32"/>
          <w:szCs w:val="32"/>
          <w:highlight w:val="none"/>
        </w:rPr>
        <w:br w:type="page"/>
      </w:r>
    </w:p>
    <w:p w14:paraId="4EECD7AE">
      <w:pPr>
        <w:adjustRightInd w:val="0"/>
        <w:snapToGrid w:val="0"/>
        <w:spacing w:line="360" w:lineRule="auto"/>
        <w:ind w:firstLine="643"/>
        <w:jc w:val="center"/>
        <w:rPr>
          <w:rFonts w:hint="eastAsia" w:ascii="宋体" w:hAnsi="宋体" w:cs="宋体"/>
          <w:b/>
          <w:bCs/>
          <w:kern w:val="0"/>
          <w:sz w:val="32"/>
          <w:szCs w:val="32"/>
          <w:highlight w:val="none"/>
        </w:rPr>
      </w:pPr>
      <w:r>
        <w:rPr>
          <w:rFonts w:hint="eastAsia" w:ascii="宋体" w:hAnsi="宋体" w:cs="宋体"/>
          <w:b/>
          <w:bCs/>
          <w:kern w:val="0"/>
          <w:sz w:val="32"/>
          <w:szCs w:val="32"/>
          <w:highlight w:val="none"/>
        </w:rPr>
        <w:t>投标人须知</w:t>
      </w:r>
    </w:p>
    <w:p w14:paraId="6F1AFB16">
      <w:pPr>
        <w:adjustRightInd w:val="0"/>
        <w:snapToGrid w:val="0"/>
        <w:spacing w:line="360" w:lineRule="auto"/>
        <w:ind w:firstLine="482"/>
        <w:jc w:val="center"/>
        <w:rPr>
          <w:rFonts w:hint="eastAsia" w:ascii="宋体" w:hAnsi="宋体" w:cs="宋体"/>
          <w:b/>
          <w:kern w:val="0"/>
          <w:sz w:val="24"/>
          <w:highlight w:val="none"/>
        </w:rPr>
      </w:pPr>
      <w:bookmarkStart w:id="54" w:name="_Toc168800595"/>
      <w:bookmarkStart w:id="55" w:name="_Toc25007_WPSOffice_Level3"/>
      <w:r>
        <w:rPr>
          <w:rFonts w:hint="eastAsia" w:ascii="宋体" w:hAnsi="宋体" w:cs="宋体"/>
          <w:b/>
          <w:kern w:val="0"/>
          <w:sz w:val="24"/>
          <w:highlight w:val="none"/>
        </w:rPr>
        <w:t>一、总则</w:t>
      </w:r>
      <w:bookmarkEnd w:id="54"/>
      <w:bookmarkEnd w:id="55"/>
    </w:p>
    <w:p w14:paraId="791F62C4">
      <w:pPr>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1.</w:t>
      </w:r>
      <w:bookmarkStart w:id="56" w:name="_Toc168800596"/>
      <w:r>
        <w:rPr>
          <w:rFonts w:ascii="宋体" w:hAnsi="宋体" w:cs="宋体"/>
          <w:kern w:val="0"/>
          <w:sz w:val="24"/>
          <w:highlight w:val="none"/>
        </w:rPr>
        <w:t xml:space="preserve"> </w:t>
      </w:r>
      <w:r>
        <w:rPr>
          <w:rFonts w:hint="eastAsia" w:ascii="宋体" w:hAnsi="宋体" w:cs="宋体"/>
          <w:kern w:val="0"/>
          <w:sz w:val="24"/>
          <w:highlight w:val="none"/>
        </w:rPr>
        <w:t>资金来源</w:t>
      </w:r>
      <w:bookmarkEnd w:id="56"/>
    </w:p>
    <w:p w14:paraId="441CE912">
      <w:pPr>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1.1 采购人已具备用于支付“投标人须知前附表”所述项目费用的能力，能够支付本次招标后所签订的合同项下的款项。</w:t>
      </w:r>
      <w:bookmarkStart w:id="57" w:name="_Toc168800597"/>
    </w:p>
    <w:p w14:paraId="242638B9">
      <w:pPr>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2.</w:t>
      </w:r>
      <w:r>
        <w:rPr>
          <w:rFonts w:ascii="宋体" w:hAnsi="宋体" w:cs="宋体"/>
          <w:kern w:val="0"/>
          <w:sz w:val="24"/>
          <w:highlight w:val="none"/>
        </w:rPr>
        <w:t xml:space="preserve"> </w:t>
      </w:r>
      <w:r>
        <w:rPr>
          <w:rFonts w:hint="eastAsia" w:ascii="宋体" w:hAnsi="宋体" w:cs="宋体"/>
          <w:kern w:val="0"/>
          <w:sz w:val="24"/>
          <w:highlight w:val="none"/>
        </w:rPr>
        <w:t>合格的投标人、合格的货物与服务</w:t>
      </w:r>
      <w:bookmarkEnd w:id="57"/>
    </w:p>
    <w:p w14:paraId="695ADB3C">
      <w:pPr>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2.1</w:t>
      </w:r>
      <w:r>
        <w:rPr>
          <w:rFonts w:ascii="宋体" w:hAnsi="宋体" w:cs="宋体"/>
          <w:kern w:val="0"/>
          <w:sz w:val="24"/>
          <w:highlight w:val="none"/>
        </w:rPr>
        <w:t xml:space="preserve"> </w:t>
      </w:r>
      <w:r>
        <w:rPr>
          <w:rFonts w:hint="eastAsia" w:ascii="宋体" w:hAnsi="宋体" w:cs="宋体"/>
          <w:kern w:val="0"/>
          <w:sz w:val="24"/>
          <w:highlight w:val="none"/>
        </w:rPr>
        <w:t>符合《中华人民共和国政府采购法》第二十二条要求。</w:t>
      </w:r>
    </w:p>
    <w:p w14:paraId="5D997851">
      <w:pPr>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2.2 合同中提供的所有货物及其有关服务，均应来自中华人民共和国境内，本合同的支付也仅限于这些货物和服务。</w:t>
      </w:r>
    </w:p>
    <w:p w14:paraId="63A9AE5D">
      <w:pPr>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2.3 本款所述的“来源地”是指货物开采、生长或生产或提供服务的来源地。所述的货物是指制造、加工或实质上装配了主要部件而形成的货物，商业上公认的产品是指在基本特征、性能或功能上与部件有着实质性区别的产品。</w:t>
      </w:r>
    </w:p>
    <w:p w14:paraId="7F93180C">
      <w:pPr>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2.4 投标人必须满足“投标人须知前附表”所述项目要求。</w:t>
      </w:r>
    </w:p>
    <w:p w14:paraId="490E84A3">
      <w:pPr>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2.5</w:t>
      </w:r>
      <w:r>
        <w:rPr>
          <w:rFonts w:ascii="宋体" w:hAnsi="宋体" w:cs="宋体"/>
          <w:kern w:val="0"/>
          <w:sz w:val="24"/>
          <w:highlight w:val="none"/>
        </w:rPr>
        <w:t xml:space="preserve"> </w:t>
      </w:r>
      <w:r>
        <w:rPr>
          <w:rFonts w:hint="eastAsia" w:ascii="宋体" w:hAnsi="宋体" w:cs="宋体"/>
          <w:kern w:val="0"/>
          <w:sz w:val="24"/>
          <w:highlight w:val="none"/>
        </w:rPr>
        <w:t>其他要求：</w:t>
      </w:r>
    </w:p>
    <w:p w14:paraId="4D0339DB">
      <w:pPr>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2.5.1</w:t>
      </w:r>
      <w:r>
        <w:rPr>
          <w:rFonts w:ascii="宋体" w:hAnsi="宋体" w:cs="宋体"/>
          <w:kern w:val="0"/>
          <w:sz w:val="24"/>
          <w:highlight w:val="none"/>
        </w:rPr>
        <w:t xml:space="preserve"> </w:t>
      </w:r>
      <w:r>
        <w:rPr>
          <w:rFonts w:hint="eastAsia" w:ascii="宋体" w:hAnsi="宋体" w:cs="宋体"/>
          <w:kern w:val="0"/>
          <w:sz w:val="24"/>
          <w:highlight w:val="none"/>
        </w:rPr>
        <w:t>与采购人存在利害关系可能影响招标公正性的法人、其他组织或者个人，不得参加投标。</w:t>
      </w:r>
    </w:p>
    <w:p w14:paraId="0FCF5BD5">
      <w:pPr>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2.5.2</w:t>
      </w:r>
      <w:r>
        <w:rPr>
          <w:rFonts w:ascii="宋体" w:hAnsi="宋体" w:cs="宋体"/>
          <w:kern w:val="0"/>
          <w:sz w:val="24"/>
          <w:highlight w:val="none"/>
        </w:rPr>
        <w:t xml:space="preserve"> </w:t>
      </w:r>
      <w:r>
        <w:rPr>
          <w:rFonts w:hint="eastAsia" w:ascii="宋体" w:hAnsi="宋体" w:cs="宋体"/>
          <w:kern w:val="0"/>
          <w:sz w:val="24"/>
          <w:highlight w:val="none"/>
        </w:rPr>
        <w:t>单位负责人为同一人或者存在直接控股、管理关系的不同投标人，不得参加同一合同项下的政府采购活动。为本采购项目提供整体设计、规范编制或者项目管理、监理、检测等服务的投标人，不得再参加本采购项目的采购活动。</w:t>
      </w:r>
    </w:p>
    <w:p w14:paraId="2102A29E">
      <w:pPr>
        <w:snapToGrid w:val="0"/>
        <w:spacing w:line="360" w:lineRule="auto"/>
        <w:ind w:firstLine="480" w:firstLineChars="200"/>
        <w:rPr>
          <w:rFonts w:hint="eastAsia" w:ascii="宋体" w:hAnsi="宋体" w:cs="宋体"/>
          <w:kern w:val="0"/>
          <w:sz w:val="24"/>
          <w:highlight w:val="none"/>
        </w:rPr>
      </w:pPr>
      <w:bookmarkStart w:id="58" w:name="_Toc168800598"/>
      <w:r>
        <w:rPr>
          <w:rFonts w:hint="eastAsia" w:ascii="宋体" w:hAnsi="宋体" w:cs="宋体"/>
          <w:kern w:val="0"/>
          <w:sz w:val="24"/>
          <w:highlight w:val="none"/>
        </w:rPr>
        <w:t>3.</w:t>
      </w:r>
      <w:r>
        <w:rPr>
          <w:rFonts w:ascii="宋体" w:hAnsi="宋体" w:cs="宋体"/>
          <w:kern w:val="0"/>
          <w:sz w:val="24"/>
          <w:highlight w:val="none"/>
        </w:rPr>
        <w:t xml:space="preserve"> </w:t>
      </w:r>
      <w:r>
        <w:rPr>
          <w:rFonts w:hint="eastAsia" w:ascii="宋体" w:hAnsi="宋体" w:cs="宋体"/>
          <w:kern w:val="0"/>
          <w:sz w:val="24"/>
          <w:highlight w:val="none"/>
        </w:rPr>
        <w:t>投标费用</w:t>
      </w:r>
      <w:bookmarkEnd w:id="58"/>
    </w:p>
    <w:p w14:paraId="7D254FA0">
      <w:pPr>
        <w:adjustRightInd w:val="0"/>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投标人应承担所有参与此次投标活动所发生的相关费用，不论投标的结果如何，采购人将不承担任何费用。</w:t>
      </w:r>
    </w:p>
    <w:p w14:paraId="1B6CB13A">
      <w:pPr>
        <w:snapToGrid w:val="0"/>
        <w:spacing w:line="360" w:lineRule="auto"/>
        <w:ind w:firstLine="482"/>
        <w:jc w:val="center"/>
        <w:rPr>
          <w:rFonts w:hint="eastAsia" w:ascii="宋体" w:hAnsi="宋体" w:cs="宋体"/>
          <w:b/>
          <w:kern w:val="0"/>
          <w:sz w:val="24"/>
          <w:highlight w:val="none"/>
        </w:rPr>
      </w:pPr>
      <w:bookmarkStart w:id="59" w:name="_Toc21710_WPSOffice_Level3"/>
      <w:bookmarkStart w:id="60" w:name="_Toc168800599"/>
      <w:r>
        <w:rPr>
          <w:rFonts w:hint="eastAsia" w:ascii="宋体" w:hAnsi="宋体" w:cs="宋体"/>
          <w:b/>
          <w:kern w:val="0"/>
          <w:sz w:val="24"/>
          <w:highlight w:val="none"/>
        </w:rPr>
        <w:t>二、招标文件</w:t>
      </w:r>
      <w:bookmarkEnd w:id="59"/>
      <w:bookmarkEnd w:id="60"/>
    </w:p>
    <w:p w14:paraId="33D7BA8A">
      <w:pPr>
        <w:snapToGrid w:val="0"/>
        <w:spacing w:line="360" w:lineRule="auto"/>
        <w:ind w:firstLine="480" w:firstLineChars="200"/>
        <w:rPr>
          <w:rFonts w:hint="eastAsia" w:ascii="宋体" w:hAnsi="宋体" w:cs="宋体"/>
          <w:kern w:val="0"/>
          <w:sz w:val="24"/>
          <w:highlight w:val="none"/>
        </w:rPr>
      </w:pPr>
      <w:bookmarkStart w:id="61" w:name="_Toc168800600"/>
      <w:r>
        <w:rPr>
          <w:rFonts w:hint="eastAsia" w:ascii="宋体" w:hAnsi="宋体" w:cs="宋体"/>
          <w:kern w:val="0"/>
          <w:sz w:val="24"/>
          <w:highlight w:val="none"/>
        </w:rPr>
        <w:t>4.招标文件构成</w:t>
      </w:r>
      <w:bookmarkEnd w:id="61"/>
    </w:p>
    <w:p w14:paraId="761C0A02">
      <w:pPr>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4.1招标文件包括：</w:t>
      </w:r>
    </w:p>
    <w:p w14:paraId="2CB8F2AD">
      <w:pPr>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4.1.1招标公告。</w:t>
      </w:r>
    </w:p>
    <w:p w14:paraId="4E42ABBE">
      <w:pPr>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4.1.2投标人须知及前附表。</w:t>
      </w:r>
    </w:p>
    <w:p w14:paraId="6EC36A24">
      <w:pPr>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4.1.3合同条款及前附表。</w:t>
      </w:r>
    </w:p>
    <w:p w14:paraId="59CBEA47">
      <w:pPr>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4.1.4合同格式。</w:t>
      </w:r>
    </w:p>
    <w:p w14:paraId="7EE781BA">
      <w:pPr>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4.1.5用户需求书。</w:t>
      </w:r>
    </w:p>
    <w:p w14:paraId="1268B7E8">
      <w:pPr>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4.1.6投标文件格式。</w:t>
      </w:r>
    </w:p>
    <w:p w14:paraId="5663F228">
      <w:pPr>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4.1.7评分标准。</w:t>
      </w:r>
    </w:p>
    <w:p w14:paraId="534DCF2F">
      <w:pPr>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4.2 投标人应认真阅读招标文件中所有的事项、格式、条款、项目任务等要求。如果投标人没有按照招标文件要求提交全部资料或者投标文件没有按照招标文件要求做出实质性响应，没有实质性响应招标文件要求的投标将视为无效。</w:t>
      </w:r>
      <w:bookmarkStart w:id="62" w:name="_Toc168800601"/>
    </w:p>
    <w:p w14:paraId="6B121211">
      <w:pPr>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5. 招标文件的澄清</w:t>
      </w:r>
      <w:bookmarkEnd w:id="62"/>
    </w:p>
    <w:p w14:paraId="2F4C07C5">
      <w:pPr>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5.1 投标人要求对招标文件进行澄清的，应在“投标人须知前附表”所述截止时间前按招标文件中的通讯地址以书面形式转至采购人，采购人对此要求将以书面形式予以答复，同时将书面答复寄送给每位获取招标文件的投标人，但不标明问题的来源。</w:t>
      </w:r>
      <w:bookmarkStart w:id="63" w:name="_Toc168800602"/>
    </w:p>
    <w:p w14:paraId="12D2D222">
      <w:pPr>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6. 招标文件的修改</w:t>
      </w:r>
      <w:bookmarkEnd w:id="63"/>
    </w:p>
    <w:p w14:paraId="3CD4135B">
      <w:pPr>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6.1 在投标截止时间前，采购人依法可主动地或在解答投标人提出的澄清问题时对招标文件进行修改。</w:t>
      </w:r>
    </w:p>
    <w:p w14:paraId="2EF75BF5">
      <w:pPr>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6.2 采购人对招标文件的修改或澄清将以修改函（或澄清函）形式书面通知所有投标人。修改函（或澄清函）与招标文件具有同等约束力。投标人接到修改函（或澄清函）后应立即以书面形式进行确认。</w:t>
      </w:r>
    </w:p>
    <w:p w14:paraId="628F8DEF">
      <w:pPr>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6.3 为使投标人编写投标文件时有充分时间对招标文件的修改部分进行研究，采购人可视情况酌情延长投标文件递交截止时间。</w:t>
      </w:r>
    </w:p>
    <w:p w14:paraId="3844F20D">
      <w:pPr>
        <w:snapToGrid w:val="0"/>
        <w:spacing w:line="360" w:lineRule="auto"/>
        <w:ind w:firstLine="482"/>
        <w:jc w:val="center"/>
        <w:rPr>
          <w:rFonts w:hint="eastAsia" w:ascii="宋体" w:hAnsi="宋体" w:cs="宋体"/>
          <w:b/>
          <w:kern w:val="0"/>
          <w:sz w:val="24"/>
          <w:highlight w:val="none"/>
        </w:rPr>
      </w:pPr>
      <w:bookmarkStart w:id="64" w:name="_Toc2102_WPSOffice_Level1"/>
      <w:bookmarkStart w:id="65" w:name="_Toc168800603"/>
      <w:bookmarkStart w:id="66" w:name="_Toc6173_WPSOffice_Level3"/>
      <w:r>
        <w:rPr>
          <w:rFonts w:hint="eastAsia" w:ascii="宋体" w:hAnsi="宋体" w:cs="宋体"/>
          <w:b/>
          <w:kern w:val="0"/>
          <w:sz w:val="24"/>
          <w:highlight w:val="none"/>
        </w:rPr>
        <w:t>三、投标文件的编制</w:t>
      </w:r>
      <w:bookmarkEnd w:id="64"/>
      <w:bookmarkEnd w:id="65"/>
      <w:bookmarkEnd w:id="66"/>
    </w:p>
    <w:p w14:paraId="4806A999">
      <w:pPr>
        <w:snapToGrid w:val="0"/>
        <w:spacing w:line="360" w:lineRule="auto"/>
        <w:ind w:firstLine="480" w:firstLineChars="200"/>
        <w:rPr>
          <w:rFonts w:hint="eastAsia" w:ascii="宋体" w:hAnsi="宋体" w:cs="宋体"/>
          <w:kern w:val="0"/>
          <w:sz w:val="24"/>
          <w:highlight w:val="none"/>
        </w:rPr>
      </w:pPr>
      <w:bookmarkStart w:id="67" w:name="_Toc168800604"/>
      <w:r>
        <w:rPr>
          <w:rFonts w:hint="eastAsia" w:ascii="宋体" w:hAnsi="宋体" w:cs="宋体"/>
          <w:kern w:val="0"/>
          <w:sz w:val="24"/>
          <w:highlight w:val="none"/>
        </w:rPr>
        <w:t>7. 投标的语言</w:t>
      </w:r>
      <w:bookmarkEnd w:id="67"/>
    </w:p>
    <w:p w14:paraId="42A53A5C">
      <w:pPr>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投标人提交的投标文件以及投标人与采购人就有关投标的所有来往函电均应使用“投标人须知前附表”中规定的语言书写。投标人提交的支持文件的印制的文献可以用另一种语言，但相应内容须附有“投标人须知前附表”中规定语言的翻译本，在解释投标文件时以翻译本为准。</w:t>
      </w:r>
      <w:bookmarkStart w:id="68" w:name="_Toc168800605"/>
    </w:p>
    <w:p w14:paraId="57BCA4DA">
      <w:pPr>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8. 投标文件构成</w:t>
      </w:r>
      <w:bookmarkEnd w:id="68"/>
    </w:p>
    <w:p w14:paraId="7B0D1955">
      <w:pPr>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8.1 投标人编写的投标文件应包括下列部分：</w:t>
      </w:r>
    </w:p>
    <w:p w14:paraId="4091BF6D">
      <w:pPr>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8.1.1投标函；</w:t>
      </w:r>
    </w:p>
    <w:p w14:paraId="326981A7">
      <w:pPr>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8.1.2投标产品分项报价表；</w:t>
      </w:r>
    </w:p>
    <w:p w14:paraId="149FC155">
      <w:pPr>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8.1.3产品说明一览表（包括详细配置、技术参数、性能说明、产品说明书、</w:t>
      </w:r>
      <w:r>
        <w:rPr>
          <w:rFonts w:hint="eastAsia" w:ascii="宋体" w:hAnsi="宋体" w:cs="宋体"/>
          <w:kern w:val="0"/>
          <w:sz w:val="24"/>
          <w:highlight w:val="none"/>
          <w:lang w:eastAsia="zh-Hans"/>
        </w:rPr>
        <w:t>图片</w:t>
      </w:r>
      <w:r>
        <w:rPr>
          <w:rFonts w:hint="eastAsia" w:ascii="宋体" w:hAnsi="宋体" w:cs="宋体"/>
          <w:kern w:val="0"/>
          <w:sz w:val="24"/>
          <w:highlight w:val="none"/>
        </w:rPr>
        <w:t>、产品检验报告等）；</w:t>
      </w:r>
    </w:p>
    <w:p w14:paraId="4FC88F4D">
      <w:pPr>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8.1.4偏离表；</w:t>
      </w:r>
    </w:p>
    <w:p w14:paraId="5C2E6A5E">
      <w:pPr>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8.1.5投标人关于资格的声明函；</w:t>
      </w:r>
    </w:p>
    <w:p w14:paraId="7BB3797A">
      <w:pPr>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8.1.6</w:t>
      </w:r>
      <w:bookmarkStart w:id="69" w:name="_Toc168800606"/>
      <w:r>
        <w:rPr>
          <w:rFonts w:hint="eastAsia" w:ascii="宋体" w:hAnsi="宋体" w:cs="宋体"/>
          <w:kern w:val="0"/>
          <w:sz w:val="24"/>
          <w:highlight w:val="none"/>
        </w:rPr>
        <w:t>法定代表人资格证明书；</w:t>
      </w:r>
    </w:p>
    <w:p w14:paraId="2F483BA7">
      <w:pPr>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8.1.7法定代表人授权委托书；</w:t>
      </w:r>
    </w:p>
    <w:p w14:paraId="012532BD">
      <w:pPr>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8.1.8资格证明文件；</w:t>
      </w:r>
    </w:p>
    <w:p w14:paraId="0B183190">
      <w:pPr>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8.1.9</w:t>
      </w:r>
      <w:r>
        <w:rPr>
          <w:rFonts w:ascii="宋体" w:hAnsi="宋体" w:cs="宋体"/>
          <w:kern w:val="0"/>
          <w:sz w:val="24"/>
          <w:highlight w:val="none"/>
        </w:rPr>
        <w:t>投标保证金缴纳凭证；</w:t>
      </w:r>
    </w:p>
    <w:p w14:paraId="3A321DEE">
      <w:pPr>
        <w:pStyle w:val="45"/>
        <w:snapToGrid w:val="0"/>
        <w:spacing w:line="360" w:lineRule="auto"/>
        <w:ind w:firstLine="480"/>
        <w:rPr>
          <w:rFonts w:hint="eastAsia" w:hAnsi="宋体" w:cs="宋体"/>
          <w:kern w:val="0"/>
          <w:sz w:val="24"/>
          <w:szCs w:val="24"/>
          <w:highlight w:val="none"/>
        </w:rPr>
      </w:pPr>
      <w:r>
        <w:rPr>
          <w:rFonts w:hint="eastAsia" w:hAnsi="宋体" w:cs="宋体"/>
          <w:kern w:val="0"/>
          <w:sz w:val="24"/>
          <w:szCs w:val="24"/>
          <w:highlight w:val="none"/>
        </w:rPr>
        <w:t>8.1.10中小企业声明函、监狱企业证明、残疾人福利性单位声明函；</w:t>
      </w:r>
    </w:p>
    <w:p w14:paraId="2FB316C8">
      <w:pPr>
        <w:pStyle w:val="45"/>
        <w:snapToGrid w:val="0"/>
        <w:spacing w:line="360" w:lineRule="auto"/>
        <w:ind w:firstLine="480"/>
        <w:rPr>
          <w:rFonts w:hint="eastAsia" w:hAnsi="宋体" w:cs="宋体"/>
          <w:kern w:val="0"/>
          <w:sz w:val="24"/>
          <w:szCs w:val="24"/>
          <w:highlight w:val="none"/>
        </w:rPr>
      </w:pPr>
      <w:r>
        <w:rPr>
          <w:rFonts w:hint="eastAsia" w:hAnsi="宋体" w:cs="宋体"/>
          <w:kern w:val="0"/>
          <w:sz w:val="24"/>
          <w:szCs w:val="24"/>
          <w:highlight w:val="none"/>
        </w:rPr>
        <w:t>8.1.11总体方案及功能要求、方案适用性及技术先进性说明（格式自拟）；</w:t>
      </w:r>
    </w:p>
    <w:p w14:paraId="047DB440">
      <w:pPr>
        <w:pStyle w:val="45"/>
        <w:snapToGrid w:val="0"/>
        <w:spacing w:line="360" w:lineRule="auto"/>
        <w:ind w:firstLine="480"/>
        <w:rPr>
          <w:rFonts w:hint="eastAsia" w:hAnsi="宋体" w:cs="宋体"/>
          <w:kern w:val="0"/>
          <w:sz w:val="24"/>
          <w:szCs w:val="24"/>
          <w:highlight w:val="none"/>
        </w:rPr>
      </w:pPr>
      <w:r>
        <w:rPr>
          <w:rFonts w:hint="eastAsia" w:hAnsi="宋体" w:cs="宋体"/>
          <w:kern w:val="0"/>
          <w:sz w:val="24"/>
          <w:szCs w:val="24"/>
          <w:highlight w:val="none"/>
        </w:rPr>
        <w:t>8.1.12</w:t>
      </w:r>
      <w:r>
        <w:rPr>
          <w:rFonts w:hint="eastAsia" w:hAnsi="宋体" w:cs="宋体"/>
          <w:kern w:val="0"/>
          <w:sz w:val="24"/>
          <w:highlight w:val="none"/>
        </w:rPr>
        <w:t>供货</w:t>
      </w:r>
      <w:r>
        <w:rPr>
          <w:rFonts w:hint="eastAsia" w:hAnsi="宋体" w:cs="宋体"/>
          <w:sz w:val="24"/>
          <w:szCs w:val="24"/>
          <w:highlight w:val="none"/>
          <w:lang w:eastAsia="zh-Hans"/>
        </w:rPr>
        <w:t>安装</w:t>
      </w:r>
      <w:r>
        <w:rPr>
          <w:rFonts w:hint="eastAsia" w:hAnsi="宋体" w:cs="宋体"/>
          <w:sz w:val="24"/>
          <w:szCs w:val="24"/>
          <w:highlight w:val="none"/>
        </w:rPr>
        <w:t>方案</w:t>
      </w:r>
      <w:r>
        <w:rPr>
          <w:rFonts w:hAnsi="宋体" w:cs="宋体"/>
          <w:sz w:val="24"/>
          <w:highlight w:val="none"/>
        </w:rPr>
        <w:t>（格式自拟）</w:t>
      </w:r>
    </w:p>
    <w:p w14:paraId="6578BA90">
      <w:pPr>
        <w:pStyle w:val="45"/>
        <w:snapToGrid w:val="0"/>
        <w:spacing w:line="360" w:lineRule="auto"/>
        <w:ind w:firstLine="480"/>
        <w:rPr>
          <w:rFonts w:hint="eastAsia" w:hAnsi="宋体" w:cs="宋体"/>
          <w:sz w:val="24"/>
          <w:highlight w:val="none"/>
        </w:rPr>
      </w:pPr>
      <w:r>
        <w:rPr>
          <w:rFonts w:hint="eastAsia" w:hAnsi="宋体" w:cs="宋体"/>
          <w:kern w:val="0"/>
          <w:sz w:val="24"/>
          <w:szCs w:val="24"/>
          <w:highlight w:val="none"/>
        </w:rPr>
        <w:t>8.1.13</w:t>
      </w:r>
      <w:r>
        <w:rPr>
          <w:rFonts w:hAnsi="宋体" w:cs="宋体"/>
          <w:sz w:val="24"/>
          <w:highlight w:val="none"/>
        </w:rPr>
        <w:t>培训方案（格式自拟）</w:t>
      </w:r>
    </w:p>
    <w:p w14:paraId="639A12CF">
      <w:pPr>
        <w:pStyle w:val="45"/>
        <w:snapToGrid w:val="0"/>
        <w:spacing w:line="360" w:lineRule="auto"/>
        <w:ind w:firstLine="480"/>
        <w:rPr>
          <w:rFonts w:hint="eastAsia" w:hAnsi="宋体" w:cs="宋体"/>
          <w:sz w:val="24"/>
          <w:highlight w:val="none"/>
        </w:rPr>
      </w:pPr>
      <w:r>
        <w:rPr>
          <w:rFonts w:hint="eastAsia" w:hAnsi="宋体" w:cs="宋体"/>
          <w:kern w:val="0"/>
          <w:sz w:val="24"/>
          <w:szCs w:val="24"/>
          <w:highlight w:val="none"/>
        </w:rPr>
        <w:t>8.1.14</w:t>
      </w:r>
      <w:r>
        <w:rPr>
          <w:rFonts w:hAnsi="宋体" w:cs="宋体"/>
          <w:sz w:val="24"/>
          <w:highlight w:val="none"/>
        </w:rPr>
        <w:t>售后服务方案（格式自拟）</w:t>
      </w:r>
    </w:p>
    <w:p w14:paraId="28D069A4">
      <w:pPr>
        <w:pStyle w:val="45"/>
        <w:snapToGrid w:val="0"/>
        <w:spacing w:line="360" w:lineRule="auto"/>
        <w:ind w:firstLine="480"/>
        <w:rPr>
          <w:rFonts w:hint="eastAsia" w:hAnsi="宋体" w:cs="宋体"/>
          <w:kern w:val="0"/>
          <w:sz w:val="24"/>
          <w:szCs w:val="24"/>
          <w:highlight w:val="none"/>
        </w:rPr>
      </w:pPr>
      <w:r>
        <w:rPr>
          <w:rFonts w:hint="eastAsia" w:hAnsi="宋体" w:cs="宋体"/>
          <w:kern w:val="0"/>
          <w:sz w:val="24"/>
          <w:szCs w:val="24"/>
          <w:highlight w:val="none"/>
        </w:rPr>
        <w:t>8.1.15质保期承诺（格式自拟）</w:t>
      </w:r>
    </w:p>
    <w:p w14:paraId="5E717545">
      <w:pPr>
        <w:pStyle w:val="45"/>
        <w:snapToGrid w:val="0"/>
        <w:spacing w:line="360" w:lineRule="auto"/>
        <w:ind w:firstLine="480"/>
        <w:rPr>
          <w:rFonts w:hint="eastAsia" w:hAnsi="宋体" w:cs="宋体"/>
          <w:kern w:val="0"/>
          <w:sz w:val="24"/>
          <w:szCs w:val="24"/>
          <w:highlight w:val="none"/>
        </w:rPr>
      </w:pPr>
      <w:r>
        <w:rPr>
          <w:rFonts w:hint="eastAsia" w:hAnsi="宋体" w:cs="宋体"/>
          <w:kern w:val="0"/>
          <w:sz w:val="24"/>
          <w:szCs w:val="24"/>
          <w:highlight w:val="none"/>
        </w:rPr>
        <w:t>8.1.16</w:t>
      </w:r>
      <w:r>
        <w:rPr>
          <w:rFonts w:hint="eastAsia" w:hAnsi="宋体" w:cs="宋体"/>
          <w:kern w:val="0"/>
          <w:sz w:val="24"/>
          <w:szCs w:val="24"/>
          <w:highlight w:val="none"/>
          <w:lang w:val="en-US" w:eastAsia="zh-CN"/>
        </w:rPr>
        <w:t xml:space="preserve"> </w:t>
      </w:r>
      <w:r>
        <w:rPr>
          <w:rFonts w:hint="eastAsia" w:hAnsi="宋体" w:cs="宋体"/>
          <w:kern w:val="0"/>
          <w:sz w:val="24"/>
          <w:szCs w:val="24"/>
          <w:highlight w:val="none"/>
        </w:rPr>
        <w:t>2022年1月1日至投标文件递交截止时间</w:t>
      </w:r>
      <w:r>
        <w:rPr>
          <w:rFonts w:hint="eastAsia" w:hAnsi="宋体" w:cs="宋体"/>
          <w:kern w:val="0"/>
          <w:sz w:val="24"/>
          <w:szCs w:val="24"/>
          <w:highlight w:val="none"/>
          <w:lang w:val="en-US" w:eastAsia="zh-CN"/>
        </w:rPr>
        <w:t>的</w:t>
      </w:r>
      <w:r>
        <w:rPr>
          <w:rFonts w:hint="eastAsia" w:hAnsi="宋体" w:cs="宋体"/>
          <w:kern w:val="0"/>
          <w:sz w:val="24"/>
          <w:szCs w:val="24"/>
          <w:highlight w:val="none"/>
        </w:rPr>
        <w:t>类似项目业绩；</w:t>
      </w:r>
    </w:p>
    <w:p w14:paraId="41ACB6DA">
      <w:pPr>
        <w:pStyle w:val="45"/>
        <w:snapToGrid w:val="0"/>
        <w:spacing w:line="360" w:lineRule="auto"/>
        <w:ind w:firstLine="480"/>
        <w:rPr>
          <w:rFonts w:hint="eastAsia" w:hAnsi="宋体" w:cs="宋体"/>
          <w:kern w:val="0"/>
          <w:sz w:val="24"/>
          <w:szCs w:val="24"/>
          <w:highlight w:val="none"/>
        </w:rPr>
      </w:pPr>
      <w:r>
        <w:rPr>
          <w:rFonts w:hint="eastAsia" w:hAnsi="宋体" w:cs="宋体"/>
          <w:kern w:val="0"/>
          <w:sz w:val="24"/>
          <w:szCs w:val="24"/>
          <w:highlight w:val="none"/>
        </w:rPr>
        <w:t>8.1.17投标人需提交的其他文件；</w:t>
      </w:r>
    </w:p>
    <w:p w14:paraId="19EF9A6C">
      <w:pPr>
        <w:pStyle w:val="45"/>
        <w:snapToGrid w:val="0"/>
        <w:spacing w:line="360" w:lineRule="auto"/>
        <w:ind w:firstLine="480"/>
        <w:rPr>
          <w:rFonts w:hint="eastAsia" w:hAnsi="宋体" w:cs="宋体"/>
          <w:kern w:val="0"/>
          <w:sz w:val="24"/>
          <w:szCs w:val="24"/>
          <w:highlight w:val="none"/>
        </w:rPr>
      </w:pPr>
      <w:r>
        <w:rPr>
          <w:rFonts w:hint="eastAsia" w:hAnsi="宋体" w:cs="宋体"/>
          <w:kern w:val="0"/>
          <w:sz w:val="24"/>
          <w:szCs w:val="24"/>
          <w:highlight w:val="none"/>
        </w:rPr>
        <w:t>8.1.18投标人需说明的其他问题。</w:t>
      </w:r>
    </w:p>
    <w:p w14:paraId="1803D0D1">
      <w:pPr>
        <w:pStyle w:val="45"/>
        <w:snapToGrid w:val="0"/>
        <w:spacing w:line="360" w:lineRule="auto"/>
        <w:ind w:firstLine="480"/>
        <w:rPr>
          <w:rFonts w:hint="eastAsia" w:hAnsi="宋体" w:cs="宋体"/>
          <w:kern w:val="0"/>
          <w:sz w:val="24"/>
          <w:szCs w:val="24"/>
          <w:highlight w:val="none"/>
        </w:rPr>
      </w:pPr>
      <w:r>
        <w:rPr>
          <w:rFonts w:hint="eastAsia" w:hAnsi="宋体" w:cs="宋体"/>
          <w:kern w:val="0"/>
          <w:sz w:val="24"/>
          <w:szCs w:val="24"/>
          <w:highlight w:val="none"/>
        </w:rPr>
        <w:t>★注：以上材料除“8.1.11至8.1.</w:t>
      </w:r>
      <w:r>
        <w:rPr>
          <w:rFonts w:hAnsi="宋体" w:cs="宋体"/>
          <w:kern w:val="0"/>
          <w:sz w:val="24"/>
          <w:szCs w:val="24"/>
          <w:highlight w:val="none"/>
        </w:rPr>
        <w:t>1</w:t>
      </w:r>
      <w:r>
        <w:rPr>
          <w:rFonts w:hint="eastAsia" w:hAnsi="宋体" w:cs="宋体"/>
          <w:kern w:val="0"/>
          <w:sz w:val="24"/>
          <w:szCs w:val="24"/>
          <w:highlight w:val="none"/>
        </w:rPr>
        <w:t>8”外，缺少任意一项，投标文件为无效。</w:t>
      </w:r>
    </w:p>
    <w:p w14:paraId="656EA283">
      <w:pPr>
        <w:pStyle w:val="45"/>
        <w:snapToGrid w:val="0"/>
        <w:spacing w:line="360" w:lineRule="auto"/>
        <w:ind w:firstLine="480"/>
        <w:rPr>
          <w:rFonts w:hint="eastAsia" w:hAnsi="宋体" w:cs="宋体"/>
          <w:kern w:val="0"/>
          <w:sz w:val="24"/>
          <w:szCs w:val="24"/>
          <w:highlight w:val="none"/>
        </w:rPr>
      </w:pPr>
      <w:r>
        <w:rPr>
          <w:rFonts w:hint="eastAsia" w:hAnsi="宋体" w:cs="宋体"/>
          <w:kern w:val="0"/>
          <w:sz w:val="24"/>
          <w:szCs w:val="24"/>
          <w:highlight w:val="none"/>
        </w:rPr>
        <w:t>9．投标函格式</w:t>
      </w:r>
      <w:bookmarkEnd w:id="69"/>
    </w:p>
    <w:p w14:paraId="605D6B75">
      <w:pPr>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投标人应完整地填写招标文件中的投标函格式和投标报价表及其附件，说明所提供的货物和服务、简介、来源、数量及价格。</w:t>
      </w:r>
      <w:bookmarkStart w:id="70" w:name="_Toc168800607"/>
    </w:p>
    <w:p w14:paraId="7AF0489C">
      <w:pPr>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10. 投标报价</w:t>
      </w:r>
      <w:bookmarkEnd w:id="70"/>
      <w:r>
        <w:rPr>
          <w:rFonts w:hint="eastAsia" w:ascii="宋体" w:hAnsi="宋体" w:cs="宋体"/>
          <w:kern w:val="0"/>
          <w:sz w:val="24"/>
          <w:highlight w:val="none"/>
        </w:rPr>
        <w:t>、投标货币</w:t>
      </w:r>
    </w:p>
    <w:p w14:paraId="6F1E7218">
      <w:pPr>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10.1 投标人应在适当的投标报价表上标明，本合同拟提供服务的单价(适用时)和总价。</w:t>
      </w:r>
    </w:p>
    <w:p w14:paraId="7E0BF26F">
      <w:pPr>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10.2 投标人所报的投标价在合同执行过程中是固定不变的，不得以任何理由予以变更。根据投标人须知的规定，以可调整的价格提交的投标文件将作为非投标性投标而予以拒绝。</w:t>
      </w:r>
    </w:p>
    <w:p w14:paraId="2B6085EF">
      <w:pPr>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10.3 所有投标应按“投标人须知前附表”中规定的货币报价。</w:t>
      </w:r>
      <w:bookmarkStart w:id="71" w:name="_Toc168800609"/>
    </w:p>
    <w:p w14:paraId="30FEF42C">
      <w:pPr>
        <w:pStyle w:val="45"/>
        <w:snapToGrid w:val="0"/>
        <w:spacing w:line="360" w:lineRule="auto"/>
        <w:ind w:firstLine="480"/>
        <w:rPr>
          <w:rFonts w:hint="eastAsia" w:hAnsi="宋体" w:cs="宋体"/>
          <w:kern w:val="0"/>
          <w:sz w:val="24"/>
          <w:szCs w:val="24"/>
          <w:highlight w:val="none"/>
        </w:rPr>
      </w:pPr>
      <w:r>
        <w:rPr>
          <w:rFonts w:hint="eastAsia" w:hAnsi="宋体" w:cs="宋体"/>
          <w:kern w:val="0"/>
          <w:sz w:val="24"/>
          <w:szCs w:val="24"/>
          <w:highlight w:val="none"/>
        </w:rPr>
        <w:t>10.4 投标人对各种服务只允许有一个报价，采购人不接受任何有选择的报价。要求投标函有明确的投标报价（总价），有明确的</w:t>
      </w:r>
      <w:r>
        <w:rPr>
          <w:rFonts w:hint="eastAsia" w:hAnsi="宋体" w:cs="宋体"/>
          <w:kern w:val="0"/>
          <w:sz w:val="24"/>
          <w:highlight w:val="none"/>
        </w:rPr>
        <w:t>项目完成期限</w:t>
      </w:r>
      <w:r>
        <w:rPr>
          <w:rFonts w:hint="eastAsia" w:hAnsi="宋体" w:cs="宋体"/>
          <w:kern w:val="0"/>
          <w:sz w:val="24"/>
          <w:szCs w:val="24"/>
          <w:highlight w:val="none"/>
        </w:rPr>
        <w:t>，有明确的</w:t>
      </w:r>
      <w:r>
        <w:rPr>
          <w:rFonts w:hint="eastAsia" w:hAnsi="宋体" w:cs="宋体"/>
          <w:kern w:val="0"/>
          <w:sz w:val="24"/>
          <w:highlight w:val="none"/>
        </w:rPr>
        <w:t>质保期</w:t>
      </w:r>
      <w:r>
        <w:rPr>
          <w:rFonts w:hint="eastAsia" w:hAnsi="宋体" w:cs="宋体"/>
          <w:kern w:val="0"/>
          <w:sz w:val="24"/>
          <w:szCs w:val="24"/>
          <w:highlight w:val="none"/>
        </w:rPr>
        <w:t>。</w:t>
      </w:r>
    </w:p>
    <w:p w14:paraId="3FEA075D">
      <w:pPr>
        <w:pStyle w:val="45"/>
        <w:snapToGrid w:val="0"/>
        <w:spacing w:line="360" w:lineRule="auto"/>
        <w:ind w:firstLine="480" w:firstLineChars="200"/>
        <w:rPr>
          <w:rFonts w:hint="eastAsia" w:hAnsi="宋体" w:cs="宋体"/>
          <w:b/>
          <w:bCs/>
          <w:kern w:val="0"/>
          <w:sz w:val="24"/>
          <w:szCs w:val="24"/>
          <w:highlight w:val="none"/>
        </w:rPr>
      </w:pPr>
      <w:r>
        <w:rPr>
          <w:rFonts w:hint="eastAsia" w:hAnsi="宋体" w:cs="宋体"/>
          <w:kern w:val="0"/>
          <w:sz w:val="24"/>
          <w:szCs w:val="24"/>
          <w:highlight w:val="none"/>
        </w:rPr>
        <w:t>10.5本次投标报价为与项目有关的开发、设计、人员、税金、保险、培训、代理服务费等所有费用的报价。该报价应包括：全部货物和服务的人员费用、深化设计、设计审核、材料费、加工费、零配件购置费、现场监造费、出厂验收费、安装费、运输费、保险费、有关部门检测验收费、售后技术服务、必不可少的部件、标准备件、专用工具、踏勘费及相关专业配合等费用。投标人还应充分考虑水、电及与本项目有关的其他一切费用，一并报入综合单价中，采购人不再支付除合同价款以外的任何费用。</w:t>
      </w:r>
    </w:p>
    <w:p w14:paraId="10294A4A">
      <w:pPr>
        <w:pStyle w:val="45"/>
        <w:snapToGrid w:val="0"/>
        <w:spacing w:line="360" w:lineRule="auto"/>
        <w:ind w:firstLine="480"/>
        <w:rPr>
          <w:rFonts w:hint="eastAsia" w:hAnsi="宋体" w:cs="宋体"/>
          <w:kern w:val="0"/>
          <w:sz w:val="24"/>
          <w:highlight w:val="none"/>
        </w:rPr>
      </w:pPr>
      <w:r>
        <w:rPr>
          <w:rFonts w:hint="eastAsia" w:hAnsi="宋体" w:cs="宋体"/>
          <w:kern w:val="0"/>
          <w:sz w:val="24"/>
          <w:highlight w:val="none"/>
        </w:rPr>
        <w:t>10.6本次招标的项目采用固定总价合同，合同总价在招标文件及合同约定的招标内容及相应风险范围之内不可调整。</w:t>
      </w:r>
    </w:p>
    <w:p w14:paraId="1B13A1A5">
      <w:pPr>
        <w:snapToGrid w:val="0"/>
        <w:spacing w:line="360" w:lineRule="auto"/>
        <w:ind w:firstLine="480"/>
        <w:rPr>
          <w:rFonts w:hint="eastAsia" w:ascii="宋体" w:hAnsi="宋体" w:cs="宋体"/>
          <w:kern w:val="0"/>
          <w:sz w:val="24"/>
          <w:highlight w:val="none"/>
        </w:rPr>
      </w:pPr>
      <w:r>
        <w:rPr>
          <w:rFonts w:hint="eastAsia" w:ascii="宋体" w:hAnsi="宋体" w:cs="宋体"/>
          <w:kern w:val="0"/>
          <w:sz w:val="24"/>
          <w:highlight w:val="none"/>
        </w:rPr>
        <w:t>10.7投标人在报价时应充分考虑本合同期内的各种风险,包括漏项风险、加工条件、原材料价格变动和各种税费等风险，在合同执行期间其货物价格不再实行政策性调整和变动。</w:t>
      </w:r>
    </w:p>
    <w:p w14:paraId="5B2D0996">
      <w:pPr>
        <w:snapToGrid w:val="0"/>
        <w:spacing w:line="360" w:lineRule="auto"/>
        <w:ind w:firstLine="480"/>
        <w:rPr>
          <w:rFonts w:hint="eastAsia" w:ascii="宋体" w:hAnsi="宋体" w:cs="宋体"/>
          <w:kern w:val="0"/>
          <w:sz w:val="24"/>
          <w:highlight w:val="none"/>
        </w:rPr>
      </w:pPr>
      <w:r>
        <w:rPr>
          <w:rFonts w:hint="eastAsia" w:ascii="宋体" w:hAnsi="宋体" w:cs="宋体"/>
          <w:kern w:val="0"/>
          <w:sz w:val="24"/>
          <w:highlight w:val="none"/>
        </w:rPr>
        <w:t>10.8 投标人在投标文件递交开标后，投标人不得调整、修改报价。</w:t>
      </w:r>
    </w:p>
    <w:p w14:paraId="69D5A6BE">
      <w:pPr>
        <w:pStyle w:val="45"/>
        <w:snapToGrid w:val="0"/>
        <w:spacing w:line="360" w:lineRule="auto"/>
        <w:ind w:firstLine="480"/>
        <w:rPr>
          <w:rFonts w:hint="eastAsia" w:hAnsi="宋体" w:cs="宋体"/>
          <w:kern w:val="0"/>
          <w:sz w:val="24"/>
          <w:szCs w:val="24"/>
          <w:highlight w:val="none"/>
        </w:rPr>
      </w:pPr>
      <w:r>
        <w:rPr>
          <w:rFonts w:hint="eastAsia" w:hAnsi="宋体" w:cs="宋体"/>
          <w:kern w:val="0"/>
          <w:sz w:val="24"/>
          <w:szCs w:val="24"/>
          <w:highlight w:val="none"/>
        </w:rPr>
        <w:t>10.9 投标人的分项报价表反映出货物（服务）单价、数量、合价、产地及供货商等内容。</w:t>
      </w:r>
    </w:p>
    <w:p w14:paraId="446AAC67">
      <w:pPr>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11. 投标保证金</w:t>
      </w:r>
    </w:p>
    <w:p w14:paraId="4B64BC0A">
      <w:pPr>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11.1 投标人应按“投标人须知前附表”要求交纳投标保证金。</w:t>
      </w:r>
    </w:p>
    <w:p w14:paraId="728EB68D">
      <w:pPr>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11.2 采购人有权拒绝未能按照要求提交投标保证金的投标文件。</w:t>
      </w:r>
    </w:p>
    <w:p w14:paraId="67FE4724">
      <w:pPr>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11.3未中标投标人的投标保证金将在中标通知书发出后五个工作日内予以退还；中标人的投标保证金将在中标人与采购人签署合同后五个工作日内予以退还。</w:t>
      </w:r>
    </w:p>
    <w:p w14:paraId="20FC1D1A">
      <w:pPr>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11.4 投标保证金有效期与投标有效期相同。</w:t>
      </w:r>
    </w:p>
    <w:p w14:paraId="02F52CF1">
      <w:pPr>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11.5 如有下列情况之一，投标人的投标保证金将不予以退还：</w:t>
      </w:r>
    </w:p>
    <w:p w14:paraId="12C9B966">
      <w:pPr>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11.5.1投标人在投标有效期内撤回其投标的。</w:t>
      </w:r>
    </w:p>
    <w:p w14:paraId="5FDA3919">
      <w:pPr>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11.5.2中标人未能在规定的期限内与采购人签署合同协议的。</w:t>
      </w:r>
    </w:p>
    <w:p w14:paraId="51CD6A05">
      <w:pPr>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11.5.2 法律、法规规定的其他情形。</w:t>
      </w:r>
    </w:p>
    <w:p w14:paraId="506917E9">
      <w:pPr>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12. 证明投标人资格的文件</w:t>
      </w:r>
      <w:bookmarkEnd w:id="71"/>
    </w:p>
    <w:p w14:paraId="6AC7142B">
      <w:pPr>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12.1 按照规定，投标人应提交证明其有资格参加投标和中标后有能力履行合同的文件，并作为其投标文件的组成部分。</w:t>
      </w:r>
    </w:p>
    <w:p w14:paraId="725D9D3F">
      <w:pPr>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12.2开标结束后，采购人或采购代理机构对投标人的资格进行审查。</w:t>
      </w:r>
    </w:p>
    <w:p w14:paraId="0C665BD2">
      <w:pPr>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12.3投标人应按要求填写并提交招标文件上所附的“资格证明文件”。</w:t>
      </w:r>
      <w:bookmarkStart w:id="72" w:name="_Toc168800610"/>
    </w:p>
    <w:p w14:paraId="4DDD4A59">
      <w:pPr>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13. 证明货物和服务的合格性</w:t>
      </w:r>
      <w:bookmarkEnd w:id="72"/>
    </w:p>
    <w:p w14:paraId="3D7A27FA">
      <w:pPr>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13.1按照规定，投标人应提交证明其拟供的合同项下的货物和服务的合格性符合招标文件规定的文件，并作为其投标文件的一部分。</w:t>
      </w:r>
    </w:p>
    <w:p w14:paraId="125C6E07">
      <w:pPr>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13.2货物和服务合格性的证明文件应包括投标报价表中对货物和服务来源地的说明，并由装运货物时出具的原产地证书证实。</w:t>
      </w:r>
    </w:p>
    <w:p w14:paraId="7EF5AB9A">
      <w:pPr>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 xml:space="preserve">13.3 证明货物和服务与招标文件的要求相一致的文件，它可以是文字资料、图纸和数据，包括： </w:t>
      </w:r>
    </w:p>
    <w:p w14:paraId="31C52177">
      <w:pPr>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13.3.1货物和服务主要技术指标和性能的详细说明。</w:t>
      </w:r>
    </w:p>
    <w:p w14:paraId="72A1A912">
      <w:pPr>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13.3.2应提供货物和服务从买方开始使用至“投标文件”中规定的期间正常、连续地使用所需的完整和备件和特种工具等清单，包括备件和特种工具的货源程序及现行价格。</w:t>
      </w:r>
    </w:p>
    <w:p w14:paraId="3EE00562">
      <w:pPr>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13.3.3逐条对买方要求的技术规格进行评议，说明所提供货物和服务已对买方的技术规格做出了实质性的投标；或说明与技术规格条文的偏差和例外。</w:t>
      </w:r>
    </w:p>
    <w:p w14:paraId="333B6588">
      <w:pPr>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13.4 投标人在阐述上述13.3.3时应注意：买方在技术规格中指出的工艺、材料和货物的标准以及参照的牌号或分类号仅起说明作用，并不具任何限制性，投标人在投标中可能选取替代标准，牌号或分类号，但这些替代要实质上相当于技术规格的要求，并且使买方满意。</w:t>
      </w:r>
    </w:p>
    <w:p w14:paraId="08B2DF96">
      <w:pPr>
        <w:snapToGrid w:val="0"/>
        <w:spacing w:line="360" w:lineRule="auto"/>
        <w:ind w:firstLine="480" w:firstLineChars="200"/>
        <w:rPr>
          <w:rFonts w:hint="eastAsia" w:ascii="宋体" w:hAnsi="宋体" w:cs="宋体"/>
          <w:kern w:val="0"/>
          <w:sz w:val="24"/>
          <w:highlight w:val="none"/>
        </w:rPr>
      </w:pPr>
      <w:bookmarkStart w:id="73" w:name="_Toc168800612"/>
      <w:r>
        <w:rPr>
          <w:rFonts w:hint="eastAsia" w:ascii="宋体" w:hAnsi="宋体" w:cs="宋体"/>
          <w:kern w:val="0"/>
          <w:sz w:val="24"/>
          <w:highlight w:val="none"/>
        </w:rPr>
        <w:t>14. 投标有效期</w:t>
      </w:r>
      <w:bookmarkEnd w:id="73"/>
    </w:p>
    <w:p w14:paraId="5138346A">
      <w:pPr>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14.1所有投标应从规定的开标之日起，在“投标人须知前附表”所规定的以日历日计算的投标有效期内有效。</w:t>
      </w:r>
    </w:p>
    <w:p w14:paraId="743FA5D0">
      <w:pPr>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14.2在特殊情况下，在原投标有效期期满之前，采购人可征得投标人同意延长投标有效期。这种要求与答复均应以信函、电子邮件形式等进行。投标人可以拒绝采购人的这种要求，同意延长的投标人不允许修改其投标文件。</w:t>
      </w:r>
      <w:bookmarkStart w:id="74" w:name="_Toc168800613"/>
    </w:p>
    <w:p w14:paraId="48C91E90">
      <w:pPr>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15. 投标文件的式样和签署</w:t>
      </w:r>
      <w:bookmarkEnd w:id="74"/>
    </w:p>
    <w:p w14:paraId="66A659D8">
      <w:pPr>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15.1投标人按“投标人须知前附表”规定的数目递交投标文件，每套投标文件须清楚地标明“正本”或“副本”。一旦正本和副本不符，以正本为准。</w:t>
      </w:r>
    </w:p>
    <w:p w14:paraId="16D1A404">
      <w:pPr>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15.2投标文件的正本和所有的副本均需打印并由投标人法定代表人或法人授权代表签字或盖章。授权代表须将以书面形式出具的“授权委托书”附在投标文件中。</w:t>
      </w:r>
    </w:p>
    <w:p w14:paraId="038DDA30">
      <w:pPr>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15.3除投标人对错处做必要修改外，投标文件不得行间插字，涂改和增删，如有修改错漏处，必须由投标人法定代表人或其授权代表签字或盖章。</w:t>
      </w:r>
    </w:p>
    <w:p w14:paraId="73F827C5">
      <w:pPr>
        <w:numPr>
          <w:ilvl w:val="0"/>
          <w:numId w:val="2"/>
        </w:numPr>
        <w:snapToGrid w:val="0"/>
        <w:spacing w:line="360" w:lineRule="auto"/>
        <w:ind w:firstLine="482"/>
        <w:jc w:val="center"/>
        <w:rPr>
          <w:rFonts w:hint="eastAsia" w:ascii="宋体" w:hAnsi="宋体" w:cs="宋体"/>
          <w:b/>
          <w:kern w:val="0"/>
          <w:sz w:val="24"/>
          <w:highlight w:val="none"/>
        </w:rPr>
      </w:pPr>
      <w:bookmarkStart w:id="75" w:name="_Toc3611_WPSOffice_Level3"/>
      <w:bookmarkStart w:id="76" w:name="_Toc14848_WPSOffice_Level1"/>
      <w:bookmarkStart w:id="77" w:name="_Toc168800614"/>
      <w:r>
        <w:rPr>
          <w:rFonts w:hint="eastAsia" w:ascii="宋体" w:hAnsi="宋体" w:cs="宋体"/>
          <w:b/>
          <w:kern w:val="0"/>
          <w:sz w:val="24"/>
          <w:highlight w:val="none"/>
        </w:rPr>
        <w:t>投标文件的递交</w:t>
      </w:r>
      <w:bookmarkEnd w:id="75"/>
      <w:bookmarkEnd w:id="76"/>
      <w:bookmarkEnd w:id="77"/>
    </w:p>
    <w:p w14:paraId="121AA396">
      <w:pPr>
        <w:snapToGrid w:val="0"/>
        <w:spacing w:line="360" w:lineRule="auto"/>
        <w:ind w:firstLine="480" w:firstLineChars="200"/>
        <w:rPr>
          <w:rFonts w:hint="eastAsia" w:ascii="宋体" w:hAnsi="宋体" w:cs="宋体"/>
          <w:kern w:val="0"/>
          <w:sz w:val="24"/>
          <w:highlight w:val="none"/>
        </w:rPr>
      </w:pPr>
      <w:bookmarkStart w:id="78" w:name="_Toc168800615"/>
      <w:r>
        <w:rPr>
          <w:rFonts w:hint="eastAsia" w:ascii="宋体" w:hAnsi="宋体" w:cs="宋体"/>
          <w:kern w:val="0"/>
          <w:sz w:val="24"/>
          <w:highlight w:val="none"/>
        </w:rPr>
        <w:t>16. 投标文件的密封和标记</w:t>
      </w:r>
      <w:bookmarkEnd w:id="78"/>
    </w:p>
    <w:p w14:paraId="23025E14">
      <w:pPr>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16.1 投标文件须按以下方法装袋密封：</w:t>
      </w:r>
    </w:p>
    <w:p w14:paraId="2CDFDBAA">
      <w:pPr>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投标文件密封袋内装投标文件正、副本及电子版文件。封口处应有投标人法定代表人或是其授权代表的签字及投标人的公章。封皮上写明项目名称、投标人名称，并注明“xx年x月x日x时前不得开启”字样。</w:t>
      </w:r>
    </w:p>
    <w:p w14:paraId="22FADDA7">
      <w:pPr>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16.2如果投标文件未按要求密封和加写标记，采购人对误投或过早启封概不负责。对由此造成提前开封的投标文件，采购人将予以拒绝，并退回投标人。</w:t>
      </w:r>
    </w:p>
    <w:p w14:paraId="0D1621CB">
      <w:pPr>
        <w:snapToGrid w:val="0"/>
        <w:spacing w:line="360" w:lineRule="auto"/>
        <w:ind w:firstLine="480" w:firstLineChars="200"/>
        <w:rPr>
          <w:rFonts w:hint="eastAsia" w:ascii="宋体" w:hAnsi="宋体" w:cs="宋体"/>
          <w:kern w:val="0"/>
          <w:sz w:val="24"/>
          <w:highlight w:val="none"/>
        </w:rPr>
      </w:pPr>
      <w:bookmarkStart w:id="79" w:name="_Toc168800616"/>
      <w:r>
        <w:rPr>
          <w:rFonts w:hint="eastAsia" w:ascii="宋体" w:hAnsi="宋体" w:cs="宋体"/>
          <w:kern w:val="0"/>
          <w:sz w:val="24"/>
          <w:highlight w:val="none"/>
        </w:rPr>
        <w:t>17. 投标截止</w:t>
      </w:r>
      <w:bookmarkEnd w:id="79"/>
      <w:r>
        <w:rPr>
          <w:rFonts w:hint="eastAsia" w:ascii="宋体" w:hAnsi="宋体" w:cs="宋体"/>
          <w:kern w:val="0"/>
          <w:sz w:val="24"/>
          <w:highlight w:val="none"/>
        </w:rPr>
        <w:t>时间</w:t>
      </w:r>
    </w:p>
    <w:p w14:paraId="251B1F39">
      <w:pPr>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17.1 投标人应在“投标人须知前附表”规定的投标截止时间前送达投标文件，投标截止时间后送达的投标文件将被拒绝。</w:t>
      </w:r>
    </w:p>
    <w:p w14:paraId="1C898335">
      <w:pPr>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17.2采购人可以按规定通过修改招标文件而酌情延长投标截止时间。在此情况下，采购人和投标人受投标截止时间制约的所有权利和义务均应延长至新的投标截止时间。</w:t>
      </w:r>
      <w:bookmarkStart w:id="80" w:name="_Toc168800617"/>
    </w:p>
    <w:p w14:paraId="627B5641">
      <w:pPr>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18. 迟交的投标文件</w:t>
      </w:r>
      <w:bookmarkEnd w:id="80"/>
    </w:p>
    <w:p w14:paraId="30A8D8D3">
      <w:pPr>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采购人将拒绝投标截止时间后送达的投标文件。</w:t>
      </w:r>
      <w:bookmarkStart w:id="81" w:name="_Toc168800618"/>
    </w:p>
    <w:p w14:paraId="5892EEFE">
      <w:pPr>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19. 投标文件的修改和撤回</w:t>
      </w:r>
      <w:bookmarkEnd w:id="81"/>
    </w:p>
    <w:p w14:paraId="17E76609">
      <w:pPr>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19.1截止时间前，投标人可以修改或撤回其投标文件，但必须以书面形式通知采购人。</w:t>
      </w:r>
    </w:p>
    <w:p w14:paraId="23421FFE">
      <w:pPr>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19.2投标人的修改或撤回通知书应按规定编制、密封、标记和发送，并应在封套上加注“修改”或“撤回”字样。</w:t>
      </w:r>
    </w:p>
    <w:p w14:paraId="3AD21A02">
      <w:pPr>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19.3 在投标截止时间之后，投标人不得对其投标文件做任何修改。</w:t>
      </w:r>
    </w:p>
    <w:p w14:paraId="293C8430">
      <w:pPr>
        <w:adjustRightInd w:val="0"/>
        <w:snapToGrid w:val="0"/>
        <w:spacing w:line="360" w:lineRule="auto"/>
        <w:ind w:firstLine="482"/>
        <w:jc w:val="center"/>
        <w:rPr>
          <w:rFonts w:hint="eastAsia" w:ascii="宋体" w:hAnsi="宋体" w:cs="宋体"/>
          <w:b/>
          <w:kern w:val="0"/>
          <w:sz w:val="24"/>
          <w:highlight w:val="none"/>
        </w:rPr>
      </w:pPr>
      <w:bookmarkStart w:id="82" w:name="_Toc168800619"/>
      <w:bookmarkStart w:id="83" w:name="_Toc27283_WPSOffice_Level3"/>
      <w:bookmarkStart w:id="84" w:name="_Toc17585_WPSOffice_Level1"/>
      <w:r>
        <w:rPr>
          <w:rFonts w:hint="eastAsia" w:ascii="宋体" w:hAnsi="宋体" w:cs="宋体"/>
          <w:b/>
          <w:kern w:val="0"/>
          <w:sz w:val="24"/>
          <w:highlight w:val="none"/>
        </w:rPr>
        <w:t>五、开标与评标</w:t>
      </w:r>
      <w:bookmarkEnd w:id="82"/>
      <w:bookmarkEnd w:id="83"/>
      <w:bookmarkEnd w:id="84"/>
    </w:p>
    <w:p w14:paraId="11A7E787">
      <w:pPr>
        <w:snapToGrid w:val="0"/>
        <w:spacing w:line="360" w:lineRule="auto"/>
        <w:ind w:firstLine="480" w:firstLineChars="200"/>
        <w:rPr>
          <w:rFonts w:hint="eastAsia" w:ascii="宋体" w:hAnsi="宋体" w:cs="宋体"/>
          <w:kern w:val="0"/>
          <w:sz w:val="24"/>
          <w:highlight w:val="none"/>
        </w:rPr>
      </w:pPr>
      <w:bookmarkStart w:id="85" w:name="_Toc168800620"/>
      <w:r>
        <w:rPr>
          <w:rFonts w:hint="eastAsia" w:ascii="宋体" w:hAnsi="宋体" w:cs="宋体"/>
          <w:kern w:val="0"/>
          <w:sz w:val="24"/>
          <w:highlight w:val="none"/>
        </w:rPr>
        <w:t>20. 开标</w:t>
      </w:r>
      <w:bookmarkEnd w:id="85"/>
    </w:p>
    <w:p w14:paraId="7169E175">
      <w:pPr>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20.1开标在招标文件确定的提交投标文件截止时间的同一时间进行。采购人或者采购代理机构将在“投标人须知前附表”规定的时间和地点组织开标。</w:t>
      </w:r>
    </w:p>
    <w:p w14:paraId="05FB4749">
      <w:pPr>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20.2按照规定，提交了可接受的“撤回”通知的投标文件将不予开封。</w:t>
      </w:r>
    </w:p>
    <w:p w14:paraId="13EA5FB7">
      <w:pPr>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20.3开标由采购人或者采购代理机构主持，邀请投标人参加。评标委员会成员不得参加开标活动。</w:t>
      </w:r>
    </w:p>
    <w:p w14:paraId="216698B1">
      <w:pPr>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20.4开标时，应当由投标人或者其推选的代表检查投标文件的密封情况；经确认无误后，由采购人或者采购代理机构工作人员当众拆封，宣布投标人名称、投标价格和招标文件规定的需要宣布的其他内容。</w:t>
      </w:r>
    </w:p>
    <w:p w14:paraId="77FC9464">
      <w:pPr>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20.5投标人不足3家的，不得开标。</w:t>
      </w:r>
    </w:p>
    <w:p w14:paraId="2FD5B538">
      <w:pPr>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20.6开标过程应当由采购人或者采购代理机构负责记录，由参加开标的各投标人代表和相关工作人员签字确认。</w:t>
      </w:r>
    </w:p>
    <w:p w14:paraId="3495E69B">
      <w:pPr>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20.7投标人代表对开标过程和开标记录有疑义，以及认为采购人、采购代理机构相关工作人员有需要回避的情形的，应当场提出询问或者回避申请。采购人、采购代理机构对投标人代表提出的询问或者回避申请应当及时处理。</w:t>
      </w:r>
    </w:p>
    <w:p w14:paraId="75BCAA29">
      <w:pPr>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20.8投标人未参加开标的，视同认可开标结果。</w:t>
      </w:r>
    </w:p>
    <w:p w14:paraId="61D8EFA3">
      <w:pPr>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20.9投标文件有下列情况之一的，投标文件无效，采购人或者采购代理机构予以退回：</w:t>
      </w:r>
    </w:p>
    <w:p w14:paraId="5A6E2D16">
      <w:pPr>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20.9.1</w:t>
      </w:r>
      <w:r>
        <w:rPr>
          <w:rFonts w:hint="eastAsia" w:ascii="宋体" w:hAnsi="宋体" w:cs="宋体"/>
          <w:kern w:val="0"/>
          <w:sz w:val="24"/>
          <w:highlight w:val="none"/>
        </w:rPr>
        <w:tab/>
      </w:r>
      <w:r>
        <w:rPr>
          <w:rFonts w:hint="eastAsia" w:ascii="宋体" w:hAnsi="宋体" w:cs="宋体"/>
          <w:kern w:val="0"/>
          <w:sz w:val="24"/>
          <w:highlight w:val="none"/>
        </w:rPr>
        <w:t>投标文件未按照招标文件的要求予以密封。</w:t>
      </w:r>
    </w:p>
    <w:p w14:paraId="4FC47BE9">
      <w:pPr>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20.9.2 投标文件未能于投标截止时间之前递交至指定地点及指定接收人。</w:t>
      </w:r>
    </w:p>
    <w:p w14:paraId="3FD26818">
      <w:pPr>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20.10开标后采购人或采购代理机构对投标人的资格进行审查。合格投标人不足3家的，不得评标。</w:t>
      </w:r>
      <w:bookmarkStart w:id="86" w:name="_Toc168800621"/>
    </w:p>
    <w:p w14:paraId="05F04161">
      <w:pPr>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21. 评标委员会的组成</w:t>
      </w:r>
      <w:bookmarkEnd w:id="86"/>
    </w:p>
    <w:p w14:paraId="6D08E5DA">
      <w:pPr>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21.1评标委员会负责具体评标事务，并独立履行下列职责：</w:t>
      </w:r>
    </w:p>
    <w:p w14:paraId="0966BE35">
      <w:pPr>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（一）审查、评价投标文件是否符合招标文件的商务、技术等实质性要求。</w:t>
      </w:r>
    </w:p>
    <w:p w14:paraId="459B9AD8">
      <w:pPr>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（二）要求投标人对投标文件有关事项作出澄清或者说明。</w:t>
      </w:r>
    </w:p>
    <w:p w14:paraId="7D903505">
      <w:pPr>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（三）对投标文件进行比较和评价。</w:t>
      </w:r>
    </w:p>
    <w:p w14:paraId="204EF7E1">
      <w:pPr>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（四）确定中标候选人名单，以及根据采购人委托直接确定中标人。</w:t>
      </w:r>
    </w:p>
    <w:p w14:paraId="10883E58">
      <w:pPr>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（五）向采购人、采购代理机构或者有关部门报告评标中发现的违法行为。</w:t>
      </w:r>
    </w:p>
    <w:p w14:paraId="55CC7402">
      <w:pPr>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21.2评标委员会由采购人代表和评审专家组成，成员人数应当为</w:t>
      </w:r>
      <w:r>
        <w:rPr>
          <w:rFonts w:ascii="宋体" w:hAnsi="宋体" w:cs="宋体"/>
          <w:kern w:val="0"/>
          <w:sz w:val="24"/>
          <w:highlight w:val="none"/>
        </w:rPr>
        <w:t>5</w:t>
      </w:r>
      <w:r>
        <w:rPr>
          <w:rFonts w:hint="eastAsia" w:ascii="宋体" w:hAnsi="宋体" w:cs="宋体"/>
          <w:kern w:val="0"/>
          <w:sz w:val="24"/>
          <w:highlight w:val="none"/>
        </w:rPr>
        <w:t>人及以上单数，其中评审专家不得少于成员总数的三分之二。</w:t>
      </w:r>
    </w:p>
    <w:p w14:paraId="1F8B59DA">
      <w:pPr>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21.3评标委员会成员名单在评标结果公告前应当保密。</w:t>
      </w:r>
    </w:p>
    <w:p w14:paraId="4002D3F7">
      <w:pPr>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21.4采购人或者采购代理机构应当从省级以上财政部门设立的政府采购评审专家库中，通过随机方式抽取评审专家。对技术复杂、专业性强的采购项目，通过随机方式难以确定合适评审专家的，经主管预算单位同意，采购人可以自行选定相应专业领域的评审专家。</w:t>
      </w:r>
    </w:p>
    <w:p w14:paraId="478A876B">
      <w:pPr>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21.5与投标人有利害关系的人不得进入评标委员会。</w:t>
      </w:r>
      <w:bookmarkStart w:id="87" w:name="_Toc168800622"/>
    </w:p>
    <w:p w14:paraId="2879E1CC">
      <w:pPr>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22.评标过程的保密性</w:t>
      </w:r>
      <w:bookmarkEnd w:id="87"/>
    </w:p>
    <w:p w14:paraId="66D8255A">
      <w:pPr>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22.1开标后，直至向中标的投标人授予合同时止，凡与审查、澄清、评价和比较投标的有关资料以及授标意见等，均不得向投标人及与评标无关的其他人透露。</w:t>
      </w:r>
    </w:p>
    <w:p w14:paraId="0D1DCA29">
      <w:pPr>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22.2在评标过程中，如果投标人试图在投标文件审查、澄清、比较及授予合同方面向采购人施加任何影响，其投标将被拒绝。</w:t>
      </w:r>
      <w:bookmarkStart w:id="88" w:name="_Toc168800623"/>
    </w:p>
    <w:p w14:paraId="4AE13FEA">
      <w:pPr>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23. 投标文件的澄清</w:t>
      </w:r>
      <w:bookmarkEnd w:id="88"/>
    </w:p>
    <w:p w14:paraId="3E5DD69D">
      <w:pPr>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为有助于对投标文件的审查、评价和比较，评标委员会可要求投标人对其投标文件进行澄清，有关澄清的要求和答复应以书面形式提交，但不得寻求或允许对投标价格或实质性内容做任何更改。</w:t>
      </w:r>
      <w:bookmarkStart w:id="89" w:name="_Toc168800624"/>
    </w:p>
    <w:p w14:paraId="30FF2060">
      <w:pPr>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24. 投标文件的</w:t>
      </w:r>
      <w:bookmarkEnd w:id="89"/>
      <w:r>
        <w:rPr>
          <w:rFonts w:hint="eastAsia" w:ascii="宋体" w:hAnsi="宋体" w:cs="宋体"/>
          <w:kern w:val="0"/>
          <w:sz w:val="24"/>
          <w:highlight w:val="none"/>
        </w:rPr>
        <w:t>审查</w:t>
      </w:r>
    </w:p>
    <w:p w14:paraId="4689C676">
      <w:pPr>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24.1开标后，采购人或采购代理机构对所有投标人进行资格审查，资格审查不合格的投标人不得进入评审环节。</w:t>
      </w:r>
    </w:p>
    <w:p w14:paraId="2E8F7090">
      <w:pPr>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24.2在资格审查后，评标委员会将对通过资格审查的投标人进行符合性评审。</w:t>
      </w:r>
    </w:p>
    <w:p w14:paraId="4FDE1A08">
      <w:pPr>
        <w:snapToGrid w:val="0"/>
        <w:spacing w:line="360" w:lineRule="auto"/>
        <w:ind w:firstLine="482" w:firstLineChars="200"/>
        <w:rPr>
          <w:rFonts w:hint="eastAsia" w:ascii="宋体" w:hAnsi="宋体" w:cs="宋体"/>
          <w:b/>
          <w:kern w:val="0"/>
          <w:sz w:val="24"/>
          <w:highlight w:val="none"/>
        </w:rPr>
      </w:pPr>
      <w:r>
        <w:rPr>
          <w:rFonts w:hint="eastAsia" w:ascii="宋体" w:hAnsi="宋体" w:cs="宋体"/>
          <w:b/>
          <w:kern w:val="0"/>
          <w:sz w:val="24"/>
          <w:highlight w:val="none"/>
        </w:rPr>
        <w:t>24.3投标文件有下列情形之一的视为符合性评审不合格：</w:t>
      </w:r>
    </w:p>
    <w:p w14:paraId="169976F5">
      <w:pPr>
        <w:snapToGrid w:val="0"/>
        <w:spacing w:line="360" w:lineRule="auto"/>
        <w:ind w:firstLine="482" w:firstLineChars="200"/>
        <w:rPr>
          <w:rFonts w:hint="eastAsia" w:ascii="宋体" w:hAnsi="宋体" w:cs="宋体"/>
          <w:b/>
          <w:bCs/>
          <w:kern w:val="0"/>
          <w:sz w:val="24"/>
          <w:highlight w:val="none"/>
        </w:rPr>
      </w:pPr>
      <w:r>
        <w:rPr>
          <w:rFonts w:hint="eastAsia" w:ascii="宋体" w:hAnsi="宋体" w:cs="宋体"/>
          <w:b/>
          <w:bCs/>
          <w:kern w:val="0"/>
          <w:sz w:val="24"/>
          <w:highlight w:val="none"/>
        </w:rPr>
        <w:t>24.3.1</w:t>
      </w:r>
      <w:r>
        <w:rPr>
          <w:rFonts w:hint="eastAsia" w:ascii="宋体" w:hAnsi="宋体" w:cs="宋体"/>
          <w:b/>
          <w:bCs/>
          <w:kern w:val="0"/>
          <w:sz w:val="24"/>
          <w:highlight w:val="none"/>
        </w:rPr>
        <w:tab/>
      </w:r>
      <w:r>
        <w:rPr>
          <w:rFonts w:hint="eastAsia" w:ascii="宋体" w:hAnsi="宋体" w:cs="宋体"/>
          <w:b/>
          <w:bCs/>
          <w:kern w:val="0"/>
          <w:sz w:val="24"/>
          <w:highlight w:val="none"/>
        </w:rPr>
        <w:t>未按招标文件要求</w:t>
      </w:r>
      <w:r>
        <w:rPr>
          <w:rFonts w:hint="eastAsia" w:ascii="宋体" w:hAnsi="宋体" w:cs="宋体"/>
          <w:b/>
          <w:bCs/>
          <w:kern w:val="0"/>
          <w:sz w:val="24"/>
          <w:highlight w:val="none"/>
          <w:lang w:eastAsia="zh-Hans"/>
        </w:rPr>
        <w:t>缴纳</w:t>
      </w:r>
      <w:r>
        <w:rPr>
          <w:rFonts w:ascii="宋体" w:hAnsi="宋体" w:cs="宋体"/>
          <w:b/>
          <w:bCs/>
          <w:kern w:val="0"/>
          <w:sz w:val="24"/>
          <w:highlight w:val="none"/>
        </w:rPr>
        <w:t>投标保证金</w:t>
      </w:r>
      <w:r>
        <w:rPr>
          <w:rFonts w:hint="eastAsia" w:ascii="宋体" w:hAnsi="宋体" w:cs="宋体"/>
          <w:b/>
          <w:bCs/>
          <w:kern w:val="0"/>
          <w:sz w:val="24"/>
          <w:highlight w:val="none"/>
        </w:rPr>
        <w:t>。</w:t>
      </w:r>
    </w:p>
    <w:p w14:paraId="18754483">
      <w:pPr>
        <w:snapToGrid w:val="0"/>
        <w:spacing w:line="360" w:lineRule="auto"/>
        <w:ind w:firstLine="482" w:firstLineChars="200"/>
        <w:rPr>
          <w:rFonts w:hint="eastAsia" w:ascii="宋体" w:hAnsi="宋体" w:cs="宋体"/>
          <w:b/>
          <w:bCs/>
          <w:kern w:val="0"/>
          <w:sz w:val="24"/>
          <w:highlight w:val="none"/>
        </w:rPr>
      </w:pPr>
      <w:r>
        <w:rPr>
          <w:rFonts w:hint="eastAsia" w:ascii="宋体" w:hAnsi="宋体" w:cs="宋体"/>
          <w:b/>
          <w:bCs/>
          <w:kern w:val="0"/>
          <w:sz w:val="24"/>
          <w:highlight w:val="none"/>
        </w:rPr>
        <w:t>24.3.2</w:t>
      </w:r>
      <w:r>
        <w:rPr>
          <w:rFonts w:hint="eastAsia" w:ascii="宋体" w:hAnsi="宋体" w:cs="宋体"/>
          <w:b/>
          <w:bCs/>
          <w:kern w:val="0"/>
          <w:sz w:val="24"/>
          <w:highlight w:val="none"/>
        </w:rPr>
        <w:tab/>
      </w:r>
      <w:r>
        <w:rPr>
          <w:rFonts w:hint="eastAsia" w:ascii="宋体" w:hAnsi="宋体" w:cs="宋体"/>
          <w:b/>
          <w:bCs/>
          <w:kern w:val="0"/>
          <w:sz w:val="24"/>
          <w:highlight w:val="none"/>
        </w:rPr>
        <w:t>投标文件中的投标函未加盖投标人公章或法定代表人（或委托代理人）印章（或签字）或投标函件内容不全的。</w:t>
      </w:r>
    </w:p>
    <w:p w14:paraId="65D20F35">
      <w:pPr>
        <w:snapToGrid w:val="0"/>
        <w:spacing w:line="360" w:lineRule="auto"/>
        <w:ind w:firstLine="482" w:firstLineChars="200"/>
        <w:rPr>
          <w:rFonts w:hint="eastAsia" w:ascii="宋体" w:hAnsi="宋体" w:cs="宋体"/>
          <w:b/>
          <w:bCs/>
          <w:kern w:val="0"/>
          <w:sz w:val="24"/>
          <w:highlight w:val="none"/>
        </w:rPr>
      </w:pPr>
      <w:r>
        <w:rPr>
          <w:rFonts w:hint="eastAsia" w:ascii="宋体" w:hAnsi="宋体" w:cs="宋体"/>
          <w:b/>
          <w:bCs/>
          <w:kern w:val="0"/>
          <w:sz w:val="24"/>
          <w:highlight w:val="none"/>
        </w:rPr>
        <w:t>24.3.3法定代表人委托代理人没有合法、有效的委托书原件。</w:t>
      </w:r>
    </w:p>
    <w:p w14:paraId="469E583E">
      <w:pPr>
        <w:snapToGrid w:val="0"/>
        <w:spacing w:line="360" w:lineRule="auto"/>
        <w:ind w:firstLine="482" w:firstLineChars="200"/>
        <w:rPr>
          <w:rFonts w:hint="eastAsia" w:ascii="宋体" w:hAnsi="宋体" w:cs="宋体"/>
          <w:b/>
          <w:bCs/>
          <w:kern w:val="0"/>
          <w:sz w:val="24"/>
          <w:highlight w:val="none"/>
        </w:rPr>
      </w:pPr>
      <w:r>
        <w:rPr>
          <w:rFonts w:hint="eastAsia" w:ascii="宋体" w:hAnsi="宋体" w:cs="宋体"/>
          <w:b/>
          <w:bCs/>
          <w:kern w:val="0"/>
          <w:sz w:val="24"/>
          <w:highlight w:val="none"/>
        </w:rPr>
        <w:t>24.3.4投标文件未按规定格式填写，或内容不全、关键字迹模糊无法辨认或投标文件正、副本数量不符合招标文件要求的。</w:t>
      </w:r>
    </w:p>
    <w:p w14:paraId="43AC2342">
      <w:pPr>
        <w:snapToGrid w:val="0"/>
        <w:spacing w:line="360" w:lineRule="auto"/>
        <w:ind w:firstLine="482" w:firstLineChars="200"/>
        <w:rPr>
          <w:rFonts w:hint="eastAsia" w:ascii="宋体" w:hAnsi="宋体" w:cs="宋体"/>
          <w:b/>
          <w:bCs/>
          <w:kern w:val="0"/>
          <w:sz w:val="24"/>
          <w:highlight w:val="none"/>
        </w:rPr>
      </w:pPr>
      <w:r>
        <w:rPr>
          <w:rFonts w:hint="eastAsia" w:ascii="宋体" w:hAnsi="宋体" w:cs="宋体"/>
          <w:b/>
          <w:bCs/>
          <w:kern w:val="0"/>
          <w:sz w:val="24"/>
          <w:highlight w:val="none"/>
        </w:rPr>
        <w:t>24.3.5投标人递交两份或多份内容不同的投标文件，或在一份投标文件中对同一项报有两个或多个报价，且未声明哪一个有效的（按招标文件规定提交备选方案的除外）。</w:t>
      </w:r>
    </w:p>
    <w:p w14:paraId="3DD1618F">
      <w:pPr>
        <w:snapToGrid w:val="0"/>
        <w:spacing w:line="360" w:lineRule="auto"/>
        <w:ind w:firstLine="482" w:firstLineChars="200"/>
        <w:rPr>
          <w:rFonts w:hint="eastAsia" w:ascii="宋体" w:hAnsi="宋体" w:cs="宋体"/>
          <w:b/>
          <w:bCs/>
          <w:kern w:val="0"/>
          <w:sz w:val="24"/>
          <w:highlight w:val="none"/>
        </w:rPr>
      </w:pPr>
      <w:r>
        <w:rPr>
          <w:rFonts w:hint="eastAsia" w:ascii="宋体" w:hAnsi="宋体" w:cs="宋体"/>
          <w:b/>
          <w:bCs/>
          <w:kern w:val="0"/>
          <w:sz w:val="24"/>
          <w:highlight w:val="none"/>
        </w:rPr>
        <w:t>24.3.6</w:t>
      </w:r>
      <w:r>
        <w:rPr>
          <w:rFonts w:hint="eastAsia" w:ascii="宋体" w:hAnsi="宋体" w:cs="宋体"/>
          <w:b/>
          <w:bCs/>
          <w:kern w:val="0"/>
          <w:sz w:val="24"/>
          <w:highlight w:val="none"/>
        </w:rPr>
        <w:tab/>
      </w:r>
      <w:r>
        <w:rPr>
          <w:rFonts w:hint="eastAsia" w:ascii="宋体" w:hAnsi="宋体" w:cs="宋体"/>
          <w:b/>
          <w:bCs/>
          <w:kern w:val="0"/>
          <w:sz w:val="24"/>
          <w:highlight w:val="none"/>
        </w:rPr>
        <w:t>投标报价超出项目预算或最高限价的。</w:t>
      </w:r>
    </w:p>
    <w:p w14:paraId="249888D6">
      <w:pPr>
        <w:snapToGrid w:val="0"/>
        <w:spacing w:line="360" w:lineRule="auto"/>
        <w:ind w:firstLine="482" w:firstLineChars="200"/>
        <w:rPr>
          <w:rFonts w:hint="eastAsia" w:ascii="宋体" w:hAnsi="宋体" w:cs="宋体"/>
          <w:b/>
          <w:bCs/>
          <w:kern w:val="0"/>
          <w:sz w:val="24"/>
          <w:highlight w:val="none"/>
        </w:rPr>
      </w:pPr>
      <w:r>
        <w:rPr>
          <w:rFonts w:hint="eastAsia" w:ascii="宋体" w:hAnsi="宋体" w:cs="宋体"/>
          <w:b/>
          <w:bCs/>
          <w:kern w:val="0"/>
          <w:sz w:val="24"/>
          <w:highlight w:val="none"/>
        </w:rPr>
        <w:t>24.3.7“★”条款未响应或负偏离，不满足采购人技术要求。</w:t>
      </w:r>
    </w:p>
    <w:p w14:paraId="0AC64413">
      <w:pPr>
        <w:snapToGrid w:val="0"/>
        <w:spacing w:line="360" w:lineRule="auto"/>
        <w:ind w:firstLine="482" w:firstLineChars="200"/>
        <w:rPr>
          <w:rFonts w:hint="eastAsia" w:ascii="宋体" w:hAnsi="宋体" w:cs="宋体"/>
          <w:b/>
          <w:bCs/>
          <w:kern w:val="0"/>
          <w:sz w:val="24"/>
          <w:highlight w:val="none"/>
        </w:rPr>
      </w:pPr>
      <w:r>
        <w:rPr>
          <w:rFonts w:hint="eastAsia" w:ascii="宋体" w:hAnsi="宋体" w:cs="宋体"/>
          <w:b/>
          <w:bCs/>
          <w:kern w:val="0"/>
          <w:sz w:val="24"/>
          <w:highlight w:val="none"/>
        </w:rPr>
        <w:t>24.3.8投标有效期不满足招标文件要求的。</w:t>
      </w:r>
    </w:p>
    <w:p w14:paraId="732E4792">
      <w:pPr>
        <w:snapToGrid w:val="0"/>
        <w:spacing w:line="360" w:lineRule="auto"/>
        <w:ind w:firstLine="482" w:firstLineChars="200"/>
        <w:rPr>
          <w:rFonts w:hint="eastAsia" w:ascii="宋体" w:hAnsi="宋体" w:cs="宋体"/>
          <w:b/>
          <w:bCs/>
          <w:kern w:val="0"/>
          <w:sz w:val="24"/>
          <w:highlight w:val="none"/>
        </w:rPr>
      </w:pPr>
      <w:r>
        <w:rPr>
          <w:rFonts w:hint="eastAsia" w:ascii="宋体" w:hAnsi="宋体" w:cs="宋体"/>
          <w:b/>
          <w:bCs/>
          <w:kern w:val="0"/>
          <w:sz w:val="24"/>
          <w:highlight w:val="none"/>
        </w:rPr>
        <w:t>24.3.9投标文件附有采购人不能接受的条件，或者对合同中约定的采购人的权利和投标人的义务方面造成重大限制的。</w:t>
      </w:r>
    </w:p>
    <w:p w14:paraId="517C8E7E">
      <w:pPr>
        <w:snapToGrid w:val="0"/>
        <w:spacing w:line="360" w:lineRule="auto"/>
        <w:ind w:firstLine="482" w:firstLineChars="200"/>
        <w:rPr>
          <w:rFonts w:hint="eastAsia" w:ascii="宋体" w:hAnsi="宋体" w:cs="宋体"/>
          <w:b/>
          <w:bCs/>
          <w:kern w:val="0"/>
          <w:sz w:val="24"/>
          <w:highlight w:val="none"/>
        </w:rPr>
      </w:pPr>
      <w:r>
        <w:rPr>
          <w:rFonts w:hint="eastAsia" w:ascii="宋体" w:hAnsi="宋体" w:cs="宋体"/>
          <w:b/>
          <w:bCs/>
          <w:kern w:val="0"/>
          <w:sz w:val="24"/>
          <w:highlight w:val="none"/>
        </w:rPr>
        <w:t>24.3.10投标人投标文件中供货期、质保期不满足招标文件要求，偏离表内容不齐全。</w:t>
      </w:r>
    </w:p>
    <w:p w14:paraId="32736BB0">
      <w:pPr>
        <w:snapToGrid w:val="0"/>
        <w:spacing w:line="360" w:lineRule="auto"/>
        <w:ind w:firstLine="482" w:firstLineChars="200"/>
        <w:rPr>
          <w:rFonts w:hint="eastAsia" w:ascii="宋体" w:hAnsi="宋体" w:cs="宋体"/>
          <w:kern w:val="0"/>
          <w:sz w:val="24"/>
          <w:highlight w:val="none"/>
        </w:rPr>
      </w:pPr>
      <w:r>
        <w:rPr>
          <w:rFonts w:hint="eastAsia" w:ascii="宋体" w:hAnsi="宋体" w:cs="宋体"/>
          <w:b/>
          <w:bCs/>
          <w:kern w:val="0"/>
          <w:sz w:val="24"/>
          <w:highlight w:val="none"/>
        </w:rPr>
        <w:t>24.3.11不符合法律、法规或招标文件中规定的其他实质性要求的。</w:t>
      </w:r>
    </w:p>
    <w:p w14:paraId="10F718B4">
      <w:pPr>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24.4如果投标文件没有满足招标文件的实质性要求，评标委员会将予以拒绝。投标人不得通过修正或撤销不合要求的偏离或保留从而使其投标文件成为实质上投标的投标文件。</w:t>
      </w:r>
    </w:p>
    <w:p w14:paraId="727B7C17">
      <w:pPr>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24.5在评标过程中，评标委员会如发现投标人以他人的名义投标、串通投标或以其它弄虚作假方式投标的，该投标人的投标无效。</w:t>
      </w:r>
    </w:p>
    <w:p w14:paraId="0654823C">
      <w:pPr>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24.6投标文件报价出现前后不一致的，除招标文件另有规定外，按照下列规定修正：</w:t>
      </w:r>
    </w:p>
    <w:p w14:paraId="7314DF48">
      <w:pPr>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（一）投标文件中投标函报价与投标文件中相应内容不一致的，以投标函报价为准。</w:t>
      </w:r>
    </w:p>
    <w:p w14:paraId="02C6C2CC">
      <w:pPr>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（二）大写金额和小写金额不一致的，以大写金额为准。</w:t>
      </w:r>
    </w:p>
    <w:p w14:paraId="1E2BC67B">
      <w:pPr>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（三）单价金额小数点或者百分比有明显错位的，以投标函的总价为准，并修改单价。</w:t>
      </w:r>
    </w:p>
    <w:p w14:paraId="106A2346">
      <w:pPr>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（四）总价金额与按单价汇总金额不一致的，以单价金额计算结果为准。</w:t>
      </w:r>
    </w:p>
    <w:p w14:paraId="52D7DC97">
      <w:pPr>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24.7同时出现两种以上不一致的，按照前款规定的顺序修正。修正后的报价应当采用书面形式，并加盖公章，或者由法定代表人或其授权代表签字。修正后的报价经投标人确认后产生约束力，投标人不确认的，其投标无效。</w:t>
      </w:r>
    </w:p>
    <w:p w14:paraId="3E36747B">
      <w:pPr>
        <w:adjustRightInd w:val="0"/>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24.8 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14:paraId="4A1F748A">
      <w:pPr>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25. 评标方法</w:t>
      </w:r>
    </w:p>
    <w:p w14:paraId="33C6B484">
      <w:pPr>
        <w:snapToGrid w:val="0"/>
        <w:spacing w:line="360" w:lineRule="auto"/>
        <w:ind w:firstLine="480"/>
        <w:rPr>
          <w:rFonts w:hint="eastAsia" w:ascii="宋体" w:hAnsi="宋体" w:cs="宋体"/>
          <w:kern w:val="0"/>
          <w:sz w:val="24"/>
          <w:highlight w:val="none"/>
        </w:rPr>
      </w:pPr>
      <w:r>
        <w:rPr>
          <w:rFonts w:hint="eastAsia" w:ascii="宋体" w:hAnsi="宋体" w:cs="宋体"/>
          <w:kern w:val="0"/>
          <w:sz w:val="24"/>
          <w:highlight w:val="none"/>
        </w:rPr>
        <w:t>综合评分法。评标委员会将按照招标文件要求，对满足招标文件全部实质性要求的投标文件按照评审因素的量化指标评审，得分最高的投标人为第一中标候选人。</w:t>
      </w:r>
      <w:bookmarkStart w:id="90" w:name="_Toc168800625"/>
    </w:p>
    <w:p w14:paraId="6907F262">
      <w:pPr>
        <w:snapToGrid w:val="0"/>
        <w:spacing w:line="360" w:lineRule="auto"/>
        <w:ind w:firstLine="480"/>
        <w:rPr>
          <w:rFonts w:hint="eastAsia" w:ascii="宋体" w:hAnsi="宋体" w:cs="宋体"/>
          <w:kern w:val="0"/>
          <w:sz w:val="24"/>
          <w:highlight w:val="none"/>
        </w:rPr>
      </w:pPr>
      <w:r>
        <w:rPr>
          <w:rFonts w:hint="eastAsia" w:ascii="宋体" w:hAnsi="宋体" w:cs="宋体"/>
          <w:kern w:val="0"/>
          <w:sz w:val="24"/>
          <w:highlight w:val="none"/>
        </w:rPr>
        <w:t>26. 投标的评审、比较和中标候选人的推荐</w:t>
      </w:r>
      <w:bookmarkEnd w:id="90"/>
    </w:p>
    <w:p w14:paraId="70EA8FE9">
      <w:pPr>
        <w:snapToGrid w:val="0"/>
        <w:spacing w:line="360" w:lineRule="auto"/>
        <w:ind w:firstLine="480"/>
        <w:rPr>
          <w:rFonts w:hint="eastAsia" w:ascii="宋体" w:hAnsi="宋体" w:cs="宋体"/>
          <w:kern w:val="0"/>
          <w:sz w:val="24"/>
          <w:highlight w:val="none"/>
        </w:rPr>
      </w:pPr>
      <w:r>
        <w:rPr>
          <w:rFonts w:hint="eastAsia" w:ascii="宋体" w:hAnsi="宋体" w:cs="宋体"/>
          <w:kern w:val="0"/>
          <w:sz w:val="24"/>
          <w:highlight w:val="none"/>
        </w:rPr>
        <w:t>26.1详细评审以招标文件为依据，对所有实质上响应的投标按照评分标准进行综合打分（评分标准详见附件一）。</w:t>
      </w:r>
    </w:p>
    <w:p w14:paraId="719FD693">
      <w:pPr>
        <w:adjustRightInd w:val="0"/>
        <w:snapToGrid w:val="0"/>
        <w:spacing w:line="360" w:lineRule="auto"/>
        <w:ind w:firstLine="480" w:firstLineChars="200"/>
        <w:contextualSpacing/>
        <w:rPr>
          <w:rFonts w:hint="eastAsia" w:ascii="宋体" w:hAnsi="宋体" w:cs="宋体"/>
          <w:kern w:val="0"/>
          <w:sz w:val="24"/>
          <w:highlight w:val="none"/>
        </w:rPr>
      </w:pPr>
      <w:r>
        <w:rPr>
          <w:rFonts w:hint="eastAsia" w:ascii="宋体" w:hAnsi="宋体" w:cs="宋体"/>
          <w:kern w:val="0"/>
          <w:sz w:val="24"/>
          <w:highlight w:val="none"/>
        </w:rPr>
        <w:t>26.2中标人的确定</w:t>
      </w:r>
    </w:p>
    <w:p w14:paraId="1BF7CC33">
      <w:pPr>
        <w:adjustRightInd w:val="0"/>
        <w:snapToGrid w:val="0"/>
        <w:spacing w:line="360" w:lineRule="auto"/>
        <w:ind w:firstLine="480" w:firstLineChars="200"/>
        <w:contextualSpacing/>
        <w:rPr>
          <w:rFonts w:hint="eastAsia" w:ascii="宋体" w:hAnsi="宋体" w:cs="宋体"/>
          <w:kern w:val="0"/>
          <w:sz w:val="24"/>
          <w:highlight w:val="none"/>
        </w:rPr>
      </w:pPr>
      <w:r>
        <w:rPr>
          <w:rFonts w:hint="eastAsia" w:ascii="宋体" w:hAnsi="宋体" w:cs="宋体"/>
          <w:kern w:val="0"/>
          <w:sz w:val="24"/>
          <w:highlight w:val="none"/>
        </w:rPr>
        <w:t>评标委员会按照招标文件规定的评审程序、评审方法和评审标准进行评审，并出具评审报告，推荐中标候选人排序。</w:t>
      </w:r>
    </w:p>
    <w:p w14:paraId="0C6191AE">
      <w:pPr>
        <w:adjustRightInd w:val="0"/>
        <w:snapToGrid w:val="0"/>
        <w:spacing w:line="360" w:lineRule="auto"/>
        <w:ind w:firstLine="480" w:firstLineChars="200"/>
        <w:contextualSpacing/>
        <w:rPr>
          <w:rFonts w:hint="eastAsia" w:ascii="宋体" w:hAnsi="宋体" w:cs="宋体"/>
          <w:kern w:val="0"/>
          <w:sz w:val="24"/>
          <w:highlight w:val="none"/>
        </w:rPr>
      </w:pPr>
      <w:r>
        <w:rPr>
          <w:rFonts w:hint="eastAsia" w:ascii="宋体" w:hAnsi="宋体" w:cs="宋体"/>
          <w:kern w:val="0"/>
          <w:sz w:val="24"/>
          <w:highlight w:val="none"/>
        </w:rPr>
        <w:t>26.3采购人授权评标委员会直接确定中标人。</w:t>
      </w:r>
    </w:p>
    <w:p w14:paraId="161E68D3">
      <w:pPr>
        <w:adjustRightInd w:val="0"/>
        <w:snapToGrid w:val="0"/>
        <w:spacing w:line="360" w:lineRule="auto"/>
        <w:ind w:firstLine="480" w:firstLineChars="200"/>
        <w:contextualSpacing/>
        <w:rPr>
          <w:rFonts w:hint="eastAsia" w:ascii="宋体" w:hAnsi="宋体" w:cs="宋体"/>
          <w:kern w:val="0"/>
          <w:sz w:val="24"/>
          <w:highlight w:val="none"/>
        </w:rPr>
      </w:pPr>
      <w:r>
        <w:rPr>
          <w:rFonts w:hint="eastAsia" w:ascii="宋体" w:hAnsi="宋体" w:cs="宋体"/>
          <w:kern w:val="0"/>
          <w:sz w:val="24"/>
          <w:highlight w:val="none"/>
        </w:rPr>
        <w:t>26.4本项目推荐3名有排序的中标候选人。采购人必须按照评审报告推荐的中标候选人顺序来确定中标人。如果中标人拒绝与采购人签订合同，采购人可以按照评审报告推荐的中标候选人名单排序，确定下一个候选人为中标人</w:t>
      </w:r>
      <w:r>
        <w:rPr>
          <w:rFonts w:ascii="宋体" w:hAnsi="宋体" w:cs="宋体"/>
          <w:kern w:val="0"/>
          <w:sz w:val="24"/>
          <w:highlight w:val="none"/>
        </w:rPr>
        <w:t>，</w:t>
      </w:r>
      <w:r>
        <w:rPr>
          <w:rFonts w:hint="eastAsia" w:ascii="宋体" w:hAnsi="宋体" w:cs="宋体"/>
          <w:kern w:val="0"/>
          <w:sz w:val="24"/>
          <w:highlight w:val="none"/>
        </w:rPr>
        <w:t>也可以重新开展政府采购活动。</w:t>
      </w:r>
    </w:p>
    <w:p w14:paraId="27A82B5D">
      <w:pPr>
        <w:adjustRightInd w:val="0"/>
        <w:snapToGrid w:val="0"/>
        <w:spacing w:line="360" w:lineRule="auto"/>
        <w:ind w:firstLine="480" w:firstLineChars="200"/>
        <w:contextualSpacing/>
        <w:rPr>
          <w:rFonts w:hint="eastAsia" w:ascii="宋体" w:hAnsi="宋体" w:cs="宋体"/>
          <w:kern w:val="0"/>
          <w:sz w:val="24"/>
          <w:highlight w:val="none"/>
        </w:rPr>
      </w:pPr>
      <w:r>
        <w:rPr>
          <w:rFonts w:hint="eastAsia" w:ascii="宋体" w:hAnsi="宋体" w:cs="宋体"/>
          <w:kern w:val="0"/>
          <w:sz w:val="24"/>
          <w:highlight w:val="none"/>
        </w:rPr>
        <w:t>2</w:t>
      </w:r>
      <w:r>
        <w:rPr>
          <w:rFonts w:ascii="宋体" w:hAnsi="宋体" w:cs="宋体"/>
          <w:kern w:val="0"/>
          <w:sz w:val="24"/>
          <w:highlight w:val="none"/>
        </w:rPr>
        <w:t>7</w:t>
      </w:r>
      <w:r>
        <w:rPr>
          <w:rFonts w:hint="eastAsia" w:ascii="宋体" w:hAnsi="宋体" w:cs="宋体"/>
          <w:kern w:val="0"/>
          <w:sz w:val="24"/>
          <w:highlight w:val="none"/>
        </w:rPr>
        <w:t xml:space="preserve"> 样品及演示</w:t>
      </w:r>
    </w:p>
    <w:p w14:paraId="799457E9">
      <w:pPr>
        <w:adjustRightInd w:val="0"/>
        <w:snapToGrid w:val="0"/>
        <w:spacing w:line="360" w:lineRule="auto"/>
        <w:ind w:firstLine="480" w:firstLineChars="200"/>
        <w:contextualSpacing/>
        <w:rPr>
          <w:rFonts w:hint="eastAsia" w:ascii="宋体" w:hAnsi="宋体" w:cs="宋体"/>
          <w:kern w:val="0"/>
          <w:sz w:val="24"/>
          <w:highlight w:val="none"/>
        </w:rPr>
      </w:pPr>
      <w:r>
        <w:rPr>
          <w:rFonts w:hint="eastAsia" w:ascii="宋体" w:hAnsi="宋体" w:cs="宋体"/>
          <w:kern w:val="0"/>
          <w:sz w:val="24"/>
          <w:highlight w:val="none"/>
        </w:rPr>
        <w:t>2</w:t>
      </w:r>
      <w:r>
        <w:rPr>
          <w:rFonts w:ascii="宋体" w:hAnsi="宋体" w:cs="宋体"/>
          <w:kern w:val="0"/>
          <w:sz w:val="24"/>
          <w:highlight w:val="none"/>
        </w:rPr>
        <w:t>7</w:t>
      </w:r>
      <w:r>
        <w:rPr>
          <w:rFonts w:hint="eastAsia" w:ascii="宋体" w:hAnsi="宋体" w:cs="宋体"/>
          <w:kern w:val="0"/>
          <w:sz w:val="24"/>
          <w:highlight w:val="none"/>
        </w:rPr>
        <w:t>.1要求投标人提供样品的，按照招标文件关于样品的评审方法以及评审标准进行评审。</w:t>
      </w:r>
    </w:p>
    <w:p w14:paraId="4AFD90A3">
      <w:pPr>
        <w:adjustRightInd w:val="0"/>
        <w:snapToGrid w:val="0"/>
        <w:spacing w:line="360" w:lineRule="auto"/>
        <w:ind w:firstLine="480" w:firstLineChars="200"/>
        <w:contextualSpacing/>
        <w:rPr>
          <w:rFonts w:hint="eastAsia" w:ascii="宋体" w:hAnsi="宋体" w:cs="宋体"/>
          <w:kern w:val="0"/>
          <w:sz w:val="24"/>
          <w:highlight w:val="none"/>
        </w:rPr>
      </w:pPr>
      <w:r>
        <w:rPr>
          <w:rFonts w:hint="eastAsia" w:ascii="宋体" w:hAnsi="宋体" w:cs="宋体"/>
          <w:kern w:val="0"/>
          <w:sz w:val="24"/>
          <w:highlight w:val="none"/>
        </w:rPr>
        <w:t>2</w:t>
      </w:r>
      <w:r>
        <w:rPr>
          <w:rFonts w:ascii="宋体" w:hAnsi="宋体" w:cs="宋体"/>
          <w:kern w:val="0"/>
          <w:sz w:val="24"/>
          <w:highlight w:val="none"/>
        </w:rPr>
        <w:t>7</w:t>
      </w:r>
      <w:r>
        <w:rPr>
          <w:rFonts w:hint="eastAsia" w:ascii="宋体" w:hAnsi="宋体" w:cs="宋体"/>
          <w:kern w:val="0"/>
          <w:sz w:val="24"/>
          <w:highlight w:val="none"/>
        </w:rPr>
        <w:t>.2采购活动结束后，对于未中标人提供的样品，应当及时退还或者经未中标人同意后自行处理；对于中标人提供的样品，应当按招标文件规定进行保管、封存，并作为履约验收的参考。</w:t>
      </w:r>
    </w:p>
    <w:p w14:paraId="7CA294F4">
      <w:pPr>
        <w:adjustRightInd w:val="0"/>
        <w:snapToGrid w:val="0"/>
        <w:spacing w:line="360" w:lineRule="auto"/>
        <w:ind w:firstLine="480" w:firstLineChars="200"/>
        <w:contextualSpacing/>
        <w:rPr>
          <w:rFonts w:hint="eastAsia" w:ascii="宋体" w:hAnsi="宋体" w:cs="宋体"/>
          <w:kern w:val="0"/>
          <w:sz w:val="24"/>
          <w:highlight w:val="none"/>
        </w:rPr>
      </w:pPr>
      <w:r>
        <w:rPr>
          <w:rFonts w:hint="eastAsia" w:ascii="宋体" w:hAnsi="宋体" w:cs="宋体"/>
          <w:kern w:val="0"/>
          <w:sz w:val="24"/>
          <w:highlight w:val="none"/>
        </w:rPr>
        <w:t>2</w:t>
      </w:r>
      <w:r>
        <w:rPr>
          <w:rFonts w:ascii="宋体" w:hAnsi="宋体" w:cs="宋体"/>
          <w:kern w:val="0"/>
          <w:sz w:val="24"/>
          <w:highlight w:val="none"/>
        </w:rPr>
        <w:t>7</w:t>
      </w:r>
      <w:r>
        <w:rPr>
          <w:rFonts w:hint="eastAsia" w:ascii="宋体" w:hAnsi="宋体" w:cs="宋体"/>
          <w:kern w:val="0"/>
          <w:sz w:val="24"/>
          <w:highlight w:val="none"/>
        </w:rPr>
        <w:t>.3演示的评审方法以及评审标准具体内容详见招标文件。</w:t>
      </w:r>
    </w:p>
    <w:p w14:paraId="04394962">
      <w:pPr>
        <w:adjustRightInd w:val="0"/>
        <w:snapToGrid w:val="0"/>
        <w:spacing w:line="360" w:lineRule="auto"/>
        <w:ind w:firstLine="480" w:firstLineChars="200"/>
        <w:contextualSpacing/>
        <w:rPr>
          <w:rFonts w:hint="eastAsia" w:ascii="宋体" w:hAnsi="宋体" w:cs="宋体"/>
          <w:kern w:val="0"/>
          <w:sz w:val="24"/>
          <w:highlight w:val="none"/>
        </w:rPr>
      </w:pPr>
      <w:r>
        <w:rPr>
          <w:rFonts w:hint="eastAsia" w:ascii="宋体" w:hAnsi="宋体" w:cs="宋体"/>
          <w:kern w:val="0"/>
          <w:sz w:val="24"/>
          <w:highlight w:val="none"/>
        </w:rPr>
        <w:t>2</w:t>
      </w:r>
      <w:r>
        <w:rPr>
          <w:rFonts w:ascii="宋体" w:hAnsi="宋体" w:cs="宋体"/>
          <w:kern w:val="0"/>
          <w:sz w:val="24"/>
          <w:highlight w:val="none"/>
        </w:rPr>
        <w:t>8</w:t>
      </w:r>
      <w:r>
        <w:rPr>
          <w:rFonts w:hint="eastAsia" w:ascii="宋体" w:hAnsi="宋体" w:cs="宋体"/>
          <w:kern w:val="0"/>
          <w:sz w:val="24"/>
          <w:highlight w:val="none"/>
        </w:rPr>
        <w:t>. 中标公示及中标通知书签发</w:t>
      </w:r>
    </w:p>
    <w:p w14:paraId="24C0E814">
      <w:pPr>
        <w:adjustRightInd w:val="0"/>
        <w:snapToGrid w:val="0"/>
        <w:spacing w:line="360" w:lineRule="auto"/>
        <w:ind w:firstLine="480" w:firstLineChars="200"/>
        <w:contextualSpacing/>
        <w:rPr>
          <w:rFonts w:hint="eastAsia" w:ascii="宋体" w:hAnsi="宋体" w:cs="宋体"/>
          <w:kern w:val="0"/>
          <w:sz w:val="24"/>
          <w:highlight w:val="none"/>
        </w:rPr>
      </w:pPr>
      <w:r>
        <w:rPr>
          <w:rFonts w:hint="eastAsia" w:ascii="宋体" w:hAnsi="宋体" w:cs="宋体"/>
          <w:kern w:val="0"/>
          <w:sz w:val="24"/>
          <w:highlight w:val="none"/>
        </w:rPr>
        <w:t>中标人确定之日起，采购人或者采购代理机构将自中标人确定之日起2个工作日内在指定平台发布采购结果。在公告中标结果的同时，采购人或代理机构向中标人发出中标通知书。</w:t>
      </w:r>
    </w:p>
    <w:p w14:paraId="179418F1">
      <w:pPr>
        <w:numPr>
          <w:ilvl w:val="0"/>
          <w:numId w:val="2"/>
        </w:numPr>
        <w:snapToGrid w:val="0"/>
        <w:spacing w:line="360" w:lineRule="auto"/>
        <w:ind w:firstLine="482"/>
        <w:jc w:val="center"/>
        <w:rPr>
          <w:rFonts w:hint="eastAsia" w:ascii="宋体" w:hAnsi="宋体" w:cs="宋体"/>
          <w:b/>
          <w:kern w:val="0"/>
          <w:sz w:val="24"/>
          <w:highlight w:val="none"/>
        </w:rPr>
      </w:pPr>
      <w:bookmarkStart w:id="91" w:name="_Toc16484_WPSOffice_Level1"/>
      <w:bookmarkStart w:id="92" w:name="_Toc24388_WPSOffice_Level3"/>
      <w:r>
        <w:rPr>
          <w:rFonts w:hint="eastAsia" w:ascii="宋体" w:hAnsi="宋体" w:cs="宋体"/>
          <w:b/>
          <w:kern w:val="0"/>
          <w:sz w:val="24"/>
          <w:highlight w:val="none"/>
        </w:rPr>
        <w:t>授予合同</w:t>
      </w:r>
      <w:bookmarkEnd w:id="91"/>
      <w:bookmarkEnd w:id="92"/>
    </w:p>
    <w:p w14:paraId="278D8894">
      <w:pPr>
        <w:snapToGrid w:val="0"/>
        <w:spacing w:line="360" w:lineRule="auto"/>
        <w:ind w:firstLine="480" w:firstLineChars="200"/>
        <w:rPr>
          <w:rFonts w:hint="eastAsia" w:ascii="宋体" w:hAnsi="宋体" w:cs="宋体"/>
          <w:kern w:val="0"/>
          <w:sz w:val="24"/>
          <w:highlight w:val="none"/>
        </w:rPr>
      </w:pPr>
      <w:bookmarkStart w:id="93" w:name="_Toc168800626"/>
      <w:r>
        <w:rPr>
          <w:rFonts w:hint="eastAsia" w:ascii="宋体" w:hAnsi="宋体" w:cs="宋体"/>
          <w:kern w:val="0"/>
          <w:sz w:val="24"/>
          <w:highlight w:val="none"/>
        </w:rPr>
        <w:t>2</w:t>
      </w:r>
      <w:r>
        <w:rPr>
          <w:rFonts w:ascii="宋体" w:hAnsi="宋体" w:cs="宋体"/>
          <w:kern w:val="0"/>
          <w:sz w:val="24"/>
          <w:highlight w:val="none"/>
        </w:rPr>
        <w:t>9</w:t>
      </w:r>
      <w:r>
        <w:rPr>
          <w:rFonts w:hint="eastAsia" w:ascii="宋体" w:hAnsi="宋体" w:cs="宋体"/>
          <w:kern w:val="0"/>
          <w:sz w:val="24"/>
          <w:highlight w:val="none"/>
        </w:rPr>
        <w:t>. 合同授予标准</w:t>
      </w:r>
      <w:bookmarkEnd w:id="93"/>
    </w:p>
    <w:p w14:paraId="7BBD63FD">
      <w:pPr>
        <w:adjustRightInd w:val="0"/>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采购人将合同授予被确定的中标人。合同履行中，采购人需追加与合同标的相同的货物的，在不改变原合同其他条款的前提下，可以与中标人协商签订补充合同，追加与合同标的相同的货物，所有补充合同的累积增加的采购金额不得超过原合同采购金额的10％。</w:t>
      </w:r>
      <w:bookmarkStart w:id="94" w:name="_Toc168800630"/>
    </w:p>
    <w:p w14:paraId="2BB1D307">
      <w:pPr>
        <w:adjustRightInd w:val="0"/>
        <w:snapToGrid w:val="0"/>
        <w:spacing w:line="360" w:lineRule="auto"/>
        <w:ind w:firstLine="480" w:firstLineChars="200"/>
        <w:rPr>
          <w:rFonts w:hint="eastAsia" w:ascii="宋体" w:hAnsi="宋体" w:cs="宋体"/>
          <w:kern w:val="0"/>
          <w:sz w:val="24"/>
          <w:highlight w:val="none"/>
        </w:rPr>
      </w:pPr>
      <w:r>
        <w:rPr>
          <w:rFonts w:ascii="宋体" w:hAnsi="宋体" w:cs="宋体"/>
          <w:kern w:val="0"/>
          <w:sz w:val="24"/>
          <w:highlight w:val="none"/>
        </w:rPr>
        <w:t>30</w:t>
      </w:r>
      <w:r>
        <w:rPr>
          <w:rFonts w:hint="eastAsia" w:ascii="宋体" w:hAnsi="宋体" w:cs="宋体"/>
          <w:kern w:val="0"/>
          <w:sz w:val="24"/>
          <w:highlight w:val="none"/>
        </w:rPr>
        <w:t>. 签订合同</w:t>
      </w:r>
      <w:bookmarkEnd w:id="94"/>
    </w:p>
    <w:p w14:paraId="5FF97F98">
      <w:pPr>
        <w:adjustRightInd w:val="0"/>
        <w:snapToGrid w:val="0"/>
        <w:spacing w:line="360" w:lineRule="auto"/>
        <w:ind w:firstLine="480" w:firstLineChars="200"/>
        <w:rPr>
          <w:rFonts w:hint="eastAsia" w:ascii="宋体" w:hAnsi="宋体" w:cs="宋体"/>
          <w:kern w:val="0"/>
          <w:sz w:val="24"/>
          <w:highlight w:val="none"/>
        </w:rPr>
      </w:pPr>
      <w:r>
        <w:rPr>
          <w:rFonts w:ascii="宋体" w:hAnsi="宋体" w:cs="宋体"/>
          <w:kern w:val="0"/>
          <w:sz w:val="24"/>
          <w:highlight w:val="none"/>
        </w:rPr>
        <w:t>30</w:t>
      </w:r>
      <w:r>
        <w:rPr>
          <w:rFonts w:hint="eastAsia" w:ascii="宋体" w:hAnsi="宋体" w:cs="宋体"/>
          <w:kern w:val="0"/>
          <w:sz w:val="24"/>
          <w:highlight w:val="none"/>
        </w:rPr>
        <w:t>.1中标人在收到中标通知书后，按采购人规定的时间和地点与采购人签订书面合同。</w:t>
      </w:r>
      <w:r>
        <w:rPr>
          <w:rFonts w:hint="eastAsia" w:ascii="宋体" w:hAnsi="宋体"/>
          <w:sz w:val="24"/>
          <w:highlight w:val="none"/>
        </w:rPr>
        <w:t>中标人应当自发出中标通知书之日起 30 日内，与采购人签订书面合同。</w:t>
      </w:r>
      <w:r>
        <w:rPr>
          <w:rFonts w:hint="eastAsia" w:ascii="宋体" w:hAnsi="宋体" w:cs="宋体"/>
          <w:kern w:val="0"/>
          <w:sz w:val="24"/>
          <w:highlight w:val="none"/>
        </w:rPr>
        <w:t>招标文件、中标人的投标文件及评标过程中有关澄清文件均作为该书面合同的附件。</w:t>
      </w:r>
    </w:p>
    <w:p w14:paraId="01A0D213">
      <w:pPr>
        <w:adjustRightInd w:val="0"/>
        <w:snapToGrid w:val="0"/>
        <w:spacing w:line="360" w:lineRule="auto"/>
        <w:ind w:firstLine="480" w:firstLineChars="200"/>
        <w:rPr>
          <w:rFonts w:hint="eastAsia" w:ascii="宋体" w:hAnsi="宋体" w:cs="宋体"/>
          <w:kern w:val="0"/>
          <w:sz w:val="24"/>
          <w:highlight w:val="none"/>
        </w:rPr>
      </w:pPr>
      <w:r>
        <w:rPr>
          <w:rFonts w:ascii="宋体" w:hAnsi="宋体" w:cs="宋体"/>
          <w:kern w:val="0"/>
          <w:sz w:val="24"/>
          <w:highlight w:val="none"/>
        </w:rPr>
        <w:t>30</w:t>
      </w:r>
      <w:r>
        <w:rPr>
          <w:rFonts w:hint="eastAsia" w:ascii="宋体" w:hAnsi="宋体" w:cs="宋体"/>
          <w:kern w:val="0"/>
          <w:sz w:val="24"/>
          <w:highlight w:val="none"/>
        </w:rPr>
        <w:t>.2如果中标人没有按照规定执行，取消其中标资格，在此情况下按评标委员会评定的中标候选人排序结果依次补充。</w:t>
      </w:r>
    </w:p>
    <w:p w14:paraId="11A7CCF1">
      <w:pPr>
        <w:adjustRightInd w:val="0"/>
        <w:snapToGrid w:val="0"/>
        <w:spacing w:line="360" w:lineRule="auto"/>
        <w:ind w:firstLine="480" w:firstLineChars="200"/>
        <w:rPr>
          <w:rFonts w:hint="eastAsia" w:ascii="宋体" w:hAnsi="宋体" w:cs="宋体"/>
          <w:kern w:val="0"/>
          <w:sz w:val="24"/>
          <w:highlight w:val="none"/>
        </w:rPr>
      </w:pPr>
      <w:r>
        <w:rPr>
          <w:rFonts w:ascii="宋体" w:hAnsi="宋体" w:cs="宋体"/>
          <w:kern w:val="0"/>
          <w:sz w:val="24"/>
          <w:highlight w:val="none"/>
        </w:rPr>
        <w:t>30</w:t>
      </w:r>
      <w:r>
        <w:rPr>
          <w:rFonts w:hint="eastAsia" w:ascii="宋体" w:hAnsi="宋体" w:cs="宋体"/>
          <w:kern w:val="0"/>
          <w:sz w:val="24"/>
          <w:highlight w:val="none"/>
        </w:rPr>
        <w:t>.3采购人自合同签订之日起2个工作日内在指定媒体发布合同公告。如需签订补充合同，补充合同的副本也应在指定媒体发布合同公告。</w:t>
      </w:r>
      <w:bookmarkStart w:id="95" w:name="_Toc168800631"/>
    </w:p>
    <w:p w14:paraId="6D6DE934">
      <w:pPr>
        <w:adjustRightInd w:val="0"/>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3</w:t>
      </w:r>
      <w:r>
        <w:rPr>
          <w:rFonts w:ascii="宋体" w:hAnsi="宋体" w:cs="宋体"/>
          <w:kern w:val="0"/>
          <w:sz w:val="24"/>
          <w:highlight w:val="none"/>
        </w:rPr>
        <w:t>1</w:t>
      </w:r>
      <w:r>
        <w:rPr>
          <w:rFonts w:hint="eastAsia" w:ascii="宋体" w:hAnsi="宋体" w:cs="宋体"/>
          <w:kern w:val="0"/>
          <w:sz w:val="24"/>
          <w:highlight w:val="none"/>
        </w:rPr>
        <w:t>. 腐败和欺诈行为</w:t>
      </w:r>
      <w:bookmarkEnd w:id="95"/>
    </w:p>
    <w:p w14:paraId="2C986950">
      <w:pPr>
        <w:adjustRightInd w:val="0"/>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3</w:t>
      </w:r>
      <w:r>
        <w:rPr>
          <w:rFonts w:ascii="宋体" w:hAnsi="宋体" w:cs="宋体"/>
          <w:kern w:val="0"/>
          <w:sz w:val="24"/>
          <w:highlight w:val="none"/>
        </w:rPr>
        <w:t>1</w:t>
      </w:r>
      <w:r>
        <w:rPr>
          <w:rFonts w:hint="eastAsia" w:ascii="宋体" w:hAnsi="宋体" w:cs="宋体"/>
          <w:kern w:val="0"/>
          <w:sz w:val="24"/>
          <w:highlight w:val="none"/>
        </w:rPr>
        <w:t>.1此合同项下的采购人和投标人在合同采购和实施过程中应遵守最高的道德标准。</w:t>
      </w:r>
    </w:p>
    <w:p w14:paraId="6E0CF634">
      <w:pPr>
        <w:adjustRightInd w:val="0"/>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3</w:t>
      </w:r>
      <w:r>
        <w:rPr>
          <w:rFonts w:ascii="宋体" w:hAnsi="宋体" w:cs="宋体"/>
          <w:kern w:val="0"/>
          <w:sz w:val="24"/>
          <w:highlight w:val="none"/>
        </w:rPr>
        <w:t>1</w:t>
      </w:r>
      <w:r>
        <w:rPr>
          <w:rFonts w:hint="eastAsia" w:ascii="宋体" w:hAnsi="宋体" w:cs="宋体"/>
          <w:kern w:val="0"/>
          <w:sz w:val="24"/>
          <w:highlight w:val="none"/>
        </w:rPr>
        <w:t>.1.1为此目的，定义：(a)“腐败行为”是指提供、给予任何有价值的东西来影响采购人在采购过程或合同实施过程中的行为；(b)“欺诈行为”是指为了影响采购过程或合同实施过程而谎报事实，损害采购人的利益，包括投标人之间串通投标(递交投标文件之前和之后)，人为地使投标丧失竞争性，剥夺采购人从自由公开竞争所能获得的权益。</w:t>
      </w:r>
    </w:p>
    <w:p w14:paraId="024E286C">
      <w:pPr>
        <w:adjustRightInd w:val="0"/>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3</w:t>
      </w:r>
      <w:r>
        <w:rPr>
          <w:rFonts w:ascii="宋体" w:hAnsi="宋体" w:cs="宋体"/>
          <w:kern w:val="0"/>
          <w:sz w:val="24"/>
          <w:highlight w:val="none"/>
        </w:rPr>
        <w:t>1</w:t>
      </w:r>
      <w:r>
        <w:rPr>
          <w:rFonts w:hint="eastAsia" w:ascii="宋体" w:hAnsi="宋体" w:cs="宋体"/>
          <w:kern w:val="0"/>
          <w:sz w:val="24"/>
          <w:highlight w:val="none"/>
        </w:rPr>
        <w:t>.1.2如果采购人认为评标委员会所确定的中标候选人在本项目的竞争中有腐败和欺诈行为，则拒绝接受该授标建议。</w:t>
      </w:r>
      <w:bookmarkStart w:id="96" w:name="_Toc21142_WPSOffice_Level2"/>
      <w:bookmarkStart w:id="97" w:name="_Toc6653234"/>
    </w:p>
    <w:p w14:paraId="0B7170B5">
      <w:pPr>
        <w:snapToGrid w:val="0"/>
        <w:spacing w:line="360" w:lineRule="auto"/>
        <w:ind w:firstLine="482" w:firstLineChars="200"/>
        <w:rPr>
          <w:rFonts w:hint="eastAsia" w:ascii="宋体" w:hAnsi="宋体" w:cs="宋体"/>
          <w:b/>
          <w:bCs/>
          <w:kern w:val="0"/>
          <w:sz w:val="24"/>
          <w:highlight w:val="none"/>
        </w:rPr>
      </w:pPr>
      <w:r>
        <w:rPr>
          <w:rFonts w:hint="eastAsia" w:ascii="宋体" w:hAnsi="宋体" w:cs="宋体"/>
          <w:b/>
          <w:bCs/>
          <w:kern w:val="0"/>
          <w:sz w:val="24"/>
          <w:highlight w:val="none"/>
        </w:rPr>
        <w:t>3</w:t>
      </w:r>
      <w:r>
        <w:rPr>
          <w:rFonts w:ascii="宋体" w:hAnsi="宋体" w:cs="宋体"/>
          <w:b/>
          <w:bCs/>
          <w:kern w:val="0"/>
          <w:sz w:val="24"/>
          <w:highlight w:val="none"/>
        </w:rPr>
        <w:t>2</w:t>
      </w:r>
      <w:r>
        <w:rPr>
          <w:rFonts w:hint="eastAsia" w:ascii="宋体" w:hAnsi="宋体" w:cs="宋体"/>
          <w:b/>
          <w:bCs/>
          <w:kern w:val="0"/>
          <w:sz w:val="24"/>
          <w:highlight w:val="none"/>
        </w:rPr>
        <w:t>.落实政府采购政策</w:t>
      </w:r>
    </w:p>
    <w:p w14:paraId="19FD8F73">
      <w:pPr>
        <w:snapToGrid w:val="0"/>
        <w:spacing w:line="360" w:lineRule="auto"/>
        <w:ind w:firstLine="482" w:firstLineChars="200"/>
        <w:rPr>
          <w:rFonts w:hint="eastAsia" w:ascii="宋体" w:hAnsi="宋体" w:cs="宋体"/>
          <w:b/>
          <w:kern w:val="0"/>
          <w:sz w:val="24"/>
          <w:highlight w:val="none"/>
        </w:rPr>
      </w:pPr>
      <w:r>
        <w:rPr>
          <w:rFonts w:hint="eastAsia" w:ascii="宋体" w:hAnsi="宋体" w:cs="宋体"/>
          <w:b/>
          <w:kern w:val="0"/>
          <w:sz w:val="24"/>
          <w:highlight w:val="none"/>
        </w:rPr>
        <w:t>3</w:t>
      </w:r>
      <w:r>
        <w:rPr>
          <w:rFonts w:ascii="宋体" w:hAnsi="宋体" w:cs="宋体"/>
          <w:b/>
          <w:kern w:val="0"/>
          <w:sz w:val="24"/>
          <w:highlight w:val="none"/>
        </w:rPr>
        <w:t>2</w:t>
      </w:r>
      <w:r>
        <w:rPr>
          <w:rFonts w:hint="eastAsia" w:ascii="宋体" w:hAnsi="宋体" w:cs="宋体"/>
          <w:b/>
          <w:kern w:val="0"/>
          <w:sz w:val="24"/>
          <w:highlight w:val="none"/>
        </w:rPr>
        <w:t>.1促进中小企业发展</w:t>
      </w:r>
    </w:p>
    <w:p w14:paraId="2F74E205">
      <w:pPr>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根据财政部《政府采购促进中小企业发展管理办法》（财库〔2020〕46号）规定，符合条件的中小企业，享受政府采购扶持政策。</w:t>
      </w:r>
    </w:p>
    <w:p w14:paraId="320FADB3">
      <w:pPr>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1）享受政府采购扶持政策的中小企业，应当同时符合以下条件：</w:t>
      </w:r>
    </w:p>
    <w:p w14:paraId="1E877FFD">
      <w:pPr>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①符合中小企业划分标准；</w:t>
      </w:r>
    </w:p>
    <w:p w14:paraId="4F45C179">
      <w:pPr>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②货物由中小企业制造，即货物由中小企业生产且使用该中小企业商号或者注册商标；</w:t>
      </w:r>
    </w:p>
    <w:p w14:paraId="421C15C3">
      <w:pPr>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③提供本企业为中小企业的声明函。</w:t>
      </w:r>
    </w:p>
    <w:p w14:paraId="4A7BB10E">
      <w:pPr>
        <w:spacing w:line="360" w:lineRule="auto"/>
        <w:ind w:firstLine="480" w:firstLineChars="200"/>
        <w:rPr>
          <w:rFonts w:hint="eastAsia" w:ascii="宋体" w:hAnsi="宋体" w:cs="宋体"/>
          <w:kern w:val="0"/>
          <w:sz w:val="24"/>
          <w:highlight w:val="none"/>
        </w:rPr>
      </w:pPr>
      <w:r>
        <w:rPr>
          <w:rFonts w:hint="eastAsia" w:ascii="宋体"/>
          <w:sz w:val="24"/>
          <w:highlight w:val="none"/>
        </w:rPr>
        <w:t>在货物采购项目中，供应商提供的货物既有中小企业制造货物，也有大型企业制造货物的，不享受本办法规定的中小企业扶持政策。</w:t>
      </w:r>
    </w:p>
    <w:p w14:paraId="0644506A">
      <w:pPr>
        <w:numPr>
          <w:ilvl w:val="0"/>
          <w:numId w:val="3"/>
        </w:numPr>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中小企业：符合工信部联企业〔201</w:t>
      </w:r>
      <w:r>
        <w:rPr>
          <w:rFonts w:ascii="宋体" w:hAnsi="宋体" w:cs="宋体"/>
          <w:kern w:val="0"/>
          <w:sz w:val="24"/>
          <w:highlight w:val="none"/>
        </w:rPr>
        <w:t>1</w:t>
      </w:r>
      <w:r>
        <w:rPr>
          <w:rFonts w:hint="eastAsia" w:ascii="宋体" w:hAnsi="宋体" w:cs="宋体"/>
          <w:kern w:val="0"/>
          <w:sz w:val="24"/>
          <w:highlight w:val="none"/>
        </w:rPr>
        <w:t>〕300号文件《关于印发中小企业划型标准规定的通知》中小企业划型标准规定的企业。中小企业包括中型企业、小型企业和微型企业。</w:t>
      </w:r>
    </w:p>
    <w:p w14:paraId="05CD9C52">
      <w:pPr>
        <w:snapToGrid w:val="0"/>
        <w:spacing w:line="360" w:lineRule="auto"/>
        <w:ind w:firstLine="480"/>
        <w:rPr>
          <w:rFonts w:hint="eastAsia" w:ascii="宋体" w:hAnsi="宋体"/>
          <w:sz w:val="24"/>
          <w:highlight w:val="none"/>
        </w:rPr>
      </w:pPr>
      <w:r>
        <w:rPr>
          <w:rFonts w:hint="eastAsia" w:ascii="宋体" w:hAnsi="宋体"/>
          <w:sz w:val="24"/>
          <w:highlight w:val="none"/>
        </w:rPr>
        <w:t>本项目中小企业是指在中华人民共和国境内依法设立，依据国务院批准的中小企业划分标准确定的中型企业、小型企业和微型企业，但与大企业的负责人为同一人，或者与大企业存在直接控股、管理关系的除外。</w:t>
      </w:r>
    </w:p>
    <w:p w14:paraId="3BF2B6E7">
      <w:pPr>
        <w:snapToGrid w:val="0"/>
        <w:spacing w:line="360" w:lineRule="auto"/>
        <w:ind w:firstLine="480"/>
        <w:rPr>
          <w:rFonts w:hint="eastAsia" w:ascii="宋体" w:hAnsi="宋体"/>
          <w:sz w:val="24"/>
          <w:highlight w:val="none"/>
        </w:rPr>
      </w:pPr>
      <w:r>
        <w:rPr>
          <w:rFonts w:hint="eastAsia" w:ascii="宋体" w:hAnsi="宋体"/>
          <w:sz w:val="24"/>
          <w:highlight w:val="none"/>
        </w:rPr>
        <w:t>符合中小企业划分标准的个体工商户，在政府采购活动中视同中小企业。</w:t>
      </w:r>
    </w:p>
    <w:p w14:paraId="695F8FD6">
      <w:pPr>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3）本项目专门面向中小企业或监狱企业或残疾人福利性单位采购，属于中小企业的应当出具采购文件规定的《中小企业声明函》，否则按非中小企业处理。</w:t>
      </w:r>
    </w:p>
    <w:p w14:paraId="121DEF5E">
      <w:pPr>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4）享受扶持政策获得政府采购合同的，小微企业不得将合同分包给大中型企业，中型企业不得将合同分包给大型企业。</w:t>
      </w:r>
    </w:p>
    <w:p w14:paraId="2174AED5">
      <w:pPr>
        <w:snapToGrid w:val="0"/>
        <w:spacing w:line="360" w:lineRule="auto"/>
        <w:ind w:firstLine="482" w:firstLineChars="200"/>
        <w:rPr>
          <w:rFonts w:hint="eastAsia" w:ascii="宋体" w:hAnsi="宋体" w:cs="宋体"/>
          <w:b/>
          <w:kern w:val="0"/>
          <w:sz w:val="24"/>
          <w:highlight w:val="none"/>
        </w:rPr>
      </w:pPr>
      <w:r>
        <w:rPr>
          <w:rFonts w:hint="eastAsia" w:ascii="宋体" w:hAnsi="宋体" w:cs="宋体"/>
          <w:b/>
          <w:kern w:val="0"/>
          <w:sz w:val="24"/>
          <w:highlight w:val="none"/>
        </w:rPr>
        <w:t>3</w:t>
      </w:r>
      <w:r>
        <w:rPr>
          <w:rFonts w:ascii="宋体" w:hAnsi="宋体" w:cs="宋体"/>
          <w:b/>
          <w:kern w:val="0"/>
          <w:sz w:val="24"/>
          <w:highlight w:val="none"/>
        </w:rPr>
        <w:t>2</w:t>
      </w:r>
      <w:r>
        <w:rPr>
          <w:rFonts w:hint="eastAsia" w:ascii="宋体" w:hAnsi="宋体" w:cs="宋体"/>
          <w:b/>
          <w:kern w:val="0"/>
          <w:sz w:val="24"/>
          <w:highlight w:val="none"/>
        </w:rPr>
        <w:t>.2支持监狱企业发展</w:t>
      </w:r>
    </w:p>
    <w:p w14:paraId="1463F860">
      <w:pPr>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根据财政部《关于政府采购支持监狱企业发展有关问题的通知》（财库〔201</w:t>
      </w:r>
      <w:r>
        <w:rPr>
          <w:rFonts w:ascii="宋体" w:hAnsi="宋体" w:cs="宋体"/>
          <w:kern w:val="0"/>
          <w:sz w:val="24"/>
          <w:highlight w:val="none"/>
        </w:rPr>
        <w:t>4</w:t>
      </w:r>
      <w:r>
        <w:rPr>
          <w:rFonts w:hint="eastAsia" w:ascii="宋体" w:hAnsi="宋体" w:cs="宋体"/>
          <w:kern w:val="0"/>
          <w:sz w:val="24"/>
          <w:highlight w:val="none"/>
        </w:rPr>
        <w:t>〕68号）规定，符合条件的监狱企业，享受政府采购扶持政策。</w:t>
      </w:r>
    </w:p>
    <w:p w14:paraId="5A3C29EE">
      <w:pPr>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1）享受政府采购支持的监狱企业，应当同时符合以下条件：</w:t>
      </w:r>
    </w:p>
    <w:p w14:paraId="51216BFF">
      <w:pPr>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①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0A38FBFE">
      <w:pPr>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②监狱企业参加政府采购活动时，应当提供由省级以上监狱管理局、戒毒管理局(含新疆生产建设兵团)出具的属于监狱企业的证明文件。</w:t>
      </w:r>
    </w:p>
    <w:p w14:paraId="4727F765">
      <w:pPr>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2）</w:t>
      </w:r>
      <w:r>
        <w:rPr>
          <w:rFonts w:hint="eastAsia" w:ascii="宋体" w:hAnsi="宋体"/>
          <w:sz w:val="24"/>
          <w:highlight w:val="none"/>
        </w:rPr>
        <w:t>本项目专门面向中小微企业或监狱企业或残疾人福利性单位采购，属于监狱企业的提供由省级以上监狱管理局、戒毒管理局(含新疆生产建设兵团)出具的属于监狱企业的证明文件，否则按非监狱企业处理。监狱企业同属于小型、微型企业的，出具采购文件规定的《中小企业声明函》或由省级以上监狱管理局、戒毒管理局(含新疆生产建设兵团)出具的属于监狱企业的证明文件均可。</w:t>
      </w:r>
    </w:p>
    <w:p w14:paraId="634AB967">
      <w:pPr>
        <w:snapToGrid w:val="0"/>
        <w:spacing w:line="360" w:lineRule="auto"/>
        <w:ind w:firstLine="482" w:firstLineChars="200"/>
        <w:rPr>
          <w:rFonts w:hint="eastAsia" w:ascii="宋体" w:hAnsi="宋体" w:cs="宋体"/>
          <w:b/>
          <w:kern w:val="0"/>
          <w:sz w:val="24"/>
          <w:highlight w:val="none"/>
        </w:rPr>
      </w:pPr>
      <w:r>
        <w:rPr>
          <w:rFonts w:hint="eastAsia" w:ascii="宋体" w:hAnsi="宋体" w:cs="宋体"/>
          <w:b/>
          <w:kern w:val="0"/>
          <w:sz w:val="24"/>
          <w:highlight w:val="none"/>
        </w:rPr>
        <w:t>3</w:t>
      </w:r>
      <w:r>
        <w:rPr>
          <w:rFonts w:ascii="宋体" w:hAnsi="宋体" w:cs="宋体"/>
          <w:b/>
          <w:kern w:val="0"/>
          <w:sz w:val="24"/>
          <w:highlight w:val="none"/>
        </w:rPr>
        <w:t>2</w:t>
      </w:r>
      <w:r>
        <w:rPr>
          <w:rFonts w:hint="eastAsia" w:ascii="宋体" w:hAnsi="宋体" w:cs="宋体"/>
          <w:b/>
          <w:kern w:val="0"/>
          <w:sz w:val="24"/>
          <w:highlight w:val="none"/>
        </w:rPr>
        <w:t>.3扶持残疾人福利性单位发展</w:t>
      </w:r>
    </w:p>
    <w:p w14:paraId="44B78AD8">
      <w:pPr>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根据《关于促进残疾人就业政府采购政策的通知》（财库〔2017〕141号）规定，符合条件的残疾人福利性单位，享受政府采购扶持政策。</w:t>
      </w:r>
    </w:p>
    <w:p w14:paraId="505665EC">
      <w:pPr>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1）享受政府采购扶持政策的残疾人福利性单位，应当同时符合以下条件：</w:t>
      </w:r>
    </w:p>
    <w:p w14:paraId="1D90E654">
      <w:pPr>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①安置的残疾人占本单位在职职工人数的比例不低于25%（含25%），并且安置的残疾人人数不少于10人（含10人）；</w:t>
      </w:r>
    </w:p>
    <w:p w14:paraId="5AE0E4F4">
      <w:pPr>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②依法与安置的每位残疾人签订了一年以上（含一年）劳动合同或服务协议；</w:t>
      </w:r>
    </w:p>
    <w:p w14:paraId="00BC4693">
      <w:pPr>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③为安置的每位残疾人按月足额缴纳了基本养老保险、基本医疗保险、失业保险、工伤保险和生育保险等社会保险费；</w:t>
      </w:r>
    </w:p>
    <w:p w14:paraId="51EC3863">
      <w:pPr>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④通过银行等金融机构向安置的每位残疾人，按月支付了不低于单位所在区县适用的经省级人民政府批准的月最低工资标准的工资；</w:t>
      </w:r>
    </w:p>
    <w:p w14:paraId="6E3C16A3">
      <w:pPr>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⑤提供本单位制造的货物、承担的工程或者服务（以下简称产品），或者提供其他残疾人福利性单位制造的货物（不包括使用非残疾人福利性单位注册商标的货物）。</w:t>
      </w:r>
    </w:p>
    <w:p w14:paraId="123D6D5E">
      <w:pPr>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14:paraId="59997641">
      <w:pPr>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⑥符合条件的残疾人福利性单位在参加政府采购活动时，应当提供本通知规定的《残疾人福利性单位声明函》，并对声明的真实性负责。</w:t>
      </w:r>
    </w:p>
    <w:p w14:paraId="6F5A83E9">
      <w:pPr>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2）</w:t>
      </w:r>
      <w:r>
        <w:rPr>
          <w:rFonts w:hint="eastAsia" w:ascii="宋体" w:hAnsi="宋体"/>
          <w:sz w:val="24"/>
          <w:highlight w:val="none"/>
        </w:rPr>
        <w:t>本项目专门面向中小微企业或监狱企业或残疾人福利性单位采购，属于残疾人福利性单位的提供《</w:t>
      </w:r>
      <w:r>
        <w:rPr>
          <w:rFonts w:hint="eastAsia" w:ascii="宋体" w:hAnsi="宋体" w:cs="宋体"/>
          <w:bCs/>
          <w:spacing w:val="6"/>
          <w:sz w:val="24"/>
          <w:highlight w:val="none"/>
        </w:rPr>
        <w:t>残疾人福利性单位声明函》</w:t>
      </w:r>
      <w:r>
        <w:rPr>
          <w:rFonts w:hint="eastAsia" w:ascii="宋体" w:hAnsi="宋体"/>
          <w:sz w:val="24"/>
          <w:highlight w:val="none"/>
        </w:rPr>
        <w:t>，否则按非残疾人福利性单位处理。残疾人福利性单位同属于小型、微型企业的，出具采购文件规定的《中小企业声明函》或《</w:t>
      </w:r>
      <w:r>
        <w:rPr>
          <w:rFonts w:hint="eastAsia" w:ascii="宋体" w:hAnsi="宋体" w:cs="宋体"/>
          <w:bCs/>
          <w:spacing w:val="6"/>
          <w:sz w:val="24"/>
          <w:highlight w:val="none"/>
        </w:rPr>
        <w:t>残疾人福利性单位声明函》</w:t>
      </w:r>
      <w:r>
        <w:rPr>
          <w:rFonts w:hint="eastAsia" w:ascii="宋体" w:hAnsi="宋体"/>
          <w:sz w:val="24"/>
          <w:highlight w:val="none"/>
        </w:rPr>
        <w:t>均可</w:t>
      </w:r>
      <w:r>
        <w:rPr>
          <w:rFonts w:hint="eastAsia" w:ascii="宋体" w:hAnsi="宋体" w:cs="宋体"/>
          <w:kern w:val="0"/>
          <w:sz w:val="24"/>
          <w:highlight w:val="none"/>
        </w:rPr>
        <w:t>。</w:t>
      </w:r>
    </w:p>
    <w:p w14:paraId="7E837BD9">
      <w:pPr>
        <w:pStyle w:val="3"/>
        <w:snapToGrid w:val="0"/>
        <w:spacing w:before="0" w:after="0"/>
        <w:ind w:firstLine="883"/>
        <w:jc w:val="center"/>
        <w:rPr>
          <w:rFonts w:hint="eastAsia" w:ascii="宋体" w:hAnsi="宋体" w:cs="宋体"/>
          <w:kern w:val="0"/>
          <w:sz w:val="32"/>
          <w:szCs w:val="32"/>
          <w:highlight w:val="none"/>
        </w:rPr>
      </w:pPr>
      <w:r>
        <w:rPr>
          <w:rFonts w:hint="eastAsia" w:ascii="宋体" w:hAnsi="宋体" w:cs="宋体"/>
          <w:kern w:val="0"/>
          <w:highlight w:val="none"/>
        </w:rPr>
        <w:br w:type="page"/>
      </w:r>
      <w:bookmarkStart w:id="98" w:name="_Toc14958"/>
      <w:bookmarkStart w:id="99" w:name="_Toc15182"/>
      <w:r>
        <w:rPr>
          <w:rFonts w:hint="eastAsia" w:ascii="宋体" w:hAnsi="宋体" w:cs="宋体"/>
          <w:kern w:val="0"/>
          <w:sz w:val="32"/>
          <w:szCs w:val="32"/>
          <w:highlight w:val="none"/>
        </w:rPr>
        <w:t>第二章 合同条款及前附表</w:t>
      </w:r>
      <w:bookmarkEnd w:id="96"/>
      <w:bookmarkEnd w:id="97"/>
      <w:bookmarkEnd w:id="98"/>
      <w:bookmarkEnd w:id="99"/>
    </w:p>
    <w:p w14:paraId="15333DEE">
      <w:pPr>
        <w:adjustRightInd w:val="0"/>
        <w:snapToGrid w:val="0"/>
        <w:spacing w:line="360" w:lineRule="auto"/>
        <w:ind w:firstLine="560"/>
        <w:jc w:val="center"/>
        <w:rPr>
          <w:rFonts w:hint="eastAsia" w:ascii="宋体" w:hAnsi="宋体" w:cs="宋体"/>
          <w:kern w:val="0"/>
          <w:sz w:val="28"/>
          <w:szCs w:val="28"/>
          <w:highlight w:val="none"/>
        </w:rPr>
      </w:pPr>
      <w:bookmarkStart w:id="100" w:name="_Toc482863412"/>
      <w:bookmarkEnd w:id="100"/>
      <w:bookmarkStart w:id="101" w:name="_Toc467857551"/>
      <w:bookmarkEnd w:id="101"/>
      <w:bookmarkStart w:id="102" w:name="_Toc467857350"/>
      <w:bookmarkEnd w:id="102"/>
      <w:bookmarkStart w:id="103" w:name="_Toc6653235"/>
      <w:bookmarkEnd w:id="103"/>
      <w:bookmarkStart w:id="104" w:name="_Toc476747484"/>
      <w:bookmarkEnd w:id="104"/>
      <w:bookmarkStart w:id="105" w:name="_Toc477936074"/>
      <w:bookmarkEnd w:id="105"/>
      <w:bookmarkStart w:id="106" w:name="_Toc527007505"/>
      <w:r>
        <w:rPr>
          <w:rFonts w:hint="eastAsia" w:ascii="宋体" w:hAnsi="宋体" w:cs="宋体"/>
          <w:kern w:val="0"/>
          <w:sz w:val="28"/>
          <w:szCs w:val="28"/>
          <w:highlight w:val="none"/>
        </w:rPr>
        <w:t>合同格式前附表</w:t>
      </w:r>
    </w:p>
    <w:tbl>
      <w:tblPr>
        <w:tblStyle w:val="88"/>
        <w:tblW w:w="907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87"/>
        <w:gridCol w:w="8285"/>
      </w:tblGrid>
      <w:tr w14:paraId="31DF0C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jc w:val="center"/>
        </w:trPr>
        <w:tc>
          <w:tcPr>
            <w:tcW w:w="787" w:type="dxa"/>
            <w:vAlign w:val="center"/>
          </w:tcPr>
          <w:p w14:paraId="69DB7DF1">
            <w:pPr>
              <w:snapToGrid w:val="0"/>
              <w:spacing w:line="360" w:lineRule="auto"/>
              <w:jc w:val="center"/>
              <w:rPr>
                <w:rFonts w:hint="eastAsia" w:ascii="宋体" w:hAnsi="宋体" w:cs="宋体"/>
                <w:b/>
                <w:kern w:val="0"/>
                <w:sz w:val="24"/>
                <w:highlight w:val="none"/>
              </w:rPr>
            </w:pPr>
            <w:r>
              <w:rPr>
                <w:rFonts w:hint="eastAsia" w:ascii="宋体" w:hAnsi="宋体" w:cs="宋体"/>
                <w:b/>
                <w:kern w:val="0"/>
                <w:sz w:val="24"/>
                <w:highlight w:val="none"/>
              </w:rPr>
              <w:t>序号</w:t>
            </w:r>
          </w:p>
        </w:tc>
        <w:tc>
          <w:tcPr>
            <w:tcW w:w="8285" w:type="dxa"/>
            <w:vAlign w:val="center"/>
          </w:tcPr>
          <w:p w14:paraId="247B8661">
            <w:pPr>
              <w:snapToGrid w:val="0"/>
              <w:spacing w:line="360" w:lineRule="auto"/>
              <w:ind w:firstLine="482"/>
              <w:jc w:val="center"/>
              <w:rPr>
                <w:rFonts w:hint="eastAsia" w:ascii="宋体" w:hAnsi="宋体" w:cs="宋体"/>
                <w:b/>
                <w:kern w:val="0"/>
                <w:sz w:val="24"/>
                <w:highlight w:val="none"/>
              </w:rPr>
            </w:pPr>
            <w:r>
              <w:rPr>
                <w:rFonts w:hint="eastAsia" w:ascii="宋体" w:hAnsi="宋体" w:cs="宋体"/>
                <w:b/>
                <w:kern w:val="0"/>
                <w:sz w:val="24"/>
                <w:highlight w:val="none"/>
              </w:rPr>
              <w:t>内容</w:t>
            </w:r>
          </w:p>
        </w:tc>
      </w:tr>
      <w:tr w14:paraId="08DC23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1" w:hRule="atLeast"/>
          <w:jc w:val="center"/>
        </w:trPr>
        <w:tc>
          <w:tcPr>
            <w:tcW w:w="787" w:type="dxa"/>
            <w:vAlign w:val="center"/>
          </w:tcPr>
          <w:p w14:paraId="54ECC5F4">
            <w:pPr>
              <w:snapToGrid w:val="0"/>
              <w:spacing w:line="360" w:lineRule="auto"/>
              <w:ind w:firstLine="480"/>
              <w:jc w:val="center"/>
              <w:rPr>
                <w:rFonts w:hint="eastAsia" w:ascii="宋体" w:hAnsi="宋体" w:cs="宋体"/>
                <w:kern w:val="0"/>
                <w:sz w:val="24"/>
                <w:highlight w:val="none"/>
              </w:rPr>
            </w:pPr>
            <w:r>
              <w:rPr>
                <w:rFonts w:hint="eastAsia" w:ascii="宋体" w:hAnsi="宋体" w:cs="宋体"/>
                <w:kern w:val="0"/>
                <w:sz w:val="24"/>
                <w:highlight w:val="none"/>
              </w:rPr>
              <w:t>1</w:t>
            </w:r>
          </w:p>
        </w:tc>
        <w:tc>
          <w:tcPr>
            <w:tcW w:w="8285" w:type="dxa"/>
            <w:vAlign w:val="center"/>
          </w:tcPr>
          <w:p w14:paraId="1A73145C">
            <w:pPr>
              <w:spacing w:line="312" w:lineRule="auto"/>
              <w:jc w:val="left"/>
              <w:rPr>
                <w:rFonts w:hint="eastAsia" w:ascii="宋体" w:hAnsi="宋体" w:cs="宋体"/>
                <w:sz w:val="24"/>
                <w:highlight w:val="none"/>
              </w:rPr>
            </w:pPr>
            <w:r>
              <w:rPr>
                <w:rFonts w:hint="eastAsia" w:ascii="宋体" w:hAnsi="宋体" w:cs="宋体"/>
                <w:sz w:val="24"/>
                <w:highlight w:val="none"/>
              </w:rPr>
              <w:t>交货地点：</w:t>
            </w:r>
            <w:r>
              <w:rPr>
                <w:rFonts w:hint="eastAsia" w:ascii="宋体" w:hAnsi="宋体" w:cs="宋体"/>
                <w:kern w:val="0"/>
                <w:sz w:val="24"/>
                <w:highlight w:val="none"/>
              </w:rPr>
              <w:t>甲方</w:t>
            </w:r>
            <w:r>
              <w:rPr>
                <w:rFonts w:hint="eastAsia" w:ascii="宋体" w:hAnsi="宋体" w:cs="宋体"/>
                <w:sz w:val="24"/>
                <w:highlight w:val="none"/>
              </w:rPr>
              <w:t>指定地点。</w:t>
            </w:r>
          </w:p>
          <w:p w14:paraId="4BE0C46B">
            <w:pPr>
              <w:spacing w:line="312" w:lineRule="auto"/>
              <w:jc w:val="left"/>
              <w:rPr>
                <w:rFonts w:hint="eastAsia" w:ascii="宋体" w:hAnsi="宋体" w:cs="宋体"/>
                <w:kern w:val="0"/>
                <w:sz w:val="24"/>
                <w:highlight w:val="none"/>
              </w:rPr>
            </w:pPr>
            <w:r>
              <w:rPr>
                <w:rFonts w:hint="eastAsia" w:ascii="宋体" w:hAnsi="宋体" w:cs="宋体"/>
                <w:sz w:val="24"/>
                <w:highlight w:val="none"/>
              </w:rPr>
              <w:t>★供货期：自签订合同之日起，接到采购人供货通知后6个月内，货到采购人指定地点安装调试验收合格</w:t>
            </w:r>
            <w:r>
              <w:rPr>
                <w:rFonts w:ascii="宋体" w:hAnsi="宋体" w:cs="宋体"/>
                <w:sz w:val="24"/>
                <w:highlight w:val="none"/>
              </w:rPr>
              <w:t>。</w:t>
            </w:r>
          </w:p>
        </w:tc>
      </w:tr>
      <w:tr w14:paraId="57B5DE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6" w:hRule="atLeast"/>
          <w:jc w:val="center"/>
        </w:trPr>
        <w:tc>
          <w:tcPr>
            <w:tcW w:w="787" w:type="dxa"/>
            <w:vAlign w:val="center"/>
          </w:tcPr>
          <w:p w14:paraId="003D4053">
            <w:pPr>
              <w:snapToGrid w:val="0"/>
              <w:spacing w:line="360" w:lineRule="auto"/>
              <w:ind w:firstLine="480"/>
              <w:jc w:val="center"/>
              <w:rPr>
                <w:rFonts w:hint="eastAsia" w:ascii="宋体" w:hAnsi="宋体" w:cs="宋体"/>
                <w:kern w:val="0"/>
                <w:sz w:val="24"/>
                <w:highlight w:val="none"/>
              </w:rPr>
            </w:pPr>
            <w:r>
              <w:rPr>
                <w:rFonts w:hint="eastAsia" w:ascii="宋体" w:hAnsi="宋体" w:cs="宋体"/>
                <w:kern w:val="0"/>
                <w:sz w:val="24"/>
                <w:highlight w:val="none"/>
              </w:rPr>
              <w:t>2</w:t>
            </w:r>
          </w:p>
        </w:tc>
        <w:tc>
          <w:tcPr>
            <w:tcW w:w="8285" w:type="dxa"/>
            <w:vAlign w:val="center"/>
          </w:tcPr>
          <w:p w14:paraId="48D9699F">
            <w:pPr>
              <w:spacing w:line="312" w:lineRule="auto"/>
              <w:jc w:val="left"/>
              <w:rPr>
                <w:rFonts w:hint="eastAsia" w:ascii="宋体" w:hAnsi="宋体" w:cs="宋体"/>
                <w:kern w:val="0"/>
                <w:sz w:val="24"/>
                <w:highlight w:val="none"/>
              </w:rPr>
            </w:pPr>
            <w:r>
              <w:rPr>
                <w:rFonts w:hint="eastAsia" w:ascii="宋体" w:hAnsi="宋体" w:cs="宋体"/>
                <w:sz w:val="24"/>
                <w:highlight w:val="none"/>
              </w:rPr>
              <w:t>支付货币：人民币。</w:t>
            </w:r>
          </w:p>
        </w:tc>
      </w:tr>
      <w:tr w14:paraId="25667C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2" w:hRule="atLeast"/>
          <w:jc w:val="center"/>
        </w:trPr>
        <w:tc>
          <w:tcPr>
            <w:tcW w:w="787" w:type="dxa"/>
            <w:vAlign w:val="center"/>
          </w:tcPr>
          <w:p w14:paraId="7731C8EC">
            <w:pPr>
              <w:snapToGrid w:val="0"/>
              <w:spacing w:line="360" w:lineRule="auto"/>
              <w:ind w:firstLine="480"/>
              <w:jc w:val="center"/>
              <w:rPr>
                <w:rFonts w:hint="eastAsia" w:ascii="宋体" w:hAnsi="宋体" w:cs="宋体"/>
                <w:kern w:val="0"/>
                <w:sz w:val="24"/>
                <w:highlight w:val="none"/>
              </w:rPr>
            </w:pPr>
            <w:r>
              <w:rPr>
                <w:rFonts w:hint="eastAsia" w:ascii="宋体" w:hAnsi="宋体" w:cs="宋体"/>
                <w:kern w:val="0"/>
                <w:sz w:val="24"/>
                <w:highlight w:val="none"/>
              </w:rPr>
              <w:t>3</w:t>
            </w:r>
          </w:p>
        </w:tc>
        <w:tc>
          <w:tcPr>
            <w:tcW w:w="8285" w:type="dxa"/>
            <w:vAlign w:val="center"/>
          </w:tcPr>
          <w:p w14:paraId="4BF5ED23">
            <w:pPr>
              <w:spacing w:line="312" w:lineRule="auto"/>
              <w:jc w:val="left"/>
              <w:rPr>
                <w:rFonts w:hint="eastAsia" w:ascii="宋体" w:hAnsi="宋体" w:cs="宋体"/>
                <w:sz w:val="24"/>
                <w:highlight w:val="none"/>
              </w:rPr>
            </w:pPr>
            <w:r>
              <w:rPr>
                <w:rFonts w:hint="eastAsia" w:ascii="宋体" w:hAnsi="宋体" w:cs="宋体"/>
                <w:sz w:val="24"/>
                <w:highlight w:val="none"/>
              </w:rPr>
              <w:t>★付款方式：</w:t>
            </w:r>
          </w:p>
          <w:p w14:paraId="349724AB">
            <w:pPr>
              <w:spacing w:line="312" w:lineRule="auto"/>
              <w:jc w:val="left"/>
              <w:rPr>
                <w:rFonts w:hint="eastAsia" w:ascii="宋体" w:hAnsi="宋体" w:cs="宋体"/>
                <w:kern w:val="0"/>
                <w:sz w:val="24"/>
                <w:highlight w:val="none"/>
              </w:rPr>
            </w:pPr>
            <w:r>
              <w:rPr>
                <w:rFonts w:hint="eastAsia" w:ascii="宋体" w:hAnsi="宋体" w:cs="宋体"/>
                <w:kern w:val="0"/>
                <w:sz w:val="24"/>
                <w:highlight w:val="none"/>
              </w:rPr>
              <w:t>合同签订后，乙方向甲方开具合同总金额100%的预付款保函，甲方收到预付款保函后，向乙方一次性支付合同全款作为预付款。货到甲方指定地点后，乙方向甲方开具合同总金额10%的履约保函，甲方验收合格后退回预付款保函。预付款保函和履约保函必须为银行见索即付独立保函。预付款保函有效期覆盖供货期和验收期，履约保函有效期覆盖质保期第一年。如履约期间因特殊原因导致保函有效期不满足上述条件，乙方应无条件办理保函展期，直至满足条件为止。</w:t>
            </w:r>
          </w:p>
        </w:tc>
      </w:tr>
      <w:tr w14:paraId="396332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2" w:hRule="atLeast"/>
          <w:jc w:val="center"/>
        </w:trPr>
        <w:tc>
          <w:tcPr>
            <w:tcW w:w="787" w:type="dxa"/>
            <w:vAlign w:val="center"/>
          </w:tcPr>
          <w:p w14:paraId="67C3262B">
            <w:pPr>
              <w:snapToGrid w:val="0"/>
              <w:spacing w:line="360" w:lineRule="auto"/>
              <w:ind w:firstLine="480"/>
              <w:jc w:val="center"/>
              <w:rPr>
                <w:rFonts w:hint="eastAsia" w:ascii="宋体" w:hAnsi="宋体" w:cs="宋体"/>
                <w:kern w:val="0"/>
                <w:sz w:val="24"/>
                <w:highlight w:val="none"/>
              </w:rPr>
            </w:pPr>
            <w:r>
              <w:rPr>
                <w:rFonts w:hint="eastAsia" w:ascii="宋体" w:hAnsi="宋体" w:cs="宋体"/>
                <w:kern w:val="0"/>
                <w:sz w:val="24"/>
                <w:highlight w:val="none"/>
              </w:rPr>
              <w:t>4</w:t>
            </w:r>
          </w:p>
        </w:tc>
        <w:tc>
          <w:tcPr>
            <w:tcW w:w="8285" w:type="dxa"/>
            <w:vAlign w:val="center"/>
          </w:tcPr>
          <w:p w14:paraId="449C407F">
            <w:pPr>
              <w:spacing w:line="312" w:lineRule="auto"/>
              <w:jc w:val="left"/>
              <w:rPr>
                <w:rFonts w:hint="eastAsia" w:ascii="宋体" w:hAnsi="宋体" w:cs="宋体"/>
                <w:kern w:val="0"/>
                <w:sz w:val="24"/>
                <w:highlight w:val="none"/>
              </w:rPr>
            </w:pPr>
            <w:r>
              <w:rPr>
                <w:rFonts w:hint="eastAsia" w:ascii="宋体" w:hAnsi="宋体" w:cs="宋体"/>
                <w:sz w:val="24"/>
                <w:highlight w:val="none"/>
              </w:rPr>
              <w:t>★质保期：货到</w:t>
            </w:r>
            <w:r>
              <w:rPr>
                <w:rFonts w:hint="eastAsia" w:ascii="宋体" w:hAnsi="宋体" w:cs="宋体"/>
                <w:kern w:val="0"/>
                <w:sz w:val="24"/>
                <w:highlight w:val="none"/>
              </w:rPr>
              <w:t>甲方</w:t>
            </w:r>
            <w:r>
              <w:rPr>
                <w:rFonts w:hint="eastAsia" w:ascii="宋体" w:hAnsi="宋体" w:cs="宋体"/>
                <w:sz w:val="24"/>
                <w:highlight w:val="none"/>
              </w:rPr>
              <w:t>指定地点安装调试验收合格之日起，免费质保不低于1年。</w:t>
            </w:r>
          </w:p>
        </w:tc>
      </w:tr>
      <w:tr w14:paraId="6919E1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4" w:hRule="atLeast"/>
          <w:jc w:val="center"/>
        </w:trPr>
        <w:tc>
          <w:tcPr>
            <w:tcW w:w="787" w:type="dxa"/>
            <w:vAlign w:val="center"/>
          </w:tcPr>
          <w:p w14:paraId="2D88298F">
            <w:pPr>
              <w:snapToGrid w:val="0"/>
              <w:spacing w:line="360" w:lineRule="auto"/>
              <w:ind w:firstLine="480"/>
              <w:jc w:val="center"/>
              <w:rPr>
                <w:rFonts w:hint="eastAsia" w:ascii="宋体" w:hAnsi="宋体" w:cs="宋体"/>
                <w:kern w:val="0"/>
                <w:sz w:val="24"/>
                <w:highlight w:val="none"/>
              </w:rPr>
            </w:pPr>
            <w:r>
              <w:rPr>
                <w:rFonts w:hint="eastAsia" w:ascii="宋体" w:hAnsi="宋体" w:cs="宋体"/>
                <w:kern w:val="0"/>
                <w:sz w:val="24"/>
                <w:highlight w:val="none"/>
              </w:rPr>
              <w:t>5</w:t>
            </w:r>
          </w:p>
        </w:tc>
        <w:tc>
          <w:tcPr>
            <w:tcW w:w="8285" w:type="dxa"/>
            <w:vAlign w:val="center"/>
          </w:tcPr>
          <w:p w14:paraId="5BAF248B">
            <w:pPr>
              <w:spacing w:line="312" w:lineRule="auto"/>
              <w:jc w:val="left"/>
              <w:rPr>
                <w:rFonts w:hint="eastAsia" w:ascii="宋体" w:hAnsi="宋体" w:cs="宋体"/>
                <w:kern w:val="0"/>
                <w:sz w:val="24"/>
                <w:highlight w:val="none"/>
              </w:rPr>
            </w:pPr>
            <w:r>
              <w:rPr>
                <w:rFonts w:hint="eastAsia" w:ascii="宋体" w:hAnsi="宋体" w:cs="宋体"/>
                <w:sz w:val="24"/>
                <w:highlight w:val="none"/>
              </w:rPr>
              <w:t>验收期：安装、调试完后10个工作日内验收。</w:t>
            </w:r>
          </w:p>
        </w:tc>
      </w:tr>
      <w:tr w14:paraId="0A809B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787" w:type="dxa"/>
            <w:vAlign w:val="center"/>
          </w:tcPr>
          <w:p w14:paraId="20E45981">
            <w:pPr>
              <w:snapToGrid w:val="0"/>
              <w:spacing w:line="360" w:lineRule="auto"/>
              <w:ind w:firstLine="480"/>
              <w:jc w:val="center"/>
              <w:rPr>
                <w:rFonts w:hint="eastAsia" w:ascii="宋体" w:hAnsi="宋体" w:cs="宋体"/>
                <w:kern w:val="0"/>
                <w:sz w:val="24"/>
                <w:highlight w:val="none"/>
              </w:rPr>
            </w:pPr>
            <w:r>
              <w:rPr>
                <w:rFonts w:hint="eastAsia" w:ascii="宋体" w:hAnsi="宋体" w:cs="宋体"/>
                <w:kern w:val="0"/>
                <w:sz w:val="24"/>
                <w:highlight w:val="none"/>
              </w:rPr>
              <w:t>6</w:t>
            </w:r>
          </w:p>
        </w:tc>
        <w:tc>
          <w:tcPr>
            <w:tcW w:w="8285" w:type="dxa"/>
            <w:vAlign w:val="center"/>
          </w:tcPr>
          <w:p w14:paraId="734A753D">
            <w:pPr>
              <w:spacing w:line="312" w:lineRule="auto"/>
              <w:jc w:val="left"/>
              <w:rPr>
                <w:rFonts w:hint="eastAsia" w:ascii="宋体" w:hAnsi="宋体" w:cs="宋体"/>
                <w:kern w:val="0"/>
                <w:sz w:val="24"/>
                <w:highlight w:val="none"/>
              </w:rPr>
            </w:pPr>
            <w:r>
              <w:rPr>
                <w:rFonts w:hint="eastAsia" w:ascii="宋体" w:hAnsi="宋体" w:cs="宋体"/>
                <w:sz w:val="24"/>
                <w:highlight w:val="none"/>
              </w:rPr>
              <w:t>违约罚款：如果卖方没有按照合同规定的时间交货和提供服务，买方按合同金额的3‰按日收取违约金。</w:t>
            </w:r>
          </w:p>
        </w:tc>
      </w:tr>
    </w:tbl>
    <w:p w14:paraId="02C80462">
      <w:pPr>
        <w:adjustRightInd w:val="0"/>
        <w:snapToGrid w:val="0"/>
        <w:spacing w:line="360" w:lineRule="auto"/>
        <w:ind w:firstLine="643"/>
        <w:jc w:val="center"/>
        <w:rPr>
          <w:rFonts w:hint="eastAsia" w:ascii="宋体" w:hAnsi="宋体" w:cs="宋体"/>
          <w:b/>
          <w:bCs/>
          <w:kern w:val="0"/>
          <w:sz w:val="28"/>
          <w:highlight w:val="none"/>
        </w:rPr>
      </w:pPr>
      <w:r>
        <w:rPr>
          <w:rFonts w:hint="eastAsia" w:ascii="宋体" w:hAnsi="宋体" w:cs="宋体"/>
          <w:b/>
          <w:bCs/>
          <w:kern w:val="0"/>
          <w:sz w:val="32"/>
          <w:szCs w:val="32"/>
          <w:highlight w:val="none"/>
        </w:rPr>
        <w:br w:type="page"/>
      </w:r>
      <w:bookmarkStart w:id="107" w:name="_Toc1042_WPSOffice_Level3"/>
      <w:bookmarkStart w:id="108" w:name="_Toc1521_WPSOffice_Level3"/>
      <w:r>
        <w:rPr>
          <w:rFonts w:hint="eastAsia" w:ascii="宋体" w:hAnsi="宋体" w:cs="宋体"/>
          <w:kern w:val="0"/>
          <w:sz w:val="28"/>
          <w:szCs w:val="28"/>
          <w:highlight w:val="none"/>
        </w:rPr>
        <w:t>合同条款</w:t>
      </w:r>
      <w:bookmarkEnd w:id="107"/>
    </w:p>
    <w:p w14:paraId="4E5CD6DA">
      <w:pPr>
        <w:snapToGrid w:val="0"/>
        <w:spacing w:line="360" w:lineRule="auto"/>
        <w:rPr>
          <w:rFonts w:hint="eastAsia" w:ascii="宋体" w:hAnsi="宋体" w:cs="宋体"/>
          <w:kern w:val="0"/>
          <w:sz w:val="28"/>
          <w:szCs w:val="28"/>
          <w:highlight w:val="none"/>
        </w:rPr>
      </w:pPr>
      <w:bookmarkStart w:id="109" w:name="_Toc168800634"/>
      <w:bookmarkStart w:id="110" w:name="_Toc27472_WPSOffice_Level3"/>
      <w:r>
        <w:rPr>
          <w:rFonts w:hint="eastAsia" w:ascii="宋体" w:hAnsi="宋体" w:cs="宋体"/>
          <w:kern w:val="0"/>
          <w:sz w:val="28"/>
          <w:szCs w:val="28"/>
          <w:highlight w:val="none"/>
        </w:rPr>
        <w:t>1</w:t>
      </w:r>
      <w:r>
        <w:rPr>
          <w:rFonts w:ascii="宋体" w:hAnsi="宋体" w:cs="宋体"/>
          <w:kern w:val="0"/>
          <w:sz w:val="28"/>
          <w:szCs w:val="28"/>
          <w:highlight w:val="none"/>
        </w:rPr>
        <w:t xml:space="preserve">. </w:t>
      </w:r>
      <w:r>
        <w:rPr>
          <w:rFonts w:hint="eastAsia" w:ascii="宋体" w:hAnsi="宋体" w:cs="宋体"/>
          <w:kern w:val="0"/>
          <w:sz w:val="28"/>
          <w:szCs w:val="28"/>
          <w:highlight w:val="none"/>
        </w:rPr>
        <w:t>定义</w:t>
      </w:r>
      <w:bookmarkEnd w:id="109"/>
      <w:bookmarkEnd w:id="110"/>
    </w:p>
    <w:p w14:paraId="5AAB4C54">
      <w:pPr>
        <w:adjustRightInd w:val="0"/>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本合同中的下列术语应解释为：</w:t>
      </w:r>
    </w:p>
    <w:p w14:paraId="789C08E8">
      <w:pPr>
        <w:adjustRightInd w:val="0"/>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(1) “合同”系指买卖双方签署的、合同格式中载明的买卖双方所达成的协议，包括所有的附件、附录和构成合同的其它文件。</w:t>
      </w:r>
    </w:p>
    <w:p w14:paraId="150E96AF">
      <w:pPr>
        <w:adjustRightInd w:val="0"/>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(2) “合同价”系指根据合同规定，卖方在完全履行合同义务后买方应付给其的价格。</w:t>
      </w:r>
    </w:p>
    <w:p w14:paraId="6BB7685A">
      <w:pPr>
        <w:adjustRightInd w:val="0"/>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(3) “货物”系指卖方根据合同规定须向买方提供的PEM/AEM水电解制氢实验教学系统。</w:t>
      </w:r>
    </w:p>
    <w:p w14:paraId="762B280C">
      <w:pPr>
        <w:adjustRightInd w:val="0"/>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(4) “服务”系指根据合同规定卖方承担与供货有关的辅助服务，如运输、安装、调试、售后等。</w:t>
      </w:r>
    </w:p>
    <w:p w14:paraId="70AC4F2A">
      <w:pPr>
        <w:adjustRightInd w:val="0"/>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(5) “买方”系指购买货物的单位。</w:t>
      </w:r>
    </w:p>
    <w:p w14:paraId="1D65F360">
      <w:pPr>
        <w:adjustRightInd w:val="0"/>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(6) “卖方”系指根据合同规定提供货物和服务的法人或其他组织。</w:t>
      </w:r>
    </w:p>
    <w:p w14:paraId="6B3659C0">
      <w:pPr>
        <w:adjustRightInd w:val="0"/>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(7) “验收”系指合同双方依据规定的程序和条件确认合同项下的货物符合技术规范的要求。</w:t>
      </w:r>
    </w:p>
    <w:p w14:paraId="1F1E1D94">
      <w:pPr>
        <w:snapToGrid w:val="0"/>
        <w:spacing w:line="360" w:lineRule="auto"/>
        <w:rPr>
          <w:rFonts w:hint="eastAsia" w:ascii="宋体" w:hAnsi="宋体" w:cs="宋体"/>
          <w:kern w:val="0"/>
          <w:sz w:val="28"/>
          <w:szCs w:val="28"/>
          <w:highlight w:val="none"/>
        </w:rPr>
      </w:pPr>
      <w:bookmarkStart w:id="111" w:name="_Toc21012_WPSOffice_Level3"/>
      <w:bookmarkStart w:id="112" w:name="_Toc168800635"/>
      <w:r>
        <w:rPr>
          <w:rFonts w:hint="eastAsia" w:ascii="宋体" w:hAnsi="宋体" w:cs="宋体"/>
          <w:kern w:val="0"/>
          <w:sz w:val="28"/>
          <w:szCs w:val="28"/>
          <w:highlight w:val="none"/>
        </w:rPr>
        <w:t>2</w:t>
      </w:r>
      <w:r>
        <w:rPr>
          <w:rFonts w:ascii="宋体" w:hAnsi="宋体" w:cs="宋体"/>
          <w:kern w:val="0"/>
          <w:sz w:val="28"/>
          <w:szCs w:val="28"/>
          <w:highlight w:val="none"/>
        </w:rPr>
        <w:t xml:space="preserve">. </w:t>
      </w:r>
      <w:r>
        <w:rPr>
          <w:rFonts w:hint="eastAsia" w:ascii="宋体" w:hAnsi="宋体" w:cs="宋体"/>
          <w:kern w:val="0"/>
          <w:sz w:val="28"/>
          <w:szCs w:val="28"/>
          <w:highlight w:val="none"/>
        </w:rPr>
        <w:t>技术质量规范</w:t>
      </w:r>
      <w:bookmarkEnd w:id="111"/>
      <w:bookmarkEnd w:id="112"/>
    </w:p>
    <w:p w14:paraId="61616FEF">
      <w:pPr>
        <w:adjustRightInd w:val="0"/>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提供和交付的货物在技术和质量规范方面应与采购人或者采购代理机构规定的技术和质量规范相一致。</w:t>
      </w:r>
    </w:p>
    <w:p w14:paraId="7210145D">
      <w:pPr>
        <w:snapToGrid w:val="0"/>
        <w:spacing w:line="360" w:lineRule="auto"/>
        <w:rPr>
          <w:rFonts w:hint="eastAsia" w:ascii="宋体" w:hAnsi="宋体" w:cs="宋体"/>
          <w:kern w:val="0"/>
          <w:sz w:val="28"/>
          <w:szCs w:val="28"/>
          <w:highlight w:val="none"/>
        </w:rPr>
      </w:pPr>
      <w:bookmarkStart w:id="113" w:name="_Toc1086_WPSOffice_Level3"/>
      <w:bookmarkStart w:id="114" w:name="_Toc168800636"/>
      <w:r>
        <w:rPr>
          <w:rFonts w:ascii="宋体" w:hAnsi="宋体" w:cs="宋体"/>
          <w:kern w:val="0"/>
          <w:sz w:val="28"/>
          <w:szCs w:val="28"/>
          <w:highlight w:val="none"/>
        </w:rPr>
        <w:t xml:space="preserve">3. </w:t>
      </w:r>
      <w:r>
        <w:rPr>
          <w:rFonts w:hint="eastAsia" w:ascii="宋体" w:hAnsi="宋体" w:cs="宋体"/>
          <w:kern w:val="0"/>
          <w:sz w:val="28"/>
          <w:szCs w:val="28"/>
          <w:highlight w:val="none"/>
        </w:rPr>
        <w:t>专利权</w:t>
      </w:r>
      <w:bookmarkEnd w:id="113"/>
      <w:bookmarkEnd w:id="114"/>
    </w:p>
    <w:p w14:paraId="6DEA2D3E">
      <w:pPr>
        <w:adjustRightInd w:val="0"/>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卖方应保证买方在使用该货物或其任何一部分时均不受第三方提出侵犯其出版权、专利权、商标权和工业设计权等的起诉。</w:t>
      </w:r>
    </w:p>
    <w:p w14:paraId="4BD68E4C">
      <w:pPr>
        <w:snapToGrid w:val="0"/>
        <w:spacing w:line="360" w:lineRule="auto"/>
        <w:rPr>
          <w:rFonts w:hint="eastAsia" w:ascii="宋体" w:hAnsi="宋体" w:cs="宋体"/>
          <w:kern w:val="0"/>
          <w:sz w:val="28"/>
          <w:szCs w:val="28"/>
          <w:highlight w:val="none"/>
        </w:rPr>
      </w:pPr>
      <w:bookmarkStart w:id="115" w:name="_Toc168800637"/>
      <w:bookmarkStart w:id="116" w:name="_Toc18063_WPSOffice_Level3"/>
      <w:r>
        <w:rPr>
          <w:rFonts w:hint="eastAsia" w:ascii="宋体" w:hAnsi="宋体" w:cs="宋体"/>
          <w:kern w:val="0"/>
          <w:sz w:val="28"/>
          <w:szCs w:val="28"/>
          <w:highlight w:val="none"/>
        </w:rPr>
        <w:t>4</w:t>
      </w:r>
      <w:r>
        <w:rPr>
          <w:rFonts w:ascii="宋体" w:hAnsi="宋体" w:cs="宋体"/>
          <w:kern w:val="0"/>
          <w:sz w:val="28"/>
          <w:szCs w:val="28"/>
          <w:highlight w:val="none"/>
        </w:rPr>
        <w:t xml:space="preserve">. </w:t>
      </w:r>
      <w:r>
        <w:rPr>
          <w:rFonts w:hint="eastAsia" w:ascii="宋体" w:hAnsi="宋体" w:cs="宋体"/>
          <w:kern w:val="0"/>
          <w:sz w:val="28"/>
          <w:szCs w:val="28"/>
          <w:highlight w:val="none"/>
        </w:rPr>
        <w:t>包装要求</w:t>
      </w:r>
      <w:bookmarkEnd w:id="115"/>
      <w:bookmarkEnd w:id="116"/>
    </w:p>
    <w:p w14:paraId="011DCD4F">
      <w:pPr>
        <w:adjustRightInd w:val="0"/>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4.1 除合同另有规定外，卖方提供的全部货物均应采用国家或专业标准保护措施进行包装，使包装能适应于远距离运输、防潮、防震、防锈和防粗暴装卸，确保货物安全无损运抵交货地点。由于包装不善所引起的货物受潮、损坏等，损失均由卖方承担。</w:t>
      </w:r>
    </w:p>
    <w:p w14:paraId="6F59FF0D">
      <w:pPr>
        <w:snapToGrid w:val="0"/>
        <w:spacing w:line="360" w:lineRule="auto"/>
        <w:rPr>
          <w:rFonts w:hint="eastAsia" w:ascii="宋体" w:hAnsi="宋体" w:cs="宋体"/>
          <w:kern w:val="0"/>
          <w:sz w:val="28"/>
          <w:szCs w:val="28"/>
          <w:highlight w:val="none"/>
        </w:rPr>
      </w:pPr>
      <w:bookmarkStart w:id="117" w:name="_Toc168800639"/>
      <w:bookmarkStart w:id="118" w:name="_Toc4252_WPSOffice_Level3"/>
      <w:r>
        <w:rPr>
          <w:rFonts w:hint="eastAsia" w:ascii="宋体" w:hAnsi="宋体" w:cs="宋体"/>
          <w:kern w:val="0"/>
          <w:sz w:val="28"/>
          <w:szCs w:val="28"/>
          <w:highlight w:val="none"/>
        </w:rPr>
        <w:t>5</w:t>
      </w:r>
      <w:r>
        <w:rPr>
          <w:rFonts w:ascii="宋体" w:hAnsi="宋体" w:cs="宋体"/>
          <w:kern w:val="0"/>
          <w:sz w:val="28"/>
          <w:szCs w:val="28"/>
          <w:highlight w:val="none"/>
        </w:rPr>
        <w:t xml:space="preserve">. </w:t>
      </w:r>
      <w:r>
        <w:rPr>
          <w:rFonts w:hint="eastAsia" w:ascii="宋体" w:hAnsi="宋体" w:cs="宋体"/>
          <w:kern w:val="0"/>
          <w:sz w:val="28"/>
          <w:szCs w:val="28"/>
          <w:highlight w:val="none"/>
        </w:rPr>
        <w:t>交货方式</w:t>
      </w:r>
      <w:bookmarkEnd w:id="117"/>
      <w:bookmarkEnd w:id="118"/>
    </w:p>
    <w:p w14:paraId="6A9A8E22">
      <w:pPr>
        <w:adjustRightInd w:val="0"/>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5.1  货物的交货地点为“合同条款前附表”第1项中规定的目的地。卖方负责办理运输和保险，有关运输和保险的一切费用由卖方承担。所有货物运抵现场、安装调试验收合格的日期为交货日期。</w:t>
      </w:r>
    </w:p>
    <w:p w14:paraId="464B8FD5">
      <w:pPr>
        <w:snapToGrid w:val="0"/>
        <w:spacing w:line="360" w:lineRule="auto"/>
        <w:rPr>
          <w:rFonts w:hint="eastAsia" w:ascii="宋体" w:hAnsi="宋体" w:cs="宋体"/>
          <w:kern w:val="0"/>
          <w:sz w:val="28"/>
          <w:szCs w:val="28"/>
          <w:highlight w:val="none"/>
        </w:rPr>
      </w:pPr>
      <w:bookmarkStart w:id="119" w:name="_Toc27943_WPSOffice_Level3"/>
      <w:bookmarkStart w:id="120" w:name="_Toc168800641"/>
      <w:r>
        <w:rPr>
          <w:rFonts w:hint="eastAsia" w:ascii="宋体" w:hAnsi="宋体" w:cs="宋体"/>
          <w:kern w:val="0"/>
          <w:sz w:val="28"/>
          <w:szCs w:val="28"/>
          <w:highlight w:val="none"/>
        </w:rPr>
        <w:t>6</w:t>
      </w:r>
      <w:r>
        <w:rPr>
          <w:rFonts w:ascii="宋体" w:hAnsi="宋体" w:cs="宋体"/>
          <w:kern w:val="0"/>
          <w:sz w:val="28"/>
          <w:szCs w:val="28"/>
          <w:highlight w:val="none"/>
        </w:rPr>
        <w:t xml:space="preserve">. </w:t>
      </w:r>
      <w:r>
        <w:rPr>
          <w:rFonts w:hint="eastAsia" w:ascii="宋体" w:hAnsi="宋体" w:cs="宋体"/>
          <w:kern w:val="0"/>
          <w:sz w:val="28"/>
          <w:szCs w:val="28"/>
          <w:highlight w:val="none"/>
        </w:rPr>
        <w:t>保险</w:t>
      </w:r>
      <w:bookmarkEnd w:id="119"/>
      <w:bookmarkEnd w:id="120"/>
    </w:p>
    <w:p w14:paraId="5BD9C448">
      <w:pPr>
        <w:adjustRightInd w:val="0"/>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6.1  目的地交货价的合同，由卖方按照“合同条款前附表”第2项规定办理。</w:t>
      </w:r>
    </w:p>
    <w:p w14:paraId="4C4BD932">
      <w:pPr>
        <w:snapToGrid w:val="0"/>
        <w:spacing w:line="360" w:lineRule="auto"/>
        <w:rPr>
          <w:rFonts w:hint="eastAsia" w:ascii="宋体" w:hAnsi="宋体" w:cs="宋体"/>
          <w:kern w:val="0"/>
          <w:sz w:val="28"/>
          <w:szCs w:val="28"/>
          <w:highlight w:val="none"/>
        </w:rPr>
      </w:pPr>
      <w:bookmarkStart w:id="121" w:name="_Toc7779_WPSOffice_Level3"/>
      <w:bookmarkStart w:id="122" w:name="_Toc168800642"/>
      <w:r>
        <w:rPr>
          <w:rFonts w:hint="eastAsia" w:ascii="宋体" w:hAnsi="宋体" w:cs="宋体"/>
          <w:kern w:val="0"/>
          <w:sz w:val="28"/>
          <w:szCs w:val="28"/>
          <w:highlight w:val="none"/>
        </w:rPr>
        <w:t>7</w:t>
      </w:r>
      <w:r>
        <w:rPr>
          <w:rFonts w:ascii="宋体" w:hAnsi="宋体" w:cs="宋体"/>
          <w:kern w:val="0"/>
          <w:sz w:val="28"/>
          <w:szCs w:val="28"/>
          <w:highlight w:val="none"/>
        </w:rPr>
        <w:t xml:space="preserve">. </w:t>
      </w:r>
      <w:r>
        <w:rPr>
          <w:rFonts w:hint="eastAsia" w:ascii="宋体" w:hAnsi="宋体" w:cs="宋体"/>
          <w:kern w:val="0"/>
          <w:sz w:val="28"/>
          <w:szCs w:val="28"/>
          <w:highlight w:val="none"/>
        </w:rPr>
        <w:t>支付</w:t>
      </w:r>
      <w:bookmarkEnd w:id="121"/>
      <w:bookmarkEnd w:id="122"/>
    </w:p>
    <w:p w14:paraId="14D8213E">
      <w:pPr>
        <w:adjustRightInd w:val="0"/>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7.1  支付应使用“合同条款前附表”第3项规定的货币结算。</w:t>
      </w:r>
    </w:p>
    <w:p w14:paraId="42800557">
      <w:pPr>
        <w:adjustRightInd w:val="0"/>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7.2  卖方应按照双方签订的合同规定交货。交货后卖方应向买方提交符合要求的正式发票。买方收到货物并经验收合格后，按“合同条款前附表”第4项约定向卖方支付货款。</w:t>
      </w:r>
    </w:p>
    <w:p w14:paraId="4459AED3">
      <w:pPr>
        <w:snapToGrid w:val="0"/>
        <w:spacing w:line="360" w:lineRule="auto"/>
        <w:rPr>
          <w:rFonts w:hint="eastAsia" w:ascii="宋体" w:hAnsi="宋体" w:cs="宋体"/>
          <w:kern w:val="0"/>
          <w:sz w:val="28"/>
          <w:szCs w:val="28"/>
          <w:highlight w:val="none"/>
        </w:rPr>
      </w:pPr>
      <w:bookmarkStart w:id="123" w:name="_Toc168800644"/>
      <w:bookmarkStart w:id="124" w:name="_Toc4424_WPSOffice_Level3"/>
      <w:r>
        <w:rPr>
          <w:rFonts w:hint="eastAsia" w:ascii="宋体" w:hAnsi="宋体" w:cs="宋体"/>
          <w:kern w:val="0"/>
          <w:sz w:val="28"/>
          <w:szCs w:val="28"/>
          <w:highlight w:val="none"/>
        </w:rPr>
        <w:t>8</w:t>
      </w:r>
      <w:r>
        <w:rPr>
          <w:rFonts w:ascii="宋体" w:hAnsi="宋体" w:cs="宋体"/>
          <w:kern w:val="0"/>
          <w:sz w:val="28"/>
          <w:szCs w:val="28"/>
          <w:highlight w:val="none"/>
        </w:rPr>
        <w:t xml:space="preserve">. </w:t>
      </w:r>
      <w:r>
        <w:rPr>
          <w:rFonts w:hint="eastAsia" w:ascii="宋体" w:hAnsi="宋体" w:cs="宋体"/>
          <w:kern w:val="0"/>
          <w:sz w:val="28"/>
          <w:szCs w:val="28"/>
          <w:highlight w:val="none"/>
        </w:rPr>
        <w:t>质量保证</w:t>
      </w:r>
      <w:bookmarkEnd w:id="123"/>
      <w:bookmarkEnd w:id="124"/>
    </w:p>
    <w:p w14:paraId="3F94B4C9">
      <w:pPr>
        <w:adjustRightInd w:val="0"/>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8.1  卖方应保证货物是全新、未使用过的，并完全符合合同规定的质量要求。在货物最终验收后规定的质量保证期（见“合同条款前附表”第5项）内，卖方应对由于货物质量缺陷而造成的任何不足负责，费用由卖方负责。</w:t>
      </w:r>
    </w:p>
    <w:p w14:paraId="46E85E95">
      <w:pPr>
        <w:adjustRightInd w:val="0"/>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8.2  卖方在收到通知后十天内免费更换有缺陷的货物。</w:t>
      </w:r>
    </w:p>
    <w:p w14:paraId="5B81529E">
      <w:pPr>
        <w:adjustRightInd w:val="0"/>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8.3  货物在质保期内出现质量问题，卖方应按照投标文件中的售后承诺提供相关服务。</w:t>
      </w:r>
    </w:p>
    <w:p w14:paraId="0B4B6519">
      <w:pPr>
        <w:snapToGrid w:val="0"/>
        <w:spacing w:line="360" w:lineRule="auto"/>
        <w:rPr>
          <w:rFonts w:hint="eastAsia" w:ascii="宋体" w:hAnsi="宋体" w:cs="宋体"/>
          <w:kern w:val="0"/>
          <w:sz w:val="28"/>
          <w:szCs w:val="28"/>
          <w:highlight w:val="none"/>
        </w:rPr>
      </w:pPr>
      <w:bookmarkStart w:id="125" w:name="_Toc21309_WPSOffice_Level3"/>
      <w:bookmarkStart w:id="126" w:name="_Toc168800645"/>
      <w:r>
        <w:rPr>
          <w:rFonts w:hint="eastAsia" w:ascii="宋体" w:hAnsi="宋体" w:cs="宋体"/>
          <w:kern w:val="0"/>
          <w:sz w:val="28"/>
          <w:szCs w:val="28"/>
          <w:highlight w:val="none"/>
        </w:rPr>
        <w:t>9</w:t>
      </w:r>
      <w:r>
        <w:rPr>
          <w:rFonts w:ascii="宋体" w:hAnsi="宋体" w:cs="宋体"/>
          <w:kern w:val="0"/>
          <w:sz w:val="28"/>
          <w:szCs w:val="28"/>
          <w:highlight w:val="none"/>
        </w:rPr>
        <w:t xml:space="preserve">. </w:t>
      </w:r>
      <w:r>
        <w:rPr>
          <w:rFonts w:hint="eastAsia" w:ascii="宋体" w:hAnsi="宋体" w:cs="宋体"/>
          <w:kern w:val="0"/>
          <w:sz w:val="28"/>
          <w:szCs w:val="28"/>
          <w:highlight w:val="none"/>
        </w:rPr>
        <w:t>验收</w:t>
      </w:r>
      <w:bookmarkEnd w:id="125"/>
      <w:bookmarkEnd w:id="126"/>
    </w:p>
    <w:p w14:paraId="6672208F">
      <w:pPr>
        <w:adjustRightInd w:val="0"/>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9.1  在发货前，卖方应对货物的质量、数量等进行准确而全面的检验。</w:t>
      </w:r>
    </w:p>
    <w:p w14:paraId="4357FBCB">
      <w:pPr>
        <w:adjustRightInd w:val="0"/>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9.2  货物经验收（验收期见“合同条款前附表”第6项）后，如发现数量缺少或破损，买方有权要求卖方按照买方指定的地点、数量在规定的时间内将货物送达。</w:t>
      </w:r>
    </w:p>
    <w:p w14:paraId="21637F87">
      <w:pPr>
        <w:adjustRightInd w:val="0"/>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9.3  如果货物的质量经第三方检验单位检验与合同及卖方提供的货物样品不符，或在第8条规定的质量保证期内证实货物是有缺陷的，</w:t>
      </w:r>
      <w:bookmarkStart w:id="127" w:name="_Toc168800646"/>
      <w:r>
        <w:rPr>
          <w:rFonts w:hint="eastAsia" w:ascii="宋体" w:hAnsi="宋体" w:cs="宋体"/>
          <w:kern w:val="0"/>
          <w:sz w:val="24"/>
          <w:highlight w:val="none"/>
        </w:rPr>
        <w:t>规定的时间内将货物</w:t>
      </w:r>
      <w:bookmarkEnd w:id="127"/>
      <w:r>
        <w:rPr>
          <w:rFonts w:hint="eastAsia" w:ascii="宋体" w:hAnsi="宋体" w:cs="宋体"/>
          <w:kern w:val="0"/>
          <w:sz w:val="24"/>
          <w:highlight w:val="none"/>
        </w:rPr>
        <w:t>调整达到甲方要求。</w:t>
      </w:r>
    </w:p>
    <w:p w14:paraId="01201D49">
      <w:pPr>
        <w:snapToGrid w:val="0"/>
        <w:spacing w:line="360" w:lineRule="auto"/>
        <w:rPr>
          <w:rFonts w:hint="eastAsia" w:ascii="宋体" w:hAnsi="宋体" w:cs="宋体"/>
          <w:kern w:val="0"/>
          <w:sz w:val="28"/>
          <w:szCs w:val="28"/>
          <w:highlight w:val="none"/>
        </w:rPr>
      </w:pPr>
      <w:r>
        <w:rPr>
          <w:rFonts w:hint="eastAsia" w:ascii="宋体" w:hAnsi="宋体" w:cs="宋体"/>
          <w:kern w:val="0"/>
          <w:sz w:val="28"/>
          <w:szCs w:val="28"/>
          <w:highlight w:val="none"/>
        </w:rPr>
        <w:t>1</w:t>
      </w:r>
      <w:r>
        <w:rPr>
          <w:rFonts w:ascii="宋体" w:hAnsi="宋体" w:cs="宋体"/>
          <w:kern w:val="0"/>
          <w:sz w:val="28"/>
          <w:szCs w:val="28"/>
          <w:highlight w:val="none"/>
        </w:rPr>
        <w:t xml:space="preserve">0. </w:t>
      </w:r>
      <w:r>
        <w:rPr>
          <w:rFonts w:hint="eastAsia" w:ascii="宋体" w:hAnsi="宋体" w:cs="宋体"/>
          <w:kern w:val="0"/>
          <w:sz w:val="28"/>
          <w:szCs w:val="28"/>
          <w:highlight w:val="none"/>
        </w:rPr>
        <w:t>索赔</w:t>
      </w:r>
    </w:p>
    <w:p w14:paraId="481038AF">
      <w:pPr>
        <w:adjustRightInd w:val="0"/>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10.1  除责任应由保险公司或运输部门承担的之外，买方有权根据当地质检部门出具的质检证书向卖方提出索赔。</w:t>
      </w:r>
    </w:p>
    <w:p w14:paraId="315B7023">
      <w:pPr>
        <w:adjustRightInd w:val="0"/>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10.2  如涉及保险公司或运输部门的赔偿问题，应由卖方负责办理有关索赔事宜。</w:t>
      </w:r>
    </w:p>
    <w:p w14:paraId="1BE9B680">
      <w:pPr>
        <w:adjustRightInd w:val="0"/>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10.3  在合同第8条和9条规定的检验期和质量保证期内，如果卖方对买方提出的索赔和差异负有责任，卖方应按照买方同意的下列一种或多种方式解决索赔事宜。</w:t>
      </w:r>
    </w:p>
    <w:p w14:paraId="700B006C">
      <w:pPr>
        <w:adjustRightInd w:val="0"/>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(a) 卖方同意退货，并用合同中规定的同种货币将货款全部退还给买方，并承担由此发生的一切损失和费用，包括利息、银行手续费、运费、保险费、检验费、仓储费、装卸费以及为保护拒收的货物所需的其它必要费用。</w:t>
      </w:r>
    </w:p>
    <w:p w14:paraId="711C2AB7">
      <w:pPr>
        <w:adjustRightInd w:val="0"/>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(b) 用符合质量要求的新货物更换有缺陷的部分，卖方应承担一切费用和风险并负担买方所遭受的一切直接费用。</w:t>
      </w:r>
    </w:p>
    <w:p w14:paraId="609F9581">
      <w:pPr>
        <w:adjustRightInd w:val="0"/>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10.4  如果在买方发出的索赔通知后10天内，卖方未作答复，上述索赔应视为已被卖方接受。如卖方未能在买方提出索赔通知后10天内或买方同意的延长时间内，按照本合同第10.1条规定的任何一种方法解决索赔事宜。</w:t>
      </w:r>
    </w:p>
    <w:p w14:paraId="65376CC6">
      <w:pPr>
        <w:snapToGrid w:val="0"/>
        <w:spacing w:line="360" w:lineRule="auto"/>
        <w:rPr>
          <w:rFonts w:hint="eastAsia" w:ascii="宋体" w:hAnsi="宋体" w:cs="宋体"/>
          <w:kern w:val="0"/>
          <w:sz w:val="28"/>
          <w:szCs w:val="28"/>
          <w:highlight w:val="none"/>
        </w:rPr>
      </w:pPr>
      <w:bookmarkStart w:id="128" w:name="_Toc168800647"/>
      <w:bookmarkStart w:id="129" w:name="_Toc29215_WPSOffice_Level3"/>
      <w:r>
        <w:rPr>
          <w:rFonts w:hint="eastAsia" w:ascii="宋体" w:hAnsi="宋体" w:cs="宋体"/>
          <w:kern w:val="0"/>
          <w:sz w:val="28"/>
          <w:szCs w:val="28"/>
          <w:highlight w:val="none"/>
        </w:rPr>
        <w:t>1</w:t>
      </w:r>
      <w:r>
        <w:rPr>
          <w:rFonts w:ascii="宋体" w:hAnsi="宋体" w:cs="宋体"/>
          <w:kern w:val="0"/>
          <w:sz w:val="28"/>
          <w:szCs w:val="28"/>
          <w:highlight w:val="none"/>
        </w:rPr>
        <w:t xml:space="preserve">1. </w:t>
      </w:r>
      <w:r>
        <w:rPr>
          <w:rFonts w:hint="eastAsia" w:ascii="宋体" w:hAnsi="宋体" w:cs="宋体"/>
          <w:kern w:val="0"/>
          <w:sz w:val="28"/>
          <w:szCs w:val="28"/>
          <w:highlight w:val="none"/>
        </w:rPr>
        <w:t>交货</w:t>
      </w:r>
      <w:bookmarkEnd w:id="128"/>
      <w:bookmarkEnd w:id="129"/>
    </w:p>
    <w:p w14:paraId="1A54CBE3">
      <w:pPr>
        <w:adjustRightInd w:val="0"/>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11.1  卖方应按照“合同条款前附表”第1项中规定的时间交货和提供服务。</w:t>
      </w:r>
    </w:p>
    <w:p w14:paraId="421E82C8">
      <w:pPr>
        <w:adjustRightInd w:val="0"/>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11.2  在履行合同过程中，如果卖方遇到不能按时交货和提供服务的情况，应及时以书面形式将不能按时交货的理由、延误时间通知买方。买方在收到卖方通知后，应进行分析，如果同意，可通过修改合同以酌情延长交货时间。</w:t>
      </w:r>
    </w:p>
    <w:p w14:paraId="278BF8CA">
      <w:pPr>
        <w:adjustRightInd w:val="0"/>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11.3  如果卖方无合理、正当、能让买方接受的理由拖延交货，将受到加收罚款或终止合同的制裁。</w:t>
      </w:r>
    </w:p>
    <w:p w14:paraId="3FD437D2">
      <w:pPr>
        <w:snapToGrid w:val="0"/>
        <w:spacing w:line="360" w:lineRule="auto"/>
        <w:rPr>
          <w:rFonts w:hint="eastAsia" w:ascii="宋体" w:hAnsi="宋体" w:cs="宋体"/>
          <w:kern w:val="0"/>
          <w:sz w:val="28"/>
          <w:szCs w:val="28"/>
          <w:highlight w:val="none"/>
        </w:rPr>
      </w:pPr>
      <w:bookmarkStart w:id="130" w:name="_Toc168800648"/>
      <w:bookmarkStart w:id="131" w:name="_Toc2344_WPSOffice_Level3"/>
      <w:r>
        <w:rPr>
          <w:rFonts w:hint="eastAsia" w:ascii="宋体" w:hAnsi="宋体" w:cs="宋体"/>
          <w:kern w:val="0"/>
          <w:sz w:val="28"/>
          <w:szCs w:val="28"/>
          <w:highlight w:val="none"/>
        </w:rPr>
        <w:t>1</w:t>
      </w:r>
      <w:r>
        <w:rPr>
          <w:rFonts w:ascii="宋体" w:hAnsi="宋体" w:cs="宋体"/>
          <w:kern w:val="0"/>
          <w:sz w:val="28"/>
          <w:szCs w:val="28"/>
          <w:highlight w:val="none"/>
        </w:rPr>
        <w:t xml:space="preserve">2. </w:t>
      </w:r>
      <w:r>
        <w:rPr>
          <w:rFonts w:hint="eastAsia" w:ascii="宋体" w:hAnsi="宋体" w:cs="宋体"/>
          <w:kern w:val="0"/>
          <w:sz w:val="28"/>
          <w:szCs w:val="28"/>
          <w:highlight w:val="none"/>
        </w:rPr>
        <w:t>违约罚款</w:t>
      </w:r>
      <w:bookmarkEnd w:id="130"/>
      <w:bookmarkEnd w:id="131"/>
    </w:p>
    <w:p w14:paraId="4B6E5658">
      <w:pPr>
        <w:adjustRightInd w:val="0"/>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12.1  除合同第16条规定外，如果卖方没有按照规定的时间交货和提供服务，买方可予以罚款，罚金应从货款中扣除，罚金可按“合同条款前附表”中第7项执行，但罚金的最高限额为迟交货物或提供服务合同价的5%。如果达到最高限额，买方有权终止合同。</w:t>
      </w:r>
    </w:p>
    <w:p w14:paraId="62F34CC0">
      <w:pPr>
        <w:snapToGrid w:val="0"/>
        <w:spacing w:line="360" w:lineRule="auto"/>
        <w:rPr>
          <w:rFonts w:hint="eastAsia" w:ascii="宋体" w:hAnsi="宋体" w:cs="宋体"/>
          <w:kern w:val="0"/>
          <w:sz w:val="28"/>
          <w:szCs w:val="28"/>
          <w:highlight w:val="none"/>
        </w:rPr>
      </w:pPr>
      <w:bookmarkStart w:id="132" w:name="_Toc168800649"/>
      <w:bookmarkStart w:id="133" w:name="_Toc17196_WPSOffice_Level3"/>
      <w:r>
        <w:rPr>
          <w:rFonts w:hint="eastAsia" w:ascii="宋体" w:hAnsi="宋体" w:cs="宋体"/>
          <w:kern w:val="0"/>
          <w:sz w:val="28"/>
          <w:szCs w:val="28"/>
          <w:highlight w:val="none"/>
        </w:rPr>
        <w:t>1</w:t>
      </w:r>
      <w:r>
        <w:rPr>
          <w:rFonts w:ascii="宋体" w:hAnsi="宋体" w:cs="宋体"/>
          <w:kern w:val="0"/>
          <w:sz w:val="28"/>
          <w:szCs w:val="28"/>
          <w:highlight w:val="none"/>
        </w:rPr>
        <w:t xml:space="preserve">3. </w:t>
      </w:r>
      <w:r>
        <w:rPr>
          <w:rFonts w:hint="eastAsia" w:ascii="宋体" w:hAnsi="宋体" w:cs="宋体"/>
          <w:kern w:val="0"/>
          <w:sz w:val="28"/>
          <w:szCs w:val="28"/>
          <w:highlight w:val="none"/>
        </w:rPr>
        <w:t>不可抗力</w:t>
      </w:r>
      <w:bookmarkEnd w:id="132"/>
      <w:bookmarkEnd w:id="133"/>
    </w:p>
    <w:p w14:paraId="2AD45956">
      <w:pPr>
        <w:adjustRightInd w:val="0"/>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13.1  如果双方任何一方由于战争、严重的火灾、水灾、台风和地震以及其它经双方认可属于不可抗力事故，致使影响合同履行时，履行合同的期限应予以延长，延长的期限应相当于事故所影响的时间。</w:t>
      </w:r>
    </w:p>
    <w:p w14:paraId="2F740E30">
      <w:pPr>
        <w:adjustRightInd w:val="0"/>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13.2  受不可抗力影响的一方在事故发生后应尽快以电报或电传通知另一方，并在不可抗力事故发生后14天内，将有关部门出具的证明文件用特快专递寄另一方，如果不可抗力影响时间延续120天以上时，双方应通过友好协商在合理的时间内达成进一步履行合同的义务。</w:t>
      </w:r>
    </w:p>
    <w:p w14:paraId="12510807">
      <w:pPr>
        <w:snapToGrid w:val="0"/>
        <w:spacing w:line="360" w:lineRule="auto"/>
        <w:rPr>
          <w:rFonts w:hint="eastAsia" w:ascii="宋体" w:hAnsi="宋体" w:cs="宋体"/>
          <w:kern w:val="0"/>
          <w:sz w:val="28"/>
          <w:szCs w:val="28"/>
          <w:highlight w:val="none"/>
        </w:rPr>
      </w:pPr>
      <w:bookmarkStart w:id="134" w:name="_Toc18743_WPSOffice_Level3"/>
      <w:bookmarkStart w:id="135" w:name="_Toc168800650"/>
      <w:r>
        <w:rPr>
          <w:rFonts w:hint="eastAsia" w:ascii="宋体" w:hAnsi="宋体" w:cs="宋体"/>
          <w:kern w:val="0"/>
          <w:sz w:val="28"/>
          <w:szCs w:val="28"/>
          <w:highlight w:val="none"/>
        </w:rPr>
        <w:t>1</w:t>
      </w:r>
      <w:r>
        <w:rPr>
          <w:rFonts w:ascii="宋体" w:hAnsi="宋体" w:cs="宋体"/>
          <w:kern w:val="0"/>
          <w:sz w:val="28"/>
          <w:szCs w:val="28"/>
          <w:highlight w:val="none"/>
        </w:rPr>
        <w:t xml:space="preserve">4. </w:t>
      </w:r>
      <w:r>
        <w:rPr>
          <w:rFonts w:hint="eastAsia" w:ascii="宋体" w:hAnsi="宋体" w:cs="宋体"/>
          <w:kern w:val="0"/>
          <w:sz w:val="28"/>
          <w:szCs w:val="28"/>
          <w:highlight w:val="none"/>
        </w:rPr>
        <w:t>税费</w:t>
      </w:r>
      <w:bookmarkEnd w:id="134"/>
      <w:bookmarkEnd w:id="135"/>
    </w:p>
    <w:p w14:paraId="49ADBE0C">
      <w:pPr>
        <w:adjustRightInd w:val="0"/>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14.1  根据国家现行税法对买方征收的与本合同有关的一切税费均由买方承担。</w:t>
      </w:r>
    </w:p>
    <w:p w14:paraId="2960B378">
      <w:pPr>
        <w:adjustRightInd w:val="0"/>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14.2  根据国家现行税法对卖方征收的与本合同有关的一切税费均由卖方负担。</w:t>
      </w:r>
    </w:p>
    <w:p w14:paraId="7DD1C5A7">
      <w:pPr>
        <w:snapToGrid w:val="0"/>
        <w:spacing w:line="360" w:lineRule="auto"/>
        <w:rPr>
          <w:rFonts w:hint="eastAsia" w:ascii="宋体" w:hAnsi="宋体" w:cs="宋体"/>
          <w:kern w:val="0"/>
          <w:sz w:val="28"/>
          <w:szCs w:val="28"/>
          <w:highlight w:val="none"/>
        </w:rPr>
      </w:pPr>
      <w:bookmarkStart w:id="136" w:name="_Toc18047_WPSOffice_Level3"/>
      <w:r>
        <w:rPr>
          <w:rFonts w:hint="eastAsia" w:ascii="宋体" w:hAnsi="宋体" w:cs="宋体"/>
          <w:kern w:val="0"/>
          <w:sz w:val="28"/>
          <w:szCs w:val="28"/>
          <w:highlight w:val="none"/>
        </w:rPr>
        <w:t>1</w:t>
      </w:r>
      <w:r>
        <w:rPr>
          <w:rFonts w:ascii="宋体" w:hAnsi="宋体" w:cs="宋体"/>
          <w:kern w:val="0"/>
          <w:sz w:val="28"/>
          <w:szCs w:val="28"/>
          <w:highlight w:val="none"/>
        </w:rPr>
        <w:t xml:space="preserve">5. </w:t>
      </w:r>
      <w:r>
        <w:rPr>
          <w:rFonts w:hint="eastAsia" w:ascii="宋体" w:hAnsi="宋体" w:cs="宋体"/>
          <w:kern w:val="0"/>
          <w:sz w:val="28"/>
          <w:szCs w:val="28"/>
          <w:highlight w:val="none"/>
        </w:rPr>
        <w:t>履约保证</w:t>
      </w:r>
      <w:bookmarkEnd w:id="136"/>
    </w:p>
    <w:p w14:paraId="7398874F">
      <w:pPr>
        <w:adjustRightInd w:val="0"/>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15.1  在履约过程中，卖方对买方提出的合理要求应给予积极的投标，并在友好协商的条件下加以解决。</w:t>
      </w:r>
    </w:p>
    <w:p w14:paraId="3D8BD46A">
      <w:pPr>
        <w:adjustRightInd w:val="0"/>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15.2  在履约过程中，买卖双方应本着诚信、互助、互利、共赢的合作原则，以保证合同的有效执行。</w:t>
      </w:r>
    </w:p>
    <w:p w14:paraId="3860C3F2">
      <w:pPr>
        <w:snapToGrid w:val="0"/>
        <w:spacing w:line="360" w:lineRule="auto"/>
        <w:rPr>
          <w:rFonts w:hint="eastAsia" w:ascii="宋体" w:hAnsi="宋体" w:cs="宋体"/>
          <w:kern w:val="0"/>
          <w:sz w:val="28"/>
          <w:szCs w:val="28"/>
          <w:highlight w:val="none"/>
        </w:rPr>
      </w:pPr>
      <w:bookmarkStart w:id="137" w:name="_Toc168800652"/>
      <w:bookmarkStart w:id="138" w:name="_Toc23896_WPSOffice_Level3"/>
      <w:r>
        <w:rPr>
          <w:rFonts w:hint="eastAsia" w:ascii="宋体" w:hAnsi="宋体" w:cs="宋体"/>
          <w:kern w:val="0"/>
          <w:sz w:val="28"/>
          <w:szCs w:val="28"/>
          <w:highlight w:val="none"/>
          <w:lang w:eastAsia="zh-Hans"/>
        </w:rPr>
        <w:t>1</w:t>
      </w:r>
      <w:r>
        <w:rPr>
          <w:rFonts w:ascii="宋体" w:hAnsi="宋体" w:cs="宋体"/>
          <w:kern w:val="0"/>
          <w:sz w:val="28"/>
          <w:szCs w:val="28"/>
          <w:highlight w:val="none"/>
          <w:lang w:eastAsia="zh-Hans"/>
        </w:rPr>
        <w:t xml:space="preserve">6. </w:t>
      </w:r>
      <w:r>
        <w:rPr>
          <w:rFonts w:hint="eastAsia" w:ascii="宋体" w:hAnsi="宋体" w:cs="宋体"/>
          <w:kern w:val="0"/>
          <w:sz w:val="28"/>
          <w:szCs w:val="28"/>
          <w:highlight w:val="none"/>
          <w:lang w:eastAsia="zh-Hans"/>
        </w:rPr>
        <w:t>诉讼</w:t>
      </w:r>
      <w:bookmarkEnd w:id="137"/>
      <w:bookmarkEnd w:id="138"/>
      <w:bookmarkStart w:id="139" w:name="_Toc30189_WPSOffice_Level3"/>
      <w:bookmarkStart w:id="140" w:name="_Toc168800653"/>
    </w:p>
    <w:p w14:paraId="7349E1CB">
      <w:pPr>
        <w:numPr>
          <w:ilvl w:val="255"/>
          <w:numId w:val="0"/>
        </w:numPr>
        <w:adjustRightInd w:val="0"/>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买卖双方应通过友好协商，解决在执行本合同中所发生的或与本合同有关的一切争端。如协商不能解决，任何一方均可向买方所在地有管辖权的人民法院起诉。</w:t>
      </w:r>
    </w:p>
    <w:p w14:paraId="74682280">
      <w:pPr>
        <w:snapToGrid w:val="0"/>
        <w:spacing w:line="360" w:lineRule="auto"/>
        <w:rPr>
          <w:rFonts w:hint="eastAsia" w:ascii="宋体" w:hAnsi="宋体" w:cs="宋体"/>
          <w:kern w:val="0"/>
          <w:sz w:val="28"/>
          <w:szCs w:val="28"/>
          <w:highlight w:val="none"/>
        </w:rPr>
      </w:pPr>
      <w:r>
        <w:rPr>
          <w:rFonts w:hint="eastAsia" w:ascii="宋体" w:hAnsi="宋体" w:cs="宋体"/>
          <w:kern w:val="0"/>
          <w:sz w:val="28"/>
          <w:szCs w:val="28"/>
          <w:highlight w:val="none"/>
        </w:rPr>
        <w:t>1</w:t>
      </w:r>
      <w:r>
        <w:rPr>
          <w:rFonts w:ascii="宋体" w:hAnsi="宋体" w:cs="宋体"/>
          <w:kern w:val="0"/>
          <w:sz w:val="28"/>
          <w:szCs w:val="28"/>
          <w:highlight w:val="none"/>
        </w:rPr>
        <w:t xml:space="preserve">7. </w:t>
      </w:r>
      <w:r>
        <w:rPr>
          <w:rFonts w:hint="eastAsia" w:ascii="宋体" w:hAnsi="宋体" w:cs="宋体"/>
          <w:kern w:val="0"/>
          <w:sz w:val="28"/>
          <w:szCs w:val="28"/>
          <w:highlight w:val="none"/>
        </w:rPr>
        <w:t>违约终止合同</w:t>
      </w:r>
      <w:bookmarkEnd w:id="139"/>
      <w:bookmarkEnd w:id="140"/>
    </w:p>
    <w:p w14:paraId="5A008F25">
      <w:pPr>
        <w:adjustRightInd w:val="0"/>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17.1  买方在卖方违约的情况下，如果：</w:t>
      </w:r>
    </w:p>
    <w:p w14:paraId="62806803">
      <w:pPr>
        <w:adjustRightInd w:val="0"/>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(1) 卖方未能在合同规定的限期或买方同意延长的限期内提供全部或部分货物；</w:t>
      </w:r>
    </w:p>
    <w:p w14:paraId="732338AB">
      <w:pPr>
        <w:adjustRightInd w:val="0"/>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(2) 如果卖方未能履行合同规定的其它义务，卖方在收到买方发出的违约通知后10天内，或经买方书面认可延长的时间内未能纠正其过失。买方可向卖方发出书面通知，终止部分或全部合同。</w:t>
      </w:r>
    </w:p>
    <w:p w14:paraId="2941E272">
      <w:pPr>
        <w:adjustRightInd w:val="0"/>
        <w:snapToGrid w:val="0"/>
        <w:spacing w:line="360" w:lineRule="auto"/>
        <w:ind w:firstLine="480" w:firstLineChars="200"/>
        <w:rPr>
          <w:rStyle w:val="96"/>
          <w:highlight w:val="none"/>
        </w:rPr>
      </w:pPr>
      <w:r>
        <w:rPr>
          <w:rFonts w:hint="eastAsia" w:ascii="宋体" w:hAnsi="宋体" w:cs="宋体"/>
          <w:kern w:val="0"/>
          <w:sz w:val="24"/>
          <w:highlight w:val="none"/>
        </w:rPr>
        <w:t>17.2  在买方根据上述第17.1条规定，终止了全部或部分合同，买方可以依其认为适当的条件和方法购买与未交货物类似的货物，卖方应对购买类似货物所超出的费用负责。而且卖方还应继续执行合同中未中止的部分。</w:t>
      </w:r>
    </w:p>
    <w:p w14:paraId="5F98FFA9">
      <w:pPr>
        <w:snapToGrid w:val="0"/>
        <w:spacing w:line="360" w:lineRule="auto"/>
        <w:rPr>
          <w:rFonts w:hint="eastAsia" w:ascii="宋体" w:hAnsi="宋体" w:cs="宋体"/>
          <w:kern w:val="0"/>
          <w:sz w:val="28"/>
          <w:szCs w:val="28"/>
          <w:highlight w:val="none"/>
        </w:rPr>
      </w:pPr>
      <w:bookmarkStart w:id="141" w:name="_Toc168800654"/>
      <w:bookmarkStart w:id="142" w:name="_Toc14660_WPSOffice_Level3"/>
      <w:r>
        <w:rPr>
          <w:rFonts w:hint="eastAsia" w:ascii="宋体" w:hAnsi="宋体" w:cs="宋体"/>
          <w:kern w:val="0"/>
          <w:sz w:val="28"/>
          <w:szCs w:val="28"/>
          <w:highlight w:val="none"/>
        </w:rPr>
        <w:t>1</w:t>
      </w:r>
      <w:r>
        <w:rPr>
          <w:rFonts w:ascii="宋体" w:hAnsi="宋体" w:cs="宋体"/>
          <w:kern w:val="0"/>
          <w:sz w:val="28"/>
          <w:szCs w:val="28"/>
          <w:highlight w:val="none"/>
        </w:rPr>
        <w:t xml:space="preserve">8. </w:t>
      </w:r>
      <w:r>
        <w:rPr>
          <w:rFonts w:hint="eastAsia" w:ascii="宋体" w:hAnsi="宋体" w:cs="宋体"/>
          <w:kern w:val="0"/>
          <w:sz w:val="28"/>
          <w:szCs w:val="28"/>
          <w:highlight w:val="none"/>
        </w:rPr>
        <w:t>破产终止合同</w:t>
      </w:r>
      <w:bookmarkEnd w:id="141"/>
      <w:bookmarkEnd w:id="142"/>
    </w:p>
    <w:p w14:paraId="0B94E4D8">
      <w:pPr>
        <w:adjustRightInd w:val="0"/>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如果卖方破产或无清偿能力时，买方可在任何时候以书面通知卖方终止合同。该终止合同将不损害或影响买方已经采取或将要采取的补救措施的权利。</w:t>
      </w:r>
    </w:p>
    <w:p w14:paraId="6A1BDBE7">
      <w:pPr>
        <w:snapToGrid w:val="0"/>
        <w:spacing w:line="360" w:lineRule="auto"/>
        <w:rPr>
          <w:rFonts w:hint="eastAsia" w:ascii="宋体" w:hAnsi="宋体" w:cs="宋体"/>
          <w:kern w:val="0"/>
          <w:sz w:val="28"/>
          <w:szCs w:val="28"/>
          <w:highlight w:val="none"/>
        </w:rPr>
      </w:pPr>
      <w:bookmarkStart w:id="143" w:name="_Toc168800656"/>
      <w:bookmarkStart w:id="144" w:name="_Toc6831_WPSOffice_Level3"/>
      <w:r>
        <w:rPr>
          <w:rFonts w:hint="eastAsia" w:ascii="宋体" w:hAnsi="宋体" w:cs="宋体"/>
          <w:kern w:val="0"/>
          <w:sz w:val="28"/>
          <w:szCs w:val="28"/>
          <w:highlight w:val="none"/>
        </w:rPr>
        <w:t>1</w:t>
      </w:r>
      <w:r>
        <w:rPr>
          <w:rFonts w:ascii="宋体" w:hAnsi="宋体" w:cs="宋体"/>
          <w:kern w:val="0"/>
          <w:sz w:val="28"/>
          <w:szCs w:val="28"/>
          <w:highlight w:val="none"/>
        </w:rPr>
        <w:t xml:space="preserve">9. </w:t>
      </w:r>
      <w:r>
        <w:rPr>
          <w:rFonts w:hint="eastAsia" w:ascii="宋体" w:hAnsi="宋体" w:cs="宋体"/>
          <w:kern w:val="0"/>
          <w:sz w:val="28"/>
          <w:szCs w:val="28"/>
          <w:highlight w:val="none"/>
        </w:rPr>
        <w:t>合同生效及其它</w:t>
      </w:r>
      <w:bookmarkEnd w:id="143"/>
      <w:bookmarkEnd w:id="144"/>
    </w:p>
    <w:p w14:paraId="49D017EA">
      <w:pPr>
        <w:adjustRightInd w:val="0"/>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19.1  合同经双方签字后即开始生效。</w:t>
      </w:r>
    </w:p>
    <w:p w14:paraId="4F325488">
      <w:pPr>
        <w:adjustRightInd w:val="0"/>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19.2  本合同一式八份，甲乙双方各执四份。</w:t>
      </w:r>
    </w:p>
    <w:p w14:paraId="58E1CE28">
      <w:pPr>
        <w:adjustRightInd w:val="0"/>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19.3  如需修改补充合同内容，经协商，双方应签署书面修改或补充协议，该协议将作为本合同不可分割的一部分。</w:t>
      </w:r>
    </w:p>
    <w:p w14:paraId="69AEABD2">
      <w:pPr>
        <w:snapToGrid w:val="0"/>
        <w:spacing w:line="360" w:lineRule="auto"/>
        <w:rPr>
          <w:rFonts w:hint="eastAsia" w:ascii="宋体" w:hAnsi="宋体" w:cs="宋体"/>
          <w:kern w:val="0"/>
          <w:sz w:val="28"/>
          <w:szCs w:val="28"/>
          <w:highlight w:val="none"/>
        </w:rPr>
      </w:pPr>
      <w:bookmarkStart w:id="145" w:name="_Toc15370_WPSOffice_Level3"/>
      <w:bookmarkStart w:id="146" w:name="_Toc168800657"/>
      <w:r>
        <w:rPr>
          <w:rFonts w:hint="eastAsia" w:ascii="宋体" w:hAnsi="宋体" w:cs="宋体"/>
          <w:kern w:val="0"/>
          <w:sz w:val="28"/>
          <w:szCs w:val="28"/>
          <w:highlight w:val="none"/>
        </w:rPr>
        <w:t>2</w:t>
      </w:r>
      <w:r>
        <w:rPr>
          <w:rFonts w:ascii="宋体" w:hAnsi="宋体" w:cs="宋体"/>
          <w:kern w:val="0"/>
          <w:sz w:val="28"/>
          <w:szCs w:val="28"/>
          <w:highlight w:val="none"/>
        </w:rPr>
        <w:t xml:space="preserve">0. </w:t>
      </w:r>
      <w:r>
        <w:rPr>
          <w:rFonts w:hint="eastAsia" w:ascii="宋体" w:hAnsi="宋体" w:cs="宋体"/>
          <w:kern w:val="0"/>
          <w:sz w:val="28"/>
          <w:szCs w:val="28"/>
          <w:highlight w:val="none"/>
        </w:rPr>
        <w:t>通知</w:t>
      </w:r>
      <w:bookmarkEnd w:id="145"/>
      <w:bookmarkEnd w:id="146"/>
    </w:p>
    <w:p w14:paraId="6D028894">
      <w:pPr>
        <w:adjustRightInd w:val="0"/>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本合同任何一方给另一方的通知，都应以书面或传真方式发送，而另一方应以书面形式确认并发送到对方明确的地址</w:t>
      </w:r>
    </w:p>
    <w:p w14:paraId="153E882F">
      <w:pPr>
        <w:snapToGrid w:val="0"/>
        <w:spacing w:line="360" w:lineRule="auto"/>
        <w:rPr>
          <w:rFonts w:hint="eastAsia" w:ascii="宋体" w:hAnsi="宋体" w:cs="宋体"/>
          <w:kern w:val="0"/>
          <w:sz w:val="28"/>
          <w:szCs w:val="28"/>
          <w:highlight w:val="none"/>
        </w:rPr>
      </w:pPr>
      <w:bookmarkStart w:id="147" w:name="_Toc28501_WPSOffice_Level3"/>
      <w:bookmarkStart w:id="148" w:name="_Toc168800658"/>
      <w:r>
        <w:rPr>
          <w:rFonts w:hint="eastAsia" w:ascii="宋体" w:hAnsi="宋体" w:cs="宋体"/>
          <w:kern w:val="0"/>
          <w:sz w:val="28"/>
          <w:szCs w:val="28"/>
          <w:highlight w:val="none"/>
        </w:rPr>
        <w:t>2</w:t>
      </w:r>
      <w:r>
        <w:rPr>
          <w:rFonts w:ascii="宋体" w:hAnsi="宋体" w:cs="宋体"/>
          <w:kern w:val="0"/>
          <w:sz w:val="28"/>
          <w:szCs w:val="28"/>
          <w:highlight w:val="none"/>
        </w:rPr>
        <w:t xml:space="preserve">1. </w:t>
      </w:r>
      <w:r>
        <w:rPr>
          <w:rFonts w:hint="eastAsia" w:ascii="宋体" w:hAnsi="宋体" w:cs="宋体"/>
          <w:kern w:val="0"/>
          <w:sz w:val="28"/>
          <w:szCs w:val="28"/>
          <w:highlight w:val="none"/>
        </w:rPr>
        <w:t>适用法律</w:t>
      </w:r>
      <w:bookmarkEnd w:id="147"/>
      <w:bookmarkEnd w:id="148"/>
    </w:p>
    <w:p w14:paraId="1AFB34A4">
      <w:pPr>
        <w:adjustRightInd w:val="0"/>
        <w:spacing w:line="360" w:lineRule="auto"/>
        <w:ind w:firstLine="480" w:firstLineChars="200"/>
        <w:rPr>
          <w:rFonts w:hint="eastAsia" w:ascii="宋体" w:hAnsi="宋体" w:cs="宋体"/>
          <w:b/>
          <w:kern w:val="0"/>
          <w:sz w:val="32"/>
          <w:szCs w:val="28"/>
          <w:highlight w:val="none"/>
        </w:rPr>
      </w:pPr>
      <w:r>
        <w:rPr>
          <w:rFonts w:hint="eastAsia" w:ascii="宋体" w:hAnsi="宋体" w:cs="宋体"/>
          <w:sz w:val="24"/>
          <w:highlight w:val="none"/>
        </w:rPr>
        <w:t>本合同按照中华人民共和国的法律进行解释。</w:t>
      </w:r>
    </w:p>
    <w:p w14:paraId="321F2895">
      <w:pPr>
        <w:widowControl/>
        <w:jc w:val="left"/>
        <w:rPr>
          <w:rFonts w:hint="eastAsia" w:ascii="宋体" w:hAnsi="宋体" w:cs="宋体"/>
          <w:b/>
          <w:kern w:val="0"/>
          <w:sz w:val="32"/>
          <w:szCs w:val="28"/>
          <w:highlight w:val="none"/>
        </w:rPr>
      </w:pPr>
      <w:r>
        <w:rPr>
          <w:rFonts w:ascii="宋体" w:hAnsi="宋体" w:cs="宋体"/>
          <w:b/>
          <w:kern w:val="0"/>
          <w:sz w:val="32"/>
          <w:szCs w:val="28"/>
          <w:highlight w:val="none"/>
        </w:rPr>
        <w:br w:type="page"/>
      </w:r>
    </w:p>
    <w:p w14:paraId="7064AE06">
      <w:pPr>
        <w:pStyle w:val="3"/>
        <w:snapToGrid w:val="0"/>
        <w:spacing w:before="0" w:after="0"/>
        <w:ind w:firstLine="643"/>
        <w:jc w:val="center"/>
        <w:rPr>
          <w:rFonts w:hint="eastAsia" w:ascii="宋体" w:hAnsi="宋体" w:cs="宋体"/>
          <w:kern w:val="0"/>
          <w:sz w:val="32"/>
          <w:szCs w:val="32"/>
          <w:highlight w:val="none"/>
        </w:rPr>
      </w:pPr>
      <w:bookmarkStart w:id="149" w:name="_Toc8944"/>
      <w:bookmarkStart w:id="150" w:name="_Toc1639"/>
      <w:r>
        <w:rPr>
          <w:rFonts w:hint="eastAsia" w:ascii="宋体" w:hAnsi="宋体" w:cs="宋体"/>
          <w:kern w:val="0"/>
          <w:sz w:val="32"/>
          <w:szCs w:val="32"/>
          <w:highlight w:val="none"/>
        </w:rPr>
        <w:t>合同一般格式</w:t>
      </w:r>
      <w:bookmarkEnd w:id="149"/>
      <w:bookmarkEnd w:id="150"/>
    </w:p>
    <w:p w14:paraId="61750A79">
      <w:pPr>
        <w:adjustRightInd w:val="0"/>
        <w:snapToGrid w:val="0"/>
        <w:spacing w:line="360" w:lineRule="auto"/>
        <w:ind w:firstLine="643"/>
        <w:jc w:val="center"/>
        <w:rPr>
          <w:rFonts w:hint="eastAsia" w:ascii="宋体" w:hAnsi="宋体" w:cs="宋体"/>
          <w:b/>
          <w:kern w:val="0"/>
          <w:sz w:val="32"/>
          <w:szCs w:val="28"/>
          <w:highlight w:val="none"/>
        </w:rPr>
      </w:pPr>
      <w:r>
        <w:rPr>
          <w:rFonts w:hint="eastAsia" w:ascii="宋体" w:hAnsi="宋体" w:cs="宋体"/>
          <w:b/>
          <w:kern w:val="0"/>
          <w:sz w:val="32"/>
          <w:szCs w:val="28"/>
          <w:highlight w:val="none"/>
        </w:rPr>
        <w:t>（参考模板）</w:t>
      </w:r>
    </w:p>
    <w:p w14:paraId="621FAC2E">
      <w:pPr>
        <w:adjustRightInd w:val="0"/>
        <w:snapToGrid w:val="0"/>
        <w:spacing w:line="360" w:lineRule="auto"/>
        <w:ind w:firstLine="562"/>
        <w:jc w:val="center"/>
        <w:rPr>
          <w:rFonts w:hint="eastAsia" w:ascii="宋体" w:hAnsi="宋体" w:cs="宋体"/>
          <w:b/>
          <w:bCs/>
          <w:kern w:val="0"/>
          <w:sz w:val="28"/>
          <w:szCs w:val="28"/>
          <w:highlight w:val="none"/>
        </w:rPr>
      </w:pPr>
      <w:r>
        <w:rPr>
          <w:rFonts w:hint="eastAsia" w:ascii="宋体" w:hAnsi="宋体" w:cs="宋体"/>
          <w:b/>
          <w:bCs/>
          <w:kern w:val="0"/>
          <w:sz w:val="28"/>
          <w:szCs w:val="28"/>
          <w:highlight w:val="none"/>
        </w:rPr>
        <w:t>大连理工大学PEM/AEM水电解制氢实验教学系统采购项目采购合同</w:t>
      </w:r>
    </w:p>
    <w:p w14:paraId="741D53F3">
      <w:pPr>
        <w:adjustRightInd w:val="0"/>
        <w:snapToGrid w:val="0"/>
        <w:spacing w:line="360" w:lineRule="auto"/>
        <w:ind w:firstLine="480" w:firstLineChars="200"/>
        <w:rPr>
          <w:rFonts w:hint="eastAsia" w:ascii="宋体" w:hAnsi="宋体" w:cs="宋体"/>
          <w:b/>
          <w:bCs/>
          <w:kern w:val="0"/>
          <w:sz w:val="24"/>
          <w:highlight w:val="none"/>
        </w:rPr>
      </w:pPr>
      <w:r>
        <w:rPr>
          <w:rFonts w:hint="eastAsia" w:ascii="宋体" w:hAnsi="宋体" w:cs="宋体"/>
          <w:kern w:val="0"/>
          <w:sz w:val="24"/>
          <w:highlight w:val="none"/>
        </w:rPr>
        <w:t>采购人（甲方）：                                    合同编号：</w:t>
      </w:r>
    </w:p>
    <w:p w14:paraId="242A790E">
      <w:pPr>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供应商（乙方）：                                    签约地：</w:t>
      </w:r>
    </w:p>
    <w:p w14:paraId="0C72D798">
      <w:pPr>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甲乙双方本着诚实守信、平等互利的原则，按照《中华人民共和国民法典（合同编）》,经过友好协商，确立本合同。</w:t>
      </w:r>
    </w:p>
    <w:p w14:paraId="2CC59CF7">
      <w:pPr>
        <w:pStyle w:val="35"/>
        <w:widowControl/>
        <w:numPr>
          <w:ilvl w:val="0"/>
          <w:numId w:val="4"/>
        </w:numPr>
        <w:tabs>
          <w:tab w:val="left" w:pos="720"/>
        </w:tabs>
        <w:snapToGrid w:val="0"/>
        <w:spacing w:line="360" w:lineRule="auto"/>
        <w:ind w:left="0" w:leftChars="0" w:firstLine="482" w:firstLineChars="200"/>
        <w:jc w:val="left"/>
        <w:rPr>
          <w:rFonts w:hint="eastAsia" w:ascii="宋体" w:hAnsi="宋体" w:eastAsia="宋体" w:cs="宋体"/>
          <w:b/>
          <w:bCs/>
          <w:kern w:val="0"/>
          <w:highlight w:val="none"/>
        </w:rPr>
      </w:pPr>
      <w:r>
        <w:rPr>
          <w:rFonts w:hint="eastAsia" w:ascii="宋体" w:hAnsi="宋体" w:eastAsia="宋体" w:cs="宋体"/>
          <w:b/>
          <w:bCs/>
          <w:kern w:val="0"/>
          <w:highlight w:val="none"/>
        </w:rPr>
        <w:t>合同标的</w:t>
      </w:r>
    </w:p>
    <w:p w14:paraId="342372CB">
      <w:pPr>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1.供货一览表</w:t>
      </w:r>
    </w:p>
    <w:tbl>
      <w:tblPr>
        <w:tblStyle w:val="8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4"/>
        <w:gridCol w:w="1275"/>
        <w:gridCol w:w="1252"/>
        <w:gridCol w:w="1300"/>
        <w:gridCol w:w="1317"/>
        <w:gridCol w:w="884"/>
        <w:gridCol w:w="1032"/>
        <w:gridCol w:w="1179"/>
      </w:tblGrid>
      <w:tr w14:paraId="478B37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4" w:hRule="atLeast"/>
          <w:jc w:val="center"/>
        </w:trPr>
        <w:tc>
          <w:tcPr>
            <w:tcW w:w="814" w:type="dxa"/>
            <w:tcBorders>
              <w:top w:val="single" w:color="auto" w:sz="4" w:space="0"/>
              <w:left w:val="single" w:color="auto" w:sz="4" w:space="0"/>
              <w:bottom w:val="single" w:color="auto" w:sz="4" w:space="0"/>
              <w:right w:val="single" w:color="auto" w:sz="4" w:space="0"/>
            </w:tcBorders>
            <w:noWrap/>
            <w:vAlign w:val="center"/>
          </w:tcPr>
          <w:p w14:paraId="4EF79F06">
            <w:pPr>
              <w:snapToGrid w:val="0"/>
              <w:spacing w:line="360" w:lineRule="auto"/>
              <w:ind w:firstLine="480"/>
              <w:jc w:val="center"/>
              <w:rPr>
                <w:rFonts w:hint="eastAsia" w:ascii="宋体" w:hAnsi="宋体" w:cs="宋体"/>
                <w:kern w:val="0"/>
                <w:sz w:val="24"/>
                <w:highlight w:val="none"/>
              </w:rPr>
            </w:pPr>
            <w:r>
              <w:rPr>
                <w:rFonts w:hint="eastAsia" w:ascii="宋体" w:hAnsi="宋体" w:cs="宋体"/>
                <w:kern w:val="0"/>
                <w:sz w:val="24"/>
                <w:highlight w:val="none"/>
              </w:rPr>
              <w:t>序号</w:t>
            </w:r>
          </w:p>
        </w:tc>
        <w:tc>
          <w:tcPr>
            <w:tcW w:w="1275" w:type="dxa"/>
            <w:tcBorders>
              <w:top w:val="single" w:color="auto" w:sz="4" w:space="0"/>
              <w:left w:val="single" w:color="auto" w:sz="4" w:space="0"/>
              <w:bottom w:val="single" w:color="auto" w:sz="4" w:space="0"/>
              <w:right w:val="single" w:color="auto" w:sz="4" w:space="0"/>
            </w:tcBorders>
            <w:noWrap/>
            <w:vAlign w:val="center"/>
          </w:tcPr>
          <w:p w14:paraId="0C9C9BC0">
            <w:pPr>
              <w:snapToGrid w:val="0"/>
              <w:spacing w:line="360" w:lineRule="auto"/>
              <w:ind w:firstLine="480"/>
              <w:jc w:val="center"/>
              <w:rPr>
                <w:rFonts w:hint="eastAsia" w:ascii="宋体" w:hAnsi="宋体" w:cs="宋体"/>
                <w:kern w:val="0"/>
                <w:sz w:val="24"/>
                <w:highlight w:val="none"/>
              </w:rPr>
            </w:pPr>
            <w:r>
              <w:rPr>
                <w:rFonts w:hint="eastAsia" w:ascii="宋体" w:hAnsi="宋体" w:cs="宋体"/>
                <w:kern w:val="0"/>
                <w:sz w:val="24"/>
                <w:highlight w:val="none"/>
              </w:rPr>
              <w:t>产品名称</w:t>
            </w:r>
          </w:p>
        </w:tc>
        <w:tc>
          <w:tcPr>
            <w:tcW w:w="1252" w:type="dxa"/>
            <w:tcBorders>
              <w:top w:val="single" w:color="auto" w:sz="4" w:space="0"/>
              <w:left w:val="single" w:color="auto" w:sz="4" w:space="0"/>
              <w:bottom w:val="single" w:color="auto" w:sz="4" w:space="0"/>
              <w:right w:val="single" w:color="auto" w:sz="4" w:space="0"/>
            </w:tcBorders>
            <w:noWrap/>
            <w:vAlign w:val="center"/>
          </w:tcPr>
          <w:p w14:paraId="6F0FBDCF">
            <w:pPr>
              <w:snapToGrid w:val="0"/>
              <w:spacing w:line="360" w:lineRule="auto"/>
              <w:ind w:firstLine="480"/>
              <w:jc w:val="center"/>
              <w:rPr>
                <w:rFonts w:hint="eastAsia" w:ascii="宋体" w:hAnsi="宋体" w:cs="宋体"/>
                <w:kern w:val="0"/>
                <w:sz w:val="24"/>
                <w:highlight w:val="none"/>
              </w:rPr>
            </w:pPr>
            <w:r>
              <w:rPr>
                <w:rFonts w:hint="eastAsia" w:ascii="宋体" w:hAnsi="宋体" w:cs="宋体"/>
                <w:kern w:val="0"/>
                <w:sz w:val="24"/>
                <w:highlight w:val="none"/>
              </w:rPr>
              <w:t>商标品牌</w:t>
            </w:r>
          </w:p>
        </w:tc>
        <w:tc>
          <w:tcPr>
            <w:tcW w:w="1300" w:type="dxa"/>
            <w:tcBorders>
              <w:top w:val="single" w:color="auto" w:sz="4" w:space="0"/>
              <w:left w:val="single" w:color="auto" w:sz="4" w:space="0"/>
              <w:bottom w:val="single" w:color="auto" w:sz="4" w:space="0"/>
              <w:right w:val="single" w:color="auto" w:sz="4" w:space="0"/>
            </w:tcBorders>
            <w:noWrap/>
            <w:vAlign w:val="center"/>
          </w:tcPr>
          <w:p w14:paraId="49F19CB8">
            <w:pPr>
              <w:snapToGrid w:val="0"/>
              <w:spacing w:line="360" w:lineRule="auto"/>
              <w:ind w:firstLine="480"/>
              <w:jc w:val="center"/>
              <w:rPr>
                <w:rFonts w:hint="eastAsia" w:ascii="宋体" w:hAnsi="宋体" w:cs="宋体"/>
                <w:kern w:val="0"/>
                <w:sz w:val="24"/>
                <w:highlight w:val="none"/>
              </w:rPr>
            </w:pPr>
            <w:r>
              <w:rPr>
                <w:rFonts w:hint="eastAsia" w:ascii="宋体" w:hAnsi="宋体" w:cs="宋体"/>
                <w:kern w:val="0"/>
                <w:sz w:val="24"/>
                <w:highlight w:val="none"/>
              </w:rPr>
              <w:t>规格型号</w:t>
            </w:r>
          </w:p>
        </w:tc>
        <w:tc>
          <w:tcPr>
            <w:tcW w:w="1317" w:type="dxa"/>
            <w:tcBorders>
              <w:top w:val="single" w:color="auto" w:sz="4" w:space="0"/>
              <w:left w:val="single" w:color="auto" w:sz="4" w:space="0"/>
              <w:bottom w:val="single" w:color="auto" w:sz="4" w:space="0"/>
              <w:right w:val="single" w:color="auto" w:sz="4" w:space="0"/>
            </w:tcBorders>
            <w:noWrap/>
            <w:vAlign w:val="center"/>
          </w:tcPr>
          <w:p w14:paraId="551615AF">
            <w:pPr>
              <w:snapToGrid w:val="0"/>
              <w:spacing w:line="360" w:lineRule="auto"/>
              <w:ind w:firstLine="480"/>
              <w:jc w:val="center"/>
              <w:rPr>
                <w:rFonts w:hint="eastAsia" w:ascii="宋体" w:hAnsi="宋体" w:cs="宋体"/>
                <w:kern w:val="0"/>
                <w:sz w:val="24"/>
                <w:highlight w:val="none"/>
              </w:rPr>
            </w:pPr>
            <w:r>
              <w:rPr>
                <w:rFonts w:hint="eastAsia" w:ascii="宋体" w:hAnsi="宋体" w:cs="宋体"/>
                <w:kern w:val="0"/>
                <w:sz w:val="24"/>
                <w:highlight w:val="none"/>
              </w:rPr>
              <w:t>生产厂家</w:t>
            </w:r>
          </w:p>
        </w:tc>
        <w:tc>
          <w:tcPr>
            <w:tcW w:w="884" w:type="dxa"/>
            <w:tcBorders>
              <w:top w:val="single" w:color="auto" w:sz="4" w:space="0"/>
              <w:left w:val="single" w:color="auto" w:sz="4" w:space="0"/>
              <w:bottom w:val="single" w:color="auto" w:sz="4" w:space="0"/>
              <w:right w:val="single" w:color="auto" w:sz="4" w:space="0"/>
            </w:tcBorders>
            <w:noWrap/>
            <w:vAlign w:val="center"/>
          </w:tcPr>
          <w:p w14:paraId="4B4AC86B">
            <w:pPr>
              <w:snapToGrid w:val="0"/>
              <w:spacing w:line="360" w:lineRule="auto"/>
              <w:ind w:firstLine="480"/>
              <w:jc w:val="center"/>
              <w:rPr>
                <w:rFonts w:hint="eastAsia" w:ascii="宋体" w:hAnsi="宋体" w:cs="宋体"/>
                <w:kern w:val="0"/>
                <w:sz w:val="24"/>
                <w:highlight w:val="none"/>
              </w:rPr>
            </w:pPr>
            <w:r>
              <w:rPr>
                <w:rFonts w:hint="eastAsia" w:ascii="宋体" w:hAnsi="宋体" w:cs="宋体"/>
                <w:kern w:val="0"/>
                <w:sz w:val="24"/>
                <w:highlight w:val="none"/>
              </w:rPr>
              <w:t>数量</w:t>
            </w:r>
          </w:p>
        </w:tc>
        <w:tc>
          <w:tcPr>
            <w:tcW w:w="1032" w:type="dxa"/>
            <w:tcBorders>
              <w:top w:val="single" w:color="auto" w:sz="4" w:space="0"/>
              <w:left w:val="single" w:color="auto" w:sz="4" w:space="0"/>
              <w:bottom w:val="single" w:color="auto" w:sz="4" w:space="0"/>
              <w:right w:val="single" w:color="auto" w:sz="4" w:space="0"/>
            </w:tcBorders>
            <w:noWrap/>
            <w:vAlign w:val="center"/>
          </w:tcPr>
          <w:p w14:paraId="0EF795A7">
            <w:pPr>
              <w:snapToGrid w:val="0"/>
              <w:spacing w:line="360" w:lineRule="auto"/>
              <w:ind w:firstLine="480"/>
              <w:jc w:val="center"/>
              <w:rPr>
                <w:rFonts w:hint="eastAsia" w:ascii="宋体" w:hAnsi="宋体" w:cs="宋体"/>
                <w:kern w:val="0"/>
                <w:sz w:val="24"/>
                <w:highlight w:val="none"/>
              </w:rPr>
            </w:pPr>
            <w:r>
              <w:rPr>
                <w:rFonts w:hint="eastAsia" w:ascii="宋体" w:hAnsi="宋体" w:cs="宋体"/>
                <w:kern w:val="0"/>
                <w:sz w:val="24"/>
                <w:highlight w:val="none"/>
              </w:rPr>
              <w:t>单价</w:t>
            </w:r>
          </w:p>
        </w:tc>
        <w:tc>
          <w:tcPr>
            <w:tcW w:w="1179" w:type="dxa"/>
            <w:tcBorders>
              <w:top w:val="single" w:color="auto" w:sz="4" w:space="0"/>
              <w:left w:val="single" w:color="auto" w:sz="4" w:space="0"/>
              <w:bottom w:val="single" w:color="auto" w:sz="4" w:space="0"/>
              <w:right w:val="single" w:color="auto" w:sz="4" w:space="0"/>
            </w:tcBorders>
            <w:noWrap/>
            <w:vAlign w:val="center"/>
          </w:tcPr>
          <w:p w14:paraId="4B34E6E8">
            <w:pPr>
              <w:snapToGrid w:val="0"/>
              <w:spacing w:line="360" w:lineRule="auto"/>
              <w:ind w:firstLine="480"/>
              <w:jc w:val="center"/>
              <w:rPr>
                <w:rFonts w:hint="eastAsia" w:ascii="宋体" w:hAnsi="宋体" w:cs="宋体"/>
                <w:kern w:val="0"/>
                <w:sz w:val="24"/>
                <w:highlight w:val="none"/>
              </w:rPr>
            </w:pPr>
            <w:r>
              <w:rPr>
                <w:rFonts w:hint="eastAsia" w:ascii="宋体" w:hAnsi="宋体" w:cs="宋体"/>
                <w:kern w:val="0"/>
                <w:sz w:val="24"/>
                <w:highlight w:val="none"/>
              </w:rPr>
              <w:t>金额（元）</w:t>
            </w:r>
          </w:p>
        </w:tc>
      </w:tr>
      <w:tr w14:paraId="7CCAE2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jc w:val="center"/>
        </w:trPr>
        <w:tc>
          <w:tcPr>
            <w:tcW w:w="814" w:type="dxa"/>
            <w:tcBorders>
              <w:top w:val="single" w:color="auto" w:sz="4" w:space="0"/>
              <w:left w:val="single" w:color="auto" w:sz="4" w:space="0"/>
              <w:bottom w:val="single" w:color="auto" w:sz="4" w:space="0"/>
              <w:right w:val="single" w:color="auto" w:sz="4" w:space="0"/>
            </w:tcBorders>
            <w:noWrap/>
            <w:vAlign w:val="center"/>
          </w:tcPr>
          <w:p w14:paraId="42E8DEC2">
            <w:pPr>
              <w:snapToGrid w:val="0"/>
              <w:spacing w:line="360" w:lineRule="auto"/>
              <w:ind w:firstLine="480" w:firstLineChars="200"/>
              <w:jc w:val="center"/>
              <w:rPr>
                <w:rFonts w:hint="eastAsia" w:ascii="宋体" w:hAnsi="宋体" w:cs="宋体"/>
                <w:kern w:val="0"/>
                <w:sz w:val="24"/>
                <w:highlight w:val="none"/>
              </w:rPr>
            </w:pPr>
          </w:p>
        </w:tc>
        <w:tc>
          <w:tcPr>
            <w:tcW w:w="1275" w:type="dxa"/>
            <w:tcBorders>
              <w:top w:val="single" w:color="auto" w:sz="4" w:space="0"/>
              <w:left w:val="single" w:color="auto" w:sz="4" w:space="0"/>
              <w:bottom w:val="single" w:color="auto" w:sz="4" w:space="0"/>
              <w:right w:val="single" w:color="auto" w:sz="4" w:space="0"/>
            </w:tcBorders>
            <w:noWrap/>
            <w:vAlign w:val="center"/>
          </w:tcPr>
          <w:p w14:paraId="7AB69B27">
            <w:pPr>
              <w:snapToGrid w:val="0"/>
              <w:spacing w:line="360" w:lineRule="auto"/>
              <w:ind w:firstLine="480" w:firstLineChars="200"/>
              <w:jc w:val="center"/>
              <w:rPr>
                <w:rFonts w:hint="eastAsia" w:ascii="宋体" w:hAnsi="宋体" w:cs="宋体"/>
                <w:kern w:val="0"/>
                <w:sz w:val="24"/>
                <w:highlight w:val="none"/>
              </w:rPr>
            </w:pPr>
          </w:p>
        </w:tc>
        <w:tc>
          <w:tcPr>
            <w:tcW w:w="1252" w:type="dxa"/>
            <w:tcBorders>
              <w:top w:val="single" w:color="auto" w:sz="4" w:space="0"/>
              <w:left w:val="single" w:color="auto" w:sz="4" w:space="0"/>
              <w:bottom w:val="single" w:color="auto" w:sz="4" w:space="0"/>
              <w:right w:val="single" w:color="auto" w:sz="4" w:space="0"/>
            </w:tcBorders>
            <w:noWrap/>
            <w:vAlign w:val="center"/>
          </w:tcPr>
          <w:p w14:paraId="4A6B2FD6">
            <w:pPr>
              <w:snapToGrid w:val="0"/>
              <w:spacing w:line="360" w:lineRule="auto"/>
              <w:ind w:firstLine="480" w:firstLineChars="200"/>
              <w:jc w:val="center"/>
              <w:rPr>
                <w:rFonts w:hint="eastAsia" w:ascii="宋体" w:hAnsi="宋体" w:cs="宋体"/>
                <w:kern w:val="0"/>
                <w:sz w:val="24"/>
                <w:highlight w:val="none"/>
              </w:rPr>
            </w:pPr>
          </w:p>
        </w:tc>
        <w:tc>
          <w:tcPr>
            <w:tcW w:w="1300" w:type="dxa"/>
            <w:tcBorders>
              <w:top w:val="single" w:color="auto" w:sz="4" w:space="0"/>
              <w:left w:val="single" w:color="auto" w:sz="4" w:space="0"/>
              <w:bottom w:val="single" w:color="auto" w:sz="4" w:space="0"/>
              <w:right w:val="single" w:color="auto" w:sz="4" w:space="0"/>
            </w:tcBorders>
            <w:noWrap/>
            <w:vAlign w:val="center"/>
          </w:tcPr>
          <w:p w14:paraId="0D170A93">
            <w:pPr>
              <w:snapToGrid w:val="0"/>
              <w:spacing w:line="360" w:lineRule="auto"/>
              <w:ind w:firstLine="480" w:firstLineChars="200"/>
              <w:jc w:val="center"/>
              <w:rPr>
                <w:rFonts w:hint="eastAsia" w:ascii="宋体" w:hAnsi="宋体" w:cs="宋体"/>
                <w:kern w:val="0"/>
                <w:sz w:val="24"/>
                <w:highlight w:val="none"/>
              </w:rPr>
            </w:pPr>
          </w:p>
        </w:tc>
        <w:tc>
          <w:tcPr>
            <w:tcW w:w="1317" w:type="dxa"/>
            <w:tcBorders>
              <w:top w:val="single" w:color="auto" w:sz="4" w:space="0"/>
              <w:left w:val="single" w:color="auto" w:sz="4" w:space="0"/>
              <w:bottom w:val="single" w:color="auto" w:sz="4" w:space="0"/>
              <w:right w:val="single" w:color="auto" w:sz="4" w:space="0"/>
            </w:tcBorders>
            <w:noWrap/>
            <w:vAlign w:val="center"/>
          </w:tcPr>
          <w:p w14:paraId="47FD571C">
            <w:pPr>
              <w:snapToGrid w:val="0"/>
              <w:spacing w:line="360" w:lineRule="auto"/>
              <w:ind w:firstLine="480" w:firstLineChars="200"/>
              <w:jc w:val="center"/>
              <w:rPr>
                <w:rFonts w:hint="eastAsia" w:ascii="宋体" w:hAnsi="宋体" w:cs="宋体"/>
                <w:kern w:val="0"/>
                <w:sz w:val="24"/>
                <w:highlight w:val="none"/>
              </w:rPr>
            </w:pPr>
          </w:p>
        </w:tc>
        <w:tc>
          <w:tcPr>
            <w:tcW w:w="884" w:type="dxa"/>
            <w:tcBorders>
              <w:top w:val="single" w:color="auto" w:sz="4" w:space="0"/>
              <w:left w:val="single" w:color="auto" w:sz="4" w:space="0"/>
              <w:bottom w:val="single" w:color="auto" w:sz="4" w:space="0"/>
              <w:right w:val="single" w:color="auto" w:sz="4" w:space="0"/>
            </w:tcBorders>
            <w:noWrap/>
            <w:vAlign w:val="center"/>
          </w:tcPr>
          <w:p w14:paraId="5D039F5E">
            <w:pPr>
              <w:snapToGrid w:val="0"/>
              <w:spacing w:line="360" w:lineRule="auto"/>
              <w:ind w:firstLine="480" w:firstLineChars="200"/>
              <w:jc w:val="center"/>
              <w:rPr>
                <w:rFonts w:hint="eastAsia" w:ascii="宋体" w:hAnsi="宋体" w:cs="宋体"/>
                <w:kern w:val="0"/>
                <w:sz w:val="24"/>
                <w:highlight w:val="none"/>
              </w:rPr>
            </w:pPr>
          </w:p>
        </w:tc>
        <w:tc>
          <w:tcPr>
            <w:tcW w:w="1032" w:type="dxa"/>
            <w:tcBorders>
              <w:top w:val="single" w:color="auto" w:sz="4" w:space="0"/>
              <w:left w:val="single" w:color="auto" w:sz="4" w:space="0"/>
              <w:bottom w:val="single" w:color="auto" w:sz="4" w:space="0"/>
              <w:right w:val="single" w:color="auto" w:sz="4" w:space="0"/>
            </w:tcBorders>
            <w:noWrap/>
            <w:vAlign w:val="center"/>
          </w:tcPr>
          <w:p w14:paraId="6F05BCF3">
            <w:pPr>
              <w:snapToGrid w:val="0"/>
              <w:spacing w:line="360" w:lineRule="auto"/>
              <w:ind w:firstLine="480" w:firstLineChars="200"/>
              <w:jc w:val="center"/>
              <w:rPr>
                <w:rFonts w:hint="eastAsia" w:ascii="宋体" w:hAnsi="宋体" w:cs="宋体"/>
                <w:kern w:val="0"/>
                <w:sz w:val="24"/>
                <w:highlight w:val="none"/>
              </w:rPr>
            </w:pPr>
          </w:p>
        </w:tc>
        <w:tc>
          <w:tcPr>
            <w:tcW w:w="1179" w:type="dxa"/>
            <w:tcBorders>
              <w:top w:val="single" w:color="auto" w:sz="4" w:space="0"/>
              <w:left w:val="single" w:color="auto" w:sz="4" w:space="0"/>
              <w:bottom w:val="single" w:color="auto" w:sz="4" w:space="0"/>
              <w:right w:val="single" w:color="auto" w:sz="4" w:space="0"/>
            </w:tcBorders>
            <w:noWrap/>
            <w:vAlign w:val="center"/>
          </w:tcPr>
          <w:p w14:paraId="4A2EB462">
            <w:pPr>
              <w:snapToGrid w:val="0"/>
              <w:spacing w:line="360" w:lineRule="auto"/>
              <w:ind w:firstLine="480" w:firstLineChars="200"/>
              <w:jc w:val="center"/>
              <w:rPr>
                <w:rFonts w:hint="eastAsia" w:ascii="宋体" w:hAnsi="宋体" w:cs="宋体"/>
                <w:kern w:val="0"/>
                <w:sz w:val="24"/>
                <w:highlight w:val="none"/>
              </w:rPr>
            </w:pPr>
          </w:p>
        </w:tc>
      </w:tr>
      <w:tr w14:paraId="57684E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4" w:hRule="atLeast"/>
          <w:jc w:val="center"/>
        </w:trPr>
        <w:tc>
          <w:tcPr>
            <w:tcW w:w="814" w:type="dxa"/>
            <w:tcBorders>
              <w:top w:val="single" w:color="auto" w:sz="4" w:space="0"/>
              <w:left w:val="single" w:color="auto" w:sz="4" w:space="0"/>
              <w:bottom w:val="single" w:color="auto" w:sz="4" w:space="0"/>
              <w:right w:val="single" w:color="auto" w:sz="4" w:space="0"/>
            </w:tcBorders>
            <w:noWrap/>
            <w:vAlign w:val="center"/>
          </w:tcPr>
          <w:p w14:paraId="0E4EED62">
            <w:pPr>
              <w:snapToGrid w:val="0"/>
              <w:spacing w:line="360" w:lineRule="auto"/>
              <w:ind w:firstLine="480" w:firstLineChars="200"/>
              <w:jc w:val="center"/>
              <w:rPr>
                <w:rFonts w:hint="eastAsia" w:ascii="宋体" w:hAnsi="宋体" w:cs="宋体"/>
                <w:kern w:val="0"/>
                <w:sz w:val="24"/>
                <w:highlight w:val="none"/>
              </w:rPr>
            </w:pPr>
          </w:p>
        </w:tc>
        <w:tc>
          <w:tcPr>
            <w:tcW w:w="1275" w:type="dxa"/>
            <w:tcBorders>
              <w:top w:val="single" w:color="auto" w:sz="4" w:space="0"/>
              <w:left w:val="single" w:color="auto" w:sz="4" w:space="0"/>
              <w:bottom w:val="single" w:color="auto" w:sz="4" w:space="0"/>
              <w:right w:val="single" w:color="auto" w:sz="4" w:space="0"/>
            </w:tcBorders>
            <w:noWrap/>
            <w:vAlign w:val="center"/>
          </w:tcPr>
          <w:p w14:paraId="04F5885F">
            <w:pPr>
              <w:snapToGrid w:val="0"/>
              <w:spacing w:line="360" w:lineRule="auto"/>
              <w:ind w:firstLine="480" w:firstLineChars="200"/>
              <w:jc w:val="center"/>
              <w:rPr>
                <w:rFonts w:hint="eastAsia" w:ascii="宋体" w:hAnsi="宋体" w:cs="宋体"/>
                <w:kern w:val="0"/>
                <w:sz w:val="24"/>
                <w:highlight w:val="none"/>
              </w:rPr>
            </w:pPr>
          </w:p>
        </w:tc>
        <w:tc>
          <w:tcPr>
            <w:tcW w:w="1252" w:type="dxa"/>
            <w:tcBorders>
              <w:top w:val="single" w:color="auto" w:sz="4" w:space="0"/>
              <w:left w:val="single" w:color="auto" w:sz="4" w:space="0"/>
              <w:bottom w:val="single" w:color="auto" w:sz="4" w:space="0"/>
              <w:right w:val="single" w:color="auto" w:sz="4" w:space="0"/>
            </w:tcBorders>
            <w:noWrap/>
            <w:vAlign w:val="center"/>
          </w:tcPr>
          <w:p w14:paraId="5A7D47BA">
            <w:pPr>
              <w:snapToGrid w:val="0"/>
              <w:spacing w:line="360" w:lineRule="auto"/>
              <w:ind w:firstLine="480" w:firstLineChars="200"/>
              <w:jc w:val="center"/>
              <w:rPr>
                <w:rFonts w:hint="eastAsia" w:ascii="宋体" w:hAnsi="宋体" w:cs="宋体"/>
                <w:kern w:val="0"/>
                <w:sz w:val="24"/>
                <w:highlight w:val="none"/>
              </w:rPr>
            </w:pPr>
          </w:p>
        </w:tc>
        <w:tc>
          <w:tcPr>
            <w:tcW w:w="1300" w:type="dxa"/>
            <w:tcBorders>
              <w:top w:val="single" w:color="auto" w:sz="4" w:space="0"/>
              <w:left w:val="single" w:color="auto" w:sz="4" w:space="0"/>
              <w:bottom w:val="single" w:color="auto" w:sz="4" w:space="0"/>
              <w:right w:val="single" w:color="auto" w:sz="4" w:space="0"/>
            </w:tcBorders>
            <w:noWrap/>
            <w:vAlign w:val="center"/>
          </w:tcPr>
          <w:p w14:paraId="133592A6">
            <w:pPr>
              <w:snapToGrid w:val="0"/>
              <w:spacing w:line="360" w:lineRule="auto"/>
              <w:ind w:firstLine="480" w:firstLineChars="200"/>
              <w:jc w:val="center"/>
              <w:rPr>
                <w:rFonts w:hint="eastAsia" w:ascii="宋体" w:hAnsi="宋体" w:cs="宋体"/>
                <w:kern w:val="0"/>
                <w:sz w:val="24"/>
                <w:highlight w:val="none"/>
              </w:rPr>
            </w:pPr>
          </w:p>
        </w:tc>
        <w:tc>
          <w:tcPr>
            <w:tcW w:w="1317" w:type="dxa"/>
            <w:tcBorders>
              <w:top w:val="single" w:color="auto" w:sz="4" w:space="0"/>
              <w:left w:val="single" w:color="auto" w:sz="4" w:space="0"/>
              <w:bottom w:val="single" w:color="auto" w:sz="4" w:space="0"/>
              <w:right w:val="single" w:color="auto" w:sz="4" w:space="0"/>
            </w:tcBorders>
            <w:noWrap/>
            <w:vAlign w:val="center"/>
          </w:tcPr>
          <w:p w14:paraId="0947A940">
            <w:pPr>
              <w:snapToGrid w:val="0"/>
              <w:spacing w:line="360" w:lineRule="auto"/>
              <w:ind w:firstLine="480" w:firstLineChars="200"/>
              <w:jc w:val="center"/>
              <w:rPr>
                <w:rFonts w:hint="eastAsia" w:ascii="宋体" w:hAnsi="宋体" w:cs="宋体"/>
                <w:kern w:val="0"/>
                <w:sz w:val="24"/>
                <w:highlight w:val="none"/>
              </w:rPr>
            </w:pPr>
          </w:p>
        </w:tc>
        <w:tc>
          <w:tcPr>
            <w:tcW w:w="884" w:type="dxa"/>
            <w:tcBorders>
              <w:top w:val="single" w:color="auto" w:sz="4" w:space="0"/>
              <w:left w:val="single" w:color="auto" w:sz="4" w:space="0"/>
              <w:bottom w:val="single" w:color="auto" w:sz="4" w:space="0"/>
              <w:right w:val="single" w:color="auto" w:sz="4" w:space="0"/>
            </w:tcBorders>
            <w:noWrap/>
            <w:vAlign w:val="center"/>
          </w:tcPr>
          <w:p w14:paraId="1D349F8B">
            <w:pPr>
              <w:snapToGrid w:val="0"/>
              <w:spacing w:line="360" w:lineRule="auto"/>
              <w:ind w:firstLine="480" w:firstLineChars="200"/>
              <w:jc w:val="center"/>
              <w:rPr>
                <w:rFonts w:hint="eastAsia" w:ascii="宋体" w:hAnsi="宋体" w:cs="宋体"/>
                <w:kern w:val="0"/>
                <w:sz w:val="24"/>
                <w:highlight w:val="none"/>
              </w:rPr>
            </w:pPr>
          </w:p>
        </w:tc>
        <w:tc>
          <w:tcPr>
            <w:tcW w:w="1032" w:type="dxa"/>
            <w:tcBorders>
              <w:top w:val="single" w:color="auto" w:sz="4" w:space="0"/>
              <w:left w:val="single" w:color="auto" w:sz="4" w:space="0"/>
              <w:bottom w:val="single" w:color="auto" w:sz="4" w:space="0"/>
              <w:right w:val="single" w:color="auto" w:sz="4" w:space="0"/>
            </w:tcBorders>
            <w:noWrap/>
            <w:vAlign w:val="center"/>
          </w:tcPr>
          <w:p w14:paraId="06D9602E">
            <w:pPr>
              <w:snapToGrid w:val="0"/>
              <w:spacing w:line="360" w:lineRule="auto"/>
              <w:ind w:firstLine="480" w:firstLineChars="200"/>
              <w:jc w:val="center"/>
              <w:rPr>
                <w:rFonts w:hint="eastAsia" w:ascii="宋体" w:hAnsi="宋体" w:cs="宋体"/>
                <w:kern w:val="0"/>
                <w:sz w:val="24"/>
                <w:highlight w:val="none"/>
              </w:rPr>
            </w:pPr>
          </w:p>
        </w:tc>
        <w:tc>
          <w:tcPr>
            <w:tcW w:w="1179" w:type="dxa"/>
            <w:tcBorders>
              <w:top w:val="single" w:color="auto" w:sz="4" w:space="0"/>
              <w:left w:val="single" w:color="auto" w:sz="4" w:space="0"/>
              <w:bottom w:val="single" w:color="auto" w:sz="4" w:space="0"/>
              <w:right w:val="single" w:color="auto" w:sz="4" w:space="0"/>
            </w:tcBorders>
            <w:noWrap/>
            <w:vAlign w:val="center"/>
          </w:tcPr>
          <w:p w14:paraId="5C4B7F87">
            <w:pPr>
              <w:snapToGrid w:val="0"/>
              <w:spacing w:line="360" w:lineRule="auto"/>
              <w:ind w:firstLine="480" w:firstLineChars="200"/>
              <w:jc w:val="center"/>
              <w:rPr>
                <w:rFonts w:hint="eastAsia" w:ascii="宋体" w:hAnsi="宋体" w:cs="宋体"/>
                <w:kern w:val="0"/>
                <w:sz w:val="24"/>
                <w:highlight w:val="none"/>
              </w:rPr>
            </w:pPr>
          </w:p>
        </w:tc>
      </w:tr>
      <w:tr w14:paraId="08D539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4" w:hRule="atLeast"/>
          <w:jc w:val="center"/>
        </w:trPr>
        <w:tc>
          <w:tcPr>
            <w:tcW w:w="814" w:type="dxa"/>
            <w:tcBorders>
              <w:top w:val="single" w:color="auto" w:sz="4" w:space="0"/>
              <w:left w:val="single" w:color="auto" w:sz="4" w:space="0"/>
              <w:bottom w:val="single" w:color="auto" w:sz="4" w:space="0"/>
              <w:right w:val="single" w:color="auto" w:sz="4" w:space="0"/>
            </w:tcBorders>
            <w:noWrap/>
            <w:vAlign w:val="center"/>
          </w:tcPr>
          <w:p w14:paraId="5795E3D8">
            <w:pPr>
              <w:snapToGrid w:val="0"/>
              <w:spacing w:line="360" w:lineRule="auto"/>
              <w:ind w:firstLine="480" w:firstLineChars="200"/>
              <w:jc w:val="center"/>
              <w:rPr>
                <w:rFonts w:hint="eastAsia" w:ascii="宋体" w:hAnsi="宋体" w:cs="宋体"/>
                <w:kern w:val="0"/>
                <w:sz w:val="24"/>
                <w:highlight w:val="none"/>
              </w:rPr>
            </w:pPr>
          </w:p>
        </w:tc>
        <w:tc>
          <w:tcPr>
            <w:tcW w:w="1275" w:type="dxa"/>
            <w:tcBorders>
              <w:top w:val="single" w:color="auto" w:sz="4" w:space="0"/>
              <w:left w:val="single" w:color="auto" w:sz="4" w:space="0"/>
              <w:bottom w:val="single" w:color="auto" w:sz="4" w:space="0"/>
              <w:right w:val="single" w:color="auto" w:sz="4" w:space="0"/>
            </w:tcBorders>
            <w:noWrap/>
            <w:vAlign w:val="center"/>
          </w:tcPr>
          <w:p w14:paraId="2C52C869">
            <w:pPr>
              <w:snapToGrid w:val="0"/>
              <w:spacing w:line="360" w:lineRule="auto"/>
              <w:ind w:firstLine="480" w:firstLineChars="200"/>
              <w:jc w:val="center"/>
              <w:rPr>
                <w:rFonts w:hint="eastAsia" w:ascii="宋体" w:hAnsi="宋体" w:cs="宋体"/>
                <w:kern w:val="0"/>
                <w:sz w:val="24"/>
                <w:highlight w:val="none"/>
              </w:rPr>
            </w:pPr>
          </w:p>
        </w:tc>
        <w:tc>
          <w:tcPr>
            <w:tcW w:w="1252" w:type="dxa"/>
            <w:tcBorders>
              <w:top w:val="single" w:color="auto" w:sz="4" w:space="0"/>
              <w:left w:val="single" w:color="auto" w:sz="4" w:space="0"/>
              <w:bottom w:val="single" w:color="auto" w:sz="4" w:space="0"/>
              <w:right w:val="single" w:color="auto" w:sz="4" w:space="0"/>
            </w:tcBorders>
            <w:noWrap/>
            <w:vAlign w:val="center"/>
          </w:tcPr>
          <w:p w14:paraId="7EDF300B">
            <w:pPr>
              <w:snapToGrid w:val="0"/>
              <w:spacing w:line="360" w:lineRule="auto"/>
              <w:ind w:firstLine="480" w:firstLineChars="200"/>
              <w:jc w:val="center"/>
              <w:rPr>
                <w:rFonts w:hint="eastAsia" w:ascii="宋体" w:hAnsi="宋体" w:cs="宋体"/>
                <w:kern w:val="0"/>
                <w:sz w:val="24"/>
                <w:highlight w:val="none"/>
              </w:rPr>
            </w:pPr>
          </w:p>
        </w:tc>
        <w:tc>
          <w:tcPr>
            <w:tcW w:w="1300" w:type="dxa"/>
            <w:tcBorders>
              <w:top w:val="single" w:color="auto" w:sz="4" w:space="0"/>
              <w:left w:val="single" w:color="auto" w:sz="4" w:space="0"/>
              <w:bottom w:val="single" w:color="auto" w:sz="4" w:space="0"/>
              <w:right w:val="single" w:color="auto" w:sz="4" w:space="0"/>
            </w:tcBorders>
            <w:noWrap/>
            <w:vAlign w:val="center"/>
          </w:tcPr>
          <w:p w14:paraId="53431646">
            <w:pPr>
              <w:snapToGrid w:val="0"/>
              <w:spacing w:line="360" w:lineRule="auto"/>
              <w:ind w:firstLine="480" w:firstLineChars="200"/>
              <w:jc w:val="center"/>
              <w:rPr>
                <w:rFonts w:hint="eastAsia" w:ascii="宋体" w:hAnsi="宋体" w:cs="宋体"/>
                <w:kern w:val="0"/>
                <w:sz w:val="24"/>
                <w:highlight w:val="none"/>
              </w:rPr>
            </w:pPr>
          </w:p>
        </w:tc>
        <w:tc>
          <w:tcPr>
            <w:tcW w:w="1317" w:type="dxa"/>
            <w:tcBorders>
              <w:top w:val="single" w:color="auto" w:sz="4" w:space="0"/>
              <w:left w:val="single" w:color="auto" w:sz="4" w:space="0"/>
              <w:bottom w:val="single" w:color="auto" w:sz="4" w:space="0"/>
              <w:right w:val="single" w:color="auto" w:sz="4" w:space="0"/>
            </w:tcBorders>
            <w:noWrap/>
            <w:vAlign w:val="center"/>
          </w:tcPr>
          <w:p w14:paraId="4FBA5412">
            <w:pPr>
              <w:snapToGrid w:val="0"/>
              <w:spacing w:line="360" w:lineRule="auto"/>
              <w:ind w:firstLine="480" w:firstLineChars="200"/>
              <w:jc w:val="center"/>
              <w:rPr>
                <w:rFonts w:hint="eastAsia" w:ascii="宋体" w:hAnsi="宋体" w:cs="宋体"/>
                <w:kern w:val="0"/>
                <w:sz w:val="24"/>
                <w:highlight w:val="none"/>
              </w:rPr>
            </w:pPr>
          </w:p>
        </w:tc>
        <w:tc>
          <w:tcPr>
            <w:tcW w:w="884" w:type="dxa"/>
            <w:tcBorders>
              <w:top w:val="single" w:color="auto" w:sz="4" w:space="0"/>
              <w:left w:val="single" w:color="auto" w:sz="4" w:space="0"/>
              <w:bottom w:val="single" w:color="auto" w:sz="4" w:space="0"/>
              <w:right w:val="single" w:color="auto" w:sz="4" w:space="0"/>
            </w:tcBorders>
            <w:noWrap/>
            <w:vAlign w:val="center"/>
          </w:tcPr>
          <w:p w14:paraId="3A380BCF">
            <w:pPr>
              <w:snapToGrid w:val="0"/>
              <w:spacing w:line="360" w:lineRule="auto"/>
              <w:ind w:firstLine="480" w:firstLineChars="200"/>
              <w:jc w:val="center"/>
              <w:rPr>
                <w:rFonts w:hint="eastAsia" w:ascii="宋体" w:hAnsi="宋体" w:cs="宋体"/>
                <w:kern w:val="0"/>
                <w:sz w:val="24"/>
                <w:highlight w:val="none"/>
              </w:rPr>
            </w:pPr>
          </w:p>
        </w:tc>
        <w:tc>
          <w:tcPr>
            <w:tcW w:w="1032" w:type="dxa"/>
            <w:tcBorders>
              <w:top w:val="single" w:color="auto" w:sz="4" w:space="0"/>
              <w:left w:val="single" w:color="auto" w:sz="4" w:space="0"/>
              <w:bottom w:val="single" w:color="auto" w:sz="4" w:space="0"/>
              <w:right w:val="single" w:color="auto" w:sz="4" w:space="0"/>
            </w:tcBorders>
            <w:noWrap/>
            <w:vAlign w:val="center"/>
          </w:tcPr>
          <w:p w14:paraId="1329D2CD">
            <w:pPr>
              <w:snapToGrid w:val="0"/>
              <w:spacing w:line="360" w:lineRule="auto"/>
              <w:ind w:firstLine="480" w:firstLineChars="200"/>
              <w:jc w:val="center"/>
              <w:rPr>
                <w:rFonts w:hint="eastAsia" w:ascii="宋体" w:hAnsi="宋体" w:cs="宋体"/>
                <w:kern w:val="0"/>
                <w:sz w:val="24"/>
                <w:highlight w:val="none"/>
              </w:rPr>
            </w:pPr>
          </w:p>
        </w:tc>
        <w:tc>
          <w:tcPr>
            <w:tcW w:w="1179" w:type="dxa"/>
            <w:tcBorders>
              <w:top w:val="single" w:color="auto" w:sz="4" w:space="0"/>
              <w:left w:val="single" w:color="auto" w:sz="4" w:space="0"/>
              <w:bottom w:val="single" w:color="auto" w:sz="4" w:space="0"/>
              <w:right w:val="single" w:color="auto" w:sz="4" w:space="0"/>
            </w:tcBorders>
            <w:noWrap/>
            <w:vAlign w:val="center"/>
          </w:tcPr>
          <w:p w14:paraId="4688CAB4">
            <w:pPr>
              <w:snapToGrid w:val="0"/>
              <w:spacing w:line="360" w:lineRule="auto"/>
              <w:ind w:firstLine="480" w:firstLineChars="200"/>
              <w:jc w:val="center"/>
              <w:rPr>
                <w:rFonts w:hint="eastAsia" w:ascii="宋体" w:hAnsi="宋体" w:cs="宋体"/>
                <w:kern w:val="0"/>
                <w:sz w:val="24"/>
                <w:highlight w:val="none"/>
              </w:rPr>
            </w:pPr>
          </w:p>
        </w:tc>
      </w:tr>
      <w:tr w14:paraId="7ABDE6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4" w:hRule="atLeast"/>
          <w:jc w:val="center"/>
        </w:trPr>
        <w:tc>
          <w:tcPr>
            <w:tcW w:w="814" w:type="dxa"/>
            <w:tcBorders>
              <w:top w:val="single" w:color="auto" w:sz="4" w:space="0"/>
              <w:left w:val="single" w:color="auto" w:sz="4" w:space="0"/>
              <w:bottom w:val="single" w:color="auto" w:sz="4" w:space="0"/>
              <w:right w:val="single" w:color="auto" w:sz="4" w:space="0"/>
            </w:tcBorders>
            <w:noWrap/>
            <w:vAlign w:val="center"/>
          </w:tcPr>
          <w:p w14:paraId="76FD6361">
            <w:pPr>
              <w:snapToGrid w:val="0"/>
              <w:spacing w:line="360" w:lineRule="auto"/>
              <w:ind w:firstLine="480" w:firstLineChars="200"/>
              <w:jc w:val="center"/>
              <w:rPr>
                <w:rFonts w:hint="eastAsia" w:ascii="宋体" w:hAnsi="宋体" w:cs="宋体"/>
                <w:kern w:val="0"/>
                <w:sz w:val="24"/>
                <w:highlight w:val="none"/>
              </w:rPr>
            </w:pPr>
          </w:p>
        </w:tc>
        <w:tc>
          <w:tcPr>
            <w:tcW w:w="1275" w:type="dxa"/>
            <w:tcBorders>
              <w:top w:val="single" w:color="auto" w:sz="4" w:space="0"/>
              <w:left w:val="single" w:color="auto" w:sz="4" w:space="0"/>
              <w:bottom w:val="single" w:color="auto" w:sz="4" w:space="0"/>
              <w:right w:val="single" w:color="auto" w:sz="4" w:space="0"/>
            </w:tcBorders>
            <w:noWrap/>
            <w:vAlign w:val="center"/>
          </w:tcPr>
          <w:p w14:paraId="71DA6983">
            <w:pPr>
              <w:snapToGrid w:val="0"/>
              <w:spacing w:line="360" w:lineRule="auto"/>
              <w:ind w:firstLine="480" w:firstLineChars="200"/>
              <w:jc w:val="center"/>
              <w:rPr>
                <w:rFonts w:hint="eastAsia" w:ascii="宋体" w:hAnsi="宋体" w:cs="宋体"/>
                <w:kern w:val="0"/>
                <w:sz w:val="24"/>
                <w:highlight w:val="none"/>
              </w:rPr>
            </w:pPr>
          </w:p>
        </w:tc>
        <w:tc>
          <w:tcPr>
            <w:tcW w:w="1252" w:type="dxa"/>
            <w:tcBorders>
              <w:top w:val="single" w:color="auto" w:sz="4" w:space="0"/>
              <w:left w:val="single" w:color="auto" w:sz="4" w:space="0"/>
              <w:bottom w:val="single" w:color="auto" w:sz="4" w:space="0"/>
              <w:right w:val="single" w:color="auto" w:sz="4" w:space="0"/>
            </w:tcBorders>
            <w:noWrap/>
            <w:vAlign w:val="center"/>
          </w:tcPr>
          <w:p w14:paraId="630EA85F">
            <w:pPr>
              <w:snapToGrid w:val="0"/>
              <w:spacing w:line="360" w:lineRule="auto"/>
              <w:ind w:firstLine="480" w:firstLineChars="200"/>
              <w:jc w:val="center"/>
              <w:rPr>
                <w:rFonts w:hint="eastAsia" w:ascii="宋体" w:hAnsi="宋体" w:cs="宋体"/>
                <w:kern w:val="0"/>
                <w:sz w:val="24"/>
                <w:highlight w:val="none"/>
              </w:rPr>
            </w:pPr>
          </w:p>
        </w:tc>
        <w:tc>
          <w:tcPr>
            <w:tcW w:w="1300" w:type="dxa"/>
            <w:tcBorders>
              <w:top w:val="single" w:color="auto" w:sz="4" w:space="0"/>
              <w:left w:val="single" w:color="auto" w:sz="4" w:space="0"/>
              <w:bottom w:val="single" w:color="auto" w:sz="4" w:space="0"/>
              <w:right w:val="single" w:color="auto" w:sz="4" w:space="0"/>
            </w:tcBorders>
            <w:noWrap/>
            <w:vAlign w:val="center"/>
          </w:tcPr>
          <w:p w14:paraId="445E2000">
            <w:pPr>
              <w:snapToGrid w:val="0"/>
              <w:spacing w:line="360" w:lineRule="auto"/>
              <w:ind w:firstLine="480" w:firstLineChars="200"/>
              <w:jc w:val="center"/>
              <w:rPr>
                <w:rFonts w:hint="eastAsia" w:ascii="宋体" w:hAnsi="宋体" w:cs="宋体"/>
                <w:kern w:val="0"/>
                <w:sz w:val="24"/>
                <w:highlight w:val="none"/>
              </w:rPr>
            </w:pPr>
          </w:p>
        </w:tc>
        <w:tc>
          <w:tcPr>
            <w:tcW w:w="1317" w:type="dxa"/>
            <w:tcBorders>
              <w:top w:val="single" w:color="auto" w:sz="4" w:space="0"/>
              <w:left w:val="single" w:color="auto" w:sz="4" w:space="0"/>
              <w:bottom w:val="single" w:color="auto" w:sz="4" w:space="0"/>
              <w:right w:val="single" w:color="auto" w:sz="4" w:space="0"/>
            </w:tcBorders>
            <w:noWrap/>
            <w:vAlign w:val="center"/>
          </w:tcPr>
          <w:p w14:paraId="69FE7185">
            <w:pPr>
              <w:snapToGrid w:val="0"/>
              <w:spacing w:line="360" w:lineRule="auto"/>
              <w:ind w:firstLine="480" w:firstLineChars="200"/>
              <w:jc w:val="center"/>
              <w:rPr>
                <w:rFonts w:hint="eastAsia" w:ascii="宋体" w:hAnsi="宋体" w:cs="宋体"/>
                <w:kern w:val="0"/>
                <w:sz w:val="24"/>
                <w:highlight w:val="none"/>
              </w:rPr>
            </w:pPr>
          </w:p>
        </w:tc>
        <w:tc>
          <w:tcPr>
            <w:tcW w:w="884" w:type="dxa"/>
            <w:tcBorders>
              <w:top w:val="single" w:color="auto" w:sz="4" w:space="0"/>
              <w:left w:val="single" w:color="auto" w:sz="4" w:space="0"/>
              <w:bottom w:val="single" w:color="auto" w:sz="4" w:space="0"/>
              <w:right w:val="single" w:color="auto" w:sz="4" w:space="0"/>
            </w:tcBorders>
            <w:noWrap/>
            <w:vAlign w:val="center"/>
          </w:tcPr>
          <w:p w14:paraId="6155ED21">
            <w:pPr>
              <w:snapToGrid w:val="0"/>
              <w:spacing w:line="360" w:lineRule="auto"/>
              <w:ind w:firstLine="480" w:firstLineChars="200"/>
              <w:jc w:val="center"/>
              <w:rPr>
                <w:rFonts w:hint="eastAsia" w:ascii="宋体" w:hAnsi="宋体" w:cs="宋体"/>
                <w:kern w:val="0"/>
                <w:sz w:val="24"/>
                <w:highlight w:val="none"/>
              </w:rPr>
            </w:pPr>
          </w:p>
        </w:tc>
        <w:tc>
          <w:tcPr>
            <w:tcW w:w="1032" w:type="dxa"/>
            <w:tcBorders>
              <w:top w:val="single" w:color="auto" w:sz="4" w:space="0"/>
              <w:left w:val="single" w:color="auto" w:sz="4" w:space="0"/>
              <w:bottom w:val="single" w:color="auto" w:sz="4" w:space="0"/>
              <w:right w:val="single" w:color="auto" w:sz="4" w:space="0"/>
            </w:tcBorders>
            <w:noWrap/>
            <w:vAlign w:val="center"/>
          </w:tcPr>
          <w:p w14:paraId="387707D2">
            <w:pPr>
              <w:snapToGrid w:val="0"/>
              <w:spacing w:line="360" w:lineRule="auto"/>
              <w:ind w:firstLine="480" w:firstLineChars="200"/>
              <w:jc w:val="center"/>
              <w:rPr>
                <w:rFonts w:hint="eastAsia" w:ascii="宋体" w:hAnsi="宋体" w:cs="宋体"/>
                <w:kern w:val="0"/>
                <w:sz w:val="24"/>
                <w:highlight w:val="none"/>
              </w:rPr>
            </w:pPr>
          </w:p>
        </w:tc>
        <w:tc>
          <w:tcPr>
            <w:tcW w:w="1179" w:type="dxa"/>
            <w:tcBorders>
              <w:top w:val="single" w:color="auto" w:sz="4" w:space="0"/>
              <w:left w:val="single" w:color="auto" w:sz="4" w:space="0"/>
              <w:bottom w:val="single" w:color="auto" w:sz="4" w:space="0"/>
              <w:right w:val="single" w:color="auto" w:sz="4" w:space="0"/>
            </w:tcBorders>
            <w:noWrap/>
            <w:vAlign w:val="center"/>
          </w:tcPr>
          <w:p w14:paraId="4973CE4B">
            <w:pPr>
              <w:snapToGrid w:val="0"/>
              <w:spacing w:line="360" w:lineRule="auto"/>
              <w:ind w:firstLine="480" w:firstLineChars="200"/>
              <w:jc w:val="center"/>
              <w:rPr>
                <w:rFonts w:hint="eastAsia" w:ascii="宋体" w:hAnsi="宋体" w:cs="宋体"/>
                <w:kern w:val="0"/>
                <w:sz w:val="24"/>
                <w:highlight w:val="none"/>
              </w:rPr>
            </w:pPr>
          </w:p>
        </w:tc>
      </w:tr>
    </w:tbl>
    <w:p w14:paraId="6237A26E">
      <w:pPr>
        <w:snapToGrid w:val="0"/>
        <w:spacing w:line="360" w:lineRule="auto"/>
        <w:ind w:firstLine="480" w:firstLineChars="200"/>
        <w:rPr>
          <w:rFonts w:hint="eastAsia" w:ascii="宋体" w:hAnsi="宋体" w:cs="宋体"/>
          <w:kern w:val="0"/>
          <w:sz w:val="24"/>
          <w:highlight w:val="none"/>
        </w:rPr>
      </w:pPr>
    </w:p>
    <w:p w14:paraId="0B5F4D2D">
      <w:pPr>
        <w:snapToGrid w:val="0"/>
        <w:spacing w:line="360" w:lineRule="auto"/>
        <w:ind w:firstLine="480" w:firstLineChars="200"/>
        <w:rPr>
          <w:rFonts w:hint="eastAsia" w:ascii="宋体" w:hAnsi="宋体" w:cs="宋体"/>
          <w:bCs/>
          <w:kern w:val="0"/>
          <w:sz w:val="24"/>
          <w:highlight w:val="none"/>
        </w:rPr>
      </w:pPr>
      <w:r>
        <w:rPr>
          <w:rFonts w:hint="eastAsia" w:ascii="宋体" w:hAnsi="宋体" w:cs="宋体"/>
          <w:kern w:val="0"/>
          <w:sz w:val="24"/>
          <w:highlight w:val="none"/>
        </w:rPr>
        <w:t>2.合同总金额：</w:t>
      </w:r>
      <w:r>
        <w:rPr>
          <w:rFonts w:hint="eastAsia" w:ascii="宋体" w:hAnsi="宋体" w:cs="宋体"/>
          <w:b/>
          <w:bCs/>
          <w:kern w:val="0"/>
          <w:sz w:val="24"/>
          <w:highlight w:val="none"/>
          <w:u w:val="single"/>
        </w:rPr>
        <w:t xml:space="preserve"> </w:t>
      </w:r>
      <w:r>
        <w:rPr>
          <w:rFonts w:ascii="宋体" w:hAnsi="宋体" w:cs="宋体"/>
          <w:b/>
          <w:bCs/>
          <w:kern w:val="0"/>
          <w:sz w:val="24"/>
          <w:highlight w:val="none"/>
          <w:u w:val="single"/>
        </w:rPr>
        <w:t xml:space="preserve">           </w:t>
      </w:r>
      <w:r>
        <w:rPr>
          <w:rFonts w:ascii="宋体" w:hAnsi="宋体" w:cs="宋体"/>
          <w:b/>
          <w:bCs/>
          <w:kern w:val="0"/>
          <w:sz w:val="24"/>
          <w:highlight w:val="none"/>
        </w:rPr>
        <w:t xml:space="preserve"> </w:t>
      </w:r>
      <w:r>
        <w:rPr>
          <w:rFonts w:hint="eastAsia" w:ascii="宋体" w:hAnsi="宋体" w:cs="宋体"/>
          <w:b/>
          <w:bCs/>
          <w:kern w:val="0"/>
          <w:sz w:val="24"/>
          <w:highlight w:val="none"/>
        </w:rPr>
        <w:t>，(大写)</w:t>
      </w:r>
      <w:r>
        <w:rPr>
          <w:rFonts w:ascii="宋体" w:hAnsi="宋体" w:cs="宋体"/>
          <w:b/>
          <w:bCs/>
          <w:kern w:val="0"/>
          <w:sz w:val="24"/>
          <w:highlight w:val="none"/>
          <w:u w:val="single"/>
        </w:rPr>
        <w:t xml:space="preserve">                  </w:t>
      </w:r>
      <w:r>
        <w:rPr>
          <w:rFonts w:hint="eastAsia" w:ascii="宋体" w:hAnsi="宋体" w:cs="宋体"/>
          <w:b/>
          <w:bCs/>
          <w:kern w:val="0"/>
          <w:sz w:val="24"/>
          <w:highlight w:val="none"/>
          <w:u w:val="single"/>
        </w:rPr>
        <w:t xml:space="preserve"> </w:t>
      </w:r>
      <w:r>
        <w:rPr>
          <w:rFonts w:hint="eastAsia" w:ascii="宋体" w:hAnsi="宋体" w:cs="宋体"/>
          <w:bCs/>
          <w:kern w:val="0"/>
          <w:sz w:val="24"/>
          <w:highlight w:val="none"/>
        </w:rPr>
        <w:t>。</w:t>
      </w:r>
      <w:r>
        <w:rPr>
          <w:rFonts w:ascii="宋体" w:hAnsi="宋体" w:cs="宋体"/>
          <w:b/>
          <w:bCs/>
          <w:kern w:val="0"/>
          <w:sz w:val="24"/>
          <w:highlight w:val="none"/>
        </w:rPr>
        <w:t xml:space="preserve">             </w:t>
      </w:r>
      <w:r>
        <w:rPr>
          <w:rFonts w:hint="eastAsia" w:ascii="宋体" w:hAnsi="宋体" w:cs="宋体"/>
          <w:bCs/>
          <w:kern w:val="0"/>
          <w:sz w:val="24"/>
          <w:highlight w:val="none"/>
        </w:rPr>
        <w:t>。</w:t>
      </w:r>
    </w:p>
    <w:p w14:paraId="62206A72">
      <w:pPr>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3.合同总金额包括货物价款、附件、专用工具、安装、调试、检验、技术培训及技术资料和包装、运输、保险等全部费用，如果招、投标文件对其另有规定的，从其规定。</w:t>
      </w:r>
    </w:p>
    <w:p w14:paraId="10A092F9">
      <w:pPr>
        <w:pStyle w:val="35"/>
        <w:widowControl/>
        <w:numPr>
          <w:ilvl w:val="0"/>
          <w:numId w:val="4"/>
        </w:numPr>
        <w:tabs>
          <w:tab w:val="left" w:pos="720"/>
        </w:tabs>
        <w:snapToGrid w:val="0"/>
        <w:spacing w:line="360" w:lineRule="auto"/>
        <w:ind w:left="0" w:leftChars="0" w:firstLine="482" w:firstLineChars="200"/>
        <w:jc w:val="left"/>
        <w:rPr>
          <w:rFonts w:hint="eastAsia" w:ascii="宋体" w:hAnsi="宋体" w:eastAsia="宋体" w:cs="宋体"/>
          <w:b/>
          <w:bCs/>
          <w:kern w:val="0"/>
          <w:highlight w:val="none"/>
        </w:rPr>
      </w:pPr>
      <w:r>
        <w:rPr>
          <w:rFonts w:hint="eastAsia" w:ascii="宋体" w:hAnsi="宋体" w:eastAsia="宋体" w:cs="宋体"/>
          <w:b/>
          <w:bCs/>
          <w:kern w:val="0"/>
          <w:highlight w:val="none"/>
        </w:rPr>
        <w:t>质量要求</w:t>
      </w:r>
    </w:p>
    <w:p w14:paraId="7B332216">
      <w:pPr>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1.乙方所提供的货物必须符合中华人民共和国国家安全、环保、节能、卫生标准，国家及有关行业产品质量认证标准，招标文件的质量要求及双方签字确认的相关承诺及协议。</w:t>
      </w:r>
    </w:p>
    <w:p w14:paraId="73AF98B4">
      <w:pPr>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2.乙方所提供的货物必须是全新、未使用的原装产品，且在正常安装、使用和保养条件下，其使用寿命期内各项指标均达到本条第1款的质量要求。在货物最终验收后规定的质量保证期内，乙方应对因货物质量缺陷造成的任何不足负责修补或调换，并承担相应费用。</w:t>
      </w:r>
    </w:p>
    <w:p w14:paraId="32823531">
      <w:pPr>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3.在供货时附出厂合格证书，作为本合同的有效附件。</w:t>
      </w:r>
    </w:p>
    <w:p w14:paraId="483F5FC2">
      <w:pPr>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4.乙方提供的货物及其配件、材料或安装不能通过验收合格，甲方有权可以拒收并退货，并要求乙方返还甲方已付的货款，由此而产生的费用和风险由乙方承担。所有拒收退回的货物乙方在甲方通知后7个日历日内提走，否则，视为乙方放弃所有货物的所有权，甲方有权任意处置这些货物，并且甲方有权要求乙方支付处置这些货物所需的费用（包括但不限于运费）。</w:t>
      </w:r>
    </w:p>
    <w:p w14:paraId="42496FD7">
      <w:pPr>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5.乙方须对交付的产品质量负责，产品在交付机房或投入使用后，凡因产品质量不符合本合同约定或有其它质量瑕疵或安装不符合相关技术要求，而给甲方或任何第三方造成人身损害和财产损失的，均由乙方承担赔偿责任。</w:t>
      </w:r>
    </w:p>
    <w:p w14:paraId="16546732">
      <w:pPr>
        <w:pStyle w:val="35"/>
        <w:widowControl/>
        <w:numPr>
          <w:ilvl w:val="0"/>
          <w:numId w:val="4"/>
        </w:numPr>
        <w:tabs>
          <w:tab w:val="left" w:pos="720"/>
        </w:tabs>
        <w:snapToGrid w:val="0"/>
        <w:spacing w:line="360" w:lineRule="auto"/>
        <w:ind w:left="0" w:leftChars="0" w:firstLine="482" w:firstLineChars="200"/>
        <w:jc w:val="left"/>
        <w:rPr>
          <w:rFonts w:hint="eastAsia" w:ascii="宋体" w:hAnsi="宋体" w:eastAsia="宋体" w:cs="宋体"/>
          <w:b/>
          <w:bCs/>
          <w:kern w:val="0"/>
          <w:highlight w:val="none"/>
        </w:rPr>
      </w:pPr>
      <w:r>
        <w:rPr>
          <w:rFonts w:hint="eastAsia" w:ascii="宋体" w:hAnsi="宋体" w:eastAsia="宋体" w:cs="宋体"/>
          <w:b/>
          <w:bCs/>
          <w:kern w:val="0"/>
          <w:highlight w:val="none"/>
        </w:rPr>
        <w:t>付款方式</w:t>
      </w:r>
    </w:p>
    <w:p w14:paraId="3F07A5B5">
      <w:pPr>
        <w:snapToGrid w:val="0"/>
        <w:spacing w:line="360" w:lineRule="auto"/>
        <w:ind w:firstLine="480"/>
        <w:rPr>
          <w:rFonts w:hint="eastAsia" w:ascii="宋体" w:hAnsi="宋体" w:cs="宋体"/>
          <w:kern w:val="0"/>
          <w:sz w:val="24"/>
          <w:highlight w:val="none"/>
        </w:rPr>
      </w:pPr>
      <w:r>
        <w:rPr>
          <w:rFonts w:hint="eastAsia" w:ascii="宋体" w:hAnsi="宋体" w:cs="宋体"/>
          <w:kern w:val="0"/>
          <w:sz w:val="24"/>
          <w:highlight w:val="none"/>
        </w:rPr>
        <w:t>合同签订后，乙方向甲方开具合同总金额100%的预付款保函，甲方收到预付款保函后，向乙方一次性支付合同全款作为预付款。货到甲方指定地点后，乙方向甲方开具合同总金额10%的履约保函，甲方验收合格后退回预付款保函。预付款保函和履约保函必须为银行见索即付独立保函。预付款保函有效期覆盖供货期和验收期，履约保函有效期覆盖质保期第一年。如履约期间因特殊原因导致保函有效期不满足上述条件，乙方应无条件办理保函展期，直至满足条件为止。</w:t>
      </w:r>
    </w:p>
    <w:p w14:paraId="236CE19B">
      <w:pPr>
        <w:pStyle w:val="35"/>
        <w:widowControl/>
        <w:numPr>
          <w:ilvl w:val="0"/>
          <w:numId w:val="4"/>
        </w:numPr>
        <w:tabs>
          <w:tab w:val="left" w:pos="720"/>
        </w:tabs>
        <w:snapToGrid w:val="0"/>
        <w:spacing w:line="360" w:lineRule="auto"/>
        <w:ind w:left="0" w:leftChars="0" w:firstLine="482" w:firstLineChars="200"/>
        <w:jc w:val="left"/>
        <w:rPr>
          <w:rFonts w:hint="eastAsia" w:ascii="宋体" w:hAnsi="宋体" w:eastAsia="宋体" w:cs="宋体"/>
          <w:b/>
          <w:bCs/>
          <w:kern w:val="0"/>
          <w:highlight w:val="none"/>
        </w:rPr>
      </w:pPr>
      <w:r>
        <w:rPr>
          <w:rFonts w:hint="eastAsia" w:ascii="宋体" w:hAnsi="宋体" w:eastAsia="宋体" w:cs="宋体"/>
          <w:b/>
          <w:bCs/>
          <w:kern w:val="0"/>
          <w:highlight w:val="none"/>
        </w:rPr>
        <w:t>包装和运输</w:t>
      </w:r>
    </w:p>
    <w:p w14:paraId="2317AA69">
      <w:pPr>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1.乙方应在设备发运前自费对其进行满足于运输距离、防震、防锈和防破损以及装卸要求的包装，以保证货物安全运输到达甲方指定地点。乙方应承担由于其包装或其防护措施不妥而引起的货物锈蚀、损坏及丢失所造成的责任及费用。</w:t>
      </w:r>
    </w:p>
    <w:p w14:paraId="5DF15356">
      <w:pPr>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2.乙方负责运输并承担装卸、运输、保险费（乙方应以人民币办理的按照发票金额的100%的“一切险”保险），并应于货物装载完成24小时内通知甲方货物名称、数量、毛重、体积、发票金额、运输工具名称和启运日期及预计到达目的地的日期。</w:t>
      </w:r>
    </w:p>
    <w:p w14:paraId="0E16F83E">
      <w:pPr>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3.乙方装运的货物必须符合合同规定的货物名称、型号规格、数量；包装上注明货物品种及数量；使用说明书、质量检验证明书、随配附件和工具以及清单与设备一起装箱发送。</w:t>
      </w:r>
    </w:p>
    <w:p w14:paraId="223E0884">
      <w:pPr>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4.乙方应按交付规定将货物运送到指定交货地点。</w:t>
      </w:r>
    </w:p>
    <w:p w14:paraId="40D966F3">
      <w:pPr>
        <w:pStyle w:val="35"/>
        <w:widowControl/>
        <w:numPr>
          <w:ilvl w:val="0"/>
          <w:numId w:val="4"/>
        </w:numPr>
        <w:tabs>
          <w:tab w:val="left" w:pos="720"/>
        </w:tabs>
        <w:snapToGrid w:val="0"/>
        <w:spacing w:line="360" w:lineRule="auto"/>
        <w:ind w:left="0" w:leftChars="0" w:firstLine="482" w:firstLineChars="200"/>
        <w:jc w:val="left"/>
        <w:rPr>
          <w:rFonts w:hint="eastAsia" w:ascii="宋体" w:hAnsi="宋体" w:eastAsia="宋体" w:cs="宋体"/>
          <w:b/>
          <w:bCs/>
          <w:kern w:val="0"/>
          <w:highlight w:val="none"/>
        </w:rPr>
      </w:pPr>
      <w:r>
        <w:rPr>
          <w:rFonts w:hint="eastAsia" w:ascii="宋体" w:hAnsi="宋体" w:eastAsia="宋体" w:cs="宋体"/>
          <w:b/>
          <w:bCs/>
          <w:kern w:val="0"/>
          <w:highlight w:val="none"/>
        </w:rPr>
        <w:t>交付和验收</w:t>
      </w:r>
    </w:p>
    <w:p w14:paraId="6F4F5E8D">
      <w:pPr>
        <w:snapToGrid w:val="0"/>
        <w:spacing w:line="360" w:lineRule="auto"/>
        <w:ind w:firstLine="480" w:firstLineChars="200"/>
        <w:rPr>
          <w:rFonts w:hint="eastAsia" w:ascii="宋体" w:hAnsi="宋体" w:cs="宋体"/>
          <w:kern w:val="0"/>
          <w:sz w:val="24"/>
          <w:highlight w:val="none"/>
          <w:u w:val="single"/>
        </w:rPr>
      </w:pPr>
      <w:r>
        <w:rPr>
          <w:rFonts w:hint="eastAsia" w:ascii="宋体" w:hAnsi="宋体" w:cs="宋体"/>
          <w:kern w:val="0"/>
          <w:sz w:val="24"/>
          <w:highlight w:val="none"/>
        </w:rPr>
        <w:t>1.供货期：</w:t>
      </w:r>
      <w:r>
        <w:rPr>
          <w:rFonts w:hint="eastAsia" w:ascii="宋体" w:hAnsi="宋体" w:cs="宋体"/>
          <w:kern w:val="0"/>
          <w:sz w:val="24"/>
          <w:highlight w:val="none"/>
          <w:u w:val="single"/>
        </w:rPr>
        <w:t>自签订合同之日起，接到采购人供货通知后6个月内，货到采购人指定地点安装调试验收合格。</w:t>
      </w:r>
    </w:p>
    <w:p w14:paraId="52EB451A">
      <w:pPr>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2.交货地点为</w:t>
      </w:r>
      <w:r>
        <w:rPr>
          <w:rFonts w:hint="eastAsia" w:ascii="宋体" w:hAnsi="宋体" w:cs="宋体"/>
          <w:kern w:val="0"/>
          <w:sz w:val="24"/>
          <w:highlight w:val="none"/>
          <w:u w:val="single"/>
        </w:rPr>
        <w:t>甲方指定地点。</w:t>
      </w:r>
    </w:p>
    <w:p w14:paraId="26C6D648">
      <w:pPr>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3.乙方应提前</w:t>
      </w:r>
      <w:r>
        <w:rPr>
          <w:rFonts w:hint="eastAsia" w:ascii="宋体" w:hAnsi="宋体" w:cs="宋体"/>
          <w:kern w:val="0"/>
          <w:sz w:val="24"/>
          <w:highlight w:val="none"/>
          <w:u w:val="single"/>
        </w:rPr>
        <w:t>5</w:t>
      </w:r>
      <w:r>
        <w:rPr>
          <w:rFonts w:hint="eastAsia" w:ascii="宋体" w:hAnsi="宋体" w:cs="宋体"/>
          <w:kern w:val="0"/>
          <w:sz w:val="24"/>
          <w:highlight w:val="none"/>
        </w:rPr>
        <w:t>个工作日向甲方提出交货检验。若发现包装物破损或货物品名及数量与合同内容不符，甲方有权拒收货物，并有权要求乙方按照甲方指定地点、数量在规定的时间将合格的货物送达。乙方应将所提供货物的装箱清单、用户手册、原厂保修卡、随机资料、工具和备品、备件等交付给甲方，如有缺失应及时补齐，否则视为逾期交货。</w:t>
      </w:r>
    </w:p>
    <w:p w14:paraId="351747D9">
      <w:pPr>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4.乙方负责安装调试，甲方提供必要的工作条件（如场地、电源、水源等）。</w:t>
      </w:r>
    </w:p>
    <w:p w14:paraId="592C1271">
      <w:pPr>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5.乙方应在货物安装、调试完成后提前</w:t>
      </w:r>
      <w:r>
        <w:rPr>
          <w:rFonts w:hint="eastAsia" w:ascii="宋体" w:hAnsi="宋体" w:cs="宋体"/>
          <w:kern w:val="0"/>
          <w:sz w:val="24"/>
          <w:highlight w:val="none"/>
          <w:u w:val="single"/>
        </w:rPr>
        <w:t>5</w:t>
      </w:r>
      <w:r>
        <w:rPr>
          <w:rFonts w:hint="eastAsia" w:ascii="宋体" w:hAnsi="宋体" w:cs="宋体"/>
          <w:kern w:val="0"/>
          <w:sz w:val="24"/>
          <w:highlight w:val="none"/>
        </w:rPr>
        <w:t>个工作日通知甲方验收，甲方在接到通知后的</w:t>
      </w:r>
      <w:r>
        <w:rPr>
          <w:rFonts w:hint="eastAsia" w:ascii="宋体" w:hAnsi="宋体" w:cs="宋体"/>
          <w:kern w:val="0"/>
          <w:sz w:val="24"/>
          <w:highlight w:val="none"/>
          <w:u w:val="single"/>
        </w:rPr>
        <w:t xml:space="preserve"> 10</w:t>
      </w:r>
      <w:r>
        <w:rPr>
          <w:rFonts w:hint="eastAsia" w:ascii="宋体" w:hAnsi="宋体" w:cs="宋体"/>
          <w:kern w:val="0"/>
          <w:sz w:val="24"/>
          <w:highlight w:val="none"/>
        </w:rPr>
        <w:t>个工作日内组织验收。甲方对乙方所交设备依照国家有关技术标准和双方确认的技术标准进行现场验收。性能达到技术要求的，验收通过；验收不合格的，限期整改；整改仍达不到要求的，作退货处理。验收合格后由甲乙双方签收货物验收报告并加盖采购单位公章，甲乙双方各执</w:t>
      </w:r>
      <w:r>
        <w:rPr>
          <w:rFonts w:hint="eastAsia" w:ascii="宋体" w:hAnsi="宋体" w:cs="宋体"/>
          <w:kern w:val="0"/>
          <w:sz w:val="24"/>
          <w:highlight w:val="none"/>
          <w:u w:val="single"/>
        </w:rPr>
        <w:t>3</w:t>
      </w:r>
      <w:r>
        <w:rPr>
          <w:rFonts w:hint="eastAsia" w:ascii="宋体" w:hAnsi="宋体" w:cs="宋体"/>
          <w:kern w:val="0"/>
          <w:sz w:val="24"/>
          <w:highlight w:val="none"/>
        </w:rPr>
        <w:t>份。</w:t>
      </w:r>
    </w:p>
    <w:p w14:paraId="0ACC6540">
      <w:pPr>
        <w:pStyle w:val="35"/>
        <w:numPr>
          <w:ilvl w:val="0"/>
          <w:numId w:val="4"/>
        </w:numPr>
        <w:tabs>
          <w:tab w:val="left" w:pos="720"/>
        </w:tabs>
        <w:snapToGrid w:val="0"/>
        <w:spacing w:line="360" w:lineRule="auto"/>
        <w:ind w:left="0" w:leftChars="0" w:firstLine="482" w:firstLineChars="200"/>
        <w:rPr>
          <w:rFonts w:hint="eastAsia" w:ascii="宋体" w:hAnsi="宋体" w:eastAsia="宋体" w:cs="宋体"/>
          <w:b/>
          <w:bCs/>
          <w:kern w:val="0"/>
          <w:highlight w:val="none"/>
        </w:rPr>
      </w:pPr>
      <w:r>
        <w:rPr>
          <w:rFonts w:hint="eastAsia" w:ascii="宋体" w:hAnsi="宋体" w:eastAsia="宋体" w:cs="宋体"/>
          <w:b/>
          <w:bCs/>
          <w:kern w:val="0"/>
          <w:highlight w:val="none"/>
        </w:rPr>
        <w:t>培训</w:t>
      </w:r>
    </w:p>
    <w:p w14:paraId="5E5506D0">
      <w:pPr>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乙方负责免费对甲方有关人员进行培训。</w:t>
      </w:r>
    </w:p>
    <w:p w14:paraId="7EF34D19">
      <w:pPr>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培训内容应至少包括：（1）设备的操作使用和保养；（2）设备安全注意事项；（3）设备简易故障排除。</w:t>
      </w:r>
    </w:p>
    <w:p w14:paraId="4BB76D38">
      <w:pPr>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培训内容：</w:t>
      </w:r>
      <w:r>
        <w:rPr>
          <w:rFonts w:ascii="宋体" w:hAnsi="宋体" w:cs="宋体"/>
          <w:kern w:val="0"/>
          <w:sz w:val="24"/>
          <w:highlight w:val="none"/>
          <w:u w:val="single"/>
        </w:rPr>
        <w:t xml:space="preserve"> </w:t>
      </w:r>
      <w:r>
        <w:rPr>
          <w:rFonts w:hint="eastAsia" w:ascii="宋体" w:hAnsi="宋体" w:cs="宋体"/>
          <w:kern w:val="0"/>
          <w:sz w:val="24"/>
          <w:highlight w:val="none"/>
          <w:u w:val="single"/>
        </w:rPr>
        <w:t>设备操作使用和保养维护；设备安全注意事项；设备简易故障排除</w:t>
      </w:r>
      <w:r>
        <w:rPr>
          <w:rFonts w:ascii="宋体" w:hAnsi="宋体" w:cs="宋体"/>
          <w:kern w:val="0"/>
          <w:sz w:val="24"/>
          <w:highlight w:val="none"/>
          <w:u w:val="single"/>
        </w:rPr>
        <w:t xml:space="preserve">            </w:t>
      </w:r>
      <w:r>
        <w:rPr>
          <w:rFonts w:ascii="宋体" w:hAnsi="宋体" w:cs="宋体"/>
          <w:kern w:val="0"/>
          <w:sz w:val="24"/>
          <w:highlight w:val="none"/>
        </w:rPr>
        <w:t xml:space="preserve">             </w:t>
      </w:r>
    </w:p>
    <w:p w14:paraId="46CA5E34">
      <w:pPr>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培训时间：</w:t>
      </w:r>
      <w:r>
        <w:rPr>
          <w:rFonts w:hint="eastAsia" w:ascii="宋体" w:hAnsi="宋体" w:cs="宋体"/>
          <w:kern w:val="0"/>
          <w:sz w:val="24"/>
          <w:highlight w:val="none"/>
          <w:u w:val="single"/>
        </w:rPr>
        <w:t xml:space="preserve"> 验收通过后3日内</w:t>
      </w:r>
      <w:r>
        <w:rPr>
          <w:rFonts w:ascii="宋体" w:hAnsi="宋体" w:cs="宋体"/>
          <w:kern w:val="0"/>
          <w:sz w:val="24"/>
          <w:highlight w:val="none"/>
          <w:u w:val="single"/>
        </w:rPr>
        <w:t xml:space="preserve">            </w:t>
      </w:r>
      <w:r>
        <w:rPr>
          <w:rFonts w:ascii="宋体" w:hAnsi="宋体" w:cs="宋体"/>
          <w:kern w:val="0"/>
          <w:sz w:val="24"/>
          <w:highlight w:val="none"/>
        </w:rPr>
        <w:t xml:space="preserve">             </w:t>
      </w:r>
    </w:p>
    <w:p w14:paraId="6E3D0A07">
      <w:pPr>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培训地点：</w:t>
      </w:r>
      <w:r>
        <w:rPr>
          <w:rFonts w:hint="eastAsia" w:ascii="宋体" w:hAnsi="宋体" w:cs="宋体"/>
          <w:kern w:val="0"/>
          <w:sz w:val="24"/>
          <w:highlight w:val="none"/>
          <w:u w:val="single"/>
        </w:rPr>
        <w:t xml:space="preserve"> 辽宁省大连市甘井子区凌工路2号大连理工大学化工学院实验楼D206</w:t>
      </w:r>
      <w:r>
        <w:rPr>
          <w:rFonts w:ascii="宋体" w:hAnsi="宋体" w:cs="宋体"/>
          <w:kern w:val="0"/>
          <w:sz w:val="24"/>
          <w:highlight w:val="none"/>
        </w:rPr>
        <w:t xml:space="preserve">           </w:t>
      </w:r>
    </w:p>
    <w:p w14:paraId="36B6B03F">
      <w:pPr>
        <w:pStyle w:val="35"/>
        <w:numPr>
          <w:ilvl w:val="0"/>
          <w:numId w:val="4"/>
        </w:numPr>
        <w:tabs>
          <w:tab w:val="left" w:pos="720"/>
        </w:tabs>
        <w:snapToGrid w:val="0"/>
        <w:spacing w:line="360" w:lineRule="auto"/>
        <w:ind w:left="0" w:leftChars="0" w:firstLine="482" w:firstLineChars="200"/>
        <w:rPr>
          <w:rFonts w:hint="eastAsia" w:ascii="宋体" w:hAnsi="宋体" w:eastAsia="宋体" w:cs="宋体"/>
          <w:b/>
          <w:bCs/>
          <w:kern w:val="0"/>
          <w:highlight w:val="none"/>
        </w:rPr>
      </w:pPr>
      <w:r>
        <w:rPr>
          <w:rFonts w:hint="eastAsia" w:ascii="宋体" w:hAnsi="宋体" w:eastAsia="宋体" w:cs="宋体"/>
          <w:b/>
          <w:bCs/>
          <w:kern w:val="0"/>
          <w:highlight w:val="none"/>
        </w:rPr>
        <w:t>售后服务</w:t>
      </w:r>
    </w:p>
    <w:p w14:paraId="1994248D">
      <w:pPr>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1.乙方应按照国家有关法律法规和“三包”规定以及招、投标文件约定的服务条款及乙方投标文件的规定为甲方提供令甲方满意的售后服务。</w:t>
      </w:r>
    </w:p>
    <w:p w14:paraId="634AE985">
      <w:pPr>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2.乙方的产品质保期：</w:t>
      </w:r>
      <w:r>
        <w:rPr>
          <w:rFonts w:ascii="宋体" w:hAnsi="宋体" w:cs="宋体"/>
          <w:kern w:val="0"/>
          <w:sz w:val="24"/>
          <w:highlight w:val="none"/>
          <w:u w:val="single"/>
        </w:rPr>
        <w:t xml:space="preserve">                </w:t>
      </w:r>
      <w:r>
        <w:rPr>
          <w:rFonts w:hint="eastAsia" w:ascii="宋体" w:hAnsi="宋体" w:cs="宋体"/>
          <w:kern w:val="0"/>
          <w:sz w:val="24"/>
          <w:highlight w:val="none"/>
        </w:rPr>
        <w:t>。</w:t>
      </w:r>
    </w:p>
    <w:p w14:paraId="4BED8B47">
      <w:pPr>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3.在质保期内，乙方应对由于设计、制造工艺、材料和安装所造成的质量缺陷或质量问题负责，并免费进行修理、更换零部件或退换，并须对设备出现的有关技术性问题或安全问题负责处理、解决，同时乙方应相应延长被更换货物的质保期。</w:t>
      </w:r>
    </w:p>
    <w:p w14:paraId="7304F536">
      <w:pPr>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4.如乙方拒绝承担未到期的售后服务责任，甲方有权提出索赔要求。</w:t>
      </w:r>
    </w:p>
    <w:p w14:paraId="20401154">
      <w:pPr>
        <w:pStyle w:val="35"/>
        <w:numPr>
          <w:ilvl w:val="0"/>
          <w:numId w:val="4"/>
        </w:numPr>
        <w:tabs>
          <w:tab w:val="left" w:pos="720"/>
        </w:tabs>
        <w:snapToGrid w:val="0"/>
        <w:spacing w:line="360" w:lineRule="auto"/>
        <w:ind w:left="0" w:leftChars="0" w:firstLine="482" w:firstLineChars="200"/>
        <w:rPr>
          <w:rFonts w:hint="eastAsia" w:ascii="宋体" w:hAnsi="宋体" w:eastAsia="宋体" w:cs="宋体"/>
          <w:b/>
          <w:bCs/>
          <w:kern w:val="0"/>
          <w:highlight w:val="none"/>
        </w:rPr>
      </w:pPr>
      <w:r>
        <w:rPr>
          <w:rFonts w:hint="eastAsia" w:ascii="宋体" w:hAnsi="宋体" w:eastAsia="宋体" w:cs="宋体"/>
          <w:b/>
          <w:bCs/>
          <w:kern w:val="0"/>
          <w:highlight w:val="none"/>
        </w:rPr>
        <w:t xml:space="preserve"> 索赔</w:t>
      </w:r>
    </w:p>
    <w:p w14:paraId="54E58EF8">
      <w:pPr>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1.如果到场货物的质量经甲方自行或委托检验单位检验发现与合同及乙方提供的货物样品不符，或在质保期内证实货物是有缺陷的，甲方有权向乙方提出索赔。</w:t>
      </w:r>
    </w:p>
    <w:p w14:paraId="05AA9691">
      <w:pPr>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2.如涉及保险公司或运输部门的赔偿问题，应由乙方负责办理有关索赔事宜。</w:t>
      </w:r>
    </w:p>
    <w:p w14:paraId="7C5EDD50">
      <w:pPr>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3.在合同规定的质保期内，如果乙方对甲方提出的索赔事件负有责任，乙方应按照甲方同意的下列一种或多种方式解决索赔事宜。</w:t>
      </w:r>
    </w:p>
    <w:p w14:paraId="5E5D3F72">
      <w:pPr>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⑴乙方同意甲方退货，并用合同中规定的同种货币将货款退还给甲方，并承担由此发生的一切损失和费用，包括利息、银行手续费、运费、保险费、检验费、仓储费、装卸费以及为保护拒收的货物所需的其他必要费用。</w:t>
      </w:r>
    </w:p>
    <w:p w14:paraId="3A57DC25">
      <w:pPr>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⑵根据货物缺陷程度、损坏程度以及甲方所遭受损失的数额，经甲乙双方商定同意核减货物的价格。</w:t>
      </w:r>
    </w:p>
    <w:p w14:paraId="57A54837">
      <w:pPr>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⑶用符合质量要求的新货物更换有缺陷的部分，乙方应承担一切费用和风险并附带甲方所遭受的一切直接损失费用。</w:t>
      </w:r>
    </w:p>
    <w:p w14:paraId="7AD03879">
      <w:pPr>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4.如果甲方发出的索赔通知后10个工作日内，乙方未做答复，上述索赔应视为已被乙方接受。</w:t>
      </w:r>
    </w:p>
    <w:p w14:paraId="211379A3">
      <w:pPr>
        <w:pStyle w:val="35"/>
        <w:numPr>
          <w:ilvl w:val="0"/>
          <w:numId w:val="4"/>
        </w:numPr>
        <w:tabs>
          <w:tab w:val="left" w:pos="720"/>
        </w:tabs>
        <w:snapToGrid w:val="0"/>
        <w:spacing w:line="360" w:lineRule="auto"/>
        <w:ind w:left="0" w:leftChars="0" w:firstLine="482" w:firstLineChars="200"/>
        <w:rPr>
          <w:rFonts w:hint="eastAsia" w:ascii="宋体" w:hAnsi="宋体" w:eastAsia="宋体" w:cs="宋体"/>
          <w:b/>
          <w:bCs/>
          <w:kern w:val="0"/>
          <w:highlight w:val="none"/>
        </w:rPr>
      </w:pPr>
      <w:r>
        <w:rPr>
          <w:rFonts w:hint="eastAsia" w:ascii="宋体" w:hAnsi="宋体" w:eastAsia="宋体" w:cs="宋体"/>
          <w:b/>
          <w:bCs/>
          <w:kern w:val="0"/>
          <w:highlight w:val="none"/>
        </w:rPr>
        <w:t>不可抗力</w:t>
      </w:r>
    </w:p>
    <w:p w14:paraId="032E297A">
      <w:pPr>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双方在订立合同时无法控制、不可预见的事件如：战争、水灾、地震，异常恶劣天气以及双方同意的事件为不可抗力事件。乙方需自行对可能发生的此类事件所造成货物灭失或损坏进行保险；当因不可抗力事件发生致使履约延迟时，履行合同的期限可相应延长，但乙方应继续履行合同。</w:t>
      </w:r>
    </w:p>
    <w:p w14:paraId="1CF9D6D5">
      <w:pPr>
        <w:pStyle w:val="35"/>
        <w:numPr>
          <w:ilvl w:val="0"/>
          <w:numId w:val="4"/>
        </w:numPr>
        <w:tabs>
          <w:tab w:val="left" w:pos="720"/>
        </w:tabs>
        <w:snapToGrid w:val="0"/>
        <w:spacing w:line="360" w:lineRule="auto"/>
        <w:ind w:left="0" w:leftChars="0" w:firstLine="482" w:firstLineChars="200"/>
        <w:rPr>
          <w:rFonts w:hint="eastAsia" w:ascii="宋体" w:hAnsi="宋体" w:eastAsia="宋体" w:cs="宋体"/>
          <w:b/>
          <w:bCs/>
          <w:kern w:val="0"/>
          <w:highlight w:val="none"/>
        </w:rPr>
      </w:pPr>
      <w:r>
        <w:rPr>
          <w:rFonts w:hint="eastAsia" w:ascii="宋体" w:hAnsi="宋体" w:eastAsia="宋体" w:cs="宋体"/>
          <w:b/>
          <w:bCs/>
          <w:kern w:val="0"/>
          <w:highlight w:val="none"/>
        </w:rPr>
        <w:t>双方义务及违约责任</w:t>
      </w:r>
    </w:p>
    <w:p w14:paraId="37B374FC">
      <w:pPr>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1.甲乙双方不履行合同约定的义务即为违约。</w:t>
      </w:r>
    </w:p>
    <w:p w14:paraId="7A9BBC96">
      <w:pPr>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2.如乙方不能按期交货，除经甲方认可的不可抗拒原因外（以书面通知为准），交货日期每延长一天，甲方按合同总金额的3‰按日收取延迟交货违约金，违约金最高不超过合同总金额5%。</w:t>
      </w:r>
    </w:p>
    <w:p w14:paraId="439ECCEA">
      <w:pPr>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3.由于乙方原因不能按照约定交货的，在甲方通知后10日内乙方仍未履行或采取补救措施的，甲方有权终止合同，乙方须按合同总金额的30%向甲方支付违约赔偿金，并全额退还甲方已付给乙方的货款。</w:t>
      </w:r>
    </w:p>
    <w:p w14:paraId="3E2801C1">
      <w:pPr>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4.乙方所交付的设备品种、型号、规格、质量不符合合同约定、国家标准，所供设备达不到约定技术要求的，乙方必须无条件退回全部货款，并向甲方支付合同总金额的20%的赔偿金。</w:t>
      </w:r>
    </w:p>
    <w:p w14:paraId="1FD80D4D">
      <w:pPr>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5.甲方无正当理由逾期付款，每延长一天，按未付金额的3‰作为违约金，在逾期三十天内时适用（如有特殊情况，甲方需在乙方发货前以书面形式通知），违约金最多不超过合同总金额的5%。</w:t>
      </w:r>
    </w:p>
    <w:p w14:paraId="3E8301B0">
      <w:pPr>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6.甲方在以下情况下可向乙方发出书面通知，终止部分或全部合同：</w:t>
      </w:r>
    </w:p>
    <w:p w14:paraId="42E4980D">
      <w:pPr>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⑴乙方未能在合同规定的期限或甲方同意延长的限期内提供全部或部分货物。</w:t>
      </w:r>
    </w:p>
    <w:p w14:paraId="56A9FFC4">
      <w:pPr>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⑵如果乙方未能履行合同规定的其他义务，乙方在收到甲方发出的违约通知后10天内，或经甲方书面认可延长的时间内未能纠正其过失。</w:t>
      </w:r>
    </w:p>
    <w:p w14:paraId="52C5E243">
      <w:pPr>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7.在甲方根据上款规定，终止了全部或部分合同，甲方可以依其认为适当的条件和方法购买与未交货类似的货物，乙方应对购买类似货物所超出的费用负责。并且乙方还应继续执行合同中未终止的部分。</w:t>
      </w:r>
    </w:p>
    <w:p w14:paraId="0C85F8F0">
      <w:pPr>
        <w:pStyle w:val="35"/>
        <w:numPr>
          <w:ilvl w:val="0"/>
          <w:numId w:val="4"/>
        </w:numPr>
        <w:tabs>
          <w:tab w:val="left" w:pos="720"/>
        </w:tabs>
        <w:snapToGrid w:val="0"/>
        <w:spacing w:line="360" w:lineRule="auto"/>
        <w:ind w:left="0" w:leftChars="0" w:firstLine="482" w:firstLineChars="200"/>
        <w:rPr>
          <w:rFonts w:hint="eastAsia" w:ascii="宋体" w:hAnsi="宋体" w:eastAsia="宋体" w:cs="宋体"/>
          <w:b/>
          <w:bCs/>
          <w:kern w:val="0"/>
          <w:highlight w:val="none"/>
        </w:rPr>
      </w:pPr>
      <w:r>
        <w:rPr>
          <w:rFonts w:hint="eastAsia" w:ascii="宋体" w:hAnsi="宋体" w:eastAsia="宋体" w:cs="宋体"/>
          <w:b/>
          <w:bCs/>
          <w:kern w:val="0"/>
          <w:highlight w:val="none"/>
        </w:rPr>
        <w:t>合同修改</w:t>
      </w:r>
    </w:p>
    <w:p w14:paraId="0AABC570">
      <w:pPr>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对合同约定不明确的或者需要对本合同进行修改、补充的，</w:t>
      </w:r>
      <w:bookmarkStart w:id="151" w:name="_Hlk113182727"/>
      <w:r>
        <w:rPr>
          <w:rFonts w:hint="eastAsia" w:ascii="宋体" w:hAnsi="宋体" w:cs="宋体"/>
          <w:kern w:val="0"/>
          <w:sz w:val="24"/>
          <w:highlight w:val="none"/>
        </w:rPr>
        <w:t>在不违反法律法规和不超出招、投标文件内容的前提下，</w:t>
      </w:r>
      <w:bookmarkEnd w:id="151"/>
      <w:r>
        <w:rPr>
          <w:rFonts w:hint="eastAsia" w:ascii="宋体" w:hAnsi="宋体" w:cs="宋体"/>
          <w:kern w:val="0"/>
          <w:sz w:val="24"/>
          <w:highlight w:val="none"/>
        </w:rPr>
        <w:t>经双方协商一致后达成补充协议，补充协议是本合同的重要组成部分，与本合同具有同等法律效力，双方签字盖章后生效。</w:t>
      </w:r>
    </w:p>
    <w:p w14:paraId="7AC220A4">
      <w:pPr>
        <w:pStyle w:val="35"/>
        <w:numPr>
          <w:ilvl w:val="0"/>
          <w:numId w:val="4"/>
        </w:numPr>
        <w:tabs>
          <w:tab w:val="left" w:pos="720"/>
        </w:tabs>
        <w:snapToGrid w:val="0"/>
        <w:spacing w:line="360" w:lineRule="auto"/>
        <w:ind w:left="0" w:leftChars="0" w:firstLine="482" w:firstLineChars="200"/>
        <w:rPr>
          <w:rFonts w:hint="eastAsia" w:ascii="宋体" w:hAnsi="宋体" w:eastAsia="宋体" w:cs="宋体"/>
          <w:b/>
          <w:bCs/>
          <w:kern w:val="0"/>
          <w:highlight w:val="none"/>
        </w:rPr>
      </w:pPr>
      <w:r>
        <w:rPr>
          <w:rFonts w:hint="eastAsia" w:ascii="宋体" w:hAnsi="宋体" w:eastAsia="宋体" w:cs="宋体"/>
          <w:b/>
          <w:bCs/>
          <w:kern w:val="0"/>
          <w:highlight w:val="none"/>
        </w:rPr>
        <w:t>合同争议解决</w:t>
      </w:r>
    </w:p>
    <w:p w14:paraId="046B344F">
      <w:pPr>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1.因货物质量问题发生争议的，由甲方属地技术质量监督部门进行质量鉴定；货物符合质量标准的，鉴定费由甲方承担；货物不符合质量标准的，鉴定费由乙方承担，同时按本合同第十条第4款处理。</w:t>
      </w:r>
    </w:p>
    <w:p w14:paraId="1FC27093">
      <w:pPr>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2.</w:t>
      </w:r>
      <w:r>
        <w:rPr>
          <w:rFonts w:hint="eastAsia" w:ascii="宋体" w:hAnsi="宋体" w:cs="宋体"/>
          <w:sz w:val="24"/>
          <w:highlight w:val="none"/>
        </w:rPr>
        <w:t>因履行本合同引起的或与本合同有关的争议，甲乙双方应首先通过友好协商解决，如协商不能解决，可提请大连仲裁委员会仲裁。仲裁期间，本合同继续履行</w:t>
      </w:r>
      <w:r>
        <w:rPr>
          <w:rFonts w:hint="eastAsia" w:ascii="宋体" w:hAnsi="宋体" w:cs="宋体"/>
          <w:kern w:val="0"/>
          <w:sz w:val="24"/>
          <w:highlight w:val="none"/>
        </w:rPr>
        <w:t>。</w:t>
      </w:r>
    </w:p>
    <w:p w14:paraId="016581E3">
      <w:pPr>
        <w:pStyle w:val="35"/>
        <w:numPr>
          <w:ilvl w:val="0"/>
          <w:numId w:val="4"/>
        </w:numPr>
        <w:tabs>
          <w:tab w:val="left" w:pos="720"/>
        </w:tabs>
        <w:snapToGrid w:val="0"/>
        <w:spacing w:line="360" w:lineRule="auto"/>
        <w:ind w:left="0" w:leftChars="0" w:firstLine="482" w:firstLineChars="200"/>
        <w:rPr>
          <w:rFonts w:hint="eastAsia" w:ascii="宋体" w:hAnsi="宋体" w:eastAsia="宋体" w:cs="宋体"/>
          <w:b/>
          <w:bCs/>
          <w:kern w:val="0"/>
          <w:highlight w:val="none"/>
        </w:rPr>
      </w:pPr>
      <w:r>
        <w:rPr>
          <w:rFonts w:hint="eastAsia" w:ascii="宋体" w:hAnsi="宋体" w:eastAsia="宋体" w:cs="宋体"/>
          <w:b/>
          <w:bCs/>
          <w:kern w:val="0"/>
          <w:highlight w:val="none"/>
        </w:rPr>
        <w:t>其他</w:t>
      </w:r>
    </w:p>
    <w:p w14:paraId="2E3483B5">
      <w:pPr>
        <w:snapToGrid w:val="0"/>
        <w:spacing w:line="360" w:lineRule="auto"/>
        <w:ind w:firstLine="480" w:firstLineChars="200"/>
        <w:rPr>
          <w:rFonts w:hint="eastAsia" w:ascii="宋体" w:hAnsi="宋体" w:cs="宋体"/>
          <w:bCs/>
          <w:kern w:val="0"/>
          <w:sz w:val="24"/>
          <w:highlight w:val="none"/>
        </w:rPr>
      </w:pPr>
      <w:r>
        <w:rPr>
          <w:rFonts w:hint="eastAsia" w:ascii="宋体" w:hAnsi="宋体" w:cs="宋体"/>
          <w:bCs/>
          <w:kern w:val="0"/>
          <w:sz w:val="24"/>
          <w:highlight w:val="none"/>
        </w:rPr>
        <w:t>1</w:t>
      </w:r>
      <w:r>
        <w:rPr>
          <w:rFonts w:hint="eastAsia" w:ascii="宋体" w:hAnsi="宋体" w:cs="宋体"/>
          <w:kern w:val="0"/>
          <w:sz w:val="24"/>
          <w:highlight w:val="none"/>
        </w:rPr>
        <w:t>.</w:t>
      </w:r>
      <w:r>
        <w:rPr>
          <w:rFonts w:hint="eastAsia" w:ascii="宋体" w:hAnsi="宋体" w:cs="宋体"/>
          <w:bCs/>
          <w:kern w:val="0"/>
          <w:sz w:val="24"/>
          <w:highlight w:val="none"/>
        </w:rPr>
        <w:t>中标通知书、投标文件、招标文件与本合同书一起组成合同文件。</w:t>
      </w:r>
    </w:p>
    <w:p w14:paraId="2FAD90F8">
      <w:pPr>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2.本合同一式六份，甲乙双方各执三份。</w:t>
      </w:r>
    </w:p>
    <w:p w14:paraId="309F53BF">
      <w:pPr>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3.本合同自双方代表签字盖章之日起生效。</w:t>
      </w:r>
    </w:p>
    <w:p w14:paraId="6B5C99D1">
      <w:pPr>
        <w:snapToGrid w:val="0"/>
        <w:spacing w:line="360" w:lineRule="auto"/>
        <w:ind w:firstLine="482" w:firstLineChars="200"/>
        <w:jc w:val="left"/>
        <w:rPr>
          <w:rFonts w:hint="eastAsia" w:ascii="宋体" w:hAnsi="宋体" w:cs="宋体"/>
          <w:b/>
          <w:bCs/>
          <w:kern w:val="0"/>
          <w:sz w:val="24"/>
          <w:highlight w:val="none"/>
        </w:rPr>
      </w:pPr>
    </w:p>
    <w:p w14:paraId="5A85DDCC">
      <w:pPr>
        <w:snapToGrid w:val="0"/>
        <w:spacing w:line="360" w:lineRule="auto"/>
        <w:ind w:firstLine="482" w:firstLineChars="200"/>
        <w:jc w:val="left"/>
        <w:rPr>
          <w:rFonts w:hint="eastAsia" w:ascii="宋体" w:hAnsi="宋体" w:cs="宋体"/>
          <w:b/>
          <w:bCs/>
          <w:kern w:val="0"/>
          <w:sz w:val="24"/>
          <w:highlight w:val="none"/>
        </w:rPr>
      </w:pPr>
      <w:r>
        <w:rPr>
          <w:rFonts w:hint="eastAsia" w:ascii="宋体" w:hAnsi="宋体" w:cs="宋体"/>
          <w:b/>
          <w:bCs/>
          <w:kern w:val="0"/>
          <w:sz w:val="24"/>
          <w:highlight w:val="none"/>
        </w:rPr>
        <w:t>甲方（盖章）</w:t>
      </w:r>
      <w:r>
        <w:rPr>
          <w:rFonts w:hint="eastAsia" w:ascii="宋体" w:hAnsi="宋体" w:cs="宋体"/>
          <w:kern w:val="0"/>
          <w:sz w:val="24"/>
          <w:highlight w:val="none"/>
        </w:rPr>
        <w:t>大连理工大学</w:t>
      </w:r>
      <w:r>
        <w:rPr>
          <w:rFonts w:hint="eastAsia" w:ascii="宋体" w:hAnsi="宋体" w:cs="宋体"/>
          <w:b/>
          <w:bCs/>
          <w:kern w:val="0"/>
          <w:sz w:val="24"/>
          <w:highlight w:val="none"/>
        </w:rPr>
        <w:t xml:space="preserve">             乙方（盖章）： </w:t>
      </w:r>
    </w:p>
    <w:p w14:paraId="5C9ACEDF">
      <w:pPr>
        <w:snapToGrid w:val="0"/>
        <w:spacing w:line="360" w:lineRule="auto"/>
        <w:ind w:firstLine="482"/>
        <w:jc w:val="left"/>
        <w:rPr>
          <w:rFonts w:hint="eastAsia" w:ascii="宋体" w:hAnsi="宋体" w:cs="宋体"/>
          <w:b/>
          <w:bCs/>
          <w:kern w:val="0"/>
          <w:sz w:val="24"/>
          <w:highlight w:val="none"/>
        </w:rPr>
      </w:pPr>
    </w:p>
    <w:p w14:paraId="39FF3334">
      <w:pPr>
        <w:snapToGrid w:val="0"/>
        <w:spacing w:line="360" w:lineRule="auto"/>
        <w:ind w:firstLine="482" w:firstLineChars="200"/>
        <w:jc w:val="left"/>
        <w:rPr>
          <w:rFonts w:hint="eastAsia" w:ascii="宋体" w:hAnsi="宋体" w:cs="宋体"/>
          <w:b/>
          <w:bCs/>
          <w:kern w:val="0"/>
          <w:sz w:val="24"/>
          <w:highlight w:val="none"/>
        </w:rPr>
      </w:pPr>
      <w:r>
        <w:rPr>
          <w:rFonts w:hint="eastAsia" w:ascii="宋体" w:hAnsi="宋体" w:cs="宋体"/>
          <w:b/>
          <w:bCs/>
          <w:kern w:val="0"/>
          <w:sz w:val="24"/>
          <w:highlight w:val="none"/>
        </w:rPr>
        <w:t>委托代理人（签字）：                 法定代表人/委托代理人（签字）：</w:t>
      </w:r>
    </w:p>
    <w:p w14:paraId="0E5C24D7">
      <w:pPr>
        <w:snapToGrid w:val="0"/>
        <w:spacing w:line="360" w:lineRule="auto"/>
        <w:ind w:firstLine="482" w:firstLineChars="200"/>
        <w:jc w:val="left"/>
        <w:rPr>
          <w:rFonts w:hint="eastAsia" w:ascii="宋体" w:hAnsi="宋体" w:cs="宋体"/>
          <w:b/>
          <w:bCs/>
          <w:kern w:val="0"/>
          <w:sz w:val="24"/>
          <w:highlight w:val="none"/>
        </w:rPr>
      </w:pPr>
      <w:r>
        <w:rPr>
          <w:rFonts w:hint="eastAsia" w:ascii="宋体" w:hAnsi="宋体" w:cs="宋体"/>
          <w:b/>
          <w:bCs/>
          <w:kern w:val="0"/>
          <w:sz w:val="24"/>
          <w:highlight w:val="none"/>
        </w:rPr>
        <w:t>地址:大连甘井子区凌工路2号          地址:</w:t>
      </w:r>
    </w:p>
    <w:p w14:paraId="7FFE0280">
      <w:pPr>
        <w:snapToGrid w:val="0"/>
        <w:spacing w:line="360" w:lineRule="auto"/>
        <w:ind w:firstLine="482" w:firstLineChars="200"/>
        <w:jc w:val="left"/>
        <w:rPr>
          <w:rFonts w:hint="eastAsia" w:ascii="宋体" w:hAnsi="宋体" w:cs="宋体"/>
          <w:b/>
          <w:bCs/>
          <w:kern w:val="0"/>
          <w:sz w:val="24"/>
          <w:highlight w:val="none"/>
        </w:rPr>
      </w:pPr>
      <w:r>
        <w:rPr>
          <w:rFonts w:hint="eastAsia" w:ascii="宋体" w:hAnsi="宋体" w:cs="宋体"/>
          <w:b/>
          <w:bCs/>
          <w:kern w:val="0"/>
          <w:sz w:val="24"/>
          <w:highlight w:val="none"/>
        </w:rPr>
        <w:t>邮政编码: 116024                     邮政编码:</w:t>
      </w:r>
    </w:p>
    <w:p w14:paraId="4EB2E3C2">
      <w:pPr>
        <w:snapToGrid w:val="0"/>
        <w:spacing w:line="360" w:lineRule="auto"/>
        <w:ind w:firstLine="482" w:firstLineChars="200"/>
        <w:jc w:val="left"/>
        <w:rPr>
          <w:rFonts w:hint="eastAsia" w:ascii="宋体" w:hAnsi="宋体" w:cs="宋体"/>
          <w:b/>
          <w:bCs/>
          <w:kern w:val="0"/>
          <w:sz w:val="24"/>
          <w:highlight w:val="none"/>
        </w:rPr>
      </w:pPr>
      <w:r>
        <w:rPr>
          <w:rFonts w:hint="eastAsia" w:ascii="宋体" w:hAnsi="宋体" w:cs="宋体"/>
          <w:b/>
          <w:bCs/>
          <w:kern w:val="0"/>
          <w:sz w:val="24"/>
          <w:highlight w:val="none"/>
        </w:rPr>
        <w:t>电话:                                电话:</w:t>
      </w:r>
    </w:p>
    <w:p w14:paraId="3FD85BAC">
      <w:pPr>
        <w:snapToGrid w:val="0"/>
        <w:spacing w:line="360" w:lineRule="auto"/>
        <w:ind w:firstLine="482" w:firstLineChars="200"/>
        <w:jc w:val="left"/>
        <w:rPr>
          <w:rFonts w:hint="eastAsia" w:ascii="宋体" w:hAnsi="宋体" w:cs="宋体"/>
          <w:b/>
          <w:bCs/>
          <w:kern w:val="0"/>
          <w:sz w:val="24"/>
          <w:highlight w:val="none"/>
        </w:rPr>
      </w:pPr>
      <w:r>
        <w:rPr>
          <w:rFonts w:hint="eastAsia" w:ascii="宋体" w:hAnsi="宋体" w:cs="宋体"/>
          <w:b/>
          <w:bCs/>
          <w:kern w:val="0"/>
          <w:sz w:val="24"/>
          <w:highlight w:val="none"/>
        </w:rPr>
        <w:t>开户银行:                            开户银行:</w:t>
      </w:r>
    </w:p>
    <w:p w14:paraId="6A41B949">
      <w:pPr>
        <w:snapToGrid w:val="0"/>
        <w:spacing w:line="360" w:lineRule="auto"/>
        <w:ind w:firstLine="482" w:firstLineChars="200"/>
        <w:jc w:val="left"/>
        <w:rPr>
          <w:rFonts w:hint="eastAsia" w:ascii="宋体" w:hAnsi="宋体" w:cs="宋体"/>
          <w:b/>
          <w:bCs/>
          <w:kern w:val="0"/>
          <w:sz w:val="24"/>
          <w:highlight w:val="none"/>
        </w:rPr>
      </w:pPr>
      <w:r>
        <w:rPr>
          <w:rFonts w:hint="eastAsia" w:ascii="宋体" w:hAnsi="宋体" w:cs="宋体"/>
          <w:b/>
          <w:bCs/>
          <w:kern w:val="0"/>
          <w:sz w:val="24"/>
          <w:highlight w:val="none"/>
        </w:rPr>
        <w:t>账号:                                账号:</w:t>
      </w:r>
    </w:p>
    <w:p w14:paraId="766E239F">
      <w:pPr>
        <w:snapToGrid w:val="0"/>
        <w:spacing w:line="360" w:lineRule="auto"/>
        <w:ind w:firstLine="482" w:firstLineChars="200"/>
        <w:jc w:val="left"/>
        <w:rPr>
          <w:rFonts w:hint="eastAsia" w:ascii="宋体" w:hAnsi="宋体" w:cs="宋体"/>
          <w:kern w:val="0"/>
          <w:sz w:val="24"/>
          <w:highlight w:val="none"/>
        </w:rPr>
      </w:pPr>
      <w:r>
        <w:rPr>
          <w:rFonts w:hint="eastAsia" w:ascii="宋体" w:hAnsi="宋体" w:cs="宋体"/>
          <w:b/>
          <w:bCs/>
          <w:kern w:val="0"/>
          <w:sz w:val="24"/>
          <w:highlight w:val="none"/>
        </w:rPr>
        <w:t>日期：                               日期：</w:t>
      </w:r>
    </w:p>
    <w:p w14:paraId="7A597F7F">
      <w:pPr>
        <w:snapToGrid w:val="0"/>
        <w:spacing w:line="360" w:lineRule="auto"/>
        <w:ind w:firstLine="361" w:firstLineChars="150"/>
        <w:rPr>
          <w:rFonts w:hint="eastAsia" w:ascii="宋体" w:hAnsi="宋体" w:cs="宋体"/>
          <w:b/>
          <w:kern w:val="0"/>
          <w:sz w:val="24"/>
          <w:highlight w:val="none"/>
        </w:rPr>
      </w:pPr>
    </w:p>
    <w:bookmarkEnd w:id="108"/>
    <w:p w14:paraId="567D2B57">
      <w:pPr>
        <w:snapToGrid w:val="0"/>
        <w:spacing w:line="360" w:lineRule="auto"/>
        <w:ind w:firstLine="482"/>
        <w:jc w:val="left"/>
        <w:rPr>
          <w:rFonts w:hint="eastAsia" w:ascii="宋体" w:hAnsi="宋体" w:cs="宋体"/>
          <w:b/>
          <w:kern w:val="0"/>
          <w:sz w:val="24"/>
          <w:highlight w:val="none"/>
        </w:rPr>
      </w:pPr>
      <w:bookmarkStart w:id="152" w:name="_Toc467857351"/>
      <w:bookmarkEnd w:id="152"/>
      <w:bookmarkStart w:id="153" w:name="_Toc467857552"/>
      <w:bookmarkEnd w:id="153"/>
      <w:bookmarkStart w:id="154" w:name="_Toc477936075"/>
      <w:bookmarkEnd w:id="154"/>
      <w:bookmarkStart w:id="155" w:name="_Toc482863413"/>
      <w:bookmarkEnd w:id="155"/>
      <w:bookmarkStart w:id="156" w:name="_Toc6653236"/>
      <w:bookmarkEnd w:id="156"/>
      <w:bookmarkStart w:id="157" w:name="_Toc476747485"/>
      <w:bookmarkEnd w:id="157"/>
      <w:r>
        <w:rPr>
          <w:rFonts w:hint="eastAsia" w:ascii="宋体" w:hAnsi="宋体" w:cs="宋体"/>
          <w:b/>
          <w:kern w:val="0"/>
          <w:sz w:val="24"/>
          <w:highlight w:val="none"/>
        </w:rPr>
        <w:t>注：</w:t>
      </w:r>
      <w:bookmarkEnd w:id="106"/>
      <w:r>
        <w:rPr>
          <w:rFonts w:ascii="宋体" w:hAnsi="宋体"/>
          <w:b/>
          <w:sz w:val="24"/>
          <w:highlight w:val="none"/>
        </w:rPr>
        <w:t>1.本合同仅提供了主要条款，</w:t>
      </w:r>
      <w:r>
        <w:rPr>
          <w:rFonts w:hint="eastAsia" w:ascii="宋体" w:hAnsi="宋体"/>
          <w:b/>
          <w:sz w:val="24"/>
          <w:highlight w:val="none"/>
        </w:rPr>
        <w:t>采购人与</w:t>
      </w:r>
      <w:r>
        <w:rPr>
          <w:rFonts w:ascii="宋体" w:hAnsi="宋体"/>
          <w:b/>
          <w:sz w:val="24"/>
          <w:highlight w:val="none"/>
        </w:rPr>
        <w:t>中标人签订合同时，</w:t>
      </w:r>
      <w:r>
        <w:rPr>
          <w:rFonts w:hint="eastAsia" w:ascii="宋体" w:hAnsi="宋体"/>
          <w:b/>
          <w:sz w:val="24"/>
          <w:highlight w:val="none"/>
        </w:rPr>
        <w:t>按照政府采购相关</w:t>
      </w:r>
      <w:r>
        <w:rPr>
          <w:rFonts w:ascii="宋体" w:hAnsi="宋体"/>
          <w:b/>
          <w:sz w:val="24"/>
          <w:highlight w:val="none"/>
        </w:rPr>
        <w:t>法律法规执行。</w:t>
      </w:r>
      <w:r>
        <w:rPr>
          <w:rFonts w:hint="eastAsia" w:ascii="宋体" w:hAnsi="宋体"/>
          <w:b/>
          <w:sz w:val="24"/>
          <w:highlight w:val="none"/>
        </w:rPr>
        <w:t>如</w:t>
      </w:r>
      <w:r>
        <w:rPr>
          <w:rFonts w:ascii="宋体" w:hAnsi="宋体"/>
          <w:b/>
          <w:sz w:val="24"/>
          <w:highlight w:val="none"/>
        </w:rPr>
        <w:t>细化条款，未尽事宜招标文件中有相关规定的按招标文件执行，招标文件中无相关规定的按合同解释顺序执行。</w:t>
      </w:r>
    </w:p>
    <w:p w14:paraId="1AF47A5B">
      <w:pPr>
        <w:pStyle w:val="98"/>
        <w:numPr>
          <w:ilvl w:val="0"/>
          <w:numId w:val="0"/>
        </w:numPr>
        <w:snapToGrid w:val="0"/>
        <w:ind w:hanging="432"/>
        <w:rPr>
          <w:rFonts w:hint="eastAsia" w:ascii="宋体" w:hAnsi="宋体" w:cs="宋体"/>
          <w:kern w:val="0"/>
          <w:highlight w:val="none"/>
        </w:rPr>
      </w:pPr>
    </w:p>
    <w:p w14:paraId="3006AF0E">
      <w:pPr>
        <w:pStyle w:val="98"/>
        <w:numPr>
          <w:ilvl w:val="0"/>
          <w:numId w:val="0"/>
        </w:numPr>
        <w:snapToGrid w:val="0"/>
        <w:ind w:hanging="432"/>
        <w:rPr>
          <w:rFonts w:hint="eastAsia" w:ascii="宋体" w:hAnsi="宋体" w:cs="宋体"/>
          <w:kern w:val="0"/>
          <w:highlight w:val="none"/>
        </w:rPr>
      </w:pPr>
    </w:p>
    <w:p w14:paraId="0B767632">
      <w:pPr>
        <w:pStyle w:val="98"/>
        <w:numPr>
          <w:ilvl w:val="0"/>
          <w:numId w:val="0"/>
        </w:numPr>
        <w:snapToGrid w:val="0"/>
        <w:ind w:hanging="432"/>
        <w:rPr>
          <w:rFonts w:hint="eastAsia" w:ascii="宋体" w:hAnsi="宋体" w:cs="宋体"/>
          <w:kern w:val="0"/>
          <w:highlight w:val="none"/>
        </w:rPr>
      </w:pPr>
    </w:p>
    <w:p w14:paraId="5AA101ED">
      <w:pPr>
        <w:pStyle w:val="98"/>
        <w:numPr>
          <w:ilvl w:val="0"/>
          <w:numId w:val="0"/>
        </w:numPr>
        <w:snapToGrid w:val="0"/>
        <w:ind w:hanging="432"/>
        <w:rPr>
          <w:rFonts w:hint="eastAsia" w:ascii="宋体" w:hAnsi="宋体" w:cs="宋体"/>
          <w:kern w:val="0"/>
          <w:highlight w:val="none"/>
        </w:rPr>
      </w:pPr>
    </w:p>
    <w:p w14:paraId="6DD3CFEA">
      <w:pPr>
        <w:widowControl/>
        <w:ind w:firstLine="480"/>
        <w:jc w:val="left"/>
        <w:rPr>
          <w:rFonts w:hint="eastAsia" w:ascii="宋体" w:hAnsi="宋体" w:cs="宋体"/>
          <w:kern w:val="0"/>
          <w:sz w:val="24"/>
          <w:highlight w:val="none"/>
        </w:rPr>
      </w:pPr>
      <w:r>
        <w:rPr>
          <w:rFonts w:ascii="宋体" w:hAnsi="宋体" w:cs="宋体"/>
          <w:kern w:val="0"/>
          <w:highlight w:val="none"/>
        </w:rPr>
        <w:br w:type="page"/>
      </w:r>
    </w:p>
    <w:p w14:paraId="71DC36A5">
      <w:pPr>
        <w:pStyle w:val="98"/>
        <w:numPr>
          <w:ilvl w:val="0"/>
          <w:numId w:val="0"/>
        </w:numPr>
        <w:snapToGrid w:val="0"/>
        <w:ind w:hanging="432"/>
        <w:rPr>
          <w:rFonts w:hint="eastAsia" w:ascii="宋体" w:hAnsi="宋体" w:cs="宋体"/>
          <w:kern w:val="0"/>
          <w:highlight w:val="none"/>
        </w:rPr>
      </w:pPr>
    </w:p>
    <w:p w14:paraId="282954D9">
      <w:pPr>
        <w:pStyle w:val="3"/>
        <w:snapToGrid w:val="0"/>
        <w:spacing w:before="0" w:after="0" w:line="360" w:lineRule="auto"/>
        <w:ind w:firstLine="643"/>
        <w:jc w:val="center"/>
        <w:rPr>
          <w:rFonts w:hint="eastAsia" w:ascii="宋体" w:hAnsi="宋体" w:cs="宋体"/>
          <w:kern w:val="0"/>
          <w:sz w:val="32"/>
          <w:szCs w:val="32"/>
          <w:highlight w:val="none"/>
        </w:rPr>
      </w:pPr>
      <w:bookmarkStart w:id="158" w:name="_Toc11522"/>
      <w:bookmarkStart w:id="159" w:name="_Toc26703"/>
      <w:bookmarkStart w:id="160" w:name="_Toc208652415"/>
      <w:bookmarkStart w:id="161" w:name="_Toc27563_WPSOffice_Level3"/>
      <w:bookmarkStart w:id="162" w:name="_Toc6653238"/>
      <w:bookmarkStart w:id="163" w:name="_Toc22913_WPSOffice_Level2"/>
      <w:r>
        <w:rPr>
          <w:rFonts w:hint="eastAsia" w:ascii="宋体" w:hAnsi="宋体" w:cs="宋体"/>
          <w:kern w:val="0"/>
          <w:sz w:val="32"/>
          <w:szCs w:val="32"/>
          <w:highlight w:val="none"/>
        </w:rPr>
        <w:t>第三章 用户需求书</w:t>
      </w:r>
      <w:bookmarkEnd w:id="158"/>
      <w:bookmarkEnd w:id="159"/>
    </w:p>
    <w:p w14:paraId="54A8DAE1">
      <w:pPr>
        <w:snapToGrid w:val="0"/>
        <w:spacing w:line="360" w:lineRule="auto"/>
        <w:rPr>
          <w:rFonts w:hint="eastAsia" w:ascii="宋体" w:hAnsi="宋体" w:cs="宋体"/>
          <w:kern w:val="0"/>
          <w:sz w:val="24"/>
          <w:highlight w:val="none"/>
        </w:rPr>
      </w:pPr>
    </w:p>
    <w:bookmarkEnd w:id="160"/>
    <w:bookmarkEnd w:id="161"/>
    <w:p w14:paraId="6CE1BF9B">
      <w:pPr>
        <w:snapToGrid w:val="0"/>
        <w:spacing w:line="360" w:lineRule="auto"/>
        <w:ind w:firstLine="482" w:firstLineChars="200"/>
        <w:rPr>
          <w:rFonts w:hint="eastAsia" w:ascii="宋体" w:hAnsi="宋体" w:cs="宋体"/>
          <w:b/>
          <w:bCs/>
          <w:kern w:val="0"/>
          <w:sz w:val="24"/>
          <w:highlight w:val="none"/>
        </w:rPr>
      </w:pPr>
      <w:r>
        <w:rPr>
          <w:rFonts w:hint="eastAsia" w:ascii="宋体" w:hAnsi="宋体" w:cs="宋体"/>
          <w:b/>
          <w:bCs/>
          <w:kern w:val="0"/>
          <w:sz w:val="24"/>
          <w:highlight w:val="none"/>
        </w:rPr>
        <w:t>一、项目概况：</w:t>
      </w:r>
    </w:p>
    <w:p w14:paraId="2B807D4B">
      <w:pPr>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本项目拟采购PEM/AEM水电解制氢实验教学系统1套，用于“氢能+AI”技术相关电化学工程领域的实验教学。主要实现：通过超声喷涂装备，学生可以自主制备电极材料；通过工业机器人，学生可以实现电解槽的自动装配；通过可视化流场，实现不同流场内气液两相流动及分布的智能识别；具备完整的流体输送、温度感知与控制、冷凝、背压、气液分离、产物浓度分析等完善的水电解制氢评价平台。</w:t>
      </w:r>
    </w:p>
    <w:p w14:paraId="7B5373F2">
      <w:pPr>
        <w:pStyle w:val="98"/>
        <w:numPr>
          <w:ilvl w:val="0"/>
          <w:numId w:val="0"/>
        </w:numPr>
        <w:ind w:left="432" w:hanging="432"/>
        <w:rPr>
          <w:highlight w:val="none"/>
        </w:rPr>
      </w:pPr>
    </w:p>
    <w:p w14:paraId="4B93F29D">
      <w:pPr>
        <w:spacing w:line="360" w:lineRule="auto"/>
        <w:ind w:firstLine="482" w:firstLineChars="200"/>
        <w:rPr>
          <w:rFonts w:hint="eastAsia" w:hAnsi="宋体"/>
          <w:b/>
          <w:sz w:val="24"/>
          <w:highlight w:val="none"/>
        </w:rPr>
      </w:pPr>
      <w:r>
        <w:rPr>
          <w:rFonts w:hint="eastAsia" w:hAnsi="宋体"/>
          <w:b/>
          <w:sz w:val="24"/>
          <w:highlight w:val="none"/>
        </w:rPr>
        <w:t>二、需求清单</w:t>
      </w:r>
    </w:p>
    <w:tbl>
      <w:tblPr>
        <w:tblStyle w:val="88"/>
        <w:tblW w:w="974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64"/>
        <w:gridCol w:w="4390"/>
        <w:gridCol w:w="1885"/>
        <w:gridCol w:w="1805"/>
      </w:tblGrid>
      <w:tr w14:paraId="3F5BB1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3" w:hRule="atLeast"/>
          <w:jc w:val="center"/>
        </w:trPr>
        <w:tc>
          <w:tcPr>
            <w:tcW w:w="1664" w:type="dxa"/>
            <w:shd w:val="clear" w:color="000000" w:fill="FFFFFF"/>
            <w:vAlign w:val="center"/>
          </w:tcPr>
          <w:p w14:paraId="05CF59DD">
            <w:pPr>
              <w:widowControl/>
              <w:jc w:val="center"/>
              <w:rPr>
                <w:rFonts w:hint="eastAsia" w:ascii="宋体" w:hAnsi="宋体" w:cs="宋体"/>
                <w:b/>
                <w:bCs/>
                <w:kern w:val="0"/>
                <w:sz w:val="24"/>
                <w:highlight w:val="none"/>
              </w:rPr>
            </w:pPr>
            <w:r>
              <w:rPr>
                <w:rFonts w:hint="eastAsia" w:ascii="宋体" w:hAnsi="宋体" w:cs="宋体"/>
                <w:b/>
                <w:bCs/>
                <w:kern w:val="0"/>
                <w:sz w:val="24"/>
                <w:highlight w:val="none"/>
              </w:rPr>
              <w:t>序号</w:t>
            </w:r>
          </w:p>
        </w:tc>
        <w:tc>
          <w:tcPr>
            <w:tcW w:w="4390" w:type="dxa"/>
            <w:shd w:val="clear" w:color="000000" w:fill="FFFFFF"/>
            <w:vAlign w:val="center"/>
          </w:tcPr>
          <w:p w14:paraId="7EB72B2E">
            <w:pPr>
              <w:widowControl/>
              <w:jc w:val="center"/>
              <w:rPr>
                <w:rFonts w:hint="eastAsia" w:ascii="宋体" w:hAnsi="宋体" w:cs="宋体"/>
                <w:b/>
                <w:bCs/>
                <w:kern w:val="0"/>
                <w:sz w:val="24"/>
                <w:highlight w:val="none"/>
              </w:rPr>
            </w:pPr>
            <w:r>
              <w:rPr>
                <w:rFonts w:hint="eastAsia" w:ascii="宋体" w:hAnsi="宋体" w:cs="宋体"/>
                <w:b/>
                <w:bCs/>
                <w:kern w:val="0"/>
                <w:sz w:val="24"/>
                <w:highlight w:val="none"/>
              </w:rPr>
              <w:t>货物名称</w:t>
            </w:r>
          </w:p>
        </w:tc>
        <w:tc>
          <w:tcPr>
            <w:tcW w:w="1885" w:type="dxa"/>
            <w:shd w:val="clear" w:color="000000" w:fill="FFFFFF"/>
            <w:vAlign w:val="center"/>
          </w:tcPr>
          <w:p w14:paraId="540070E1">
            <w:pPr>
              <w:widowControl/>
              <w:jc w:val="center"/>
              <w:rPr>
                <w:rFonts w:hint="eastAsia" w:ascii="宋体" w:hAnsi="宋体" w:cs="宋体"/>
                <w:b/>
                <w:bCs/>
                <w:kern w:val="0"/>
                <w:sz w:val="24"/>
                <w:highlight w:val="none"/>
              </w:rPr>
            </w:pPr>
            <w:r>
              <w:rPr>
                <w:rFonts w:hint="eastAsia" w:ascii="宋体" w:hAnsi="宋体" w:cs="宋体"/>
                <w:b/>
                <w:bCs/>
                <w:kern w:val="0"/>
                <w:sz w:val="24"/>
                <w:highlight w:val="none"/>
              </w:rPr>
              <w:t>数量</w:t>
            </w:r>
          </w:p>
        </w:tc>
        <w:tc>
          <w:tcPr>
            <w:tcW w:w="1805" w:type="dxa"/>
            <w:shd w:val="clear" w:color="000000" w:fill="FFFFFF"/>
            <w:vAlign w:val="center"/>
          </w:tcPr>
          <w:p w14:paraId="2FF75A9B">
            <w:pPr>
              <w:widowControl/>
              <w:jc w:val="center"/>
              <w:rPr>
                <w:rFonts w:hint="eastAsia" w:ascii="宋体" w:hAnsi="宋体" w:cs="宋体"/>
                <w:b/>
                <w:bCs/>
                <w:kern w:val="0"/>
                <w:sz w:val="24"/>
                <w:highlight w:val="none"/>
              </w:rPr>
            </w:pPr>
            <w:r>
              <w:rPr>
                <w:rFonts w:hint="eastAsia" w:ascii="宋体" w:hAnsi="宋体" w:cs="宋体"/>
                <w:b/>
                <w:bCs/>
                <w:kern w:val="0"/>
                <w:sz w:val="24"/>
                <w:highlight w:val="none"/>
              </w:rPr>
              <w:t>单位</w:t>
            </w:r>
          </w:p>
        </w:tc>
      </w:tr>
      <w:tr w14:paraId="573763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8" w:hRule="atLeast"/>
          <w:jc w:val="center"/>
        </w:trPr>
        <w:tc>
          <w:tcPr>
            <w:tcW w:w="1664" w:type="dxa"/>
            <w:vAlign w:val="center"/>
          </w:tcPr>
          <w:p w14:paraId="3BAB758F">
            <w:pPr>
              <w:widowControl/>
              <w:jc w:val="center"/>
              <w:rPr>
                <w:rFonts w:hint="eastAsia" w:ascii="宋体" w:hAnsi="宋体" w:cs="宋体"/>
                <w:kern w:val="0"/>
                <w:sz w:val="24"/>
                <w:highlight w:val="none"/>
              </w:rPr>
            </w:pPr>
            <w:r>
              <w:rPr>
                <w:rFonts w:hint="eastAsia" w:ascii="宋体" w:hAnsi="宋体" w:cs="宋体"/>
                <w:kern w:val="0"/>
                <w:sz w:val="24"/>
                <w:highlight w:val="none"/>
              </w:rPr>
              <w:t>1</w:t>
            </w:r>
          </w:p>
        </w:tc>
        <w:tc>
          <w:tcPr>
            <w:tcW w:w="4390" w:type="dxa"/>
            <w:vAlign w:val="center"/>
          </w:tcPr>
          <w:p w14:paraId="3BC9C737">
            <w:pPr>
              <w:widowControl/>
              <w:jc w:val="center"/>
              <w:rPr>
                <w:rFonts w:hint="eastAsia" w:ascii="宋体" w:hAnsi="宋体" w:cs="宋体"/>
                <w:kern w:val="0"/>
                <w:sz w:val="24"/>
                <w:highlight w:val="none"/>
              </w:rPr>
            </w:pPr>
            <w:r>
              <w:rPr>
                <w:rFonts w:hint="eastAsia" w:ascii="宋体" w:hAnsi="宋体" w:cs="宋体"/>
                <w:kern w:val="0"/>
                <w:sz w:val="24"/>
                <w:highlight w:val="none"/>
              </w:rPr>
              <w:t>PEM/AEM水电解制氢实验教学系统</w:t>
            </w:r>
          </w:p>
        </w:tc>
        <w:tc>
          <w:tcPr>
            <w:tcW w:w="1885" w:type="dxa"/>
            <w:vAlign w:val="center"/>
          </w:tcPr>
          <w:p w14:paraId="46EC61C5">
            <w:pPr>
              <w:widowControl/>
              <w:jc w:val="center"/>
              <w:rPr>
                <w:rFonts w:hint="eastAsia" w:ascii="宋体" w:hAnsi="宋体" w:cs="宋体"/>
                <w:kern w:val="0"/>
                <w:sz w:val="24"/>
                <w:highlight w:val="none"/>
              </w:rPr>
            </w:pPr>
            <w:r>
              <w:rPr>
                <w:rFonts w:ascii="宋体" w:hAnsi="宋体" w:cs="宋体"/>
                <w:kern w:val="0"/>
                <w:sz w:val="24"/>
                <w:highlight w:val="none"/>
              </w:rPr>
              <w:t>1</w:t>
            </w:r>
          </w:p>
        </w:tc>
        <w:tc>
          <w:tcPr>
            <w:tcW w:w="1805" w:type="dxa"/>
            <w:shd w:val="clear" w:color="000000" w:fill="FFFFFF"/>
            <w:vAlign w:val="center"/>
          </w:tcPr>
          <w:p w14:paraId="756FA5C5">
            <w:pPr>
              <w:widowControl/>
              <w:jc w:val="center"/>
              <w:rPr>
                <w:rFonts w:hint="eastAsia" w:ascii="宋体" w:hAnsi="宋体" w:cs="宋体"/>
                <w:kern w:val="0"/>
                <w:sz w:val="24"/>
                <w:highlight w:val="none"/>
              </w:rPr>
            </w:pPr>
            <w:r>
              <w:rPr>
                <w:rFonts w:hint="eastAsia" w:ascii="宋体" w:hAnsi="宋体" w:cs="宋体"/>
                <w:kern w:val="0"/>
                <w:sz w:val="24"/>
                <w:highlight w:val="none"/>
              </w:rPr>
              <w:t>套</w:t>
            </w:r>
          </w:p>
        </w:tc>
      </w:tr>
    </w:tbl>
    <w:p w14:paraId="02E8D6F1">
      <w:pPr>
        <w:spacing w:line="360" w:lineRule="auto"/>
        <w:rPr>
          <w:rFonts w:hint="eastAsia" w:hAnsi="宋体"/>
          <w:b/>
          <w:sz w:val="24"/>
          <w:highlight w:val="none"/>
        </w:rPr>
      </w:pPr>
    </w:p>
    <w:p w14:paraId="398A92D9">
      <w:pPr>
        <w:spacing w:line="360" w:lineRule="auto"/>
        <w:ind w:firstLine="482" w:firstLineChars="200"/>
        <w:rPr>
          <w:b/>
          <w:sz w:val="24"/>
          <w:highlight w:val="none"/>
        </w:rPr>
      </w:pPr>
      <w:r>
        <w:rPr>
          <w:rFonts w:hint="eastAsia" w:hAnsi="宋体"/>
          <w:b/>
          <w:sz w:val="24"/>
          <w:highlight w:val="none"/>
        </w:rPr>
        <w:t>三</w:t>
      </w:r>
      <w:r>
        <w:rPr>
          <w:rFonts w:hAnsi="宋体"/>
          <w:b/>
          <w:sz w:val="24"/>
          <w:highlight w:val="none"/>
        </w:rPr>
        <w:t>、技术参数：</w:t>
      </w:r>
    </w:p>
    <w:p w14:paraId="3E5A8456">
      <w:pPr>
        <w:autoSpaceDE w:val="0"/>
        <w:autoSpaceDN w:val="0"/>
        <w:spacing w:line="360" w:lineRule="auto"/>
        <w:rPr>
          <w:rFonts w:hint="eastAsia"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（一）、功能</w:t>
      </w:r>
    </w:p>
    <w:p w14:paraId="4708CB91">
      <w:pPr>
        <w:widowControl/>
        <w:spacing w:line="360" w:lineRule="auto"/>
        <w:rPr>
          <w:rFonts w:hint="eastAsia" w:ascii="宋体" w:hAnsi="宋体" w:cs="宋体"/>
          <w:kern w:val="0"/>
          <w:sz w:val="24"/>
          <w:highlight w:val="none"/>
        </w:rPr>
      </w:pPr>
      <w:bookmarkStart w:id="164" w:name="OLE_LINK3"/>
      <w:r>
        <w:rPr>
          <w:rFonts w:hint="eastAsia" w:ascii="宋体" w:hAnsi="宋体" w:cs="宋体"/>
          <w:kern w:val="0"/>
          <w:sz w:val="24"/>
          <w:highlight w:val="none"/>
        </w:rPr>
        <w:t>（1）教学系统有超声喷涂装备，可实现全自动制备电极材料;</w:t>
      </w:r>
    </w:p>
    <w:p w14:paraId="7438F158">
      <w:pPr>
        <w:widowControl/>
        <w:spacing w:line="360" w:lineRule="auto"/>
        <w:rPr>
          <w:rFonts w:hint="eastAsia" w:ascii="宋体" w:hAnsi="宋体" w:cs="宋体"/>
          <w:kern w:val="0"/>
          <w:sz w:val="24"/>
          <w:highlight w:val="none"/>
        </w:rPr>
      </w:pPr>
      <w:r>
        <w:rPr>
          <w:rFonts w:hint="eastAsia" w:ascii="宋体" w:hAnsi="宋体" w:cs="宋体"/>
          <w:kern w:val="0"/>
          <w:sz w:val="24"/>
          <w:highlight w:val="none"/>
        </w:rPr>
        <w:t>（2）教学系统课通过工业机器人实现螺丝配件的自动识别、抓取、定位、定扭力装配；</w:t>
      </w:r>
    </w:p>
    <w:p w14:paraId="28742F16">
      <w:pPr>
        <w:widowControl/>
        <w:spacing w:line="360" w:lineRule="auto"/>
        <w:rPr>
          <w:rFonts w:hint="eastAsia" w:ascii="宋体" w:hAnsi="宋体" w:cs="宋体"/>
          <w:kern w:val="0"/>
          <w:sz w:val="24"/>
          <w:highlight w:val="none"/>
        </w:rPr>
      </w:pPr>
      <w:r>
        <w:rPr>
          <w:rFonts w:hint="eastAsia" w:ascii="宋体" w:hAnsi="宋体" w:cs="宋体"/>
          <w:kern w:val="0"/>
          <w:sz w:val="24"/>
          <w:highlight w:val="none"/>
        </w:rPr>
        <w:t>（3）教学系统要求具用于电解槽固定的模具；</w:t>
      </w:r>
    </w:p>
    <w:p w14:paraId="323F554A">
      <w:pPr>
        <w:widowControl/>
        <w:spacing w:line="360" w:lineRule="auto"/>
        <w:rPr>
          <w:rFonts w:hint="eastAsia" w:ascii="宋体" w:hAnsi="宋体" w:cs="宋体"/>
          <w:kern w:val="0"/>
          <w:sz w:val="24"/>
          <w:highlight w:val="none"/>
        </w:rPr>
      </w:pPr>
      <w:r>
        <w:rPr>
          <w:rFonts w:hint="eastAsia" w:ascii="宋体" w:hAnsi="宋体" w:cs="宋体"/>
          <w:kern w:val="0"/>
          <w:sz w:val="24"/>
          <w:highlight w:val="none"/>
        </w:rPr>
        <w:t>（4）</w:t>
      </w:r>
      <w:r>
        <w:rPr>
          <w:rFonts w:hint="eastAsia" w:ascii="宋体" w:hAnsi="宋体"/>
          <w:sz w:val="24"/>
          <w:highlight w:val="none"/>
        </w:rPr>
        <w:t>★</w:t>
      </w:r>
      <w:r>
        <w:rPr>
          <w:rFonts w:hint="eastAsia" w:ascii="宋体" w:hAnsi="宋体" w:cs="宋体"/>
          <w:kern w:val="0"/>
          <w:sz w:val="24"/>
          <w:highlight w:val="none"/>
        </w:rPr>
        <w:t>教学系统要求有AI软件实现流场内气液两相流动分布的智能识别；</w:t>
      </w:r>
    </w:p>
    <w:p w14:paraId="4F53E399">
      <w:pPr>
        <w:widowControl/>
        <w:spacing w:line="360" w:lineRule="auto"/>
        <w:rPr>
          <w:rFonts w:hint="eastAsia" w:ascii="宋体" w:hAnsi="宋体" w:cs="宋体"/>
          <w:kern w:val="0"/>
          <w:sz w:val="24"/>
          <w:highlight w:val="none"/>
        </w:rPr>
      </w:pPr>
      <w:r>
        <w:rPr>
          <w:rFonts w:hint="eastAsia" w:ascii="宋体" w:hAnsi="宋体" w:cs="宋体"/>
          <w:kern w:val="0"/>
          <w:sz w:val="24"/>
          <w:highlight w:val="none"/>
        </w:rPr>
        <w:t>（5）</w:t>
      </w:r>
      <w:r>
        <w:rPr>
          <w:rFonts w:hint="eastAsia" w:ascii="宋体" w:hAnsi="宋体"/>
          <w:sz w:val="24"/>
          <w:highlight w:val="none"/>
        </w:rPr>
        <w:t>★</w:t>
      </w:r>
      <w:r>
        <w:rPr>
          <w:rFonts w:hint="eastAsia" w:ascii="宋体" w:hAnsi="宋体" w:cs="宋体"/>
          <w:kern w:val="0"/>
          <w:sz w:val="24"/>
          <w:highlight w:val="none"/>
        </w:rPr>
        <w:t>教学系统要求配有AEM或PEM电解制氢电堆，电堆有水冷腔，可控温、可背压。</w:t>
      </w:r>
    </w:p>
    <w:p w14:paraId="2CFC7AC8">
      <w:pPr>
        <w:widowControl/>
        <w:spacing w:line="360" w:lineRule="auto"/>
        <w:rPr>
          <w:rFonts w:hint="eastAsia" w:ascii="宋体" w:hAnsi="宋体"/>
          <w:sz w:val="24"/>
          <w:highlight w:val="none"/>
        </w:rPr>
      </w:pPr>
      <w:r>
        <w:rPr>
          <w:rFonts w:hint="eastAsia" w:ascii="宋体" w:hAnsi="宋体" w:cs="宋体"/>
          <w:kern w:val="0"/>
          <w:sz w:val="24"/>
          <w:highlight w:val="none"/>
        </w:rPr>
        <w:t>（6）</w:t>
      </w:r>
      <w:r>
        <w:rPr>
          <w:rFonts w:hint="eastAsia" w:ascii="宋体" w:hAnsi="宋体"/>
          <w:sz w:val="24"/>
          <w:highlight w:val="none"/>
        </w:rPr>
        <w:t>★</w:t>
      </w:r>
      <w:r>
        <w:rPr>
          <w:rFonts w:hint="eastAsia" w:ascii="宋体" w:hAnsi="宋体" w:cs="宋体"/>
          <w:kern w:val="0"/>
          <w:sz w:val="24"/>
          <w:highlight w:val="none"/>
        </w:rPr>
        <w:t>教学系统有流体输送、温度感知与控制、冷凝、气液分离、产物浓度分析等模块，可实现≥1 m</w:t>
      </w:r>
      <w:r>
        <w:rPr>
          <w:rFonts w:hint="eastAsia" w:ascii="宋体" w:hAnsi="宋体" w:cs="宋体"/>
          <w:kern w:val="0"/>
          <w:sz w:val="24"/>
          <w:highlight w:val="none"/>
          <w:vertAlign w:val="superscript"/>
        </w:rPr>
        <w:t>3</w:t>
      </w:r>
      <w:r>
        <w:rPr>
          <w:rFonts w:hint="eastAsia" w:ascii="宋体" w:hAnsi="宋体" w:cs="宋体"/>
          <w:kern w:val="0"/>
          <w:sz w:val="24"/>
          <w:highlight w:val="none"/>
        </w:rPr>
        <w:t>/h制氢规模电堆的运行需求。</w:t>
      </w:r>
      <w:bookmarkEnd w:id="164"/>
      <w:r>
        <w:rPr>
          <w:rFonts w:hint="eastAsia" w:ascii="宋体" w:hAnsi="宋体" w:cs="宋体"/>
          <w:kern w:val="0"/>
          <w:sz w:val="24"/>
          <w:highlight w:val="none"/>
        </w:rPr>
        <w:t>其换热模块可将≥80</w:t>
      </w:r>
      <w:r>
        <w:rPr>
          <w:rFonts w:hint="eastAsia" w:ascii="宋体" w:hAnsi="宋体" w:cs="宋体"/>
          <w:kern w:val="0"/>
          <w:sz w:val="24"/>
          <w:highlight w:val="none"/>
          <w:vertAlign w:val="superscript"/>
        </w:rPr>
        <w:t>o</w:t>
      </w:r>
      <w:r>
        <w:rPr>
          <w:rFonts w:hint="eastAsia" w:ascii="宋体" w:hAnsi="宋体" w:cs="宋体"/>
          <w:kern w:val="0"/>
          <w:sz w:val="24"/>
          <w:highlight w:val="none"/>
        </w:rPr>
        <w:t>C的电解液/水冷却至≤40</w:t>
      </w:r>
      <w:r>
        <w:rPr>
          <w:rFonts w:hint="eastAsia" w:ascii="宋体" w:hAnsi="宋体" w:cs="宋体"/>
          <w:kern w:val="0"/>
          <w:sz w:val="24"/>
          <w:highlight w:val="none"/>
          <w:vertAlign w:val="superscript"/>
        </w:rPr>
        <w:t>o</w:t>
      </w:r>
      <w:r>
        <w:rPr>
          <w:rFonts w:hint="eastAsia" w:ascii="宋体" w:hAnsi="宋体" w:cs="宋体"/>
          <w:kern w:val="0"/>
          <w:sz w:val="24"/>
          <w:highlight w:val="none"/>
        </w:rPr>
        <w:t>C,实现系统循环齿轮泵的要求。</w:t>
      </w:r>
    </w:p>
    <w:p w14:paraId="4165F5EA">
      <w:pPr>
        <w:autoSpaceDE w:val="0"/>
        <w:autoSpaceDN w:val="0"/>
        <w:spacing w:line="360" w:lineRule="auto"/>
        <w:rPr>
          <w:rFonts w:hint="eastAsia" w:ascii="宋体" w:hAnsi="宋体"/>
          <w:b/>
          <w:sz w:val="24"/>
          <w:highlight w:val="none"/>
        </w:rPr>
      </w:pPr>
      <w:r>
        <w:rPr>
          <w:rFonts w:hint="eastAsia" w:ascii="宋体" w:hAnsi="宋体"/>
          <w:b/>
          <w:sz w:val="24"/>
          <w:highlight w:val="none"/>
        </w:rPr>
        <w:t>（二）、性能指标</w:t>
      </w:r>
    </w:p>
    <w:p w14:paraId="0FA6249C">
      <w:pPr>
        <w:widowControl/>
        <w:spacing w:line="360" w:lineRule="auto"/>
        <w:rPr>
          <w:rFonts w:hint="eastAsia" w:ascii="宋体" w:hAnsi="宋体" w:cs="宋体"/>
          <w:kern w:val="0"/>
          <w:sz w:val="24"/>
          <w:highlight w:val="none"/>
        </w:rPr>
      </w:pPr>
      <w:r>
        <w:rPr>
          <w:rFonts w:hint="eastAsia" w:ascii="宋体" w:hAnsi="宋体"/>
          <w:sz w:val="24"/>
          <w:highlight w:val="none"/>
        </w:rPr>
        <w:t xml:space="preserve">（1）★ </w:t>
      </w:r>
      <w:r>
        <w:rPr>
          <w:rFonts w:hint="eastAsia" w:ascii="宋体" w:hAnsi="宋体" w:cs="宋体"/>
          <w:kern w:val="0"/>
          <w:sz w:val="24"/>
          <w:highlight w:val="none"/>
        </w:rPr>
        <w:t>教学系统超声喷涂装备，有真空吸附加热平台，平台温控区间为室温~130oC,且电极面积要求≥100 cm</w:t>
      </w:r>
      <w:r>
        <w:rPr>
          <w:rFonts w:hint="eastAsia" w:ascii="宋体" w:hAnsi="宋体" w:cs="宋体"/>
          <w:kern w:val="0"/>
          <w:sz w:val="24"/>
          <w:highlight w:val="none"/>
          <w:vertAlign w:val="superscript"/>
        </w:rPr>
        <w:t>2</w:t>
      </w:r>
      <w:r>
        <w:rPr>
          <w:rFonts w:hint="eastAsia" w:ascii="宋体" w:hAnsi="宋体" w:cs="宋体"/>
          <w:kern w:val="0"/>
          <w:sz w:val="24"/>
          <w:highlight w:val="none"/>
        </w:rPr>
        <w:t>;</w:t>
      </w:r>
    </w:p>
    <w:p w14:paraId="7B9F6C16">
      <w:pPr>
        <w:widowControl/>
        <w:spacing w:line="360" w:lineRule="auto"/>
        <w:rPr>
          <w:rFonts w:hint="eastAsia" w:ascii="宋体" w:hAnsi="宋体" w:cs="宋体"/>
          <w:kern w:val="0"/>
          <w:sz w:val="24"/>
          <w:highlight w:val="none"/>
        </w:rPr>
      </w:pPr>
      <w:r>
        <w:rPr>
          <w:rFonts w:hint="eastAsia" w:ascii="宋体" w:hAnsi="宋体" w:cs="宋体"/>
          <w:kern w:val="0"/>
          <w:sz w:val="24"/>
          <w:highlight w:val="none"/>
        </w:rPr>
        <w:t>（2）</w:t>
      </w:r>
      <w:r>
        <w:rPr>
          <w:rFonts w:hint="eastAsia" w:ascii="宋体" w:hAnsi="宋体"/>
          <w:sz w:val="24"/>
          <w:highlight w:val="none"/>
        </w:rPr>
        <w:t xml:space="preserve">★ </w:t>
      </w:r>
      <w:r>
        <w:rPr>
          <w:rFonts w:hint="eastAsia" w:ascii="宋体" w:hAnsi="宋体" w:cs="宋体"/>
          <w:kern w:val="0"/>
          <w:sz w:val="24"/>
          <w:highlight w:val="none"/>
        </w:rPr>
        <w:t>工业机器人抓取精度要求达到≥95%，扭力≥25 N·m；</w:t>
      </w:r>
    </w:p>
    <w:p w14:paraId="1B8AB6EB">
      <w:pPr>
        <w:widowControl/>
        <w:spacing w:line="360" w:lineRule="auto"/>
        <w:rPr>
          <w:rFonts w:hint="eastAsia" w:ascii="宋体" w:hAnsi="宋体" w:cs="宋体"/>
          <w:kern w:val="0"/>
          <w:sz w:val="24"/>
          <w:highlight w:val="none"/>
        </w:rPr>
      </w:pPr>
      <w:r>
        <w:rPr>
          <w:rFonts w:hint="eastAsia" w:ascii="宋体" w:hAnsi="宋体" w:cs="宋体"/>
          <w:kern w:val="0"/>
          <w:sz w:val="24"/>
          <w:highlight w:val="none"/>
        </w:rPr>
        <w:t>（3）</w:t>
      </w:r>
      <w:r>
        <w:rPr>
          <w:rFonts w:hint="eastAsia" w:ascii="宋体" w:hAnsi="宋体"/>
          <w:sz w:val="24"/>
          <w:highlight w:val="none"/>
        </w:rPr>
        <w:t xml:space="preserve">★ </w:t>
      </w:r>
      <w:r>
        <w:rPr>
          <w:rFonts w:hint="eastAsia" w:ascii="宋体" w:hAnsi="宋体" w:cs="宋体"/>
          <w:kern w:val="0"/>
          <w:sz w:val="24"/>
          <w:highlight w:val="none"/>
        </w:rPr>
        <w:t>教学系统要求压机压力≥5吨；</w:t>
      </w:r>
    </w:p>
    <w:p w14:paraId="26D75728">
      <w:pPr>
        <w:widowControl/>
        <w:spacing w:line="360" w:lineRule="auto"/>
        <w:rPr>
          <w:rFonts w:hint="eastAsia" w:ascii="宋体" w:hAnsi="宋体" w:cs="宋体"/>
          <w:kern w:val="0"/>
          <w:sz w:val="24"/>
          <w:highlight w:val="none"/>
        </w:rPr>
      </w:pPr>
      <w:r>
        <w:rPr>
          <w:rFonts w:hint="eastAsia" w:ascii="宋体" w:hAnsi="宋体" w:cs="宋体"/>
          <w:kern w:val="0"/>
          <w:sz w:val="24"/>
          <w:highlight w:val="none"/>
        </w:rPr>
        <w:t>（4）</w:t>
      </w:r>
      <w:r>
        <w:rPr>
          <w:rFonts w:hint="eastAsia" w:ascii="宋体" w:hAnsi="宋体"/>
          <w:sz w:val="24"/>
          <w:highlight w:val="none"/>
        </w:rPr>
        <w:t xml:space="preserve">★ </w:t>
      </w:r>
      <w:r>
        <w:rPr>
          <w:rFonts w:hint="eastAsia" w:ascii="宋体" w:hAnsi="宋体" w:cs="宋体"/>
          <w:kern w:val="0"/>
          <w:sz w:val="24"/>
          <w:highlight w:val="none"/>
        </w:rPr>
        <w:t>教学系统要求设计有可视化流场：蛇形、点状、平行沟槽。</w:t>
      </w:r>
    </w:p>
    <w:p w14:paraId="28BB094B">
      <w:pPr>
        <w:widowControl/>
        <w:spacing w:line="360" w:lineRule="auto"/>
        <w:rPr>
          <w:rFonts w:hint="eastAsia" w:ascii="宋体" w:hAnsi="宋体" w:cs="宋体"/>
          <w:kern w:val="0"/>
          <w:sz w:val="24"/>
          <w:highlight w:val="none"/>
        </w:rPr>
      </w:pPr>
      <w:r>
        <w:rPr>
          <w:rFonts w:hint="eastAsia" w:ascii="宋体" w:hAnsi="宋体" w:cs="宋体"/>
          <w:kern w:val="0"/>
          <w:sz w:val="24"/>
          <w:highlight w:val="none"/>
        </w:rPr>
        <w:t>（5）</w:t>
      </w:r>
      <w:r>
        <w:rPr>
          <w:rFonts w:hint="eastAsia" w:ascii="宋体" w:hAnsi="宋体"/>
          <w:sz w:val="24"/>
          <w:highlight w:val="none"/>
        </w:rPr>
        <w:t xml:space="preserve">★ </w:t>
      </w:r>
      <w:r>
        <w:rPr>
          <w:rFonts w:hint="eastAsia" w:ascii="宋体" w:hAnsi="宋体" w:cs="宋体"/>
          <w:kern w:val="0"/>
          <w:sz w:val="24"/>
          <w:highlight w:val="none"/>
        </w:rPr>
        <w:t>AEM或PEM电解制氢电堆，电堆背压≥10 MPa，制氢规模≥1m3/h；具有循环水，可实现</w:t>
      </w:r>
      <w:bookmarkStart w:id="165" w:name="OLE_LINK6"/>
      <w:r>
        <w:rPr>
          <w:rFonts w:hint="eastAsia" w:ascii="宋体" w:hAnsi="宋体" w:cs="宋体"/>
          <w:kern w:val="0"/>
          <w:sz w:val="24"/>
          <w:highlight w:val="none"/>
        </w:rPr>
        <w:t>25</w:t>
      </w:r>
      <w:r>
        <w:rPr>
          <w:rFonts w:hint="eastAsia" w:ascii="宋体" w:hAnsi="宋体" w:cs="宋体"/>
          <w:kern w:val="0"/>
          <w:sz w:val="24"/>
          <w:highlight w:val="none"/>
          <w:vertAlign w:val="superscript"/>
        </w:rPr>
        <w:t>o</w:t>
      </w:r>
      <w:r>
        <w:rPr>
          <w:rFonts w:hint="eastAsia" w:ascii="宋体" w:hAnsi="宋体" w:cs="宋体"/>
          <w:kern w:val="0"/>
          <w:sz w:val="24"/>
          <w:highlight w:val="none"/>
        </w:rPr>
        <w:t>C</w:t>
      </w:r>
      <w:bookmarkEnd w:id="165"/>
      <w:r>
        <w:rPr>
          <w:rFonts w:hint="eastAsia" w:ascii="宋体" w:hAnsi="宋体" w:cs="宋体"/>
          <w:kern w:val="0"/>
          <w:sz w:val="24"/>
          <w:highlight w:val="none"/>
        </w:rPr>
        <w:t>~80</w:t>
      </w:r>
      <w:r>
        <w:rPr>
          <w:rFonts w:hint="eastAsia" w:ascii="宋体" w:hAnsi="宋体" w:cs="宋体"/>
          <w:kern w:val="0"/>
          <w:sz w:val="24"/>
          <w:highlight w:val="none"/>
          <w:vertAlign w:val="superscript"/>
        </w:rPr>
        <w:t>o</w:t>
      </w:r>
      <w:r>
        <w:rPr>
          <w:rFonts w:hint="eastAsia" w:ascii="宋体" w:hAnsi="宋体" w:cs="宋体"/>
          <w:kern w:val="0"/>
          <w:sz w:val="24"/>
          <w:highlight w:val="none"/>
        </w:rPr>
        <w:t>C的温度控制；</w:t>
      </w:r>
      <w:r>
        <w:rPr>
          <w:rFonts w:hint="eastAsia" w:ascii="宋体" w:hAnsi="宋体" w:cs="宋体"/>
          <w:kern w:val="0"/>
          <w:sz w:val="24"/>
          <w:highlight w:val="none"/>
          <w:lang w:val="en-US" w:eastAsia="zh-CN"/>
        </w:rPr>
        <w:t>验收时</w:t>
      </w:r>
      <w:bookmarkStart w:id="241" w:name="_GoBack"/>
      <w:bookmarkEnd w:id="241"/>
      <w:r>
        <w:rPr>
          <w:rFonts w:ascii="宋体" w:hAnsi="宋体" w:cs="宋体"/>
          <w:kern w:val="0"/>
          <w:sz w:val="24"/>
          <w:highlight w:val="none"/>
        </w:rPr>
        <w:t>分离罐及流体换热设备需</w:t>
      </w:r>
      <w:r>
        <w:rPr>
          <w:rFonts w:hint="eastAsia" w:ascii="宋体" w:hAnsi="宋体" w:cs="宋体"/>
          <w:kern w:val="0"/>
          <w:sz w:val="24"/>
          <w:highlight w:val="none"/>
          <w:lang w:val="en-US" w:eastAsia="zh-CN"/>
        </w:rPr>
        <w:t>提供</w:t>
      </w:r>
      <w:r>
        <w:rPr>
          <w:rFonts w:ascii="宋体" w:hAnsi="宋体" w:cs="宋体"/>
          <w:kern w:val="0"/>
          <w:sz w:val="24"/>
          <w:highlight w:val="none"/>
        </w:rPr>
        <w:t>压力容器检验证明</w:t>
      </w:r>
      <w:r>
        <w:rPr>
          <w:rFonts w:hint="eastAsia" w:ascii="宋体" w:hAnsi="宋体" w:cs="宋体"/>
          <w:kern w:val="0"/>
          <w:sz w:val="24"/>
          <w:highlight w:val="none"/>
        </w:rPr>
        <w:t>。</w:t>
      </w:r>
    </w:p>
    <w:p w14:paraId="2DC29D38">
      <w:pPr>
        <w:widowControl/>
        <w:spacing w:line="360" w:lineRule="auto"/>
        <w:rPr>
          <w:rFonts w:hint="eastAsia" w:ascii="宋体" w:hAnsi="宋体" w:cs="宋体"/>
          <w:kern w:val="0"/>
          <w:sz w:val="24"/>
          <w:highlight w:val="none"/>
        </w:rPr>
      </w:pPr>
      <w:r>
        <w:rPr>
          <w:rFonts w:hint="eastAsia" w:ascii="宋体" w:hAnsi="宋体" w:cs="宋体"/>
          <w:kern w:val="0"/>
          <w:sz w:val="24"/>
          <w:highlight w:val="none"/>
        </w:rPr>
        <w:t>（6）教学系统</w:t>
      </w:r>
      <w:r>
        <w:rPr>
          <w:rFonts w:hint="eastAsia" w:ascii="宋体" w:hAnsi="宋体"/>
          <w:sz w:val="24"/>
          <w:highlight w:val="none"/>
        </w:rPr>
        <w:t>有明确的工艺流程展示，适用于电化学系统的工程化教学。</w:t>
      </w:r>
    </w:p>
    <w:p w14:paraId="7AD5551B">
      <w:pPr>
        <w:widowControl/>
        <w:spacing w:line="360" w:lineRule="auto"/>
        <w:rPr>
          <w:rFonts w:hint="eastAsia" w:ascii="宋体" w:hAnsi="宋体" w:cs="宋体"/>
          <w:kern w:val="0"/>
          <w:sz w:val="24"/>
          <w:highlight w:val="none"/>
        </w:rPr>
      </w:pPr>
      <w:r>
        <w:rPr>
          <w:rFonts w:hint="eastAsia" w:ascii="宋体" w:hAnsi="宋体" w:cs="宋体"/>
          <w:kern w:val="0"/>
          <w:sz w:val="24"/>
          <w:highlight w:val="none"/>
        </w:rPr>
        <w:t>（7）</w:t>
      </w:r>
      <w:r>
        <w:rPr>
          <w:rFonts w:hint="eastAsia" w:ascii="宋体" w:hAnsi="宋体"/>
          <w:sz w:val="24"/>
          <w:highlight w:val="none"/>
        </w:rPr>
        <w:t>★</w:t>
      </w:r>
      <w:r>
        <w:rPr>
          <w:rFonts w:hint="eastAsia" w:ascii="宋体" w:hAnsi="宋体" w:cs="宋体"/>
          <w:kern w:val="0"/>
          <w:sz w:val="24"/>
          <w:highlight w:val="none"/>
        </w:rPr>
        <w:t>系统中要求有氢中氧、氧中氢传感器，可实现产物纯度的在线分析。</w:t>
      </w:r>
    </w:p>
    <w:p w14:paraId="61A05389">
      <w:pPr>
        <w:widowControl/>
        <w:spacing w:line="360" w:lineRule="auto"/>
        <w:rPr>
          <w:highlight w:val="none"/>
        </w:rPr>
      </w:pPr>
      <w:r>
        <w:rPr>
          <w:rFonts w:hint="eastAsia" w:ascii="宋体" w:hAnsi="宋体" w:cs="宋体"/>
          <w:kern w:val="0"/>
          <w:sz w:val="24"/>
          <w:highlight w:val="none"/>
        </w:rPr>
        <w:t>（8）系统要求有氢气浓度报警装备，在报警后，系统排风装备自动启动。</w:t>
      </w:r>
    </w:p>
    <w:p w14:paraId="67E510FA">
      <w:pPr>
        <w:widowControl/>
        <w:spacing w:line="360" w:lineRule="auto"/>
        <w:ind w:firstLine="482" w:firstLineChars="200"/>
        <w:rPr>
          <w:rFonts w:hint="eastAsia" w:ascii="宋体" w:hAnsi="宋体"/>
          <w:b/>
          <w:bCs/>
          <w:sz w:val="24"/>
          <w:highlight w:val="none"/>
        </w:rPr>
      </w:pPr>
      <w:r>
        <w:rPr>
          <w:rFonts w:hint="eastAsia" w:ascii="宋体" w:hAnsi="宋体"/>
          <w:b/>
          <w:bCs/>
          <w:sz w:val="24"/>
          <w:highlight w:val="none"/>
        </w:rPr>
        <w:t>四、其他要求</w:t>
      </w:r>
    </w:p>
    <w:p w14:paraId="59C93616">
      <w:pPr>
        <w:widowControl/>
        <w:spacing w:line="360" w:lineRule="auto"/>
        <w:ind w:firstLine="480" w:firstLineChars="200"/>
        <w:rPr>
          <w:rFonts w:hint="eastAsia" w:ascii="宋体" w:hAnsi="宋体"/>
          <w:sz w:val="24"/>
          <w:highlight w:val="none"/>
        </w:rPr>
      </w:pPr>
      <w:r>
        <w:rPr>
          <w:rFonts w:hint="eastAsia" w:ascii="宋体" w:hAnsi="宋体"/>
          <w:sz w:val="24"/>
          <w:highlight w:val="none"/>
        </w:rPr>
        <w:t>★1.供货期：</w:t>
      </w:r>
      <w:r>
        <w:rPr>
          <w:rFonts w:hint="eastAsia" w:ascii="宋体" w:hAnsi="宋体" w:cs="宋体"/>
          <w:kern w:val="0"/>
          <w:sz w:val="24"/>
          <w:highlight w:val="none"/>
        </w:rPr>
        <w:t>自签订合同之日起，接到采购人供货通知后6个月内，货到采购人指定地点安装调试验收合格</w:t>
      </w:r>
      <w:r>
        <w:rPr>
          <w:rFonts w:hint="eastAsia" w:ascii="宋体" w:hAnsi="宋体"/>
          <w:sz w:val="24"/>
          <w:highlight w:val="none"/>
        </w:rPr>
        <w:t>。</w:t>
      </w:r>
    </w:p>
    <w:p w14:paraId="172CE015">
      <w:pPr>
        <w:widowControl/>
        <w:spacing w:line="360" w:lineRule="auto"/>
        <w:ind w:firstLine="480" w:firstLineChars="200"/>
        <w:rPr>
          <w:rFonts w:hint="eastAsia" w:ascii="宋体" w:hAnsi="宋体"/>
          <w:sz w:val="24"/>
          <w:highlight w:val="none"/>
        </w:rPr>
      </w:pPr>
      <w:r>
        <w:rPr>
          <w:rFonts w:hint="eastAsia" w:ascii="宋体" w:hAnsi="宋体"/>
          <w:sz w:val="24"/>
          <w:highlight w:val="none"/>
        </w:rPr>
        <w:t>2.售后服务要求：</w:t>
      </w:r>
    </w:p>
    <w:p w14:paraId="2F9D434C">
      <w:pPr>
        <w:widowControl/>
        <w:spacing w:line="360" w:lineRule="auto"/>
        <w:ind w:firstLine="480" w:firstLineChars="200"/>
        <w:rPr>
          <w:rFonts w:hint="eastAsia" w:ascii="宋体" w:hAnsi="宋体"/>
          <w:sz w:val="24"/>
          <w:highlight w:val="none"/>
        </w:rPr>
      </w:pPr>
      <w:r>
        <w:rPr>
          <w:rFonts w:hint="eastAsia" w:ascii="宋体" w:hAnsi="宋体"/>
          <w:sz w:val="24"/>
          <w:highlight w:val="none"/>
        </w:rPr>
        <w:t>★(1）货到采购方指定地点安装调试验收合格之日起，免费质保不低于 1 年。</w:t>
      </w:r>
    </w:p>
    <w:p w14:paraId="02FC9335">
      <w:pPr>
        <w:widowControl/>
        <w:spacing w:line="360" w:lineRule="auto"/>
        <w:ind w:firstLine="480" w:firstLineChars="200"/>
        <w:rPr>
          <w:rFonts w:hint="eastAsia" w:ascii="宋体" w:hAnsi="宋体"/>
          <w:sz w:val="24"/>
          <w:highlight w:val="none"/>
        </w:rPr>
      </w:pPr>
      <w:r>
        <w:rPr>
          <w:rFonts w:hint="eastAsia" w:ascii="宋体" w:hAnsi="宋体" w:cs="宋体"/>
          <w:sz w:val="24"/>
          <w:highlight w:val="none"/>
        </w:rPr>
        <w:t>（2）</w:t>
      </w:r>
      <w:r>
        <w:rPr>
          <w:rFonts w:hint="eastAsia" w:ascii="宋体" w:hAnsi="宋体"/>
          <w:sz w:val="24"/>
          <w:highlight w:val="none"/>
        </w:rPr>
        <w:t>售后响应时间：质保期内每年提供至少一次上门巡检，供应商 24 小时内对用户的报修申请做出响应。一般性问题应在 48小时内解决；对于在 48 小时内无法解决的其它较大的问题，应在 3 天内</w:t>
      </w:r>
      <w:r>
        <w:rPr>
          <w:rFonts w:hint="eastAsia" w:ascii="宋体" w:hAnsi="宋体"/>
          <w:sz w:val="24"/>
          <w:highlight w:val="none"/>
          <w:lang w:eastAsia="zh-CN"/>
        </w:rPr>
        <w:t>给予</w:t>
      </w:r>
      <w:r>
        <w:rPr>
          <w:rFonts w:hint="eastAsia" w:ascii="宋体" w:hAnsi="宋体"/>
          <w:sz w:val="24"/>
          <w:highlight w:val="none"/>
        </w:rPr>
        <w:t>解决；对于在 3 天内不能解决的问题，应提出明确的解决方案，得到用户的认可后，在预定的期限内解决问题，质保期内设备损坏，如 7 天内没解决，则顺应延长设备质保期。</w:t>
      </w:r>
    </w:p>
    <w:p w14:paraId="09874949">
      <w:pPr>
        <w:widowControl/>
        <w:spacing w:line="360" w:lineRule="auto"/>
        <w:ind w:firstLine="480" w:firstLineChars="200"/>
        <w:rPr>
          <w:rFonts w:hint="eastAsia" w:ascii="宋体" w:hAnsi="宋体"/>
          <w:sz w:val="24"/>
          <w:highlight w:val="none"/>
        </w:rPr>
      </w:pPr>
      <w:r>
        <w:rPr>
          <w:rFonts w:hint="eastAsia" w:ascii="宋体" w:hAnsi="宋体"/>
          <w:sz w:val="24"/>
          <w:highlight w:val="none"/>
        </w:rPr>
        <w:t>3.培训要求：</w:t>
      </w:r>
    </w:p>
    <w:p w14:paraId="26131943">
      <w:pPr>
        <w:widowControl/>
        <w:spacing w:line="360" w:lineRule="auto"/>
        <w:ind w:firstLine="480" w:firstLineChars="200"/>
        <w:rPr>
          <w:rFonts w:hint="eastAsia" w:ascii="宋体" w:hAnsi="宋体"/>
          <w:sz w:val="24"/>
          <w:highlight w:val="none"/>
        </w:rPr>
      </w:pPr>
      <w:r>
        <w:rPr>
          <w:rFonts w:hint="eastAsia" w:ascii="宋体" w:hAnsi="宋体"/>
          <w:sz w:val="24"/>
          <w:highlight w:val="none"/>
        </w:rPr>
        <w:t>（1）仪器日常使用安全及注意事项培训：供应商承诺仪器安装完毕后指派专业服务工程师对操作人员进行为期 1天的仪器的使用日常维护、安全知识及注意事项培训，以保障操作人员的安全和设备安全。</w:t>
      </w:r>
    </w:p>
    <w:p w14:paraId="45BCEB78">
      <w:pPr>
        <w:widowControl/>
        <w:spacing w:line="360" w:lineRule="auto"/>
        <w:ind w:firstLine="480" w:firstLineChars="200"/>
        <w:rPr>
          <w:rFonts w:hint="eastAsia" w:ascii="宋体" w:hAnsi="宋体"/>
          <w:sz w:val="24"/>
          <w:highlight w:val="none"/>
        </w:rPr>
      </w:pPr>
      <w:r>
        <w:rPr>
          <w:rFonts w:hint="eastAsia" w:ascii="宋体" w:hAnsi="宋体"/>
          <w:sz w:val="24"/>
          <w:highlight w:val="none"/>
        </w:rPr>
        <w:t>（2）仪器使用操作基础应用培训：供应商承诺仪器安装完毕、日常使用安全及注意事项培训结束后，指派专业应用工程师在采购人现场对用户操作人员进行设备操作培训，培训时间不少于 1天，并保证用户至少 2 人完全掌握设备的操作。</w:t>
      </w:r>
    </w:p>
    <w:p w14:paraId="16277601">
      <w:pPr>
        <w:widowControl/>
        <w:spacing w:line="360" w:lineRule="auto"/>
        <w:ind w:firstLine="480" w:firstLineChars="200"/>
        <w:rPr>
          <w:rFonts w:hint="eastAsia" w:ascii="宋体" w:hAnsi="宋体"/>
          <w:sz w:val="24"/>
          <w:highlight w:val="none"/>
        </w:rPr>
      </w:pPr>
      <w:r>
        <w:rPr>
          <w:rFonts w:hint="eastAsia" w:ascii="宋体" w:hAnsi="宋体"/>
          <w:sz w:val="24"/>
          <w:highlight w:val="none"/>
        </w:rPr>
        <w:t>（3）培训内容包括：仪器的技术原理、操作、数据分析等。</w:t>
      </w:r>
    </w:p>
    <w:p w14:paraId="02E6B48C">
      <w:pPr>
        <w:widowControl/>
        <w:spacing w:line="360" w:lineRule="auto"/>
        <w:ind w:firstLine="480" w:firstLineChars="200"/>
        <w:rPr>
          <w:rFonts w:hint="eastAsia" w:ascii="宋体" w:hAnsi="宋体"/>
          <w:sz w:val="24"/>
          <w:highlight w:val="none"/>
        </w:rPr>
      </w:pPr>
      <w:r>
        <w:rPr>
          <w:rFonts w:hint="eastAsia" w:ascii="宋体" w:hAnsi="宋体"/>
          <w:sz w:val="24"/>
          <w:highlight w:val="none"/>
        </w:rPr>
        <w:t>4.供货安装和包装运输:</w:t>
      </w:r>
    </w:p>
    <w:p w14:paraId="67A90A77">
      <w:pPr>
        <w:spacing w:line="360" w:lineRule="auto"/>
        <w:ind w:right="42" w:rightChars="20" w:firstLine="480" w:firstLineChars="200"/>
        <w:rPr>
          <w:sz w:val="24"/>
          <w:highlight w:val="none"/>
        </w:rPr>
      </w:pPr>
      <w:r>
        <w:rPr>
          <w:rFonts w:hint="eastAsia"/>
          <w:sz w:val="24"/>
          <w:highlight w:val="none"/>
        </w:rPr>
        <w:t>（1）设备材料的包装须是制造商原厂包装，其包装均应有良好的防湿、防锈、防潮、防雨、防腐及防碰撞的措施。凡由于包装不良造成的损失和由此产生的费用均由投标人承担。</w:t>
      </w:r>
    </w:p>
    <w:p w14:paraId="5B036C7F">
      <w:pPr>
        <w:spacing w:line="360" w:lineRule="auto"/>
        <w:ind w:right="42" w:rightChars="20" w:firstLine="480" w:firstLineChars="200"/>
        <w:rPr>
          <w:sz w:val="24"/>
          <w:highlight w:val="none"/>
        </w:rPr>
      </w:pPr>
      <w:r>
        <w:rPr>
          <w:rFonts w:hint="eastAsia"/>
          <w:sz w:val="24"/>
          <w:highlight w:val="none"/>
        </w:rPr>
        <w:t>（2）中标人负责将设备材料货到现场过程中的全部运输，包括装卸车、货物现场的搬运。货物在现场的保管由中标人负责，直至项目安装、验收完毕。</w:t>
      </w:r>
    </w:p>
    <w:p w14:paraId="2D6618E2">
      <w:pPr>
        <w:spacing w:line="360" w:lineRule="auto"/>
        <w:ind w:right="42" w:rightChars="20" w:firstLine="480" w:firstLineChars="200"/>
        <w:rPr>
          <w:sz w:val="24"/>
          <w:highlight w:val="none"/>
        </w:rPr>
      </w:pPr>
      <w:r>
        <w:rPr>
          <w:rFonts w:hint="eastAsia"/>
          <w:sz w:val="24"/>
          <w:highlight w:val="none"/>
        </w:rPr>
        <w:t>（3）所供设备和材料中标人必须免费送货上门和免费负责安装调试。中标人必须依照招标文件的要求和投标文件的承诺，将设备、系统安装并调试至正常运行的最佳状态。</w:t>
      </w:r>
    </w:p>
    <w:p w14:paraId="40D55A49">
      <w:pPr>
        <w:widowControl/>
        <w:spacing w:line="360" w:lineRule="auto"/>
        <w:ind w:firstLine="480" w:firstLineChars="200"/>
        <w:rPr>
          <w:rFonts w:hint="eastAsia" w:ascii="宋体" w:hAnsi="宋体"/>
          <w:sz w:val="24"/>
          <w:highlight w:val="none"/>
        </w:rPr>
      </w:pPr>
      <w:r>
        <w:rPr>
          <w:rFonts w:hint="eastAsia" w:ascii="宋体" w:hAnsi="宋体"/>
          <w:sz w:val="24"/>
          <w:highlight w:val="none"/>
        </w:rPr>
        <w:t>5.验收</w:t>
      </w:r>
    </w:p>
    <w:p w14:paraId="53F58799">
      <w:pPr>
        <w:spacing w:line="360" w:lineRule="auto"/>
        <w:ind w:firstLine="480" w:firstLineChars="200"/>
        <w:jc w:val="left"/>
        <w:rPr>
          <w:rFonts w:hint="eastAsia" w:ascii="宋体" w:hAnsi="宋体" w:cs="楷体"/>
          <w:bCs/>
          <w:sz w:val="24"/>
          <w:highlight w:val="none"/>
        </w:rPr>
      </w:pPr>
      <w:r>
        <w:rPr>
          <w:rFonts w:hint="eastAsia" w:ascii="宋体" w:hAnsi="宋体" w:cs="楷体"/>
          <w:bCs/>
          <w:sz w:val="24"/>
          <w:highlight w:val="none"/>
        </w:rPr>
        <w:t>（1）</w:t>
      </w:r>
      <w:r>
        <w:rPr>
          <w:rFonts w:ascii="宋体" w:hAnsi="宋体" w:cs="楷体"/>
          <w:bCs/>
          <w:sz w:val="24"/>
          <w:highlight w:val="none"/>
        </w:rPr>
        <w:t>验收标准：</w:t>
      </w:r>
      <w:r>
        <w:rPr>
          <w:rFonts w:hint="eastAsia" w:ascii="宋体" w:hAnsi="宋体" w:cs="楷体"/>
          <w:bCs/>
          <w:sz w:val="24"/>
          <w:highlight w:val="none"/>
        </w:rPr>
        <w:t>检验试验根据招标文件项目需求及国家有关机构发布的最新版本的标准</w:t>
      </w:r>
      <w:r>
        <w:rPr>
          <w:rFonts w:ascii="宋体" w:hAnsi="宋体" w:cs="楷体"/>
          <w:bCs/>
          <w:sz w:val="24"/>
          <w:highlight w:val="none"/>
        </w:rPr>
        <w:t>要求进行验收。</w:t>
      </w:r>
    </w:p>
    <w:p w14:paraId="0D5FD3B3">
      <w:pPr>
        <w:spacing w:line="360" w:lineRule="auto"/>
        <w:ind w:right="42" w:rightChars="20" w:firstLine="480"/>
        <w:rPr>
          <w:rFonts w:hint="eastAsia" w:ascii="宋体" w:hAnsi="宋体" w:cs="宋体"/>
          <w:b/>
          <w:sz w:val="24"/>
          <w:highlight w:val="none"/>
        </w:rPr>
      </w:pPr>
      <w:r>
        <w:rPr>
          <w:rFonts w:hint="eastAsia" w:ascii="宋体" w:hAnsi="宋体" w:cs="楷体"/>
          <w:bCs/>
          <w:sz w:val="24"/>
          <w:highlight w:val="none"/>
        </w:rPr>
        <w:t>（2）</w:t>
      </w:r>
      <w:r>
        <w:rPr>
          <w:rFonts w:ascii="宋体" w:hAnsi="宋体" w:cs="楷体"/>
          <w:bCs/>
          <w:sz w:val="24"/>
          <w:highlight w:val="none"/>
        </w:rPr>
        <w:t>组织验收主体：本项目的履约验收工作由采购人依法组织实施。</w:t>
      </w:r>
    </w:p>
    <w:p w14:paraId="01AB87D1">
      <w:pPr>
        <w:spacing w:line="360" w:lineRule="auto"/>
        <w:ind w:right="42" w:rightChars="20" w:firstLine="480"/>
        <w:rPr>
          <w:rFonts w:hint="eastAsia" w:ascii="宋体" w:hAnsi="宋体" w:cs="宋体"/>
          <w:b/>
          <w:sz w:val="24"/>
          <w:highlight w:val="none"/>
        </w:rPr>
      </w:pPr>
      <w:r>
        <w:rPr>
          <w:rFonts w:hint="eastAsia" w:ascii="宋体" w:hAnsi="宋体" w:cs="宋体"/>
          <w:b/>
          <w:sz w:val="24"/>
          <w:highlight w:val="none"/>
        </w:rPr>
        <w:t>注：</w:t>
      </w:r>
      <w:r>
        <w:rPr>
          <w:rFonts w:ascii="宋体" w:hAnsi="宋体" w:cs="宋体"/>
          <w:b/>
          <w:sz w:val="24"/>
          <w:highlight w:val="none"/>
        </w:rPr>
        <w:t>1.</w:t>
      </w:r>
      <w:r>
        <w:rPr>
          <w:rFonts w:hint="eastAsia" w:ascii="宋体" w:hAnsi="宋体" w:cs="宋体"/>
          <w:b/>
          <w:kern w:val="0"/>
          <w:sz w:val="24"/>
          <w:highlight w:val="none"/>
        </w:rPr>
        <w:t>★项不接受负偏离，如未作响应或负偏离视为未实质性响应招标文件要求。非★项为可接受负偏离，但会影响综合得分</w:t>
      </w:r>
      <w:r>
        <w:rPr>
          <w:rFonts w:ascii="宋体" w:hAnsi="宋体" w:cs="宋体"/>
          <w:b/>
          <w:sz w:val="24"/>
          <w:highlight w:val="none"/>
        </w:rPr>
        <w:t>。</w:t>
      </w:r>
    </w:p>
    <w:p w14:paraId="2C860B28">
      <w:pPr>
        <w:spacing w:line="360" w:lineRule="auto"/>
        <w:ind w:right="42" w:rightChars="20" w:firstLine="426" w:firstLineChars="177"/>
        <w:rPr>
          <w:rFonts w:hint="eastAsia" w:ascii="宋体" w:hAnsi="宋体" w:cs="宋体"/>
          <w:b/>
          <w:sz w:val="24"/>
          <w:highlight w:val="none"/>
        </w:rPr>
      </w:pPr>
      <w:r>
        <w:rPr>
          <w:rFonts w:ascii="宋体" w:hAnsi="宋体" w:cs="宋体"/>
          <w:b/>
          <w:sz w:val="24"/>
          <w:highlight w:val="none"/>
        </w:rPr>
        <w:t>2.本章中提出的各项功能要求和技术指标是对设备的最基本要求，并未对一切细节做出全部详细规定，也并未充分引述有关标准和规范条文，供应商所有与本项设备有关的技术要求均应符合招标时已颁布的国家和行业标准或国际标准的有关条文。</w:t>
      </w:r>
    </w:p>
    <w:p w14:paraId="2D66DA25">
      <w:pPr>
        <w:rPr>
          <w:rFonts w:hint="eastAsia" w:ascii="宋体" w:hAnsi="宋体"/>
          <w:sz w:val="24"/>
          <w:highlight w:val="none"/>
        </w:rPr>
      </w:pPr>
      <w:r>
        <w:rPr>
          <w:rFonts w:hint="eastAsia" w:ascii="宋体" w:hAnsi="宋体"/>
          <w:sz w:val="24"/>
          <w:highlight w:val="none"/>
        </w:rPr>
        <w:br w:type="page"/>
      </w:r>
    </w:p>
    <w:p w14:paraId="5DCB9B66">
      <w:pPr>
        <w:rPr>
          <w:rFonts w:hint="eastAsia" w:ascii="宋体" w:hAnsi="宋体" w:cs="宋体"/>
          <w:kern w:val="0"/>
          <w:sz w:val="32"/>
          <w:szCs w:val="32"/>
          <w:highlight w:val="none"/>
        </w:rPr>
      </w:pPr>
    </w:p>
    <w:p w14:paraId="67158FB7">
      <w:pPr>
        <w:pStyle w:val="3"/>
        <w:snapToGrid w:val="0"/>
        <w:spacing w:before="0" w:after="0" w:line="360" w:lineRule="auto"/>
        <w:ind w:firstLine="643"/>
        <w:jc w:val="center"/>
        <w:rPr>
          <w:rFonts w:hint="eastAsia" w:ascii="宋体" w:hAnsi="宋体" w:cs="宋体"/>
          <w:kern w:val="0"/>
          <w:sz w:val="32"/>
          <w:szCs w:val="32"/>
          <w:highlight w:val="none"/>
        </w:rPr>
      </w:pPr>
      <w:bookmarkStart w:id="166" w:name="_Toc19214"/>
      <w:bookmarkStart w:id="167" w:name="_Toc31436"/>
      <w:r>
        <w:rPr>
          <w:rFonts w:hint="eastAsia" w:ascii="宋体" w:hAnsi="宋体" w:cs="宋体"/>
          <w:kern w:val="0"/>
          <w:sz w:val="32"/>
          <w:szCs w:val="32"/>
          <w:highlight w:val="none"/>
        </w:rPr>
        <w:t>第四章 投标文件</w:t>
      </w:r>
      <w:bookmarkEnd w:id="162"/>
      <w:bookmarkEnd w:id="163"/>
      <w:r>
        <w:rPr>
          <w:rFonts w:hint="eastAsia" w:ascii="宋体" w:hAnsi="宋体" w:cs="宋体"/>
          <w:kern w:val="0"/>
          <w:sz w:val="32"/>
          <w:szCs w:val="32"/>
          <w:highlight w:val="none"/>
        </w:rPr>
        <w:t>格式</w:t>
      </w:r>
      <w:bookmarkEnd w:id="166"/>
      <w:bookmarkEnd w:id="167"/>
    </w:p>
    <w:p w14:paraId="41373C64">
      <w:pPr>
        <w:pStyle w:val="45"/>
        <w:snapToGrid w:val="0"/>
        <w:spacing w:line="360" w:lineRule="auto"/>
        <w:ind w:firstLine="482" w:firstLineChars="200"/>
        <w:rPr>
          <w:rFonts w:hint="eastAsia" w:hAnsi="宋体" w:cs="宋体"/>
          <w:b/>
          <w:kern w:val="0"/>
          <w:sz w:val="24"/>
          <w:szCs w:val="24"/>
          <w:highlight w:val="none"/>
        </w:rPr>
      </w:pPr>
      <w:r>
        <w:rPr>
          <w:rFonts w:hint="eastAsia" w:hAnsi="宋体" w:cs="宋体"/>
          <w:b/>
          <w:kern w:val="0"/>
          <w:sz w:val="24"/>
          <w:szCs w:val="24"/>
          <w:highlight w:val="none"/>
        </w:rPr>
        <w:t>投标人必须按下述顺序和要求编写装订投标文件，并编排详细目录及准确页码。所有证明文件在投标时必须在有效期内，否则视为不具有该证明文件。</w:t>
      </w:r>
    </w:p>
    <w:p w14:paraId="7F14AB28">
      <w:pPr>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一、投标函；</w:t>
      </w:r>
    </w:p>
    <w:p w14:paraId="56F70DC6">
      <w:pPr>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二、投标产品分项报价表；</w:t>
      </w:r>
    </w:p>
    <w:p w14:paraId="5ED842AA">
      <w:pPr>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三、产品说明一览表（包括详细配置、技术参数、性能说明、产品说明书、图片、产品检验报告等）；</w:t>
      </w:r>
    </w:p>
    <w:p w14:paraId="29825684">
      <w:pPr>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四、偏离表；</w:t>
      </w:r>
    </w:p>
    <w:p w14:paraId="083DC8DE">
      <w:pPr>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五、投标人关于资格的声明函；</w:t>
      </w:r>
    </w:p>
    <w:p w14:paraId="454FA7FE">
      <w:pPr>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六、法定代表人资格证明书；</w:t>
      </w:r>
    </w:p>
    <w:p w14:paraId="1BEC8FB8">
      <w:pPr>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七、法定代表人授权委托书；</w:t>
      </w:r>
    </w:p>
    <w:p w14:paraId="5D525484">
      <w:pPr>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八、资格证明文件；</w:t>
      </w:r>
    </w:p>
    <w:p w14:paraId="3A814184">
      <w:pPr>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1.营业执照(或事业单位法人证书)副本复印件</w:t>
      </w:r>
    </w:p>
    <w:p w14:paraId="0BBB3E92">
      <w:pPr>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2. 2024年度经过审计的财务报告，或2025年基本存款账户开户银行出具的资信证明及基本存款账户开户证明材料（复印件加盖公章）</w:t>
      </w:r>
    </w:p>
    <w:p w14:paraId="295C23CF">
      <w:pPr>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3.具备履行合同所必需的设备和专业技术能力声明函（格式自拟，原件）</w:t>
      </w:r>
    </w:p>
    <w:p w14:paraId="4ED67B97">
      <w:pPr>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4.开标时间前六个月内任一个月的依法缴纳税收的缴款凭据（复印件加盖公章）</w:t>
      </w:r>
    </w:p>
    <w:p w14:paraId="15501CF6">
      <w:pPr>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5.开标时间前六个月内任一个月的依法缴纳社会保障资金的缴款凭据（复印件加盖公章）</w:t>
      </w:r>
    </w:p>
    <w:p w14:paraId="3D73B952">
      <w:pPr>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6.诚信投标承诺函（参加政府采购活动前三年内在经营活动中没有重大违法记录的书面声明函）（格式6）</w:t>
      </w:r>
    </w:p>
    <w:p w14:paraId="1B996239">
      <w:pPr>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7.非联合体投标声明（格式自拟）</w:t>
      </w:r>
    </w:p>
    <w:p w14:paraId="6659D99B">
      <w:pPr>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8.投标人关联单位的说明（格式8）</w:t>
      </w:r>
    </w:p>
    <w:p w14:paraId="1FFDF24B">
      <w:pPr>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九、</w:t>
      </w:r>
      <w:r>
        <w:rPr>
          <w:rFonts w:ascii="宋体" w:hAnsi="宋体" w:cs="宋体"/>
          <w:kern w:val="0"/>
          <w:sz w:val="24"/>
          <w:highlight w:val="none"/>
        </w:rPr>
        <w:t>投标保证金缴纳凭证</w:t>
      </w:r>
      <w:r>
        <w:rPr>
          <w:rFonts w:hint="eastAsia" w:ascii="宋体" w:hAnsi="宋体" w:cs="宋体"/>
          <w:kern w:val="0"/>
          <w:sz w:val="24"/>
          <w:highlight w:val="none"/>
        </w:rPr>
        <w:t>；</w:t>
      </w:r>
    </w:p>
    <w:p w14:paraId="6C44D8B2">
      <w:pPr>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十、中小企业声明函、监狱企业证明、残疾人福利性单位声明函；</w:t>
      </w:r>
    </w:p>
    <w:p w14:paraId="283A205F">
      <w:pPr>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十一、总体方案及功能要求、方案适用性及技术先进性说明（格式自拟）；</w:t>
      </w:r>
    </w:p>
    <w:p w14:paraId="58F8B227">
      <w:pPr>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十二、供货</w:t>
      </w:r>
      <w:r>
        <w:rPr>
          <w:rFonts w:hint="eastAsia" w:hAnsi="宋体" w:cs="宋体"/>
          <w:sz w:val="24"/>
          <w:highlight w:val="none"/>
          <w:lang w:eastAsia="zh-Hans"/>
        </w:rPr>
        <w:t>安装</w:t>
      </w:r>
      <w:r>
        <w:rPr>
          <w:rFonts w:hint="eastAsia" w:hAnsi="宋体" w:cs="宋体"/>
          <w:sz w:val="24"/>
          <w:highlight w:val="none"/>
        </w:rPr>
        <w:t>方案</w:t>
      </w:r>
      <w:r>
        <w:rPr>
          <w:rFonts w:hint="eastAsia" w:hAnsi="宋体"/>
          <w:sz w:val="24"/>
          <w:highlight w:val="none"/>
        </w:rPr>
        <w:t>（格式自拟）；</w:t>
      </w:r>
    </w:p>
    <w:p w14:paraId="57D7739C">
      <w:pPr>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十三、</w:t>
      </w:r>
      <w:r>
        <w:rPr>
          <w:rFonts w:hint="eastAsia" w:hAnsi="宋体" w:cs="宋体"/>
          <w:sz w:val="24"/>
          <w:highlight w:val="none"/>
        </w:rPr>
        <w:t>培训方案（格式自拟）；</w:t>
      </w:r>
    </w:p>
    <w:p w14:paraId="7F7B01A8">
      <w:pPr>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十四、</w:t>
      </w:r>
      <w:r>
        <w:rPr>
          <w:rFonts w:hint="eastAsia" w:hAnsi="宋体"/>
          <w:sz w:val="24"/>
          <w:highlight w:val="none"/>
        </w:rPr>
        <w:t>售后服务方案</w:t>
      </w:r>
      <w:r>
        <w:rPr>
          <w:rFonts w:hint="eastAsia" w:hAnsi="宋体" w:cs="宋体"/>
          <w:sz w:val="24"/>
          <w:highlight w:val="none"/>
        </w:rPr>
        <w:t>（格式自拟）；</w:t>
      </w:r>
    </w:p>
    <w:p w14:paraId="2CFB9001">
      <w:pPr>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十五、质保期承诺（格式自拟）；</w:t>
      </w:r>
    </w:p>
    <w:p w14:paraId="49D04783">
      <w:pPr>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十六、2022年1月1日至投标文件递交截止时间</w:t>
      </w:r>
      <w:r>
        <w:rPr>
          <w:rFonts w:hint="eastAsia" w:ascii="宋体" w:hAnsi="宋体" w:cs="宋体"/>
          <w:kern w:val="0"/>
          <w:sz w:val="24"/>
          <w:highlight w:val="none"/>
          <w:lang w:val="en-US" w:eastAsia="zh-CN"/>
        </w:rPr>
        <w:t>的</w:t>
      </w:r>
      <w:r>
        <w:rPr>
          <w:rFonts w:hint="eastAsia" w:ascii="宋体" w:hAnsi="宋体" w:cs="宋体"/>
          <w:kern w:val="0"/>
          <w:sz w:val="24"/>
          <w:highlight w:val="none"/>
        </w:rPr>
        <w:t>类似项目业绩；</w:t>
      </w:r>
    </w:p>
    <w:p w14:paraId="56543B90">
      <w:pPr>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十七、投标人需提交的其他文件；</w:t>
      </w:r>
    </w:p>
    <w:p w14:paraId="787DEE62">
      <w:pPr>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十八、投标人需说明的其他问题；</w:t>
      </w:r>
    </w:p>
    <w:p w14:paraId="122F1519">
      <w:pPr>
        <w:widowControl/>
        <w:jc w:val="left"/>
        <w:rPr>
          <w:rFonts w:hint="eastAsia" w:ascii="宋体" w:hAnsi="宋体" w:cs="宋体"/>
          <w:kern w:val="0"/>
          <w:sz w:val="24"/>
          <w:highlight w:val="none"/>
        </w:rPr>
      </w:pPr>
      <w:r>
        <w:rPr>
          <w:rFonts w:hAnsi="宋体" w:cs="宋体"/>
          <w:kern w:val="0"/>
          <w:sz w:val="24"/>
          <w:highlight w:val="none"/>
        </w:rPr>
        <w:br w:type="page"/>
      </w:r>
    </w:p>
    <w:p w14:paraId="33491E59">
      <w:pPr>
        <w:pStyle w:val="45"/>
        <w:snapToGrid w:val="0"/>
        <w:spacing w:line="360" w:lineRule="auto"/>
        <w:ind w:firstLine="480"/>
        <w:rPr>
          <w:rFonts w:hint="eastAsia" w:hAnsi="宋体" w:cs="宋体"/>
          <w:kern w:val="0"/>
          <w:sz w:val="24"/>
          <w:szCs w:val="24"/>
          <w:highlight w:val="none"/>
        </w:rPr>
      </w:pPr>
    </w:p>
    <w:p w14:paraId="171E1400">
      <w:pPr>
        <w:pStyle w:val="45"/>
        <w:snapToGrid w:val="0"/>
        <w:spacing w:line="360" w:lineRule="auto"/>
        <w:jc w:val="center"/>
        <w:outlineLvl w:val="1"/>
        <w:rPr>
          <w:rFonts w:hint="eastAsia" w:hAnsi="宋体" w:cs="宋体"/>
          <w:b/>
          <w:kern w:val="0"/>
          <w:sz w:val="36"/>
          <w:szCs w:val="24"/>
          <w:highlight w:val="none"/>
        </w:rPr>
      </w:pPr>
      <w:bookmarkStart w:id="168" w:name="_Toc21291"/>
      <w:bookmarkStart w:id="169" w:name="_Toc18189_WPSOffice_Level3"/>
      <w:r>
        <w:rPr>
          <w:rFonts w:hint="eastAsia" w:hAnsi="宋体" w:cs="宋体"/>
          <w:b/>
          <w:kern w:val="0"/>
          <w:sz w:val="36"/>
          <w:szCs w:val="24"/>
          <w:highlight w:val="none"/>
        </w:rPr>
        <w:t>一、投标函</w:t>
      </w:r>
      <w:bookmarkEnd w:id="168"/>
      <w:bookmarkEnd w:id="169"/>
    </w:p>
    <w:p w14:paraId="77F20B67">
      <w:pPr>
        <w:snapToGrid w:val="0"/>
        <w:spacing w:line="360" w:lineRule="auto"/>
        <w:ind w:firstLine="480"/>
        <w:rPr>
          <w:rFonts w:hint="eastAsia" w:ascii="宋体" w:hAnsi="宋体" w:cs="宋体"/>
          <w:kern w:val="0"/>
          <w:sz w:val="24"/>
          <w:highlight w:val="none"/>
          <w:u w:val="single"/>
        </w:rPr>
      </w:pPr>
      <w:r>
        <w:rPr>
          <w:rFonts w:hint="eastAsia" w:ascii="宋体" w:hAnsi="宋体" w:cs="宋体"/>
          <w:kern w:val="0"/>
          <w:sz w:val="24"/>
          <w:highlight w:val="none"/>
        </w:rPr>
        <w:t>致：</w:t>
      </w:r>
    </w:p>
    <w:p w14:paraId="1BAC7298">
      <w:pPr>
        <w:snapToGrid w:val="0"/>
        <w:spacing w:line="360" w:lineRule="auto"/>
        <w:ind w:firstLine="480"/>
        <w:rPr>
          <w:rFonts w:hint="eastAsia" w:ascii="宋体" w:hAnsi="宋体" w:cs="宋体"/>
          <w:kern w:val="0"/>
          <w:sz w:val="24"/>
          <w:highlight w:val="none"/>
        </w:rPr>
      </w:pPr>
      <w:r>
        <w:rPr>
          <w:rFonts w:hint="eastAsia" w:ascii="宋体" w:hAnsi="宋体" w:cs="宋体"/>
          <w:kern w:val="0"/>
          <w:sz w:val="24"/>
          <w:highlight w:val="none"/>
        </w:rPr>
        <w:t>根据贵方</w:t>
      </w:r>
      <w:r>
        <w:rPr>
          <w:rFonts w:hint="eastAsia" w:ascii="宋体" w:hAnsi="宋体" w:cs="宋体"/>
          <w:kern w:val="0"/>
          <w:sz w:val="24"/>
          <w:highlight w:val="none"/>
          <w:u w:val="single"/>
        </w:rPr>
        <w:t xml:space="preserve"> </w:t>
      </w:r>
      <w:r>
        <w:rPr>
          <w:rFonts w:ascii="宋体" w:hAnsi="宋体" w:cs="宋体"/>
          <w:kern w:val="0"/>
          <w:sz w:val="24"/>
          <w:highlight w:val="none"/>
          <w:u w:val="single"/>
        </w:rPr>
        <w:t xml:space="preserve">    </w:t>
      </w:r>
      <w:r>
        <w:rPr>
          <w:rFonts w:hint="eastAsia" w:ascii="宋体" w:hAnsi="宋体" w:cs="宋体"/>
          <w:kern w:val="0"/>
          <w:sz w:val="24"/>
          <w:highlight w:val="none"/>
          <w:u w:val="single"/>
        </w:rPr>
        <w:t>（招标项目名称、招标编号：）</w:t>
      </w:r>
      <w:r>
        <w:rPr>
          <w:rFonts w:hint="eastAsia" w:ascii="宋体" w:hAnsi="宋体" w:cs="宋体"/>
          <w:kern w:val="0"/>
          <w:sz w:val="24"/>
          <w:highlight w:val="none"/>
        </w:rPr>
        <w:t>，投标人代表</w:t>
      </w:r>
      <w:r>
        <w:rPr>
          <w:rFonts w:hint="eastAsia" w:ascii="宋体" w:hAnsi="宋体" w:cs="宋体"/>
          <w:kern w:val="0"/>
          <w:sz w:val="24"/>
          <w:highlight w:val="none"/>
          <w:u w:val="single"/>
        </w:rPr>
        <w:t xml:space="preserve"> </w:t>
      </w:r>
      <w:r>
        <w:rPr>
          <w:rFonts w:ascii="宋体" w:hAnsi="宋体" w:cs="宋体"/>
          <w:kern w:val="0"/>
          <w:sz w:val="24"/>
          <w:highlight w:val="none"/>
          <w:u w:val="single"/>
        </w:rPr>
        <w:t xml:space="preserve">    </w:t>
      </w:r>
      <w:r>
        <w:rPr>
          <w:rFonts w:hint="eastAsia" w:ascii="宋体" w:hAnsi="宋体" w:cs="宋体"/>
          <w:kern w:val="0"/>
          <w:sz w:val="24"/>
          <w:highlight w:val="none"/>
          <w:u w:val="single"/>
        </w:rPr>
        <w:t>（姓名、职务）</w:t>
      </w:r>
      <w:r>
        <w:rPr>
          <w:rFonts w:hint="eastAsia" w:ascii="宋体" w:hAnsi="宋体" w:cs="宋体"/>
          <w:kern w:val="0"/>
          <w:sz w:val="24"/>
          <w:highlight w:val="none"/>
        </w:rPr>
        <w:t>经正式授权并代表投标人</w:t>
      </w:r>
      <w:r>
        <w:rPr>
          <w:rFonts w:ascii="宋体" w:hAnsi="宋体" w:cs="宋体"/>
          <w:kern w:val="0"/>
          <w:sz w:val="24"/>
          <w:highlight w:val="none"/>
          <w:u w:val="single"/>
        </w:rPr>
        <w:t xml:space="preserve">     </w:t>
      </w:r>
      <w:r>
        <w:rPr>
          <w:rFonts w:hint="eastAsia" w:ascii="宋体" w:hAnsi="宋体" w:cs="宋体"/>
          <w:kern w:val="0"/>
          <w:sz w:val="24"/>
          <w:highlight w:val="none"/>
          <w:u w:val="single"/>
        </w:rPr>
        <w:t>（投标人名称、地址）</w:t>
      </w:r>
      <w:r>
        <w:rPr>
          <w:rFonts w:hint="eastAsia" w:ascii="宋体" w:hAnsi="宋体" w:cs="宋体"/>
          <w:kern w:val="0"/>
          <w:sz w:val="24"/>
          <w:highlight w:val="none"/>
        </w:rPr>
        <w:t>提交下述文件正本一份、副本</w:t>
      </w:r>
      <w:r>
        <w:rPr>
          <w:rFonts w:ascii="宋体" w:hAnsi="宋体" w:cs="宋体"/>
          <w:kern w:val="0"/>
          <w:sz w:val="24"/>
          <w:highlight w:val="none"/>
          <w:u w:val="single"/>
        </w:rPr>
        <w:t xml:space="preserve">    </w:t>
      </w:r>
      <w:r>
        <w:rPr>
          <w:rFonts w:hint="eastAsia" w:ascii="宋体" w:hAnsi="宋体" w:cs="宋体"/>
          <w:kern w:val="0"/>
          <w:sz w:val="24"/>
          <w:highlight w:val="none"/>
        </w:rPr>
        <w:t>份。</w:t>
      </w:r>
    </w:p>
    <w:p w14:paraId="41B4F494">
      <w:pPr>
        <w:snapToGrid w:val="0"/>
        <w:spacing w:line="360" w:lineRule="auto"/>
        <w:ind w:firstLine="480"/>
        <w:rPr>
          <w:rFonts w:hint="eastAsia" w:ascii="宋体" w:hAnsi="宋体" w:cs="宋体"/>
          <w:kern w:val="0"/>
          <w:sz w:val="24"/>
          <w:highlight w:val="none"/>
        </w:rPr>
      </w:pPr>
      <w:r>
        <w:rPr>
          <w:rFonts w:hint="eastAsia" w:ascii="宋体" w:hAnsi="宋体" w:cs="宋体"/>
          <w:kern w:val="0"/>
          <w:sz w:val="24"/>
          <w:highlight w:val="none"/>
        </w:rPr>
        <w:t>完全理解招标文件的内容，决定投标本项目，据此我方承诺如下：</w:t>
      </w:r>
    </w:p>
    <w:p w14:paraId="5617B6EB">
      <w:pPr>
        <w:pStyle w:val="277"/>
        <w:numPr>
          <w:ilvl w:val="1"/>
          <w:numId w:val="0"/>
        </w:numPr>
        <w:snapToGrid w:val="0"/>
        <w:spacing w:line="360" w:lineRule="auto"/>
        <w:ind w:firstLine="480"/>
        <w:rPr>
          <w:rFonts w:hint="eastAsia" w:ascii="宋体" w:hAnsi="宋体" w:cs="宋体"/>
          <w:kern w:val="0"/>
          <w:sz w:val="24"/>
          <w:highlight w:val="none"/>
        </w:rPr>
      </w:pPr>
      <w:r>
        <w:rPr>
          <w:rFonts w:ascii="宋体" w:hAnsi="宋体" w:cs="宋体"/>
          <w:kern w:val="0"/>
          <w:sz w:val="24"/>
          <w:highlight w:val="none"/>
        </w:rPr>
        <w:t>1．</w:t>
      </w:r>
      <w:r>
        <w:rPr>
          <w:rFonts w:hint="eastAsia" w:ascii="宋体" w:hAnsi="宋体" w:cs="宋体"/>
          <w:kern w:val="0"/>
          <w:sz w:val="24"/>
          <w:highlight w:val="none"/>
        </w:rPr>
        <w:t>我方承诺，我方完全具备《中华人民共和国政府采购法》第二十二条第一款规定的条件以及本项目招标文件规定的投标人须满足的特定条件。</w:t>
      </w:r>
    </w:p>
    <w:p w14:paraId="66D13773">
      <w:pPr>
        <w:numPr>
          <w:ilvl w:val="1"/>
          <w:numId w:val="0"/>
        </w:numPr>
        <w:snapToGrid w:val="0"/>
        <w:spacing w:line="360" w:lineRule="auto"/>
        <w:ind w:firstLine="480"/>
        <w:rPr>
          <w:rFonts w:hint="eastAsia" w:ascii="宋体" w:hAnsi="宋体" w:cs="宋体"/>
          <w:kern w:val="0"/>
          <w:sz w:val="24"/>
          <w:highlight w:val="none"/>
        </w:rPr>
      </w:pPr>
      <w:r>
        <w:rPr>
          <w:rFonts w:ascii="宋体" w:hAnsi="宋体" w:cs="宋体"/>
          <w:kern w:val="0"/>
          <w:sz w:val="24"/>
          <w:highlight w:val="none"/>
        </w:rPr>
        <w:t>2．</w:t>
      </w:r>
      <w:r>
        <w:rPr>
          <w:rFonts w:hint="eastAsia" w:ascii="宋体" w:hAnsi="宋体" w:cs="宋体"/>
          <w:kern w:val="0"/>
          <w:sz w:val="24"/>
          <w:highlight w:val="none"/>
        </w:rPr>
        <w:t>所附投标价格表中规定的应提交和交付的货物及服务投标报价为人民币</w:t>
      </w:r>
      <w:r>
        <w:rPr>
          <w:rFonts w:ascii="宋体" w:hAnsi="宋体" w:cs="宋体"/>
          <w:kern w:val="0"/>
          <w:sz w:val="24"/>
          <w:highlight w:val="none"/>
          <w:u w:val="single"/>
        </w:rPr>
        <w:t xml:space="preserve">     </w:t>
      </w:r>
      <w:r>
        <w:rPr>
          <w:rFonts w:hint="eastAsia" w:ascii="宋体" w:hAnsi="宋体" w:cs="宋体"/>
          <w:kern w:val="0"/>
          <w:sz w:val="24"/>
          <w:highlight w:val="none"/>
        </w:rPr>
        <w:t>元，金额数：</w:t>
      </w:r>
      <w:r>
        <w:rPr>
          <w:rFonts w:ascii="宋体" w:hAnsi="宋体" w:cs="宋体"/>
          <w:kern w:val="0"/>
          <w:sz w:val="24"/>
          <w:highlight w:val="none"/>
          <w:u w:val="single"/>
        </w:rPr>
        <w:t xml:space="preserve">        </w:t>
      </w:r>
      <w:r>
        <w:rPr>
          <w:rFonts w:hint="eastAsia" w:ascii="宋体" w:hAnsi="宋体" w:cs="宋体"/>
          <w:kern w:val="0"/>
          <w:sz w:val="24"/>
          <w:highlight w:val="none"/>
        </w:rPr>
        <w:t>（大写金额）。</w:t>
      </w:r>
    </w:p>
    <w:p w14:paraId="03492E11">
      <w:pPr>
        <w:numPr>
          <w:ilvl w:val="1"/>
          <w:numId w:val="0"/>
        </w:numPr>
        <w:snapToGrid w:val="0"/>
        <w:spacing w:line="360" w:lineRule="auto"/>
        <w:ind w:firstLine="480"/>
        <w:rPr>
          <w:rFonts w:hint="eastAsia" w:ascii="宋体" w:hAnsi="宋体" w:cs="宋体"/>
          <w:kern w:val="0"/>
          <w:sz w:val="24"/>
          <w:highlight w:val="none"/>
        </w:rPr>
      </w:pPr>
      <w:r>
        <w:rPr>
          <w:rFonts w:ascii="宋体" w:hAnsi="宋体" w:cs="宋体"/>
          <w:kern w:val="0"/>
          <w:sz w:val="24"/>
          <w:highlight w:val="none"/>
        </w:rPr>
        <w:t>3．</w:t>
      </w:r>
      <w:r>
        <w:rPr>
          <w:rFonts w:hint="eastAsia" w:ascii="宋体" w:hAnsi="宋体" w:cs="宋体"/>
          <w:kern w:val="0"/>
          <w:sz w:val="24"/>
          <w:highlight w:val="none"/>
        </w:rPr>
        <w:t>我方已仔细研究并完全理解了全部招标文件（包括修改文件、附件等相关资料）规定的内容，并承诺在发生争议时，不会以对招标文件存在误解、不明为由，向采购人及采购代理机构行使任何法律上的抗辩权。</w:t>
      </w:r>
    </w:p>
    <w:p w14:paraId="2978FC3F">
      <w:pPr>
        <w:numPr>
          <w:ilvl w:val="1"/>
          <w:numId w:val="0"/>
        </w:numPr>
        <w:snapToGrid w:val="0"/>
        <w:spacing w:line="360" w:lineRule="auto"/>
        <w:ind w:firstLine="480"/>
        <w:rPr>
          <w:rFonts w:hint="eastAsia" w:ascii="宋体" w:hAnsi="宋体" w:cs="宋体"/>
          <w:kern w:val="0"/>
          <w:sz w:val="24"/>
          <w:highlight w:val="none"/>
        </w:rPr>
      </w:pPr>
      <w:r>
        <w:rPr>
          <w:rFonts w:ascii="宋体" w:hAnsi="宋体" w:cs="宋体"/>
          <w:kern w:val="0"/>
          <w:sz w:val="24"/>
          <w:highlight w:val="none"/>
        </w:rPr>
        <w:t>4．</w:t>
      </w:r>
      <w:r>
        <w:rPr>
          <w:rFonts w:hint="eastAsia" w:ascii="宋体" w:hAnsi="宋体" w:cs="宋体"/>
          <w:kern w:val="0"/>
          <w:sz w:val="24"/>
          <w:highlight w:val="none"/>
        </w:rPr>
        <w:t>本投标有效期为自开标日起</w:t>
      </w:r>
      <w:r>
        <w:rPr>
          <w:rFonts w:ascii="宋体" w:hAnsi="宋体" w:cs="宋体"/>
          <w:kern w:val="0"/>
          <w:sz w:val="24"/>
          <w:highlight w:val="none"/>
          <w:u w:val="single"/>
        </w:rPr>
        <w:t xml:space="preserve">      </w:t>
      </w:r>
      <w:r>
        <w:rPr>
          <w:rFonts w:hint="eastAsia" w:ascii="宋体" w:hAnsi="宋体" w:cs="宋体"/>
          <w:kern w:val="0"/>
          <w:sz w:val="24"/>
          <w:highlight w:val="none"/>
        </w:rPr>
        <w:t>个日历日。</w:t>
      </w:r>
    </w:p>
    <w:p w14:paraId="2171CDF7">
      <w:pPr>
        <w:numPr>
          <w:ilvl w:val="1"/>
          <w:numId w:val="0"/>
        </w:numPr>
        <w:snapToGrid w:val="0"/>
        <w:spacing w:line="360" w:lineRule="auto"/>
        <w:ind w:firstLine="480"/>
        <w:rPr>
          <w:rFonts w:hint="eastAsia" w:ascii="宋体" w:hAnsi="宋体" w:cs="宋体"/>
          <w:kern w:val="0"/>
          <w:sz w:val="24"/>
          <w:highlight w:val="none"/>
        </w:rPr>
      </w:pPr>
      <w:r>
        <w:rPr>
          <w:rFonts w:ascii="宋体" w:hAnsi="宋体" w:cs="宋体"/>
          <w:kern w:val="0"/>
          <w:sz w:val="24"/>
          <w:highlight w:val="none"/>
        </w:rPr>
        <w:t>5．</w:t>
      </w:r>
      <w:r>
        <w:rPr>
          <w:rFonts w:hint="eastAsia" w:ascii="宋体" w:hAnsi="宋体" w:cs="宋体"/>
          <w:kern w:val="0"/>
          <w:sz w:val="24"/>
          <w:highlight w:val="none"/>
        </w:rPr>
        <w:t>供货期：__________；质保期：_____________。</w:t>
      </w:r>
    </w:p>
    <w:p w14:paraId="25F73561">
      <w:pPr>
        <w:numPr>
          <w:ilvl w:val="1"/>
          <w:numId w:val="0"/>
        </w:numPr>
        <w:snapToGrid w:val="0"/>
        <w:spacing w:line="360" w:lineRule="auto"/>
        <w:ind w:firstLine="480"/>
        <w:rPr>
          <w:rFonts w:hint="eastAsia" w:ascii="宋体" w:hAnsi="宋体" w:cs="宋体"/>
          <w:kern w:val="0"/>
          <w:sz w:val="24"/>
          <w:highlight w:val="none"/>
        </w:rPr>
      </w:pPr>
      <w:r>
        <w:rPr>
          <w:rFonts w:ascii="宋体" w:hAnsi="宋体" w:cs="宋体"/>
          <w:kern w:val="0"/>
          <w:sz w:val="24"/>
          <w:highlight w:val="none"/>
        </w:rPr>
        <w:t>6．</w:t>
      </w:r>
      <w:r>
        <w:rPr>
          <w:rFonts w:hint="eastAsia" w:ascii="宋体" w:hAnsi="宋体" w:cs="宋体"/>
          <w:kern w:val="0"/>
          <w:sz w:val="24"/>
          <w:highlight w:val="none"/>
        </w:rPr>
        <w:t>我方已按招标文件规定交纳了投标保证金，并完全理解、同意并接受当发生招标文件及法律、法规等法律规范性文件规定的可以不退还投标保证金情形时，我方所交纳的投标保证金将不被退还。</w:t>
      </w:r>
    </w:p>
    <w:p w14:paraId="17C78A01">
      <w:pPr>
        <w:pStyle w:val="98"/>
        <w:numPr>
          <w:ilvl w:val="0"/>
          <w:numId w:val="0"/>
        </w:numPr>
        <w:snapToGrid w:val="0"/>
        <w:ind w:firstLine="480" w:firstLineChars="200"/>
        <w:rPr>
          <w:rFonts w:hint="eastAsia" w:ascii="宋体" w:hAnsi="宋体" w:cs="宋体"/>
          <w:kern w:val="0"/>
          <w:highlight w:val="none"/>
        </w:rPr>
      </w:pPr>
      <w:r>
        <w:rPr>
          <w:rFonts w:hint="eastAsia" w:ascii="宋体" w:hAnsi="宋体" w:cs="宋体"/>
          <w:kern w:val="0"/>
          <w:highlight w:val="none"/>
        </w:rPr>
        <w:t>7.如果我方中标，我方将按照规定提交上述总价</w:t>
      </w:r>
      <w:r>
        <w:rPr>
          <w:rFonts w:ascii="宋体" w:hAnsi="宋体" w:cs="宋体"/>
          <w:kern w:val="0"/>
          <w:highlight w:val="none"/>
          <w:u w:val="single"/>
        </w:rPr>
        <w:t xml:space="preserve">     </w:t>
      </w:r>
      <w:r>
        <w:rPr>
          <w:rFonts w:ascii="宋体" w:hAnsi="宋体" w:cs="宋体"/>
          <w:kern w:val="0"/>
          <w:highlight w:val="none"/>
        </w:rPr>
        <w:t>%</w:t>
      </w:r>
      <w:r>
        <w:rPr>
          <w:rFonts w:hint="eastAsia" w:ascii="宋体" w:hAnsi="宋体" w:cs="宋体"/>
          <w:kern w:val="0"/>
          <w:highlight w:val="none"/>
        </w:rPr>
        <w:t>的履约保证金。</w:t>
      </w:r>
    </w:p>
    <w:p w14:paraId="5D0611F1">
      <w:pPr>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8.依据</w:t>
      </w:r>
      <w:r>
        <w:rPr>
          <w:rFonts w:hint="eastAsia" w:ascii="宋体" w:hAnsi="宋体" w:cs="宋体"/>
          <w:kern w:val="1"/>
          <w:sz w:val="24"/>
          <w:highlight w:val="none"/>
        </w:rPr>
        <w:t>《中小企业划型标准规定》（工信部联企业〔2011〕300号）、</w:t>
      </w:r>
      <w:r>
        <w:rPr>
          <w:rFonts w:hint="eastAsia" w:ascii="宋体" w:hAnsi="宋体" w:cs="宋体"/>
          <w:kern w:val="0"/>
          <w:sz w:val="24"/>
          <w:highlight w:val="none"/>
        </w:rPr>
        <w:t>《统计上大中小微型企业划分办法（2017）》（国统字【2017】213号）和企业实际情况，我方企业为____（大、中、小、微）型企业。</w:t>
      </w:r>
    </w:p>
    <w:p w14:paraId="4CEB32A0">
      <w:pPr>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9.我方承诺投标文件及所有提供的一切数据或资料均真实、准确、合法、有效。由于我方提供的资料不实而导致中标结果无效，给其他投标人及采购人造成的全部损失，我方同意无条件予以赔偿。</w:t>
      </w:r>
    </w:p>
    <w:p w14:paraId="7602096D">
      <w:pPr>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10.我方投标文件、你方的中标通知书、招标文件将成为约束双方的合同文件组成部分，若招标文件存在要求，而投标文件没有拒绝亦没有涉及的情形下，我方接受招标文件的有关约束，并同意将招标文件对投标人的要求作为投标人合同义务的组成部分。</w:t>
      </w:r>
    </w:p>
    <w:p w14:paraId="47308A9E">
      <w:pPr>
        <w:pStyle w:val="98"/>
        <w:numPr>
          <w:ilvl w:val="0"/>
          <w:numId w:val="0"/>
        </w:numPr>
        <w:ind w:firstLine="480" w:firstLineChars="200"/>
        <w:rPr>
          <w:rFonts w:hint="eastAsia" w:ascii="宋体" w:hAnsi="宋体" w:cs="宋体"/>
          <w:kern w:val="0"/>
          <w:highlight w:val="none"/>
        </w:rPr>
      </w:pPr>
      <w:r>
        <w:rPr>
          <w:rFonts w:hint="eastAsia" w:ascii="宋体" w:hAnsi="宋体" w:cs="宋体"/>
          <w:kern w:val="0"/>
          <w:highlight w:val="none"/>
        </w:rPr>
        <w:t>11.我方绝对所有权拥有者性别为</w:t>
      </w:r>
      <w:r>
        <w:rPr>
          <w:rFonts w:hint="eastAsia" w:ascii="宋体" w:hAnsi="宋体" w:cs="宋体"/>
          <w:kern w:val="0"/>
          <w:highlight w:val="none"/>
          <w:u w:val="single"/>
        </w:rPr>
        <w:t xml:space="preserve">      </w:t>
      </w:r>
      <w:r>
        <w:rPr>
          <w:rFonts w:hint="eastAsia" w:ascii="宋体" w:hAnsi="宋体" w:cs="宋体"/>
          <w:kern w:val="0"/>
          <w:highlight w:val="none"/>
        </w:rPr>
        <w:t>（男、女）。</w:t>
      </w:r>
    </w:p>
    <w:p w14:paraId="2C429828">
      <w:pPr>
        <w:pStyle w:val="98"/>
        <w:numPr>
          <w:ilvl w:val="0"/>
          <w:numId w:val="0"/>
        </w:numPr>
        <w:ind w:firstLine="480" w:firstLineChars="200"/>
        <w:rPr>
          <w:rFonts w:hint="eastAsia" w:ascii="宋体" w:hAnsi="宋体" w:cs="宋体"/>
          <w:kern w:val="0"/>
          <w:highlight w:val="none"/>
        </w:rPr>
      </w:pPr>
      <w:r>
        <w:rPr>
          <w:rFonts w:hint="eastAsia" w:ascii="宋体" w:hAnsi="宋体" w:cs="宋体"/>
          <w:kern w:val="0"/>
          <w:highlight w:val="none"/>
        </w:rPr>
        <w:t>12.我方</w:t>
      </w:r>
      <w:r>
        <w:rPr>
          <w:rFonts w:hint="eastAsia" w:ascii="宋体" w:hAnsi="宋体" w:cs="宋体"/>
          <w:kern w:val="0"/>
          <w:highlight w:val="none"/>
          <w:u w:val="single"/>
        </w:rPr>
        <w:t xml:space="preserve">      </w:t>
      </w:r>
      <w:r>
        <w:rPr>
          <w:rFonts w:hint="eastAsia" w:ascii="宋体" w:hAnsi="宋体" w:cs="宋体"/>
          <w:kern w:val="0"/>
          <w:highlight w:val="none"/>
        </w:rPr>
        <w:t>（是、不是）外商投资企业。</w:t>
      </w:r>
    </w:p>
    <w:p w14:paraId="11D3F852">
      <w:pPr>
        <w:snapToGrid w:val="0"/>
        <w:spacing w:line="360" w:lineRule="auto"/>
        <w:ind w:firstLine="480"/>
        <w:rPr>
          <w:rFonts w:hint="eastAsia" w:ascii="宋体" w:hAnsi="宋体" w:cs="宋体"/>
          <w:kern w:val="0"/>
          <w:sz w:val="24"/>
          <w:highlight w:val="none"/>
        </w:rPr>
      </w:pPr>
      <w:r>
        <w:rPr>
          <w:rFonts w:hint="eastAsia" w:ascii="宋体" w:hAnsi="宋体" w:cs="宋体"/>
          <w:kern w:val="0"/>
          <w:sz w:val="24"/>
          <w:highlight w:val="none"/>
        </w:rPr>
        <w:t>13.我方将严格遵守政府采购法律法规、规范性文件等的规定，若存在违法违规等行为，将承担相应的法律责任。</w:t>
      </w:r>
    </w:p>
    <w:p w14:paraId="0BEA27B3">
      <w:pPr>
        <w:snapToGrid w:val="0"/>
        <w:spacing w:line="360" w:lineRule="auto"/>
        <w:ind w:firstLine="480"/>
        <w:rPr>
          <w:rFonts w:hint="eastAsia" w:ascii="宋体" w:hAnsi="宋体" w:cs="宋体"/>
          <w:kern w:val="0"/>
          <w:sz w:val="24"/>
          <w:highlight w:val="none"/>
        </w:rPr>
      </w:pPr>
    </w:p>
    <w:p w14:paraId="3101C390">
      <w:pPr>
        <w:snapToGrid w:val="0"/>
        <w:spacing w:line="360" w:lineRule="auto"/>
        <w:ind w:firstLine="480"/>
        <w:rPr>
          <w:rFonts w:hint="eastAsia" w:ascii="宋体" w:hAnsi="宋体" w:cs="宋体"/>
          <w:kern w:val="0"/>
          <w:sz w:val="24"/>
          <w:highlight w:val="none"/>
        </w:rPr>
      </w:pPr>
      <w:r>
        <w:rPr>
          <w:rFonts w:hint="eastAsia" w:ascii="宋体" w:hAnsi="宋体" w:cs="宋体"/>
          <w:kern w:val="0"/>
          <w:sz w:val="24"/>
          <w:highlight w:val="none"/>
        </w:rPr>
        <w:t xml:space="preserve">法定代表人或其委托代理人 (签字或盖章)： </w:t>
      </w:r>
    </w:p>
    <w:p w14:paraId="2BB8345F">
      <w:pPr>
        <w:snapToGrid w:val="0"/>
        <w:spacing w:line="360" w:lineRule="auto"/>
        <w:ind w:firstLine="480"/>
        <w:rPr>
          <w:rFonts w:hint="eastAsia" w:ascii="宋体" w:hAnsi="宋体" w:cs="宋体"/>
          <w:kern w:val="0"/>
          <w:sz w:val="24"/>
          <w:highlight w:val="none"/>
        </w:rPr>
      </w:pPr>
    </w:p>
    <w:p w14:paraId="54BDD7CF">
      <w:pPr>
        <w:snapToGrid w:val="0"/>
        <w:spacing w:line="360" w:lineRule="auto"/>
        <w:ind w:firstLine="480"/>
        <w:rPr>
          <w:rFonts w:hint="eastAsia" w:ascii="宋体" w:hAnsi="宋体" w:cs="宋体"/>
          <w:kern w:val="0"/>
          <w:sz w:val="24"/>
          <w:highlight w:val="none"/>
        </w:rPr>
      </w:pPr>
      <w:r>
        <w:rPr>
          <w:rFonts w:hint="eastAsia" w:ascii="宋体" w:hAnsi="宋体" w:cs="宋体"/>
          <w:kern w:val="0"/>
          <w:sz w:val="24"/>
          <w:highlight w:val="none"/>
        </w:rPr>
        <w:t>投标人名称（公章）：</w:t>
      </w:r>
    </w:p>
    <w:p w14:paraId="120CFBFD">
      <w:pPr>
        <w:snapToGrid w:val="0"/>
        <w:spacing w:line="360" w:lineRule="auto"/>
        <w:ind w:firstLine="480"/>
        <w:rPr>
          <w:rFonts w:hint="eastAsia" w:ascii="宋体" w:hAnsi="宋体" w:cs="宋体"/>
          <w:kern w:val="0"/>
          <w:sz w:val="24"/>
          <w:highlight w:val="none"/>
        </w:rPr>
      </w:pPr>
    </w:p>
    <w:p w14:paraId="172BDFF2">
      <w:pPr>
        <w:snapToGrid w:val="0"/>
        <w:spacing w:line="360" w:lineRule="auto"/>
        <w:ind w:firstLine="480"/>
        <w:rPr>
          <w:rFonts w:hint="eastAsia" w:ascii="宋体" w:hAnsi="宋体" w:cs="宋体"/>
          <w:kern w:val="0"/>
          <w:sz w:val="24"/>
          <w:highlight w:val="none"/>
        </w:rPr>
      </w:pPr>
      <w:r>
        <w:rPr>
          <w:rFonts w:hint="eastAsia" w:ascii="宋体" w:hAnsi="宋体" w:cs="宋体"/>
          <w:kern w:val="0"/>
          <w:sz w:val="24"/>
          <w:highlight w:val="none"/>
        </w:rPr>
        <w:t>日期：</w:t>
      </w:r>
    </w:p>
    <w:p w14:paraId="093B01E3">
      <w:pPr>
        <w:snapToGrid w:val="0"/>
        <w:spacing w:line="360" w:lineRule="auto"/>
        <w:ind w:firstLine="480"/>
        <w:rPr>
          <w:rFonts w:hint="eastAsia" w:ascii="宋体" w:hAnsi="宋体" w:cs="宋体"/>
          <w:kern w:val="0"/>
          <w:sz w:val="24"/>
          <w:highlight w:val="none"/>
        </w:rPr>
      </w:pPr>
    </w:p>
    <w:p w14:paraId="37C41311">
      <w:pPr>
        <w:snapToGrid w:val="0"/>
        <w:spacing w:line="360" w:lineRule="auto"/>
        <w:ind w:firstLine="482"/>
        <w:rPr>
          <w:rFonts w:hint="eastAsia" w:ascii="宋体" w:hAnsi="宋体" w:cs="宋体"/>
          <w:b/>
          <w:kern w:val="0"/>
          <w:sz w:val="24"/>
          <w:highlight w:val="none"/>
        </w:rPr>
      </w:pPr>
      <w:r>
        <w:rPr>
          <w:rFonts w:hint="eastAsia" w:ascii="宋体" w:hAnsi="宋体" w:cs="宋体"/>
          <w:b/>
          <w:kern w:val="0"/>
          <w:sz w:val="24"/>
          <w:highlight w:val="none"/>
        </w:rPr>
        <w:t>注：1.本格式文件内容不得擅自删改。</w:t>
      </w:r>
    </w:p>
    <w:p w14:paraId="781C5674">
      <w:pPr>
        <w:snapToGrid w:val="0"/>
        <w:spacing w:line="360" w:lineRule="auto"/>
        <w:ind w:firstLine="482"/>
        <w:rPr>
          <w:rFonts w:hint="eastAsia" w:ascii="宋体" w:hAnsi="宋体" w:cs="宋体"/>
          <w:b/>
          <w:kern w:val="0"/>
          <w:sz w:val="24"/>
          <w:highlight w:val="none"/>
        </w:rPr>
      </w:pPr>
      <w:r>
        <w:rPr>
          <w:rFonts w:hint="eastAsia" w:ascii="宋体" w:hAnsi="宋体" w:cs="宋体"/>
          <w:b/>
          <w:kern w:val="0"/>
          <w:sz w:val="24"/>
          <w:highlight w:val="none"/>
        </w:rPr>
        <w:t>2.投标人代表签字，必须是亲笔签名。</w:t>
      </w:r>
    </w:p>
    <w:p w14:paraId="722D93D4">
      <w:pPr>
        <w:snapToGrid w:val="0"/>
        <w:spacing w:line="360" w:lineRule="auto"/>
        <w:ind w:firstLine="482"/>
        <w:rPr>
          <w:rFonts w:hint="eastAsia" w:ascii="宋体" w:hAnsi="宋体" w:cs="宋体"/>
          <w:b/>
          <w:kern w:val="0"/>
          <w:sz w:val="24"/>
          <w:highlight w:val="none"/>
        </w:rPr>
      </w:pPr>
      <w:r>
        <w:rPr>
          <w:rFonts w:hint="eastAsia" w:ascii="宋体" w:hAnsi="宋体" w:cs="宋体"/>
          <w:b/>
          <w:kern w:val="0"/>
          <w:sz w:val="24"/>
          <w:highlight w:val="none"/>
        </w:rPr>
        <w:t>3.投标人公章必须是经公安部门备案的印章。</w:t>
      </w:r>
    </w:p>
    <w:p w14:paraId="598D173D">
      <w:pPr>
        <w:snapToGrid w:val="0"/>
        <w:spacing w:line="360" w:lineRule="auto"/>
        <w:ind w:firstLine="482"/>
        <w:rPr>
          <w:rFonts w:hint="eastAsia" w:ascii="宋体" w:hAnsi="宋体" w:cs="宋体"/>
          <w:b/>
          <w:kern w:val="0"/>
          <w:sz w:val="24"/>
          <w:highlight w:val="none"/>
        </w:rPr>
      </w:pPr>
      <w:r>
        <w:rPr>
          <w:rFonts w:hint="eastAsia" w:ascii="宋体" w:hAnsi="宋体" w:cs="宋体"/>
          <w:b/>
          <w:kern w:val="0"/>
          <w:sz w:val="24"/>
          <w:highlight w:val="none"/>
        </w:rPr>
        <w:t>4.不得使用其他印章或电子制版签名。</w:t>
      </w:r>
    </w:p>
    <w:p w14:paraId="14C1564E">
      <w:pPr>
        <w:snapToGrid w:val="0"/>
        <w:spacing w:line="360" w:lineRule="auto"/>
        <w:ind w:firstLine="482"/>
        <w:rPr>
          <w:rFonts w:hint="eastAsia" w:ascii="宋体" w:hAnsi="宋体" w:cs="宋体"/>
          <w:b/>
          <w:kern w:val="0"/>
          <w:sz w:val="24"/>
          <w:highlight w:val="none"/>
        </w:rPr>
      </w:pPr>
      <w:r>
        <w:rPr>
          <w:rFonts w:hint="eastAsia" w:ascii="宋体" w:hAnsi="宋体" w:cs="宋体"/>
          <w:b/>
          <w:kern w:val="0"/>
          <w:sz w:val="24"/>
          <w:highlight w:val="none"/>
        </w:rPr>
        <w:t>5.本文件应按规定签署，否则投标文件无效。</w:t>
      </w:r>
    </w:p>
    <w:p w14:paraId="30ED6DAB">
      <w:pPr>
        <w:widowControl/>
        <w:snapToGrid w:val="0"/>
        <w:spacing w:line="360" w:lineRule="auto"/>
        <w:ind w:firstLine="482"/>
        <w:jc w:val="left"/>
        <w:rPr>
          <w:rFonts w:hint="eastAsia" w:ascii="宋体" w:hAnsi="宋体" w:cs="宋体"/>
          <w:b/>
          <w:kern w:val="0"/>
          <w:szCs w:val="21"/>
          <w:highlight w:val="none"/>
        </w:rPr>
        <w:sectPr>
          <w:footerReference r:id="rId9" w:type="default"/>
          <w:pgSz w:w="11905" w:h="16838"/>
          <w:pgMar w:top="1984" w:right="1417" w:bottom="1417" w:left="1361" w:header="1417" w:footer="850" w:gutter="0"/>
          <w:cols w:space="0" w:num="1"/>
          <w:titlePg/>
          <w:docGrid w:linePitch="286" w:charSpace="0"/>
        </w:sectPr>
      </w:pPr>
    </w:p>
    <w:p w14:paraId="457189CF">
      <w:pPr>
        <w:pStyle w:val="45"/>
        <w:snapToGrid w:val="0"/>
        <w:spacing w:line="360" w:lineRule="auto"/>
        <w:jc w:val="center"/>
        <w:outlineLvl w:val="1"/>
        <w:rPr>
          <w:rFonts w:hint="eastAsia" w:hAnsi="宋体" w:cs="宋体"/>
          <w:b/>
          <w:kern w:val="0"/>
          <w:sz w:val="36"/>
          <w:szCs w:val="24"/>
          <w:highlight w:val="none"/>
        </w:rPr>
      </w:pPr>
      <w:bookmarkStart w:id="170" w:name="_Toc17155_WPSOffice_Level3"/>
      <w:bookmarkStart w:id="171" w:name="_Toc6653239"/>
      <w:bookmarkStart w:id="172" w:name="_Toc3837"/>
      <w:r>
        <w:rPr>
          <w:rFonts w:hint="eastAsia" w:hAnsi="宋体" w:cs="宋体"/>
          <w:b/>
          <w:kern w:val="0"/>
          <w:sz w:val="36"/>
          <w:szCs w:val="24"/>
          <w:highlight w:val="none"/>
        </w:rPr>
        <w:t>二、</w:t>
      </w:r>
      <w:bookmarkEnd w:id="170"/>
      <w:bookmarkEnd w:id="171"/>
      <w:r>
        <w:rPr>
          <w:rFonts w:hint="eastAsia" w:hAnsi="宋体" w:cs="宋体"/>
          <w:b/>
          <w:kern w:val="0"/>
          <w:sz w:val="36"/>
          <w:szCs w:val="24"/>
          <w:highlight w:val="none"/>
        </w:rPr>
        <w:t>投标产品分项报价表</w:t>
      </w:r>
      <w:bookmarkEnd w:id="172"/>
    </w:p>
    <w:p w14:paraId="2FC0B14D">
      <w:pPr>
        <w:snapToGrid w:val="0"/>
        <w:spacing w:line="360" w:lineRule="auto"/>
        <w:ind w:firstLine="482"/>
        <w:rPr>
          <w:rFonts w:hint="eastAsia" w:ascii="宋体" w:hAnsi="宋体" w:cs="宋体"/>
          <w:b/>
          <w:kern w:val="0"/>
          <w:sz w:val="24"/>
          <w:highlight w:val="none"/>
          <w:u w:val="single"/>
        </w:rPr>
      </w:pPr>
      <w:r>
        <w:rPr>
          <w:rFonts w:hint="eastAsia" w:ascii="宋体" w:hAnsi="宋体" w:cs="宋体"/>
          <w:b/>
          <w:kern w:val="0"/>
          <w:sz w:val="24"/>
          <w:highlight w:val="none"/>
          <w:u w:val="single"/>
        </w:rPr>
        <w:t>（投标人必需按第三章中技术参数的顺序填写报价，不准调整顺序，如投标人需补充说明可附表解释。）</w:t>
      </w:r>
    </w:p>
    <w:tbl>
      <w:tblPr>
        <w:tblStyle w:val="88"/>
        <w:tblW w:w="1390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36"/>
        <w:gridCol w:w="1296"/>
        <w:gridCol w:w="531"/>
        <w:gridCol w:w="532"/>
        <w:gridCol w:w="850"/>
        <w:gridCol w:w="933"/>
        <w:gridCol w:w="992"/>
        <w:gridCol w:w="1843"/>
        <w:gridCol w:w="992"/>
        <w:gridCol w:w="992"/>
        <w:gridCol w:w="754"/>
        <w:gridCol w:w="1791"/>
        <w:gridCol w:w="26"/>
        <w:gridCol w:w="1514"/>
        <w:gridCol w:w="26"/>
      </w:tblGrid>
      <w:tr w14:paraId="686420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3" w:hRule="atLeast"/>
          <w:jc w:val="center"/>
        </w:trPr>
        <w:tc>
          <w:tcPr>
            <w:tcW w:w="836" w:type="dxa"/>
            <w:vAlign w:val="center"/>
          </w:tcPr>
          <w:p w14:paraId="0E5EAE6B">
            <w:pPr>
              <w:snapToGrid w:val="0"/>
              <w:spacing w:line="360" w:lineRule="auto"/>
              <w:jc w:val="center"/>
              <w:rPr>
                <w:rFonts w:hint="eastAsia" w:ascii="宋体" w:hAnsi="宋体" w:cs="宋体"/>
                <w:kern w:val="0"/>
                <w:sz w:val="24"/>
                <w:highlight w:val="none"/>
              </w:rPr>
            </w:pPr>
            <w:r>
              <w:rPr>
                <w:rFonts w:hint="eastAsia" w:ascii="宋体" w:hAnsi="宋体" w:cs="宋体"/>
                <w:kern w:val="0"/>
                <w:sz w:val="24"/>
                <w:highlight w:val="none"/>
              </w:rPr>
              <w:t>1</w:t>
            </w:r>
          </w:p>
        </w:tc>
        <w:tc>
          <w:tcPr>
            <w:tcW w:w="1296" w:type="dxa"/>
            <w:vAlign w:val="center"/>
          </w:tcPr>
          <w:p w14:paraId="6155F15F">
            <w:pPr>
              <w:snapToGrid w:val="0"/>
              <w:spacing w:line="360" w:lineRule="auto"/>
              <w:jc w:val="center"/>
              <w:rPr>
                <w:rFonts w:hint="eastAsia" w:ascii="宋体" w:hAnsi="宋体" w:cs="宋体"/>
                <w:kern w:val="0"/>
                <w:sz w:val="24"/>
                <w:highlight w:val="none"/>
              </w:rPr>
            </w:pPr>
            <w:r>
              <w:rPr>
                <w:rFonts w:hint="eastAsia" w:ascii="宋体" w:hAnsi="宋体" w:cs="宋体"/>
                <w:kern w:val="0"/>
                <w:sz w:val="24"/>
                <w:highlight w:val="none"/>
              </w:rPr>
              <w:t>2</w:t>
            </w:r>
          </w:p>
        </w:tc>
        <w:tc>
          <w:tcPr>
            <w:tcW w:w="1063" w:type="dxa"/>
            <w:gridSpan w:val="2"/>
            <w:vAlign w:val="center"/>
          </w:tcPr>
          <w:p w14:paraId="3919B3B0">
            <w:pPr>
              <w:snapToGrid w:val="0"/>
              <w:spacing w:line="360" w:lineRule="auto"/>
              <w:jc w:val="center"/>
              <w:rPr>
                <w:rFonts w:hint="eastAsia" w:ascii="宋体" w:hAnsi="宋体" w:cs="宋体"/>
                <w:kern w:val="0"/>
                <w:sz w:val="24"/>
                <w:highlight w:val="none"/>
              </w:rPr>
            </w:pPr>
            <w:r>
              <w:rPr>
                <w:rFonts w:hint="eastAsia" w:ascii="宋体" w:hAnsi="宋体" w:cs="宋体"/>
                <w:kern w:val="0"/>
                <w:sz w:val="24"/>
                <w:highlight w:val="none"/>
              </w:rPr>
              <w:t>3</w:t>
            </w:r>
          </w:p>
        </w:tc>
        <w:tc>
          <w:tcPr>
            <w:tcW w:w="850" w:type="dxa"/>
            <w:vAlign w:val="center"/>
          </w:tcPr>
          <w:p w14:paraId="2A0F292D">
            <w:pPr>
              <w:snapToGrid w:val="0"/>
              <w:spacing w:line="360" w:lineRule="auto"/>
              <w:jc w:val="center"/>
              <w:rPr>
                <w:rFonts w:hint="eastAsia" w:ascii="宋体" w:hAnsi="宋体" w:cs="宋体"/>
                <w:kern w:val="0"/>
                <w:sz w:val="24"/>
                <w:highlight w:val="none"/>
              </w:rPr>
            </w:pPr>
            <w:r>
              <w:rPr>
                <w:rFonts w:hint="eastAsia" w:ascii="宋体" w:hAnsi="宋体" w:cs="宋体"/>
                <w:kern w:val="0"/>
                <w:sz w:val="24"/>
                <w:highlight w:val="none"/>
              </w:rPr>
              <w:t>4</w:t>
            </w:r>
          </w:p>
        </w:tc>
        <w:tc>
          <w:tcPr>
            <w:tcW w:w="933" w:type="dxa"/>
            <w:vAlign w:val="center"/>
          </w:tcPr>
          <w:p w14:paraId="22AB6CB4">
            <w:pPr>
              <w:snapToGrid w:val="0"/>
              <w:spacing w:line="360" w:lineRule="auto"/>
              <w:jc w:val="center"/>
              <w:rPr>
                <w:rFonts w:hint="eastAsia" w:ascii="宋体" w:hAnsi="宋体" w:cs="宋体"/>
                <w:kern w:val="0"/>
                <w:sz w:val="24"/>
                <w:highlight w:val="none"/>
              </w:rPr>
            </w:pPr>
            <w:r>
              <w:rPr>
                <w:rFonts w:hint="eastAsia" w:ascii="宋体" w:hAnsi="宋体" w:cs="宋体"/>
                <w:kern w:val="0"/>
                <w:sz w:val="24"/>
                <w:highlight w:val="none"/>
              </w:rPr>
              <w:t>5</w:t>
            </w:r>
          </w:p>
        </w:tc>
        <w:tc>
          <w:tcPr>
            <w:tcW w:w="3827" w:type="dxa"/>
            <w:gridSpan w:val="3"/>
            <w:vAlign w:val="center"/>
          </w:tcPr>
          <w:p w14:paraId="25760890">
            <w:pPr>
              <w:snapToGrid w:val="0"/>
              <w:spacing w:line="360" w:lineRule="auto"/>
              <w:jc w:val="center"/>
              <w:rPr>
                <w:rFonts w:hint="eastAsia" w:ascii="宋体" w:hAnsi="宋体" w:cs="宋体"/>
                <w:kern w:val="0"/>
                <w:sz w:val="24"/>
                <w:highlight w:val="none"/>
              </w:rPr>
            </w:pPr>
            <w:r>
              <w:rPr>
                <w:rFonts w:hint="eastAsia" w:ascii="宋体" w:hAnsi="宋体" w:cs="宋体"/>
                <w:kern w:val="0"/>
                <w:sz w:val="24"/>
                <w:highlight w:val="none"/>
              </w:rPr>
              <w:t>6</w:t>
            </w:r>
          </w:p>
        </w:tc>
        <w:tc>
          <w:tcPr>
            <w:tcW w:w="992" w:type="dxa"/>
            <w:vAlign w:val="center"/>
          </w:tcPr>
          <w:p w14:paraId="3C33479E">
            <w:pPr>
              <w:snapToGrid w:val="0"/>
              <w:spacing w:line="360" w:lineRule="auto"/>
              <w:jc w:val="center"/>
              <w:rPr>
                <w:rFonts w:hint="eastAsia" w:ascii="宋体" w:hAnsi="宋体" w:cs="宋体"/>
                <w:kern w:val="0"/>
                <w:sz w:val="24"/>
                <w:highlight w:val="none"/>
              </w:rPr>
            </w:pPr>
            <w:r>
              <w:rPr>
                <w:rFonts w:hint="eastAsia" w:ascii="宋体" w:hAnsi="宋体" w:cs="宋体"/>
                <w:kern w:val="0"/>
                <w:sz w:val="24"/>
                <w:highlight w:val="none"/>
              </w:rPr>
              <w:t>7</w:t>
            </w:r>
          </w:p>
        </w:tc>
        <w:tc>
          <w:tcPr>
            <w:tcW w:w="754" w:type="dxa"/>
            <w:vAlign w:val="center"/>
          </w:tcPr>
          <w:p w14:paraId="164F40EF">
            <w:pPr>
              <w:snapToGrid w:val="0"/>
              <w:spacing w:line="360" w:lineRule="auto"/>
              <w:jc w:val="center"/>
              <w:rPr>
                <w:rFonts w:hint="eastAsia" w:ascii="宋体" w:hAnsi="宋体" w:cs="宋体"/>
                <w:kern w:val="0"/>
                <w:sz w:val="24"/>
                <w:highlight w:val="none"/>
              </w:rPr>
            </w:pPr>
            <w:r>
              <w:rPr>
                <w:rFonts w:hint="eastAsia" w:ascii="宋体" w:hAnsi="宋体" w:cs="宋体"/>
                <w:kern w:val="0"/>
                <w:sz w:val="24"/>
                <w:highlight w:val="none"/>
              </w:rPr>
              <w:t>8</w:t>
            </w:r>
          </w:p>
        </w:tc>
        <w:tc>
          <w:tcPr>
            <w:tcW w:w="1817" w:type="dxa"/>
            <w:gridSpan w:val="2"/>
            <w:vAlign w:val="center"/>
          </w:tcPr>
          <w:p w14:paraId="797ABDB4">
            <w:pPr>
              <w:snapToGrid w:val="0"/>
              <w:spacing w:line="360" w:lineRule="auto"/>
              <w:jc w:val="center"/>
              <w:rPr>
                <w:rFonts w:hint="eastAsia" w:ascii="宋体" w:hAnsi="宋体" w:cs="宋体"/>
                <w:kern w:val="0"/>
                <w:sz w:val="24"/>
                <w:highlight w:val="none"/>
              </w:rPr>
            </w:pPr>
            <w:r>
              <w:rPr>
                <w:rFonts w:hint="eastAsia" w:ascii="宋体" w:hAnsi="宋体" w:cs="宋体"/>
                <w:kern w:val="0"/>
                <w:sz w:val="24"/>
                <w:highlight w:val="none"/>
              </w:rPr>
              <w:t>9</w:t>
            </w:r>
          </w:p>
        </w:tc>
        <w:tc>
          <w:tcPr>
            <w:tcW w:w="1540" w:type="dxa"/>
            <w:gridSpan w:val="2"/>
            <w:vAlign w:val="center"/>
          </w:tcPr>
          <w:p w14:paraId="74CC9B06">
            <w:pPr>
              <w:snapToGrid w:val="0"/>
              <w:spacing w:line="360" w:lineRule="auto"/>
              <w:jc w:val="center"/>
              <w:rPr>
                <w:rFonts w:hint="eastAsia" w:ascii="宋体" w:hAnsi="宋体" w:cs="宋体"/>
                <w:kern w:val="0"/>
                <w:sz w:val="24"/>
                <w:highlight w:val="none"/>
              </w:rPr>
            </w:pPr>
            <w:r>
              <w:rPr>
                <w:rFonts w:hint="eastAsia" w:ascii="宋体" w:hAnsi="宋体" w:cs="宋体"/>
                <w:kern w:val="0"/>
                <w:sz w:val="24"/>
                <w:highlight w:val="none"/>
              </w:rPr>
              <w:t>10</w:t>
            </w:r>
          </w:p>
        </w:tc>
      </w:tr>
      <w:tr w14:paraId="33C662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jc w:val="center"/>
        </w:trPr>
        <w:tc>
          <w:tcPr>
            <w:tcW w:w="836" w:type="dxa"/>
            <w:vMerge w:val="restart"/>
            <w:vAlign w:val="center"/>
          </w:tcPr>
          <w:p w14:paraId="64306713">
            <w:pPr>
              <w:snapToGrid w:val="0"/>
              <w:jc w:val="center"/>
              <w:rPr>
                <w:rFonts w:hint="eastAsia" w:ascii="宋体" w:hAnsi="宋体" w:cs="宋体"/>
                <w:kern w:val="0"/>
                <w:sz w:val="24"/>
                <w:highlight w:val="none"/>
              </w:rPr>
            </w:pPr>
            <w:r>
              <w:rPr>
                <w:rFonts w:hint="eastAsia" w:ascii="宋体" w:hAnsi="宋体" w:cs="宋体"/>
                <w:kern w:val="0"/>
                <w:sz w:val="24"/>
                <w:highlight w:val="none"/>
              </w:rPr>
              <w:t>序号</w:t>
            </w:r>
          </w:p>
        </w:tc>
        <w:tc>
          <w:tcPr>
            <w:tcW w:w="1296" w:type="dxa"/>
            <w:vMerge w:val="restart"/>
            <w:vAlign w:val="center"/>
          </w:tcPr>
          <w:p w14:paraId="2FEF37BE">
            <w:pPr>
              <w:snapToGrid w:val="0"/>
              <w:jc w:val="center"/>
              <w:rPr>
                <w:rFonts w:hint="eastAsia" w:ascii="宋体" w:hAnsi="宋体" w:cs="宋体"/>
                <w:kern w:val="0"/>
                <w:sz w:val="24"/>
                <w:highlight w:val="none"/>
              </w:rPr>
            </w:pPr>
            <w:r>
              <w:rPr>
                <w:rFonts w:hint="eastAsia" w:ascii="宋体" w:hAnsi="宋体" w:cs="宋体"/>
                <w:kern w:val="0"/>
                <w:sz w:val="24"/>
                <w:highlight w:val="none"/>
              </w:rPr>
              <w:t>货物名称</w:t>
            </w:r>
          </w:p>
        </w:tc>
        <w:tc>
          <w:tcPr>
            <w:tcW w:w="531" w:type="dxa"/>
            <w:vMerge w:val="restart"/>
            <w:vAlign w:val="center"/>
          </w:tcPr>
          <w:p w14:paraId="073A46D3">
            <w:pPr>
              <w:snapToGrid w:val="0"/>
              <w:jc w:val="center"/>
              <w:rPr>
                <w:rFonts w:hint="eastAsia" w:ascii="宋体" w:hAnsi="宋体" w:cs="宋体"/>
                <w:kern w:val="0"/>
                <w:sz w:val="24"/>
                <w:highlight w:val="none"/>
              </w:rPr>
            </w:pPr>
            <w:r>
              <w:rPr>
                <w:rFonts w:hint="eastAsia" w:ascii="宋体" w:hAnsi="宋体" w:cs="宋体"/>
                <w:kern w:val="0"/>
                <w:sz w:val="24"/>
                <w:highlight w:val="none"/>
              </w:rPr>
              <w:t>品牌</w:t>
            </w:r>
          </w:p>
        </w:tc>
        <w:tc>
          <w:tcPr>
            <w:tcW w:w="532" w:type="dxa"/>
            <w:vMerge w:val="restart"/>
            <w:vAlign w:val="center"/>
          </w:tcPr>
          <w:p w14:paraId="61BBB51D">
            <w:pPr>
              <w:snapToGrid w:val="0"/>
              <w:jc w:val="center"/>
              <w:rPr>
                <w:rFonts w:hint="eastAsia" w:ascii="宋体" w:hAnsi="宋体" w:cs="宋体"/>
                <w:kern w:val="0"/>
                <w:sz w:val="24"/>
                <w:highlight w:val="none"/>
              </w:rPr>
            </w:pPr>
            <w:r>
              <w:rPr>
                <w:rFonts w:hint="eastAsia" w:ascii="宋体" w:hAnsi="宋体" w:cs="宋体"/>
                <w:kern w:val="0"/>
                <w:sz w:val="24"/>
                <w:highlight w:val="none"/>
              </w:rPr>
              <w:t>型号</w:t>
            </w:r>
          </w:p>
        </w:tc>
        <w:tc>
          <w:tcPr>
            <w:tcW w:w="850" w:type="dxa"/>
            <w:vMerge w:val="restart"/>
            <w:vAlign w:val="center"/>
          </w:tcPr>
          <w:p w14:paraId="791FF6AB">
            <w:pPr>
              <w:snapToGrid w:val="0"/>
              <w:jc w:val="center"/>
              <w:rPr>
                <w:rFonts w:hint="eastAsia" w:ascii="宋体" w:hAnsi="宋体" w:cs="宋体"/>
                <w:kern w:val="0"/>
                <w:sz w:val="24"/>
                <w:highlight w:val="none"/>
              </w:rPr>
            </w:pPr>
            <w:r>
              <w:rPr>
                <w:rFonts w:hint="eastAsia" w:ascii="宋体" w:hAnsi="宋体" w:cs="宋体"/>
                <w:kern w:val="0"/>
                <w:sz w:val="24"/>
                <w:highlight w:val="none"/>
              </w:rPr>
              <w:t>数量</w:t>
            </w:r>
          </w:p>
        </w:tc>
        <w:tc>
          <w:tcPr>
            <w:tcW w:w="933" w:type="dxa"/>
            <w:vMerge w:val="restart"/>
            <w:vAlign w:val="center"/>
          </w:tcPr>
          <w:p w14:paraId="5A46F5DB">
            <w:pPr>
              <w:snapToGrid w:val="0"/>
              <w:jc w:val="center"/>
              <w:rPr>
                <w:rFonts w:hint="eastAsia" w:ascii="宋体" w:hAnsi="宋体" w:cs="宋体"/>
                <w:kern w:val="0"/>
                <w:sz w:val="24"/>
                <w:highlight w:val="none"/>
              </w:rPr>
            </w:pPr>
            <w:r>
              <w:rPr>
                <w:rFonts w:hint="eastAsia" w:ascii="宋体" w:hAnsi="宋体" w:cs="宋体"/>
                <w:kern w:val="0"/>
                <w:sz w:val="24"/>
                <w:highlight w:val="none"/>
              </w:rPr>
              <w:t>生产厂商及原产地</w:t>
            </w:r>
          </w:p>
        </w:tc>
        <w:tc>
          <w:tcPr>
            <w:tcW w:w="3827" w:type="dxa"/>
            <w:gridSpan w:val="3"/>
            <w:vAlign w:val="center"/>
          </w:tcPr>
          <w:p w14:paraId="6F52B696">
            <w:pPr>
              <w:snapToGrid w:val="0"/>
              <w:jc w:val="center"/>
              <w:rPr>
                <w:rFonts w:hint="eastAsia" w:ascii="宋体" w:hAnsi="宋体" w:cs="宋体"/>
                <w:kern w:val="0"/>
                <w:sz w:val="24"/>
                <w:highlight w:val="none"/>
              </w:rPr>
            </w:pPr>
            <w:r>
              <w:rPr>
                <w:rFonts w:hint="eastAsia" w:ascii="宋体" w:hAnsi="宋体" w:cs="宋体"/>
                <w:kern w:val="0"/>
                <w:sz w:val="24"/>
                <w:highlight w:val="none"/>
              </w:rPr>
              <w:t>交货单价</w:t>
            </w:r>
          </w:p>
        </w:tc>
        <w:tc>
          <w:tcPr>
            <w:tcW w:w="992" w:type="dxa"/>
            <w:vMerge w:val="restart"/>
            <w:vAlign w:val="center"/>
          </w:tcPr>
          <w:p w14:paraId="53338523">
            <w:pPr>
              <w:snapToGrid w:val="0"/>
              <w:jc w:val="center"/>
              <w:rPr>
                <w:rFonts w:hint="eastAsia" w:ascii="宋体" w:hAnsi="宋体" w:cs="宋体"/>
                <w:kern w:val="0"/>
                <w:sz w:val="24"/>
                <w:highlight w:val="none"/>
              </w:rPr>
            </w:pPr>
            <w:r>
              <w:rPr>
                <w:rFonts w:hint="eastAsia" w:ascii="宋体" w:hAnsi="宋体" w:cs="宋体"/>
                <w:kern w:val="0"/>
                <w:sz w:val="24"/>
                <w:highlight w:val="none"/>
              </w:rPr>
              <w:t>运保费单价</w:t>
            </w:r>
          </w:p>
        </w:tc>
        <w:tc>
          <w:tcPr>
            <w:tcW w:w="754" w:type="dxa"/>
            <w:vMerge w:val="restart"/>
            <w:vAlign w:val="center"/>
          </w:tcPr>
          <w:p w14:paraId="7A87783D">
            <w:pPr>
              <w:snapToGrid w:val="0"/>
              <w:jc w:val="center"/>
              <w:rPr>
                <w:rFonts w:hint="eastAsia" w:ascii="宋体" w:hAnsi="宋体" w:cs="宋体"/>
                <w:kern w:val="0"/>
                <w:sz w:val="24"/>
                <w:highlight w:val="none"/>
              </w:rPr>
            </w:pPr>
            <w:r>
              <w:rPr>
                <w:rFonts w:hint="eastAsia" w:ascii="宋体" w:hAnsi="宋体" w:cs="宋体"/>
                <w:kern w:val="0"/>
                <w:sz w:val="24"/>
                <w:highlight w:val="none"/>
              </w:rPr>
              <w:t>其他单价</w:t>
            </w:r>
          </w:p>
        </w:tc>
        <w:tc>
          <w:tcPr>
            <w:tcW w:w="1817" w:type="dxa"/>
            <w:gridSpan w:val="2"/>
            <w:vMerge w:val="restart"/>
            <w:vAlign w:val="center"/>
          </w:tcPr>
          <w:p w14:paraId="3A1CA4E9">
            <w:pPr>
              <w:snapToGrid w:val="0"/>
              <w:jc w:val="center"/>
              <w:rPr>
                <w:rFonts w:hint="eastAsia" w:ascii="宋体" w:hAnsi="宋体" w:cs="宋体"/>
                <w:kern w:val="0"/>
                <w:sz w:val="24"/>
                <w:highlight w:val="none"/>
              </w:rPr>
            </w:pPr>
            <w:r>
              <w:rPr>
                <w:rFonts w:hint="eastAsia" w:ascii="宋体" w:hAnsi="宋体" w:cs="宋体"/>
                <w:kern w:val="0"/>
                <w:sz w:val="24"/>
                <w:highlight w:val="none"/>
              </w:rPr>
              <w:t>综合单价（项6+项7+项8）</w:t>
            </w:r>
          </w:p>
        </w:tc>
        <w:tc>
          <w:tcPr>
            <w:tcW w:w="1540" w:type="dxa"/>
            <w:gridSpan w:val="2"/>
            <w:vMerge w:val="restart"/>
            <w:vAlign w:val="center"/>
          </w:tcPr>
          <w:p w14:paraId="77EF5615">
            <w:pPr>
              <w:snapToGrid w:val="0"/>
              <w:jc w:val="center"/>
              <w:rPr>
                <w:rFonts w:hint="eastAsia" w:ascii="宋体" w:hAnsi="宋体" w:cs="宋体"/>
                <w:kern w:val="0"/>
                <w:sz w:val="24"/>
                <w:highlight w:val="none"/>
              </w:rPr>
            </w:pPr>
            <w:r>
              <w:rPr>
                <w:rFonts w:hint="eastAsia" w:ascii="宋体" w:hAnsi="宋体" w:cs="宋体"/>
                <w:kern w:val="0"/>
                <w:sz w:val="24"/>
                <w:highlight w:val="none"/>
              </w:rPr>
              <w:t>投标总价（项4×项9）</w:t>
            </w:r>
          </w:p>
        </w:tc>
      </w:tr>
      <w:tr w14:paraId="083EEA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36" w:type="dxa"/>
            <w:vMerge w:val="continue"/>
          </w:tcPr>
          <w:p w14:paraId="5CCB55E1">
            <w:pPr>
              <w:snapToGrid w:val="0"/>
              <w:spacing w:line="360" w:lineRule="auto"/>
              <w:ind w:firstLine="480"/>
              <w:jc w:val="center"/>
              <w:rPr>
                <w:rFonts w:hint="eastAsia" w:ascii="宋体" w:hAnsi="宋体" w:cs="宋体"/>
                <w:kern w:val="0"/>
                <w:sz w:val="24"/>
                <w:highlight w:val="none"/>
              </w:rPr>
            </w:pPr>
          </w:p>
        </w:tc>
        <w:tc>
          <w:tcPr>
            <w:tcW w:w="1296" w:type="dxa"/>
            <w:vMerge w:val="continue"/>
          </w:tcPr>
          <w:p w14:paraId="7FAA8F45">
            <w:pPr>
              <w:snapToGrid w:val="0"/>
              <w:spacing w:line="360" w:lineRule="auto"/>
              <w:ind w:firstLine="480"/>
              <w:jc w:val="center"/>
              <w:rPr>
                <w:rFonts w:hint="eastAsia" w:ascii="宋体" w:hAnsi="宋体" w:cs="宋体"/>
                <w:kern w:val="0"/>
                <w:sz w:val="24"/>
                <w:highlight w:val="none"/>
              </w:rPr>
            </w:pPr>
          </w:p>
        </w:tc>
        <w:tc>
          <w:tcPr>
            <w:tcW w:w="531" w:type="dxa"/>
            <w:vMerge w:val="continue"/>
          </w:tcPr>
          <w:p w14:paraId="4D4757E8">
            <w:pPr>
              <w:snapToGrid w:val="0"/>
              <w:spacing w:line="360" w:lineRule="auto"/>
              <w:ind w:firstLine="480"/>
              <w:jc w:val="center"/>
              <w:rPr>
                <w:rFonts w:hint="eastAsia" w:ascii="宋体" w:hAnsi="宋体" w:cs="宋体"/>
                <w:kern w:val="0"/>
                <w:sz w:val="24"/>
                <w:highlight w:val="none"/>
              </w:rPr>
            </w:pPr>
          </w:p>
        </w:tc>
        <w:tc>
          <w:tcPr>
            <w:tcW w:w="532" w:type="dxa"/>
            <w:vMerge w:val="continue"/>
          </w:tcPr>
          <w:p w14:paraId="45043347">
            <w:pPr>
              <w:snapToGrid w:val="0"/>
              <w:spacing w:line="360" w:lineRule="auto"/>
              <w:ind w:firstLine="480"/>
              <w:jc w:val="center"/>
              <w:rPr>
                <w:rFonts w:hint="eastAsia" w:ascii="宋体" w:hAnsi="宋体" w:cs="宋体"/>
                <w:kern w:val="0"/>
                <w:sz w:val="24"/>
                <w:highlight w:val="none"/>
              </w:rPr>
            </w:pPr>
          </w:p>
        </w:tc>
        <w:tc>
          <w:tcPr>
            <w:tcW w:w="850" w:type="dxa"/>
            <w:vMerge w:val="continue"/>
          </w:tcPr>
          <w:p w14:paraId="4D2FF605">
            <w:pPr>
              <w:snapToGrid w:val="0"/>
              <w:spacing w:line="360" w:lineRule="auto"/>
              <w:ind w:firstLine="480"/>
              <w:jc w:val="center"/>
              <w:rPr>
                <w:rFonts w:hint="eastAsia" w:ascii="宋体" w:hAnsi="宋体" w:cs="宋体"/>
                <w:kern w:val="0"/>
                <w:sz w:val="24"/>
                <w:highlight w:val="none"/>
              </w:rPr>
            </w:pPr>
          </w:p>
        </w:tc>
        <w:tc>
          <w:tcPr>
            <w:tcW w:w="933" w:type="dxa"/>
            <w:vMerge w:val="continue"/>
          </w:tcPr>
          <w:p w14:paraId="43FE05BE">
            <w:pPr>
              <w:snapToGrid w:val="0"/>
              <w:spacing w:line="360" w:lineRule="auto"/>
              <w:ind w:firstLine="480"/>
              <w:jc w:val="center"/>
              <w:rPr>
                <w:rFonts w:hint="eastAsia" w:ascii="宋体" w:hAnsi="宋体" w:cs="宋体"/>
                <w:kern w:val="0"/>
                <w:sz w:val="24"/>
                <w:highlight w:val="none"/>
              </w:rPr>
            </w:pPr>
          </w:p>
        </w:tc>
        <w:tc>
          <w:tcPr>
            <w:tcW w:w="992" w:type="dxa"/>
          </w:tcPr>
          <w:p w14:paraId="032F2165">
            <w:pPr>
              <w:snapToGrid w:val="0"/>
              <w:jc w:val="center"/>
              <w:rPr>
                <w:rFonts w:hint="eastAsia" w:ascii="宋体" w:hAnsi="宋体" w:cs="宋体"/>
                <w:kern w:val="0"/>
                <w:sz w:val="24"/>
                <w:highlight w:val="none"/>
              </w:rPr>
            </w:pPr>
            <w:r>
              <w:rPr>
                <w:rFonts w:hint="eastAsia" w:ascii="宋体" w:hAnsi="宋体" w:cs="宋体"/>
                <w:kern w:val="0"/>
                <w:sz w:val="24"/>
                <w:highlight w:val="none"/>
              </w:rPr>
              <w:t>货物单价6a</w:t>
            </w:r>
          </w:p>
        </w:tc>
        <w:tc>
          <w:tcPr>
            <w:tcW w:w="1843" w:type="dxa"/>
          </w:tcPr>
          <w:p w14:paraId="4220CB3A">
            <w:pPr>
              <w:snapToGrid w:val="0"/>
              <w:jc w:val="center"/>
              <w:rPr>
                <w:rFonts w:hint="eastAsia" w:ascii="宋体" w:hAnsi="宋体" w:cs="宋体"/>
                <w:kern w:val="0"/>
                <w:sz w:val="24"/>
                <w:highlight w:val="none"/>
              </w:rPr>
            </w:pPr>
            <w:r>
              <w:rPr>
                <w:rFonts w:hint="eastAsia" w:ascii="宋体" w:hAnsi="宋体" w:cs="宋体"/>
                <w:kern w:val="0"/>
                <w:sz w:val="24"/>
                <w:highlight w:val="none"/>
              </w:rPr>
              <w:t>安装调试、培训等技术服务费6b</w:t>
            </w:r>
          </w:p>
        </w:tc>
        <w:tc>
          <w:tcPr>
            <w:tcW w:w="992" w:type="dxa"/>
          </w:tcPr>
          <w:p w14:paraId="7F213800">
            <w:pPr>
              <w:snapToGrid w:val="0"/>
              <w:spacing w:line="360" w:lineRule="auto"/>
              <w:jc w:val="center"/>
              <w:rPr>
                <w:rFonts w:hint="eastAsia" w:ascii="宋体" w:hAnsi="宋体" w:cs="宋体"/>
                <w:kern w:val="0"/>
                <w:sz w:val="24"/>
                <w:highlight w:val="none"/>
              </w:rPr>
            </w:pPr>
            <w:r>
              <w:rPr>
                <w:rFonts w:hint="eastAsia" w:ascii="宋体" w:hAnsi="宋体" w:cs="宋体"/>
                <w:kern w:val="0"/>
                <w:sz w:val="24"/>
                <w:highlight w:val="none"/>
              </w:rPr>
              <w:t>合计</w:t>
            </w:r>
          </w:p>
          <w:p w14:paraId="386E573B">
            <w:pPr>
              <w:snapToGrid w:val="0"/>
              <w:spacing w:line="360" w:lineRule="auto"/>
              <w:jc w:val="center"/>
              <w:rPr>
                <w:rFonts w:hint="eastAsia" w:ascii="宋体" w:hAnsi="宋体" w:cs="宋体"/>
                <w:kern w:val="0"/>
                <w:sz w:val="24"/>
                <w:highlight w:val="none"/>
              </w:rPr>
            </w:pPr>
            <w:r>
              <w:rPr>
                <w:rFonts w:hint="eastAsia" w:ascii="宋体" w:hAnsi="宋体" w:cs="宋体"/>
                <w:kern w:val="0"/>
                <w:sz w:val="24"/>
                <w:highlight w:val="none"/>
              </w:rPr>
              <w:t>6c</w:t>
            </w:r>
          </w:p>
        </w:tc>
        <w:tc>
          <w:tcPr>
            <w:tcW w:w="992" w:type="dxa"/>
            <w:vMerge w:val="continue"/>
          </w:tcPr>
          <w:p w14:paraId="7C153664">
            <w:pPr>
              <w:snapToGrid w:val="0"/>
              <w:spacing w:line="360" w:lineRule="auto"/>
              <w:ind w:firstLine="480"/>
              <w:jc w:val="center"/>
              <w:rPr>
                <w:rFonts w:hint="eastAsia" w:ascii="宋体" w:hAnsi="宋体" w:cs="宋体"/>
                <w:kern w:val="0"/>
                <w:sz w:val="24"/>
                <w:highlight w:val="none"/>
              </w:rPr>
            </w:pPr>
          </w:p>
        </w:tc>
        <w:tc>
          <w:tcPr>
            <w:tcW w:w="754" w:type="dxa"/>
            <w:vMerge w:val="continue"/>
          </w:tcPr>
          <w:p w14:paraId="54D490DD">
            <w:pPr>
              <w:snapToGrid w:val="0"/>
              <w:spacing w:line="360" w:lineRule="auto"/>
              <w:ind w:firstLine="480"/>
              <w:jc w:val="center"/>
              <w:rPr>
                <w:rFonts w:hint="eastAsia" w:ascii="宋体" w:hAnsi="宋体" w:cs="宋体"/>
                <w:kern w:val="0"/>
                <w:sz w:val="24"/>
                <w:highlight w:val="none"/>
              </w:rPr>
            </w:pPr>
          </w:p>
        </w:tc>
        <w:tc>
          <w:tcPr>
            <w:tcW w:w="1817" w:type="dxa"/>
            <w:gridSpan w:val="2"/>
            <w:vMerge w:val="continue"/>
          </w:tcPr>
          <w:p w14:paraId="79C655E8">
            <w:pPr>
              <w:snapToGrid w:val="0"/>
              <w:spacing w:line="360" w:lineRule="auto"/>
              <w:ind w:firstLine="480"/>
              <w:jc w:val="center"/>
              <w:rPr>
                <w:rFonts w:hint="eastAsia" w:ascii="宋体" w:hAnsi="宋体" w:cs="宋体"/>
                <w:kern w:val="0"/>
                <w:sz w:val="24"/>
                <w:highlight w:val="none"/>
              </w:rPr>
            </w:pPr>
          </w:p>
        </w:tc>
        <w:tc>
          <w:tcPr>
            <w:tcW w:w="1540" w:type="dxa"/>
            <w:gridSpan w:val="2"/>
            <w:vMerge w:val="continue"/>
          </w:tcPr>
          <w:p w14:paraId="48DAAD80">
            <w:pPr>
              <w:snapToGrid w:val="0"/>
              <w:spacing w:line="360" w:lineRule="auto"/>
              <w:ind w:firstLine="480"/>
              <w:jc w:val="center"/>
              <w:rPr>
                <w:rFonts w:hint="eastAsia" w:ascii="宋体" w:hAnsi="宋体" w:cs="宋体"/>
                <w:kern w:val="0"/>
                <w:sz w:val="24"/>
                <w:highlight w:val="none"/>
              </w:rPr>
            </w:pPr>
          </w:p>
        </w:tc>
      </w:tr>
      <w:tr w14:paraId="000C35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36" w:type="dxa"/>
            <w:vAlign w:val="center"/>
          </w:tcPr>
          <w:p w14:paraId="70A50946">
            <w:pPr>
              <w:snapToGrid w:val="0"/>
              <w:spacing w:line="360" w:lineRule="auto"/>
              <w:ind w:firstLine="480"/>
              <w:jc w:val="center"/>
              <w:rPr>
                <w:rFonts w:hint="eastAsia" w:ascii="宋体" w:hAnsi="宋体" w:cs="宋体"/>
                <w:kern w:val="0"/>
                <w:szCs w:val="21"/>
                <w:highlight w:val="none"/>
              </w:rPr>
            </w:pPr>
            <w:r>
              <w:rPr>
                <w:rFonts w:hint="eastAsia" w:ascii="宋体" w:hAnsi="宋体" w:cs="宋体"/>
                <w:kern w:val="0"/>
                <w:szCs w:val="21"/>
                <w:highlight w:val="none"/>
              </w:rPr>
              <w:t>1</w:t>
            </w:r>
          </w:p>
        </w:tc>
        <w:tc>
          <w:tcPr>
            <w:tcW w:w="1296" w:type="dxa"/>
            <w:vAlign w:val="center"/>
          </w:tcPr>
          <w:p w14:paraId="0661B081">
            <w:pPr>
              <w:snapToGrid w:val="0"/>
              <w:rPr>
                <w:rFonts w:hint="eastAsia" w:ascii="宋体" w:hAnsi="宋体" w:cs="宋体"/>
                <w:bCs/>
                <w:kern w:val="0"/>
                <w:sz w:val="24"/>
                <w:highlight w:val="none"/>
              </w:rPr>
            </w:pPr>
            <w:r>
              <w:rPr>
                <w:rFonts w:hint="eastAsia" w:ascii="宋体" w:hAnsi="宋体" w:cs="宋体"/>
                <w:bCs/>
                <w:kern w:val="0"/>
                <w:sz w:val="24"/>
                <w:highlight w:val="none"/>
              </w:rPr>
              <w:t>PEM/AEM水电解制氢实验教学系统</w:t>
            </w:r>
          </w:p>
        </w:tc>
        <w:tc>
          <w:tcPr>
            <w:tcW w:w="531" w:type="dxa"/>
          </w:tcPr>
          <w:p w14:paraId="6CBCF1E5">
            <w:pPr>
              <w:pStyle w:val="297"/>
              <w:widowControl w:val="0"/>
              <w:pBdr>
                <w:left w:val="none" w:color="auto" w:sz="0" w:space="0"/>
                <w:bottom w:val="none" w:color="auto" w:sz="0" w:space="0"/>
                <w:right w:val="none" w:color="auto" w:sz="0" w:space="0"/>
              </w:pBdr>
              <w:snapToGrid w:val="0"/>
              <w:spacing w:before="0" w:beforeAutospacing="0" w:after="0" w:afterAutospacing="0" w:line="360" w:lineRule="auto"/>
              <w:ind w:firstLine="480"/>
              <w:rPr>
                <w:rFonts w:ascii="宋体" w:eastAsia="宋体" w:cs="宋体"/>
                <w:highlight w:val="none"/>
              </w:rPr>
            </w:pPr>
          </w:p>
        </w:tc>
        <w:tc>
          <w:tcPr>
            <w:tcW w:w="532" w:type="dxa"/>
          </w:tcPr>
          <w:p w14:paraId="2798BE67">
            <w:pPr>
              <w:pStyle w:val="297"/>
              <w:widowControl w:val="0"/>
              <w:pBdr>
                <w:left w:val="none" w:color="auto" w:sz="0" w:space="0"/>
                <w:bottom w:val="none" w:color="auto" w:sz="0" w:space="0"/>
                <w:right w:val="none" w:color="auto" w:sz="0" w:space="0"/>
              </w:pBdr>
              <w:snapToGrid w:val="0"/>
              <w:spacing w:before="0" w:beforeAutospacing="0" w:after="0" w:afterAutospacing="0" w:line="360" w:lineRule="auto"/>
              <w:ind w:firstLine="480"/>
              <w:rPr>
                <w:rFonts w:ascii="宋体" w:eastAsia="宋体" w:cs="宋体"/>
                <w:highlight w:val="none"/>
              </w:rPr>
            </w:pPr>
          </w:p>
        </w:tc>
        <w:tc>
          <w:tcPr>
            <w:tcW w:w="850" w:type="dxa"/>
          </w:tcPr>
          <w:p w14:paraId="29CD3196">
            <w:pPr>
              <w:pStyle w:val="297"/>
              <w:widowControl w:val="0"/>
              <w:pBdr>
                <w:left w:val="none" w:color="auto" w:sz="0" w:space="0"/>
                <w:bottom w:val="none" w:color="auto" w:sz="0" w:space="0"/>
                <w:right w:val="none" w:color="auto" w:sz="0" w:space="0"/>
              </w:pBdr>
              <w:snapToGrid w:val="0"/>
              <w:spacing w:before="0" w:beforeAutospacing="0" w:after="0" w:afterAutospacing="0" w:line="360" w:lineRule="auto"/>
              <w:jc w:val="center"/>
              <w:rPr>
                <w:rFonts w:hint="eastAsia" w:ascii="宋体" w:eastAsia="宋体" w:cs="宋体"/>
                <w:highlight w:val="none"/>
                <w:lang w:val="en-US" w:eastAsia="zh-CN"/>
              </w:rPr>
            </w:pPr>
            <w:r>
              <w:rPr>
                <w:rFonts w:hint="eastAsia" w:ascii="宋体" w:eastAsia="宋体" w:cs="宋体"/>
                <w:highlight w:val="none"/>
                <w:lang w:val="en-US" w:eastAsia="zh-CN"/>
              </w:rPr>
              <w:t>1</w:t>
            </w:r>
          </w:p>
        </w:tc>
        <w:tc>
          <w:tcPr>
            <w:tcW w:w="933" w:type="dxa"/>
          </w:tcPr>
          <w:p w14:paraId="3FF41BDD">
            <w:pPr>
              <w:snapToGrid w:val="0"/>
              <w:spacing w:line="360" w:lineRule="auto"/>
              <w:ind w:firstLine="480"/>
              <w:jc w:val="center"/>
              <w:rPr>
                <w:rFonts w:hint="eastAsia" w:ascii="宋体" w:hAnsi="宋体" w:cs="宋体"/>
                <w:kern w:val="0"/>
                <w:sz w:val="24"/>
                <w:highlight w:val="none"/>
              </w:rPr>
            </w:pPr>
          </w:p>
        </w:tc>
        <w:tc>
          <w:tcPr>
            <w:tcW w:w="992" w:type="dxa"/>
          </w:tcPr>
          <w:p w14:paraId="12DDB4FF">
            <w:pPr>
              <w:snapToGrid w:val="0"/>
              <w:spacing w:line="360" w:lineRule="auto"/>
              <w:ind w:firstLine="480"/>
              <w:jc w:val="center"/>
              <w:rPr>
                <w:rFonts w:hint="eastAsia" w:ascii="宋体" w:hAnsi="宋体" w:cs="宋体"/>
                <w:kern w:val="0"/>
                <w:sz w:val="24"/>
                <w:highlight w:val="none"/>
              </w:rPr>
            </w:pPr>
          </w:p>
        </w:tc>
        <w:tc>
          <w:tcPr>
            <w:tcW w:w="1843" w:type="dxa"/>
          </w:tcPr>
          <w:p w14:paraId="5E754798">
            <w:pPr>
              <w:snapToGrid w:val="0"/>
              <w:spacing w:line="360" w:lineRule="auto"/>
              <w:ind w:firstLine="480"/>
              <w:rPr>
                <w:rFonts w:hint="eastAsia" w:ascii="宋体" w:hAnsi="宋体" w:cs="宋体"/>
                <w:kern w:val="0"/>
                <w:sz w:val="24"/>
                <w:highlight w:val="none"/>
              </w:rPr>
            </w:pPr>
          </w:p>
        </w:tc>
        <w:tc>
          <w:tcPr>
            <w:tcW w:w="992" w:type="dxa"/>
          </w:tcPr>
          <w:p w14:paraId="54486B75">
            <w:pPr>
              <w:snapToGrid w:val="0"/>
              <w:spacing w:line="360" w:lineRule="auto"/>
              <w:ind w:firstLine="480"/>
              <w:rPr>
                <w:rFonts w:hint="eastAsia" w:ascii="宋体" w:hAnsi="宋体" w:cs="宋体"/>
                <w:kern w:val="0"/>
                <w:sz w:val="24"/>
                <w:highlight w:val="none"/>
              </w:rPr>
            </w:pPr>
          </w:p>
        </w:tc>
        <w:tc>
          <w:tcPr>
            <w:tcW w:w="992" w:type="dxa"/>
          </w:tcPr>
          <w:p w14:paraId="794F4E27">
            <w:pPr>
              <w:snapToGrid w:val="0"/>
              <w:spacing w:line="360" w:lineRule="auto"/>
              <w:ind w:firstLine="480"/>
              <w:jc w:val="center"/>
              <w:rPr>
                <w:rFonts w:hint="eastAsia" w:ascii="宋体" w:hAnsi="宋体" w:cs="宋体"/>
                <w:kern w:val="0"/>
                <w:sz w:val="24"/>
                <w:highlight w:val="none"/>
              </w:rPr>
            </w:pPr>
          </w:p>
        </w:tc>
        <w:tc>
          <w:tcPr>
            <w:tcW w:w="754" w:type="dxa"/>
          </w:tcPr>
          <w:p w14:paraId="72762886">
            <w:pPr>
              <w:snapToGrid w:val="0"/>
              <w:spacing w:line="360" w:lineRule="auto"/>
              <w:ind w:firstLine="480"/>
              <w:jc w:val="center"/>
              <w:rPr>
                <w:rFonts w:hint="eastAsia" w:ascii="宋体" w:hAnsi="宋体" w:cs="宋体"/>
                <w:kern w:val="0"/>
                <w:sz w:val="24"/>
                <w:highlight w:val="none"/>
              </w:rPr>
            </w:pPr>
          </w:p>
        </w:tc>
        <w:tc>
          <w:tcPr>
            <w:tcW w:w="1817" w:type="dxa"/>
            <w:gridSpan w:val="2"/>
          </w:tcPr>
          <w:p w14:paraId="39FD8E59">
            <w:pPr>
              <w:snapToGrid w:val="0"/>
              <w:spacing w:line="360" w:lineRule="auto"/>
              <w:ind w:firstLine="480"/>
              <w:jc w:val="center"/>
              <w:rPr>
                <w:rFonts w:hint="eastAsia" w:ascii="宋体" w:hAnsi="宋体" w:cs="宋体"/>
                <w:kern w:val="0"/>
                <w:sz w:val="24"/>
                <w:highlight w:val="none"/>
              </w:rPr>
            </w:pPr>
          </w:p>
        </w:tc>
        <w:tc>
          <w:tcPr>
            <w:tcW w:w="1540" w:type="dxa"/>
            <w:gridSpan w:val="2"/>
          </w:tcPr>
          <w:p w14:paraId="4F4AB4F0">
            <w:pPr>
              <w:snapToGrid w:val="0"/>
              <w:spacing w:line="360" w:lineRule="auto"/>
              <w:ind w:firstLine="480"/>
              <w:jc w:val="center"/>
              <w:rPr>
                <w:rFonts w:hint="eastAsia" w:ascii="宋体" w:hAnsi="宋体" w:cs="宋体"/>
                <w:kern w:val="0"/>
                <w:sz w:val="24"/>
                <w:highlight w:val="none"/>
              </w:rPr>
            </w:pPr>
          </w:p>
        </w:tc>
      </w:tr>
      <w:tr w14:paraId="791A5B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26" w:type="dxa"/>
          <w:jc w:val="center"/>
        </w:trPr>
        <w:tc>
          <w:tcPr>
            <w:tcW w:w="12342" w:type="dxa"/>
            <w:gridSpan w:val="12"/>
          </w:tcPr>
          <w:p w14:paraId="6F697E91">
            <w:pPr>
              <w:snapToGrid w:val="0"/>
              <w:spacing w:line="360" w:lineRule="auto"/>
              <w:ind w:firstLine="482"/>
              <w:jc w:val="right"/>
              <w:rPr>
                <w:rFonts w:hint="eastAsia" w:ascii="宋体" w:hAnsi="宋体" w:cs="宋体"/>
                <w:b/>
                <w:bCs/>
                <w:kern w:val="0"/>
                <w:sz w:val="24"/>
                <w:highlight w:val="none"/>
              </w:rPr>
            </w:pPr>
            <w:r>
              <w:rPr>
                <w:rFonts w:hint="eastAsia" w:ascii="宋体" w:hAnsi="宋体" w:cs="宋体"/>
                <w:b/>
                <w:bCs/>
                <w:kern w:val="0"/>
                <w:sz w:val="24"/>
                <w:highlight w:val="none"/>
              </w:rPr>
              <w:t>合计：</w:t>
            </w:r>
          </w:p>
        </w:tc>
        <w:tc>
          <w:tcPr>
            <w:tcW w:w="1540" w:type="dxa"/>
            <w:gridSpan w:val="2"/>
          </w:tcPr>
          <w:p w14:paraId="3D296BD3">
            <w:pPr>
              <w:snapToGrid w:val="0"/>
              <w:spacing w:line="360" w:lineRule="auto"/>
              <w:ind w:firstLine="482"/>
              <w:jc w:val="center"/>
              <w:rPr>
                <w:rFonts w:hint="eastAsia" w:ascii="宋体" w:hAnsi="宋体" w:cs="宋体"/>
                <w:b/>
                <w:bCs/>
                <w:kern w:val="0"/>
                <w:sz w:val="24"/>
                <w:highlight w:val="none"/>
              </w:rPr>
            </w:pPr>
          </w:p>
        </w:tc>
      </w:tr>
    </w:tbl>
    <w:p w14:paraId="03368777">
      <w:pPr>
        <w:snapToGrid w:val="0"/>
        <w:ind w:firstLine="480"/>
        <w:rPr>
          <w:rFonts w:hint="eastAsia" w:ascii="宋体" w:hAnsi="宋体" w:cs="宋体"/>
          <w:kern w:val="0"/>
          <w:sz w:val="24"/>
          <w:highlight w:val="none"/>
        </w:rPr>
      </w:pPr>
      <w:r>
        <w:rPr>
          <w:rFonts w:hint="eastAsia" w:ascii="宋体" w:hAnsi="宋体" w:cs="宋体"/>
          <w:kern w:val="0"/>
          <w:sz w:val="24"/>
          <w:highlight w:val="none"/>
        </w:rPr>
        <w:t>供应商（加盖公章）：</w:t>
      </w:r>
    </w:p>
    <w:p w14:paraId="5DF79AE6">
      <w:pPr>
        <w:snapToGrid w:val="0"/>
        <w:ind w:firstLine="480"/>
        <w:rPr>
          <w:rFonts w:hint="eastAsia" w:ascii="宋体" w:hAnsi="宋体" w:cs="宋体"/>
          <w:kern w:val="0"/>
          <w:sz w:val="24"/>
          <w:highlight w:val="none"/>
          <w:u w:val="single"/>
        </w:rPr>
      </w:pPr>
      <w:r>
        <w:rPr>
          <w:rFonts w:hint="eastAsia" w:ascii="宋体" w:hAnsi="宋体" w:cs="宋体"/>
          <w:kern w:val="0"/>
          <w:sz w:val="24"/>
          <w:highlight w:val="none"/>
        </w:rPr>
        <w:t>法定代表人或授权委托代理人（签字或盖章）：</w:t>
      </w:r>
    </w:p>
    <w:p w14:paraId="7EFE4C02">
      <w:pPr>
        <w:snapToGrid w:val="0"/>
        <w:ind w:firstLine="480"/>
        <w:rPr>
          <w:rFonts w:hint="eastAsia" w:ascii="宋体" w:hAnsi="宋体" w:cs="宋体"/>
          <w:b/>
          <w:bCs/>
          <w:kern w:val="0"/>
          <w:sz w:val="36"/>
          <w:highlight w:val="none"/>
        </w:rPr>
      </w:pPr>
      <w:r>
        <w:rPr>
          <w:rFonts w:hint="eastAsia" w:ascii="宋体" w:hAnsi="宋体" w:cs="宋体"/>
          <w:kern w:val="0"/>
          <w:sz w:val="24"/>
          <w:highlight w:val="none"/>
        </w:rPr>
        <w:t>日期：       年   月  日</w:t>
      </w:r>
    </w:p>
    <w:p w14:paraId="7CB6F37E">
      <w:pPr>
        <w:snapToGrid w:val="0"/>
        <w:spacing w:line="360" w:lineRule="auto"/>
        <w:ind w:firstLine="482"/>
        <w:rPr>
          <w:rFonts w:hint="eastAsia" w:ascii="宋体" w:hAnsi="宋体" w:cs="宋体"/>
          <w:b/>
          <w:kern w:val="0"/>
          <w:sz w:val="24"/>
          <w:highlight w:val="none"/>
        </w:rPr>
      </w:pPr>
      <w:r>
        <w:rPr>
          <w:rFonts w:hint="eastAsia" w:ascii="宋体" w:hAnsi="宋体" w:cs="宋体"/>
          <w:b/>
          <w:kern w:val="0"/>
          <w:sz w:val="24"/>
          <w:highlight w:val="none"/>
        </w:rPr>
        <w:t>注：</w:t>
      </w:r>
    </w:p>
    <w:p w14:paraId="11A811E7">
      <w:pPr>
        <w:numPr>
          <w:ilvl w:val="0"/>
          <w:numId w:val="5"/>
        </w:numPr>
        <w:snapToGrid w:val="0"/>
        <w:ind w:firstLine="480"/>
        <w:rPr>
          <w:rFonts w:hint="eastAsia" w:ascii="宋体" w:hAnsi="宋体" w:cs="宋体"/>
          <w:kern w:val="0"/>
          <w:sz w:val="24"/>
          <w:highlight w:val="none"/>
        </w:rPr>
      </w:pPr>
      <w:r>
        <w:rPr>
          <w:rFonts w:hint="eastAsia" w:ascii="宋体" w:hAnsi="宋体" w:cs="宋体"/>
          <w:kern w:val="0"/>
          <w:sz w:val="24"/>
          <w:highlight w:val="none"/>
        </w:rPr>
        <w:t>须包含供应商投标报价条款规定的全部费用；</w:t>
      </w:r>
    </w:p>
    <w:p w14:paraId="77C37865">
      <w:pPr>
        <w:numPr>
          <w:ilvl w:val="0"/>
          <w:numId w:val="5"/>
        </w:numPr>
        <w:snapToGrid w:val="0"/>
        <w:ind w:firstLine="480"/>
        <w:rPr>
          <w:rFonts w:hint="eastAsia" w:ascii="宋体" w:hAnsi="宋体" w:cs="宋体"/>
          <w:kern w:val="0"/>
          <w:sz w:val="24"/>
          <w:highlight w:val="none"/>
        </w:rPr>
      </w:pPr>
      <w:r>
        <w:rPr>
          <w:rFonts w:hint="eastAsia" w:ascii="宋体" w:hAnsi="宋体" w:cs="宋体"/>
          <w:kern w:val="0"/>
          <w:sz w:val="24"/>
          <w:highlight w:val="none"/>
        </w:rPr>
        <w:t>所有价格系用人民币表示，单位：元；</w:t>
      </w:r>
    </w:p>
    <w:p w14:paraId="20EEC4B6">
      <w:pPr>
        <w:numPr>
          <w:ilvl w:val="0"/>
          <w:numId w:val="5"/>
        </w:numPr>
        <w:snapToGrid w:val="0"/>
        <w:ind w:firstLine="480"/>
        <w:rPr>
          <w:rFonts w:hint="eastAsia" w:ascii="宋体" w:hAnsi="宋体" w:cs="宋体"/>
          <w:kern w:val="0"/>
          <w:sz w:val="24"/>
          <w:highlight w:val="none"/>
        </w:rPr>
      </w:pPr>
      <w:r>
        <w:rPr>
          <w:rFonts w:hint="eastAsia" w:ascii="宋体" w:hAnsi="宋体" w:cs="宋体"/>
          <w:kern w:val="0"/>
          <w:sz w:val="24"/>
          <w:highlight w:val="none"/>
        </w:rPr>
        <w:t>如果单价和总价不符时，以单价为准；</w:t>
      </w:r>
    </w:p>
    <w:p w14:paraId="02FD4413">
      <w:pPr>
        <w:numPr>
          <w:ilvl w:val="0"/>
          <w:numId w:val="5"/>
        </w:numPr>
        <w:snapToGrid w:val="0"/>
        <w:ind w:firstLine="480"/>
        <w:rPr>
          <w:rFonts w:hint="eastAsia" w:ascii="宋体" w:hAnsi="宋体" w:cs="宋体"/>
          <w:kern w:val="0"/>
          <w:sz w:val="24"/>
          <w:highlight w:val="none"/>
        </w:rPr>
      </w:pPr>
      <w:r>
        <w:rPr>
          <w:rFonts w:hint="eastAsia" w:ascii="宋体" w:hAnsi="宋体" w:cs="宋体"/>
          <w:kern w:val="0"/>
          <w:sz w:val="24"/>
          <w:highlight w:val="none"/>
        </w:rPr>
        <w:t>项6c是6a、6b之和；</w:t>
      </w:r>
    </w:p>
    <w:p w14:paraId="49294B18">
      <w:pPr>
        <w:numPr>
          <w:ilvl w:val="0"/>
          <w:numId w:val="5"/>
        </w:numPr>
        <w:snapToGrid w:val="0"/>
        <w:ind w:firstLine="480"/>
        <w:rPr>
          <w:rFonts w:hint="eastAsia" w:ascii="宋体" w:hAnsi="宋体" w:cs="宋体"/>
          <w:kern w:val="0"/>
          <w:sz w:val="24"/>
          <w:highlight w:val="none"/>
        </w:rPr>
      </w:pPr>
      <w:r>
        <w:rPr>
          <w:rFonts w:hint="eastAsia" w:ascii="宋体" w:hAnsi="宋体" w:cs="宋体"/>
          <w:kern w:val="0"/>
          <w:sz w:val="24"/>
          <w:highlight w:val="none"/>
        </w:rPr>
        <w:t>项10的合计为投标总价；</w:t>
      </w:r>
    </w:p>
    <w:p w14:paraId="5032A86B">
      <w:pPr>
        <w:numPr>
          <w:ilvl w:val="0"/>
          <w:numId w:val="5"/>
        </w:numPr>
        <w:snapToGrid w:val="0"/>
        <w:ind w:firstLine="480"/>
        <w:rPr>
          <w:rFonts w:hint="eastAsia" w:ascii="宋体" w:hAnsi="宋体" w:cs="宋体"/>
          <w:kern w:val="0"/>
          <w:sz w:val="24"/>
          <w:highlight w:val="none"/>
        </w:rPr>
      </w:pPr>
      <w:r>
        <w:rPr>
          <w:rFonts w:hint="eastAsia" w:ascii="宋体" w:hAnsi="宋体" w:cs="宋体"/>
          <w:kern w:val="0"/>
          <w:sz w:val="24"/>
          <w:highlight w:val="none"/>
        </w:rPr>
        <w:t>供应商须按规定签署，否则投标文件无效。</w:t>
      </w:r>
    </w:p>
    <w:p w14:paraId="4273F367">
      <w:pPr>
        <w:numPr>
          <w:ilvl w:val="0"/>
          <w:numId w:val="5"/>
        </w:numPr>
        <w:snapToGrid w:val="0"/>
        <w:ind w:firstLine="480"/>
        <w:rPr>
          <w:rFonts w:hint="eastAsia" w:ascii="宋体" w:hAnsi="宋体" w:cs="宋体"/>
          <w:kern w:val="0"/>
          <w:sz w:val="24"/>
          <w:highlight w:val="none"/>
        </w:rPr>
      </w:pPr>
      <w:r>
        <w:rPr>
          <w:rFonts w:hint="eastAsia" w:ascii="宋体" w:hAnsi="宋体" w:cs="宋体"/>
          <w:kern w:val="0"/>
          <w:sz w:val="24"/>
          <w:highlight w:val="none"/>
        </w:rPr>
        <w:t>进口产品必须明确填写“生产厂商及原产地”。</w:t>
      </w:r>
    </w:p>
    <w:p w14:paraId="67B3882D">
      <w:pPr>
        <w:numPr>
          <w:ilvl w:val="0"/>
          <w:numId w:val="5"/>
        </w:numPr>
        <w:snapToGrid w:val="0"/>
        <w:spacing w:line="360" w:lineRule="auto"/>
        <w:ind w:firstLine="480"/>
        <w:rPr>
          <w:rFonts w:hint="eastAsia" w:ascii="宋体" w:hAnsi="宋体" w:cs="宋体"/>
          <w:kern w:val="0"/>
          <w:sz w:val="24"/>
          <w:highlight w:val="none"/>
        </w:rPr>
        <w:sectPr>
          <w:pgSz w:w="16838" w:h="11905" w:orient="landscape"/>
          <w:pgMar w:top="1417" w:right="1984" w:bottom="1417" w:left="1417" w:header="1417" w:footer="850" w:gutter="0"/>
          <w:cols w:space="720" w:num="1"/>
          <w:titlePg/>
          <w:docGrid w:linePitch="286" w:charSpace="0"/>
        </w:sectPr>
      </w:pPr>
    </w:p>
    <w:p w14:paraId="3AD22F17">
      <w:pPr>
        <w:pStyle w:val="45"/>
        <w:snapToGrid w:val="0"/>
        <w:spacing w:line="360" w:lineRule="auto"/>
        <w:jc w:val="center"/>
        <w:outlineLvl w:val="1"/>
        <w:rPr>
          <w:rFonts w:hint="eastAsia" w:hAnsi="宋体" w:cs="宋体"/>
          <w:b/>
          <w:kern w:val="0"/>
          <w:sz w:val="36"/>
          <w:szCs w:val="24"/>
          <w:highlight w:val="none"/>
        </w:rPr>
      </w:pPr>
      <w:bookmarkStart w:id="173" w:name="_Toc529515607"/>
      <w:bookmarkEnd w:id="173"/>
      <w:bookmarkStart w:id="174" w:name="_Toc28537"/>
      <w:bookmarkStart w:id="175" w:name="_Toc23619_WPSOffice_Level3"/>
      <w:r>
        <w:rPr>
          <w:rFonts w:hint="eastAsia" w:hAnsi="宋体" w:cs="宋体"/>
          <w:b/>
          <w:kern w:val="0"/>
          <w:sz w:val="36"/>
          <w:szCs w:val="24"/>
          <w:highlight w:val="none"/>
        </w:rPr>
        <w:t>三、产品说明一览表</w:t>
      </w:r>
      <w:bookmarkEnd w:id="174"/>
      <w:bookmarkEnd w:id="175"/>
    </w:p>
    <w:p w14:paraId="2C6558C1">
      <w:pPr>
        <w:snapToGrid w:val="0"/>
        <w:spacing w:line="360" w:lineRule="auto"/>
        <w:ind w:firstLine="480"/>
        <w:jc w:val="center"/>
        <w:rPr>
          <w:rFonts w:hint="eastAsia" w:ascii="宋体" w:hAnsi="宋体" w:cs="宋体"/>
          <w:kern w:val="0"/>
          <w:highlight w:val="none"/>
        </w:rPr>
      </w:pPr>
      <w:r>
        <w:rPr>
          <w:rFonts w:hint="eastAsia" w:ascii="宋体" w:hAnsi="宋体" w:cs="宋体"/>
          <w:kern w:val="0"/>
          <w:sz w:val="24"/>
          <w:highlight w:val="none"/>
        </w:rPr>
        <w:t>(按第三章中所附</w:t>
      </w:r>
      <w:r>
        <w:rPr>
          <w:rFonts w:hint="eastAsia" w:ascii="宋体" w:hAnsi="宋体" w:cs="宋体"/>
          <w:b/>
          <w:kern w:val="0"/>
          <w:sz w:val="24"/>
          <w:highlight w:val="none"/>
        </w:rPr>
        <w:t>用户需求书</w:t>
      </w:r>
      <w:r>
        <w:rPr>
          <w:rFonts w:hint="eastAsia" w:ascii="宋体" w:hAnsi="宋体" w:cs="宋体"/>
          <w:kern w:val="0"/>
          <w:sz w:val="24"/>
          <w:highlight w:val="none"/>
        </w:rPr>
        <w:t>顺序分别填写)</w:t>
      </w:r>
    </w:p>
    <w:p w14:paraId="470A9DF5">
      <w:pPr>
        <w:snapToGrid w:val="0"/>
        <w:spacing w:line="360" w:lineRule="auto"/>
        <w:ind w:firstLine="480"/>
        <w:rPr>
          <w:rFonts w:hint="eastAsia" w:ascii="宋体" w:hAnsi="宋体" w:cs="宋体"/>
          <w:kern w:val="0"/>
          <w:sz w:val="24"/>
          <w:highlight w:val="none"/>
        </w:rPr>
      </w:pPr>
    </w:p>
    <w:tbl>
      <w:tblPr>
        <w:tblStyle w:val="88"/>
        <w:tblW w:w="9747" w:type="dxa"/>
        <w:jc w:val="center"/>
        <w:tblLayout w:type="fixed"/>
        <w:tblCellMar>
          <w:top w:w="0" w:type="dxa"/>
          <w:left w:w="108" w:type="dxa"/>
          <w:bottom w:w="0" w:type="dxa"/>
          <w:right w:w="108" w:type="dxa"/>
        </w:tblCellMar>
      </w:tblPr>
      <w:tblGrid>
        <w:gridCol w:w="823"/>
        <w:gridCol w:w="1170"/>
        <w:gridCol w:w="1418"/>
        <w:gridCol w:w="3543"/>
        <w:gridCol w:w="862"/>
        <w:gridCol w:w="1931"/>
      </w:tblGrid>
      <w:tr w14:paraId="668F2EDD">
        <w:tblPrEx>
          <w:tblCellMar>
            <w:top w:w="0" w:type="dxa"/>
            <w:left w:w="108" w:type="dxa"/>
            <w:bottom w:w="0" w:type="dxa"/>
            <w:right w:w="108" w:type="dxa"/>
          </w:tblCellMar>
        </w:tblPrEx>
        <w:trPr>
          <w:trHeight w:val="886" w:hRule="atLeast"/>
          <w:jc w:val="center"/>
        </w:trPr>
        <w:tc>
          <w:tcPr>
            <w:tcW w:w="823" w:type="dxa"/>
            <w:tcBorders>
              <w:top w:val="single" w:color="000000" w:sz="18" w:space="0"/>
              <w:left w:val="single" w:color="000000" w:sz="18" w:space="0"/>
              <w:bottom w:val="single" w:color="000000" w:sz="6" w:space="0"/>
              <w:right w:val="single" w:color="000000" w:sz="6" w:space="0"/>
            </w:tcBorders>
            <w:vAlign w:val="center"/>
          </w:tcPr>
          <w:p w14:paraId="7D5AA288">
            <w:pPr>
              <w:snapToGrid w:val="0"/>
              <w:spacing w:line="360" w:lineRule="auto"/>
              <w:jc w:val="center"/>
              <w:rPr>
                <w:rFonts w:hint="eastAsia" w:ascii="宋体" w:hAnsi="宋体" w:cs="宋体"/>
                <w:kern w:val="0"/>
                <w:sz w:val="24"/>
                <w:highlight w:val="none"/>
              </w:rPr>
            </w:pPr>
            <w:r>
              <w:rPr>
                <w:rFonts w:hint="eastAsia" w:ascii="宋体" w:hAnsi="宋体" w:cs="宋体"/>
                <w:kern w:val="0"/>
                <w:sz w:val="24"/>
                <w:highlight w:val="none"/>
              </w:rPr>
              <w:t>序号</w:t>
            </w:r>
          </w:p>
        </w:tc>
        <w:tc>
          <w:tcPr>
            <w:tcW w:w="1170" w:type="dxa"/>
            <w:tcBorders>
              <w:top w:val="single" w:color="000000" w:sz="18" w:space="0"/>
              <w:left w:val="single" w:color="000000" w:sz="6" w:space="0"/>
              <w:bottom w:val="single" w:color="000000" w:sz="6" w:space="0"/>
              <w:right w:val="single" w:color="000000" w:sz="6" w:space="0"/>
            </w:tcBorders>
            <w:vAlign w:val="center"/>
          </w:tcPr>
          <w:p w14:paraId="191A3624">
            <w:pPr>
              <w:snapToGrid w:val="0"/>
              <w:spacing w:line="360" w:lineRule="auto"/>
              <w:jc w:val="center"/>
              <w:rPr>
                <w:rFonts w:hint="eastAsia" w:ascii="宋体" w:hAnsi="宋体" w:cs="宋体"/>
                <w:kern w:val="0"/>
                <w:sz w:val="24"/>
                <w:highlight w:val="none"/>
              </w:rPr>
            </w:pPr>
          </w:p>
        </w:tc>
        <w:tc>
          <w:tcPr>
            <w:tcW w:w="1418" w:type="dxa"/>
            <w:tcBorders>
              <w:top w:val="single" w:color="000000" w:sz="18" w:space="0"/>
              <w:left w:val="single" w:color="000000" w:sz="6" w:space="0"/>
              <w:bottom w:val="single" w:color="000000" w:sz="6" w:space="0"/>
              <w:right w:val="single" w:color="000000" w:sz="6" w:space="0"/>
            </w:tcBorders>
            <w:vAlign w:val="center"/>
          </w:tcPr>
          <w:p w14:paraId="1D9BCAF0">
            <w:pPr>
              <w:snapToGrid w:val="0"/>
              <w:spacing w:line="360" w:lineRule="auto"/>
              <w:jc w:val="center"/>
              <w:rPr>
                <w:rFonts w:hint="eastAsia" w:ascii="宋体" w:hAnsi="宋体" w:cs="宋体"/>
                <w:kern w:val="0"/>
                <w:sz w:val="24"/>
                <w:highlight w:val="none"/>
              </w:rPr>
            </w:pPr>
            <w:r>
              <w:rPr>
                <w:rFonts w:hint="eastAsia" w:ascii="宋体" w:hAnsi="宋体" w:cs="宋体"/>
                <w:kern w:val="0"/>
                <w:sz w:val="24"/>
                <w:highlight w:val="none"/>
              </w:rPr>
              <w:t>产品名称</w:t>
            </w:r>
          </w:p>
        </w:tc>
        <w:tc>
          <w:tcPr>
            <w:tcW w:w="3543" w:type="dxa"/>
            <w:tcBorders>
              <w:top w:val="single" w:color="000000" w:sz="18" w:space="0"/>
              <w:left w:val="single" w:color="000000" w:sz="6" w:space="0"/>
              <w:bottom w:val="single" w:color="000000" w:sz="6" w:space="0"/>
              <w:right w:val="single" w:color="000000" w:sz="6" w:space="0"/>
            </w:tcBorders>
            <w:vAlign w:val="center"/>
          </w:tcPr>
          <w:p w14:paraId="7CC51414">
            <w:pPr>
              <w:snapToGrid w:val="0"/>
              <w:spacing w:line="360" w:lineRule="auto"/>
              <w:jc w:val="center"/>
              <w:rPr>
                <w:rFonts w:hint="eastAsia" w:ascii="宋体" w:hAnsi="宋体" w:cs="宋体"/>
                <w:kern w:val="0"/>
                <w:sz w:val="24"/>
                <w:highlight w:val="none"/>
              </w:rPr>
            </w:pPr>
          </w:p>
        </w:tc>
        <w:tc>
          <w:tcPr>
            <w:tcW w:w="862" w:type="dxa"/>
            <w:tcBorders>
              <w:top w:val="single" w:color="000000" w:sz="18" w:space="0"/>
              <w:left w:val="single" w:color="000000" w:sz="6" w:space="0"/>
              <w:bottom w:val="single" w:color="000000" w:sz="6" w:space="0"/>
              <w:right w:val="single" w:color="000000" w:sz="6" w:space="0"/>
            </w:tcBorders>
            <w:vAlign w:val="center"/>
          </w:tcPr>
          <w:p w14:paraId="2FA03AA1">
            <w:pPr>
              <w:snapToGrid w:val="0"/>
              <w:spacing w:line="360" w:lineRule="auto"/>
              <w:jc w:val="center"/>
              <w:rPr>
                <w:rFonts w:hint="eastAsia" w:ascii="宋体" w:hAnsi="宋体" w:cs="宋体"/>
                <w:kern w:val="0"/>
                <w:sz w:val="24"/>
                <w:highlight w:val="none"/>
              </w:rPr>
            </w:pPr>
            <w:r>
              <w:rPr>
                <w:rFonts w:hint="eastAsia" w:ascii="宋体" w:hAnsi="宋体" w:cs="宋体"/>
                <w:kern w:val="0"/>
                <w:sz w:val="24"/>
                <w:highlight w:val="none"/>
              </w:rPr>
              <w:t>数量</w:t>
            </w:r>
          </w:p>
        </w:tc>
        <w:tc>
          <w:tcPr>
            <w:tcW w:w="1931" w:type="dxa"/>
            <w:tcBorders>
              <w:top w:val="single" w:color="000000" w:sz="18" w:space="0"/>
              <w:left w:val="single" w:color="000000" w:sz="6" w:space="0"/>
              <w:bottom w:val="single" w:color="000000" w:sz="6" w:space="0"/>
              <w:right w:val="single" w:color="000000" w:sz="18" w:space="0"/>
            </w:tcBorders>
            <w:vAlign w:val="center"/>
          </w:tcPr>
          <w:p w14:paraId="30F5F39A">
            <w:pPr>
              <w:snapToGrid w:val="0"/>
              <w:spacing w:line="360" w:lineRule="auto"/>
              <w:jc w:val="center"/>
              <w:rPr>
                <w:rFonts w:hint="eastAsia" w:ascii="宋体" w:hAnsi="宋体" w:cs="宋体"/>
                <w:kern w:val="0"/>
                <w:sz w:val="24"/>
                <w:highlight w:val="none"/>
              </w:rPr>
            </w:pPr>
          </w:p>
        </w:tc>
      </w:tr>
      <w:tr w14:paraId="4961BCD1">
        <w:trPr>
          <w:cantSplit/>
          <w:trHeight w:val="4648" w:hRule="atLeast"/>
          <w:jc w:val="center"/>
        </w:trPr>
        <w:tc>
          <w:tcPr>
            <w:tcW w:w="9747" w:type="dxa"/>
            <w:gridSpan w:val="6"/>
            <w:tcBorders>
              <w:top w:val="single" w:color="000000" w:sz="6" w:space="0"/>
              <w:left w:val="single" w:color="000000" w:sz="18" w:space="0"/>
              <w:bottom w:val="single" w:color="000000" w:sz="18" w:space="0"/>
              <w:right w:val="single" w:color="000000" w:sz="18" w:space="0"/>
            </w:tcBorders>
          </w:tcPr>
          <w:p w14:paraId="1E05BEE9">
            <w:pPr>
              <w:snapToGrid w:val="0"/>
              <w:spacing w:line="360" w:lineRule="auto"/>
              <w:ind w:firstLine="480"/>
              <w:rPr>
                <w:rFonts w:hint="eastAsia" w:ascii="宋体" w:hAnsi="宋体" w:cs="宋体"/>
                <w:kern w:val="0"/>
                <w:sz w:val="24"/>
                <w:highlight w:val="none"/>
              </w:rPr>
            </w:pPr>
            <w:r>
              <w:rPr>
                <w:rFonts w:hint="eastAsia" w:ascii="宋体" w:hAnsi="宋体" w:cs="宋体"/>
                <w:kern w:val="0"/>
                <w:sz w:val="24"/>
                <w:highlight w:val="none"/>
              </w:rPr>
              <w:t>不限于详细配置、技术参数、性能说明、产品说明书、图片、产品检验报告（如有）等：</w:t>
            </w:r>
          </w:p>
          <w:p w14:paraId="5D79B654">
            <w:pPr>
              <w:snapToGrid w:val="0"/>
              <w:spacing w:line="360" w:lineRule="auto"/>
              <w:ind w:firstLine="480"/>
              <w:rPr>
                <w:rFonts w:hint="eastAsia" w:ascii="宋体" w:hAnsi="宋体" w:cs="宋体"/>
                <w:kern w:val="0"/>
                <w:sz w:val="24"/>
                <w:highlight w:val="none"/>
              </w:rPr>
            </w:pPr>
          </w:p>
          <w:p w14:paraId="21548B82">
            <w:pPr>
              <w:snapToGrid w:val="0"/>
              <w:spacing w:line="360" w:lineRule="auto"/>
              <w:ind w:firstLine="480"/>
              <w:rPr>
                <w:rFonts w:hint="eastAsia" w:ascii="宋体" w:hAnsi="宋体" w:cs="宋体"/>
                <w:kern w:val="0"/>
                <w:sz w:val="24"/>
                <w:highlight w:val="none"/>
              </w:rPr>
            </w:pPr>
          </w:p>
          <w:p w14:paraId="4378CFA5">
            <w:pPr>
              <w:snapToGrid w:val="0"/>
              <w:spacing w:line="360" w:lineRule="auto"/>
              <w:ind w:firstLine="480"/>
              <w:rPr>
                <w:rFonts w:hint="eastAsia" w:ascii="宋体" w:hAnsi="宋体" w:cs="宋体"/>
                <w:kern w:val="0"/>
                <w:sz w:val="24"/>
                <w:highlight w:val="none"/>
              </w:rPr>
            </w:pPr>
          </w:p>
          <w:p w14:paraId="0CC2C97B">
            <w:pPr>
              <w:snapToGrid w:val="0"/>
              <w:spacing w:line="360" w:lineRule="auto"/>
              <w:ind w:firstLine="480"/>
              <w:rPr>
                <w:rFonts w:hint="eastAsia" w:ascii="宋体" w:hAnsi="宋体" w:cs="宋体"/>
                <w:kern w:val="0"/>
                <w:sz w:val="24"/>
                <w:highlight w:val="none"/>
              </w:rPr>
            </w:pPr>
          </w:p>
          <w:p w14:paraId="27B833AD">
            <w:pPr>
              <w:snapToGrid w:val="0"/>
              <w:spacing w:line="360" w:lineRule="auto"/>
              <w:ind w:firstLine="480"/>
              <w:rPr>
                <w:rFonts w:hint="eastAsia" w:ascii="宋体" w:hAnsi="宋体" w:cs="宋体"/>
                <w:kern w:val="0"/>
                <w:sz w:val="24"/>
                <w:highlight w:val="none"/>
              </w:rPr>
            </w:pPr>
          </w:p>
          <w:p w14:paraId="60A32BF8">
            <w:pPr>
              <w:snapToGrid w:val="0"/>
              <w:spacing w:line="360" w:lineRule="auto"/>
              <w:ind w:firstLine="480"/>
              <w:rPr>
                <w:rFonts w:hint="eastAsia" w:ascii="宋体" w:hAnsi="宋体" w:cs="宋体"/>
                <w:kern w:val="0"/>
                <w:sz w:val="24"/>
                <w:highlight w:val="none"/>
              </w:rPr>
            </w:pPr>
          </w:p>
          <w:p w14:paraId="6EDAA4CE">
            <w:pPr>
              <w:snapToGrid w:val="0"/>
              <w:spacing w:line="360" w:lineRule="auto"/>
              <w:ind w:firstLine="480"/>
              <w:rPr>
                <w:rFonts w:hint="eastAsia" w:ascii="宋体" w:hAnsi="宋体" w:cs="宋体"/>
                <w:kern w:val="0"/>
                <w:sz w:val="24"/>
                <w:highlight w:val="none"/>
              </w:rPr>
            </w:pPr>
          </w:p>
          <w:p w14:paraId="54F15943">
            <w:pPr>
              <w:snapToGrid w:val="0"/>
              <w:spacing w:line="360" w:lineRule="auto"/>
              <w:ind w:firstLine="480"/>
              <w:rPr>
                <w:rFonts w:hint="eastAsia" w:ascii="宋体" w:hAnsi="宋体" w:cs="宋体"/>
                <w:kern w:val="0"/>
                <w:sz w:val="24"/>
                <w:highlight w:val="none"/>
              </w:rPr>
            </w:pPr>
          </w:p>
          <w:p w14:paraId="49FA44DE">
            <w:pPr>
              <w:snapToGrid w:val="0"/>
              <w:spacing w:line="360" w:lineRule="auto"/>
              <w:ind w:firstLine="480"/>
              <w:rPr>
                <w:rFonts w:hint="eastAsia" w:ascii="宋体" w:hAnsi="宋体" w:cs="宋体"/>
                <w:kern w:val="0"/>
                <w:sz w:val="24"/>
                <w:highlight w:val="none"/>
              </w:rPr>
            </w:pPr>
          </w:p>
          <w:p w14:paraId="2130D736">
            <w:pPr>
              <w:snapToGrid w:val="0"/>
              <w:spacing w:line="360" w:lineRule="auto"/>
              <w:ind w:firstLine="480"/>
              <w:rPr>
                <w:rFonts w:hint="eastAsia" w:ascii="宋体" w:hAnsi="宋体" w:cs="宋体"/>
                <w:kern w:val="0"/>
                <w:sz w:val="24"/>
                <w:highlight w:val="none"/>
              </w:rPr>
            </w:pPr>
          </w:p>
          <w:p w14:paraId="69BCEEEF">
            <w:pPr>
              <w:snapToGrid w:val="0"/>
              <w:spacing w:line="360" w:lineRule="auto"/>
              <w:ind w:firstLine="480"/>
              <w:rPr>
                <w:rFonts w:hint="eastAsia" w:ascii="宋体" w:hAnsi="宋体" w:cs="宋体"/>
                <w:kern w:val="0"/>
                <w:sz w:val="24"/>
                <w:highlight w:val="none"/>
              </w:rPr>
            </w:pPr>
          </w:p>
          <w:p w14:paraId="10272922">
            <w:pPr>
              <w:snapToGrid w:val="0"/>
              <w:spacing w:line="360" w:lineRule="auto"/>
              <w:ind w:firstLine="480"/>
              <w:rPr>
                <w:rFonts w:hint="eastAsia" w:ascii="宋体" w:hAnsi="宋体" w:cs="宋体"/>
                <w:kern w:val="0"/>
                <w:sz w:val="24"/>
                <w:highlight w:val="none"/>
              </w:rPr>
            </w:pPr>
          </w:p>
        </w:tc>
      </w:tr>
    </w:tbl>
    <w:p w14:paraId="459571FF">
      <w:pPr>
        <w:snapToGrid w:val="0"/>
        <w:spacing w:line="360" w:lineRule="auto"/>
        <w:ind w:firstLine="562"/>
        <w:rPr>
          <w:rFonts w:hint="eastAsia" w:ascii="宋体" w:hAnsi="宋体" w:cs="宋体"/>
          <w:b/>
          <w:kern w:val="0"/>
          <w:sz w:val="28"/>
          <w:szCs w:val="28"/>
          <w:highlight w:val="none"/>
        </w:rPr>
      </w:pPr>
      <w:r>
        <w:rPr>
          <w:rFonts w:hint="eastAsia" w:ascii="宋体" w:hAnsi="宋体" w:cs="宋体"/>
          <w:b/>
          <w:kern w:val="0"/>
          <w:sz w:val="28"/>
          <w:szCs w:val="28"/>
          <w:highlight w:val="none"/>
        </w:rPr>
        <w:t>附：第三章用户需求书中如要求投标人提供证明文件，投标人必须按要求提供，如未提供或提供的证明材料无法证明该项参数符合或正偏离招标文件要求，则按负偏离处理。</w:t>
      </w:r>
    </w:p>
    <w:p w14:paraId="114315D6">
      <w:pPr>
        <w:snapToGrid w:val="0"/>
        <w:spacing w:line="360" w:lineRule="auto"/>
        <w:ind w:firstLine="480"/>
        <w:rPr>
          <w:rFonts w:hint="eastAsia" w:ascii="宋体" w:hAnsi="宋体" w:cs="宋体"/>
          <w:kern w:val="0"/>
          <w:sz w:val="24"/>
          <w:highlight w:val="none"/>
          <w:u w:val="single"/>
        </w:rPr>
      </w:pPr>
      <w:r>
        <w:rPr>
          <w:rFonts w:hint="eastAsia" w:ascii="宋体" w:hAnsi="宋体" w:cs="宋体"/>
          <w:kern w:val="0"/>
          <w:sz w:val="24"/>
          <w:highlight w:val="none"/>
        </w:rPr>
        <w:t>投标人（加盖公章）：</w:t>
      </w:r>
    </w:p>
    <w:p w14:paraId="55A9702F">
      <w:pPr>
        <w:snapToGrid w:val="0"/>
        <w:spacing w:line="360" w:lineRule="auto"/>
        <w:ind w:firstLine="480"/>
        <w:rPr>
          <w:rFonts w:hint="eastAsia" w:ascii="宋体" w:hAnsi="宋体" w:cs="宋体"/>
          <w:kern w:val="0"/>
          <w:sz w:val="24"/>
          <w:highlight w:val="none"/>
        </w:rPr>
      </w:pPr>
    </w:p>
    <w:p w14:paraId="604192D0">
      <w:pPr>
        <w:snapToGrid w:val="0"/>
        <w:spacing w:line="360" w:lineRule="auto"/>
        <w:ind w:firstLine="480"/>
        <w:rPr>
          <w:rFonts w:hint="eastAsia" w:ascii="宋体" w:hAnsi="宋体" w:cs="宋体"/>
          <w:kern w:val="0"/>
          <w:sz w:val="24"/>
          <w:highlight w:val="none"/>
        </w:rPr>
      </w:pPr>
      <w:r>
        <w:rPr>
          <w:rFonts w:hint="eastAsia" w:ascii="宋体" w:hAnsi="宋体" w:cs="宋体"/>
          <w:kern w:val="0"/>
          <w:sz w:val="24"/>
          <w:highlight w:val="none"/>
        </w:rPr>
        <w:t>法定代表人或授权委托代理人（签字或盖章）：</w:t>
      </w:r>
    </w:p>
    <w:p w14:paraId="4EAA2A4D">
      <w:pPr>
        <w:snapToGrid w:val="0"/>
        <w:spacing w:line="360" w:lineRule="auto"/>
        <w:ind w:firstLine="480"/>
        <w:rPr>
          <w:rFonts w:hint="eastAsia" w:ascii="宋体" w:hAnsi="宋体" w:cs="宋体"/>
          <w:kern w:val="0"/>
          <w:sz w:val="24"/>
          <w:highlight w:val="none"/>
        </w:rPr>
      </w:pPr>
    </w:p>
    <w:p w14:paraId="7125A5A9">
      <w:pPr>
        <w:snapToGrid w:val="0"/>
        <w:spacing w:line="360" w:lineRule="auto"/>
        <w:ind w:firstLine="480"/>
        <w:rPr>
          <w:rFonts w:hint="eastAsia" w:hAnsi="宋体" w:cs="宋体"/>
          <w:b/>
          <w:kern w:val="0"/>
          <w:sz w:val="36"/>
          <w:highlight w:val="none"/>
        </w:rPr>
      </w:pPr>
      <w:r>
        <w:rPr>
          <w:rFonts w:hint="eastAsia" w:ascii="宋体" w:hAnsi="宋体" w:cs="宋体"/>
          <w:kern w:val="0"/>
          <w:sz w:val="24"/>
          <w:highlight w:val="none"/>
        </w:rPr>
        <w:t>日期：  年  月  日</w:t>
      </w:r>
    </w:p>
    <w:p w14:paraId="4C512E7E">
      <w:pPr>
        <w:pStyle w:val="45"/>
        <w:snapToGrid w:val="0"/>
        <w:spacing w:line="360" w:lineRule="auto"/>
        <w:jc w:val="center"/>
        <w:outlineLvl w:val="1"/>
        <w:rPr>
          <w:rFonts w:hint="eastAsia" w:hAnsi="宋体" w:cs="宋体"/>
          <w:b/>
          <w:kern w:val="0"/>
          <w:sz w:val="36"/>
          <w:szCs w:val="24"/>
          <w:highlight w:val="none"/>
        </w:rPr>
      </w:pPr>
      <w:bookmarkStart w:id="176" w:name="_Toc3351_WPSOffice_Level1"/>
      <w:bookmarkStart w:id="177" w:name="_Toc6220_WPSOffice_Level1"/>
      <w:r>
        <w:rPr>
          <w:rFonts w:hint="eastAsia" w:hAnsi="宋体" w:cs="宋体"/>
          <w:b/>
          <w:kern w:val="0"/>
          <w:sz w:val="36"/>
          <w:highlight w:val="none"/>
        </w:rPr>
        <w:br w:type="page"/>
      </w:r>
      <w:bookmarkStart w:id="178" w:name="_Toc8410"/>
      <w:r>
        <w:rPr>
          <w:rFonts w:hint="eastAsia" w:hAnsi="宋体" w:cs="宋体"/>
          <w:b/>
          <w:kern w:val="0"/>
          <w:sz w:val="36"/>
          <w:szCs w:val="24"/>
          <w:highlight w:val="none"/>
        </w:rPr>
        <w:t>四、偏离表</w:t>
      </w:r>
      <w:bookmarkEnd w:id="176"/>
      <w:bookmarkEnd w:id="177"/>
      <w:bookmarkEnd w:id="178"/>
    </w:p>
    <w:p w14:paraId="61717967">
      <w:pPr>
        <w:pStyle w:val="45"/>
        <w:snapToGrid w:val="0"/>
        <w:spacing w:line="360" w:lineRule="auto"/>
        <w:jc w:val="center"/>
        <w:rPr>
          <w:rFonts w:hint="eastAsia" w:hAnsi="宋体" w:cs="宋体"/>
          <w:b/>
          <w:kern w:val="0"/>
          <w:sz w:val="36"/>
          <w:szCs w:val="24"/>
          <w:highlight w:val="none"/>
        </w:rPr>
      </w:pPr>
      <w:bookmarkStart w:id="179" w:name="_Toc31142_WPSOffice_Level1"/>
      <w:bookmarkStart w:id="180" w:name="_Toc25204_WPSOffice_Level1"/>
      <w:r>
        <w:rPr>
          <w:rFonts w:hint="eastAsia" w:hAnsi="宋体" w:cs="宋体"/>
          <w:b/>
          <w:kern w:val="0"/>
          <w:sz w:val="36"/>
          <w:szCs w:val="24"/>
          <w:highlight w:val="none"/>
        </w:rPr>
        <w:t>（一）技术参数偏离表</w:t>
      </w:r>
    </w:p>
    <w:tbl>
      <w:tblPr>
        <w:tblStyle w:val="88"/>
        <w:tblW w:w="849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1"/>
        <w:gridCol w:w="1000"/>
        <w:gridCol w:w="1905"/>
        <w:gridCol w:w="2324"/>
        <w:gridCol w:w="1276"/>
        <w:gridCol w:w="1134"/>
      </w:tblGrid>
      <w:tr w14:paraId="56920B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0" w:hRule="atLeast"/>
          <w:jc w:val="center"/>
        </w:trPr>
        <w:tc>
          <w:tcPr>
            <w:tcW w:w="851" w:type="dxa"/>
            <w:vAlign w:val="center"/>
          </w:tcPr>
          <w:p w14:paraId="594B5842">
            <w:pPr>
              <w:snapToGrid w:val="0"/>
              <w:spacing w:line="360" w:lineRule="auto"/>
              <w:jc w:val="center"/>
              <w:rPr>
                <w:rFonts w:hint="eastAsia" w:ascii="宋体" w:hAnsi="宋体" w:cs="宋体"/>
                <w:b/>
                <w:kern w:val="0"/>
                <w:sz w:val="24"/>
                <w:highlight w:val="none"/>
              </w:rPr>
            </w:pPr>
            <w:r>
              <w:rPr>
                <w:rFonts w:hint="eastAsia" w:ascii="宋体" w:hAnsi="宋体" w:cs="宋体"/>
                <w:b/>
                <w:kern w:val="0"/>
                <w:sz w:val="24"/>
                <w:highlight w:val="none"/>
              </w:rPr>
              <w:t>序号</w:t>
            </w:r>
          </w:p>
        </w:tc>
        <w:tc>
          <w:tcPr>
            <w:tcW w:w="1000" w:type="dxa"/>
            <w:vAlign w:val="center"/>
          </w:tcPr>
          <w:p w14:paraId="3A85AEC6">
            <w:pPr>
              <w:snapToGrid w:val="0"/>
              <w:spacing w:line="360" w:lineRule="auto"/>
              <w:jc w:val="center"/>
              <w:rPr>
                <w:rFonts w:hint="eastAsia" w:ascii="宋体" w:hAnsi="宋体" w:cs="宋体"/>
                <w:b/>
                <w:kern w:val="0"/>
                <w:sz w:val="24"/>
                <w:highlight w:val="none"/>
              </w:rPr>
            </w:pPr>
            <w:r>
              <w:rPr>
                <w:rFonts w:hint="eastAsia" w:ascii="宋体" w:hAnsi="宋体" w:cs="宋体"/>
                <w:b/>
                <w:kern w:val="0"/>
                <w:sz w:val="24"/>
                <w:highlight w:val="none"/>
              </w:rPr>
              <w:t>产品名称</w:t>
            </w:r>
          </w:p>
        </w:tc>
        <w:tc>
          <w:tcPr>
            <w:tcW w:w="1905" w:type="dxa"/>
            <w:vAlign w:val="center"/>
          </w:tcPr>
          <w:p w14:paraId="358EB0C1">
            <w:pPr>
              <w:snapToGrid w:val="0"/>
              <w:spacing w:line="360" w:lineRule="auto"/>
              <w:jc w:val="center"/>
              <w:rPr>
                <w:rFonts w:hint="eastAsia" w:ascii="宋体" w:hAnsi="宋体" w:cs="宋体"/>
                <w:b/>
                <w:kern w:val="0"/>
                <w:sz w:val="24"/>
                <w:highlight w:val="none"/>
              </w:rPr>
            </w:pPr>
            <w:r>
              <w:rPr>
                <w:rFonts w:hint="eastAsia" w:ascii="宋体" w:hAnsi="宋体" w:cs="宋体"/>
                <w:b/>
                <w:kern w:val="0"/>
                <w:sz w:val="24"/>
                <w:highlight w:val="none"/>
              </w:rPr>
              <w:t>招标文件技术指标</w:t>
            </w:r>
          </w:p>
        </w:tc>
        <w:tc>
          <w:tcPr>
            <w:tcW w:w="2324" w:type="dxa"/>
            <w:vAlign w:val="center"/>
          </w:tcPr>
          <w:p w14:paraId="3E1FB940">
            <w:pPr>
              <w:snapToGrid w:val="0"/>
              <w:spacing w:line="360" w:lineRule="auto"/>
              <w:jc w:val="center"/>
              <w:rPr>
                <w:rFonts w:hint="eastAsia" w:ascii="宋体" w:hAnsi="宋体" w:cs="宋体"/>
                <w:kern w:val="0"/>
                <w:sz w:val="24"/>
                <w:highlight w:val="none"/>
              </w:rPr>
            </w:pPr>
            <w:r>
              <w:rPr>
                <w:rFonts w:hint="eastAsia" w:ascii="宋体" w:hAnsi="宋体" w:cs="宋体"/>
                <w:b/>
                <w:bCs/>
                <w:kern w:val="0"/>
                <w:sz w:val="24"/>
                <w:highlight w:val="none"/>
              </w:rPr>
              <w:t>响应情况</w:t>
            </w:r>
          </w:p>
        </w:tc>
        <w:tc>
          <w:tcPr>
            <w:tcW w:w="1276" w:type="dxa"/>
            <w:vAlign w:val="center"/>
          </w:tcPr>
          <w:p w14:paraId="62129D9F">
            <w:pPr>
              <w:snapToGrid w:val="0"/>
              <w:spacing w:line="360" w:lineRule="auto"/>
              <w:jc w:val="center"/>
              <w:rPr>
                <w:rFonts w:hint="eastAsia" w:ascii="宋体" w:hAnsi="宋体" w:cs="宋体"/>
                <w:kern w:val="0"/>
                <w:sz w:val="24"/>
                <w:highlight w:val="none"/>
              </w:rPr>
            </w:pPr>
            <w:r>
              <w:rPr>
                <w:rFonts w:hint="eastAsia" w:ascii="宋体" w:hAnsi="宋体" w:cs="宋体"/>
                <w:kern w:val="0"/>
                <w:sz w:val="24"/>
                <w:highlight w:val="none"/>
              </w:rPr>
              <w:t>偏离情况</w:t>
            </w:r>
          </w:p>
          <w:p w14:paraId="7F35C0A3">
            <w:pPr>
              <w:snapToGrid w:val="0"/>
              <w:spacing w:line="360" w:lineRule="auto"/>
              <w:jc w:val="center"/>
              <w:rPr>
                <w:rFonts w:hint="eastAsia" w:ascii="宋体" w:hAnsi="宋体" w:cs="宋体"/>
                <w:kern w:val="0"/>
                <w:sz w:val="24"/>
                <w:highlight w:val="none"/>
              </w:rPr>
            </w:pPr>
            <w:r>
              <w:rPr>
                <w:rFonts w:hint="eastAsia" w:ascii="宋体" w:hAnsi="宋体" w:cs="宋体"/>
                <w:kern w:val="0"/>
                <w:sz w:val="24"/>
                <w:highlight w:val="none"/>
              </w:rPr>
              <w:t>（正/负/无偏离）</w:t>
            </w:r>
          </w:p>
        </w:tc>
        <w:tc>
          <w:tcPr>
            <w:tcW w:w="1134" w:type="dxa"/>
            <w:vAlign w:val="center"/>
          </w:tcPr>
          <w:p w14:paraId="4C2C3249">
            <w:pPr>
              <w:widowControl/>
              <w:snapToGrid w:val="0"/>
              <w:spacing w:line="360" w:lineRule="auto"/>
              <w:jc w:val="center"/>
              <w:rPr>
                <w:rFonts w:hint="eastAsia" w:ascii="宋体" w:hAnsi="宋体" w:cs="宋体"/>
                <w:kern w:val="0"/>
                <w:sz w:val="24"/>
                <w:highlight w:val="none"/>
              </w:rPr>
            </w:pPr>
            <w:r>
              <w:rPr>
                <w:rFonts w:hint="eastAsia" w:ascii="宋体" w:hAnsi="宋体" w:cs="宋体"/>
                <w:kern w:val="0"/>
                <w:sz w:val="24"/>
                <w:highlight w:val="none"/>
              </w:rPr>
              <w:t>证明材料位置（页码）</w:t>
            </w:r>
          </w:p>
        </w:tc>
      </w:tr>
      <w:tr w14:paraId="0AEEF5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1" w:hRule="exact"/>
          <w:jc w:val="center"/>
        </w:trPr>
        <w:tc>
          <w:tcPr>
            <w:tcW w:w="851" w:type="dxa"/>
            <w:vMerge w:val="restart"/>
            <w:vAlign w:val="center"/>
          </w:tcPr>
          <w:p w14:paraId="3BC217C7">
            <w:pPr>
              <w:snapToGrid w:val="0"/>
              <w:spacing w:line="360" w:lineRule="auto"/>
              <w:jc w:val="center"/>
              <w:rPr>
                <w:rFonts w:hint="eastAsia" w:ascii="宋体" w:hAnsi="宋体" w:cs="宋体"/>
                <w:kern w:val="0"/>
                <w:sz w:val="24"/>
                <w:highlight w:val="none"/>
              </w:rPr>
            </w:pPr>
          </w:p>
        </w:tc>
        <w:tc>
          <w:tcPr>
            <w:tcW w:w="1000" w:type="dxa"/>
            <w:vMerge w:val="restart"/>
            <w:vAlign w:val="center"/>
          </w:tcPr>
          <w:p w14:paraId="201713DF">
            <w:pPr>
              <w:snapToGrid w:val="0"/>
              <w:spacing w:line="360" w:lineRule="auto"/>
              <w:jc w:val="center"/>
              <w:rPr>
                <w:rFonts w:hint="eastAsia" w:ascii="宋体" w:hAnsi="宋体" w:cs="宋体"/>
                <w:kern w:val="0"/>
                <w:sz w:val="24"/>
                <w:highlight w:val="none"/>
              </w:rPr>
            </w:pPr>
          </w:p>
        </w:tc>
        <w:tc>
          <w:tcPr>
            <w:tcW w:w="1905" w:type="dxa"/>
            <w:vAlign w:val="center"/>
          </w:tcPr>
          <w:p w14:paraId="30621F0A">
            <w:pPr>
              <w:snapToGrid w:val="0"/>
              <w:spacing w:line="360" w:lineRule="auto"/>
              <w:rPr>
                <w:rFonts w:hint="eastAsia" w:ascii="宋体" w:hAnsi="宋体" w:cs="宋体"/>
                <w:kern w:val="0"/>
                <w:sz w:val="24"/>
                <w:highlight w:val="none"/>
              </w:rPr>
            </w:pPr>
            <w:r>
              <w:rPr>
                <w:rFonts w:hint="eastAsia" w:ascii="宋体" w:hAnsi="宋体" w:cs="宋体"/>
                <w:kern w:val="0"/>
                <w:sz w:val="24"/>
                <w:highlight w:val="none"/>
              </w:rPr>
              <w:t>（逐条填写）</w:t>
            </w:r>
          </w:p>
        </w:tc>
        <w:tc>
          <w:tcPr>
            <w:tcW w:w="2324" w:type="dxa"/>
            <w:vAlign w:val="center"/>
          </w:tcPr>
          <w:p w14:paraId="3F4D91FB">
            <w:pPr>
              <w:snapToGrid w:val="0"/>
              <w:spacing w:line="360" w:lineRule="auto"/>
              <w:jc w:val="center"/>
              <w:rPr>
                <w:rFonts w:hint="eastAsia" w:ascii="宋体" w:hAnsi="宋体" w:cs="宋体"/>
                <w:kern w:val="0"/>
                <w:sz w:val="24"/>
                <w:highlight w:val="none"/>
              </w:rPr>
            </w:pPr>
            <w:r>
              <w:rPr>
                <w:rFonts w:hint="eastAsia" w:ascii="宋体" w:hAnsi="宋体" w:cs="宋体"/>
                <w:kern w:val="0"/>
                <w:sz w:val="24"/>
                <w:highlight w:val="none"/>
              </w:rPr>
              <w:t>（逐条填写）</w:t>
            </w:r>
          </w:p>
        </w:tc>
        <w:tc>
          <w:tcPr>
            <w:tcW w:w="1276" w:type="dxa"/>
          </w:tcPr>
          <w:p w14:paraId="1DE631BD">
            <w:pPr>
              <w:snapToGrid w:val="0"/>
              <w:spacing w:line="360" w:lineRule="auto"/>
              <w:jc w:val="center"/>
              <w:rPr>
                <w:rFonts w:hint="eastAsia" w:ascii="宋体" w:hAnsi="宋体" w:cs="宋体"/>
                <w:kern w:val="0"/>
                <w:sz w:val="24"/>
                <w:highlight w:val="none"/>
              </w:rPr>
            </w:pPr>
          </w:p>
        </w:tc>
        <w:tc>
          <w:tcPr>
            <w:tcW w:w="1134" w:type="dxa"/>
          </w:tcPr>
          <w:p w14:paraId="230ED430">
            <w:pPr>
              <w:snapToGrid w:val="0"/>
              <w:spacing w:line="360" w:lineRule="auto"/>
              <w:jc w:val="center"/>
              <w:rPr>
                <w:rFonts w:hint="eastAsia" w:ascii="宋体" w:hAnsi="宋体" w:cs="宋体"/>
                <w:kern w:val="0"/>
                <w:sz w:val="24"/>
                <w:highlight w:val="none"/>
              </w:rPr>
            </w:pPr>
          </w:p>
        </w:tc>
      </w:tr>
      <w:tr w14:paraId="4E221A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0" w:hRule="atLeast"/>
          <w:jc w:val="center"/>
        </w:trPr>
        <w:tc>
          <w:tcPr>
            <w:tcW w:w="851" w:type="dxa"/>
            <w:vMerge w:val="continue"/>
            <w:vAlign w:val="center"/>
          </w:tcPr>
          <w:p w14:paraId="0C4FF4D4">
            <w:pPr>
              <w:snapToGrid w:val="0"/>
              <w:spacing w:line="360" w:lineRule="auto"/>
              <w:jc w:val="center"/>
              <w:rPr>
                <w:rFonts w:hint="eastAsia" w:ascii="宋体" w:hAnsi="宋体" w:cs="宋体"/>
                <w:kern w:val="0"/>
                <w:sz w:val="24"/>
                <w:highlight w:val="none"/>
              </w:rPr>
            </w:pPr>
          </w:p>
        </w:tc>
        <w:tc>
          <w:tcPr>
            <w:tcW w:w="1000" w:type="dxa"/>
            <w:vMerge w:val="continue"/>
            <w:vAlign w:val="center"/>
          </w:tcPr>
          <w:p w14:paraId="7270161F">
            <w:pPr>
              <w:snapToGrid w:val="0"/>
              <w:spacing w:line="360" w:lineRule="auto"/>
              <w:jc w:val="center"/>
              <w:rPr>
                <w:rFonts w:hint="eastAsia" w:ascii="宋体" w:hAnsi="宋体" w:cs="宋体"/>
                <w:kern w:val="0"/>
                <w:sz w:val="24"/>
                <w:highlight w:val="none"/>
              </w:rPr>
            </w:pPr>
          </w:p>
        </w:tc>
        <w:tc>
          <w:tcPr>
            <w:tcW w:w="1905" w:type="dxa"/>
            <w:vAlign w:val="center"/>
          </w:tcPr>
          <w:p w14:paraId="510D8A70">
            <w:pPr>
              <w:snapToGrid w:val="0"/>
              <w:spacing w:line="360" w:lineRule="auto"/>
              <w:ind w:firstLine="480" w:firstLineChars="200"/>
              <w:rPr>
                <w:rFonts w:hint="eastAsia" w:ascii="宋体" w:hAnsi="宋体" w:cs="宋体"/>
                <w:kern w:val="0"/>
                <w:sz w:val="24"/>
                <w:highlight w:val="none"/>
              </w:rPr>
            </w:pPr>
          </w:p>
          <w:p w14:paraId="0F84C92D">
            <w:pPr>
              <w:snapToGrid w:val="0"/>
              <w:spacing w:line="360" w:lineRule="auto"/>
              <w:ind w:firstLine="480" w:firstLineChars="200"/>
              <w:rPr>
                <w:rFonts w:hint="eastAsia" w:ascii="宋体" w:hAnsi="宋体" w:cs="宋体"/>
                <w:kern w:val="0"/>
                <w:sz w:val="24"/>
                <w:highlight w:val="none"/>
              </w:rPr>
            </w:pPr>
          </w:p>
        </w:tc>
        <w:tc>
          <w:tcPr>
            <w:tcW w:w="2324" w:type="dxa"/>
            <w:vAlign w:val="center"/>
          </w:tcPr>
          <w:p w14:paraId="742678B2">
            <w:pPr>
              <w:snapToGrid w:val="0"/>
              <w:spacing w:line="360" w:lineRule="auto"/>
              <w:jc w:val="center"/>
              <w:rPr>
                <w:rFonts w:hint="eastAsia" w:ascii="宋体" w:hAnsi="宋体" w:cs="宋体"/>
                <w:kern w:val="0"/>
                <w:sz w:val="24"/>
                <w:highlight w:val="none"/>
              </w:rPr>
            </w:pPr>
          </w:p>
        </w:tc>
        <w:tc>
          <w:tcPr>
            <w:tcW w:w="1276" w:type="dxa"/>
          </w:tcPr>
          <w:p w14:paraId="02F12B18">
            <w:pPr>
              <w:snapToGrid w:val="0"/>
              <w:spacing w:line="360" w:lineRule="auto"/>
              <w:jc w:val="center"/>
              <w:rPr>
                <w:rFonts w:hint="eastAsia" w:ascii="宋体" w:hAnsi="宋体" w:cs="宋体"/>
                <w:kern w:val="0"/>
                <w:sz w:val="24"/>
                <w:highlight w:val="none"/>
              </w:rPr>
            </w:pPr>
          </w:p>
        </w:tc>
        <w:tc>
          <w:tcPr>
            <w:tcW w:w="1134" w:type="dxa"/>
          </w:tcPr>
          <w:p w14:paraId="790EF6E1">
            <w:pPr>
              <w:snapToGrid w:val="0"/>
              <w:spacing w:line="360" w:lineRule="auto"/>
              <w:jc w:val="center"/>
              <w:rPr>
                <w:rFonts w:hint="eastAsia" w:ascii="宋体" w:hAnsi="宋体" w:cs="宋体"/>
                <w:kern w:val="0"/>
                <w:sz w:val="24"/>
                <w:highlight w:val="none"/>
              </w:rPr>
            </w:pPr>
          </w:p>
        </w:tc>
      </w:tr>
      <w:tr w14:paraId="717F82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8" w:hRule="atLeast"/>
          <w:jc w:val="center"/>
        </w:trPr>
        <w:tc>
          <w:tcPr>
            <w:tcW w:w="851" w:type="dxa"/>
            <w:vMerge w:val="continue"/>
            <w:vAlign w:val="center"/>
          </w:tcPr>
          <w:p w14:paraId="0D65BF28">
            <w:pPr>
              <w:snapToGrid w:val="0"/>
              <w:spacing w:line="360" w:lineRule="auto"/>
              <w:jc w:val="center"/>
              <w:rPr>
                <w:rFonts w:hint="eastAsia" w:ascii="宋体" w:hAnsi="宋体" w:cs="宋体"/>
                <w:kern w:val="0"/>
                <w:sz w:val="24"/>
                <w:highlight w:val="none"/>
              </w:rPr>
            </w:pPr>
          </w:p>
        </w:tc>
        <w:tc>
          <w:tcPr>
            <w:tcW w:w="1000" w:type="dxa"/>
            <w:vMerge w:val="continue"/>
            <w:vAlign w:val="center"/>
          </w:tcPr>
          <w:p w14:paraId="13631B61">
            <w:pPr>
              <w:snapToGrid w:val="0"/>
              <w:spacing w:line="360" w:lineRule="auto"/>
              <w:jc w:val="center"/>
              <w:rPr>
                <w:rFonts w:hint="eastAsia" w:ascii="宋体" w:hAnsi="宋体" w:cs="宋体"/>
                <w:kern w:val="0"/>
                <w:sz w:val="24"/>
                <w:highlight w:val="none"/>
              </w:rPr>
            </w:pPr>
          </w:p>
        </w:tc>
        <w:tc>
          <w:tcPr>
            <w:tcW w:w="1905" w:type="dxa"/>
            <w:vAlign w:val="center"/>
          </w:tcPr>
          <w:p w14:paraId="5C1E1468">
            <w:pPr>
              <w:snapToGrid w:val="0"/>
              <w:spacing w:line="360" w:lineRule="auto"/>
              <w:ind w:firstLine="480" w:firstLineChars="200"/>
              <w:rPr>
                <w:rFonts w:hint="eastAsia" w:ascii="宋体" w:hAnsi="宋体" w:cs="宋体"/>
                <w:kern w:val="0"/>
                <w:sz w:val="24"/>
                <w:highlight w:val="none"/>
              </w:rPr>
            </w:pPr>
          </w:p>
          <w:p w14:paraId="0901AE27">
            <w:pPr>
              <w:snapToGrid w:val="0"/>
              <w:spacing w:line="360" w:lineRule="auto"/>
              <w:ind w:firstLine="480" w:firstLineChars="200"/>
              <w:rPr>
                <w:rFonts w:hint="eastAsia" w:ascii="宋体" w:hAnsi="宋体" w:cs="宋体"/>
                <w:kern w:val="0"/>
                <w:sz w:val="24"/>
                <w:highlight w:val="none"/>
              </w:rPr>
            </w:pPr>
          </w:p>
        </w:tc>
        <w:tc>
          <w:tcPr>
            <w:tcW w:w="2324" w:type="dxa"/>
            <w:vAlign w:val="center"/>
          </w:tcPr>
          <w:p w14:paraId="2082D5E0">
            <w:pPr>
              <w:snapToGrid w:val="0"/>
              <w:spacing w:line="360" w:lineRule="auto"/>
              <w:jc w:val="center"/>
              <w:rPr>
                <w:rFonts w:hint="eastAsia" w:ascii="宋体" w:hAnsi="宋体" w:cs="宋体"/>
                <w:kern w:val="0"/>
                <w:sz w:val="24"/>
                <w:highlight w:val="none"/>
              </w:rPr>
            </w:pPr>
          </w:p>
        </w:tc>
        <w:tc>
          <w:tcPr>
            <w:tcW w:w="1276" w:type="dxa"/>
          </w:tcPr>
          <w:p w14:paraId="5653C5B2">
            <w:pPr>
              <w:snapToGrid w:val="0"/>
              <w:spacing w:line="360" w:lineRule="auto"/>
              <w:jc w:val="center"/>
              <w:rPr>
                <w:rFonts w:hint="eastAsia" w:ascii="宋体" w:hAnsi="宋体" w:cs="宋体"/>
                <w:kern w:val="0"/>
                <w:sz w:val="24"/>
                <w:highlight w:val="none"/>
              </w:rPr>
            </w:pPr>
          </w:p>
        </w:tc>
        <w:tc>
          <w:tcPr>
            <w:tcW w:w="1134" w:type="dxa"/>
          </w:tcPr>
          <w:p w14:paraId="66D416E7">
            <w:pPr>
              <w:snapToGrid w:val="0"/>
              <w:spacing w:line="360" w:lineRule="auto"/>
              <w:jc w:val="center"/>
              <w:rPr>
                <w:rFonts w:hint="eastAsia" w:ascii="宋体" w:hAnsi="宋体" w:cs="宋体"/>
                <w:kern w:val="0"/>
                <w:sz w:val="24"/>
                <w:highlight w:val="none"/>
              </w:rPr>
            </w:pPr>
          </w:p>
        </w:tc>
      </w:tr>
      <w:tr w14:paraId="4BE0E2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3" w:hRule="atLeast"/>
          <w:jc w:val="center"/>
        </w:trPr>
        <w:tc>
          <w:tcPr>
            <w:tcW w:w="851" w:type="dxa"/>
            <w:vMerge w:val="continue"/>
            <w:vAlign w:val="center"/>
          </w:tcPr>
          <w:p w14:paraId="43C0EF09">
            <w:pPr>
              <w:snapToGrid w:val="0"/>
              <w:spacing w:line="360" w:lineRule="auto"/>
              <w:jc w:val="center"/>
              <w:rPr>
                <w:rFonts w:hint="eastAsia" w:ascii="宋体" w:hAnsi="宋体" w:cs="宋体"/>
                <w:kern w:val="0"/>
                <w:sz w:val="24"/>
                <w:highlight w:val="none"/>
              </w:rPr>
            </w:pPr>
          </w:p>
        </w:tc>
        <w:tc>
          <w:tcPr>
            <w:tcW w:w="1000" w:type="dxa"/>
            <w:vMerge w:val="continue"/>
            <w:vAlign w:val="center"/>
          </w:tcPr>
          <w:p w14:paraId="5B9EF792">
            <w:pPr>
              <w:snapToGrid w:val="0"/>
              <w:spacing w:line="360" w:lineRule="auto"/>
              <w:jc w:val="center"/>
              <w:rPr>
                <w:rFonts w:hint="eastAsia" w:ascii="宋体" w:hAnsi="宋体" w:cs="宋体"/>
                <w:kern w:val="0"/>
                <w:sz w:val="24"/>
                <w:highlight w:val="none"/>
              </w:rPr>
            </w:pPr>
          </w:p>
        </w:tc>
        <w:tc>
          <w:tcPr>
            <w:tcW w:w="1905" w:type="dxa"/>
            <w:vAlign w:val="center"/>
          </w:tcPr>
          <w:p w14:paraId="7C8C8AEE">
            <w:pPr>
              <w:snapToGrid w:val="0"/>
              <w:spacing w:line="360" w:lineRule="auto"/>
              <w:ind w:firstLine="480" w:firstLineChars="200"/>
              <w:rPr>
                <w:rFonts w:hint="eastAsia" w:ascii="宋体" w:hAnsi="宋体" w:cs="宋体"/>
                <w:kern w:val="0"/>
                <w:sz w:val="24"/>
                <w:highlight w:val="none"/>
              </w:rPr>
            </w:pPr>
          </w:p>
        </w:tc>
        <w:tc>
          <w:tcPr>
            <w:tcW w:w="2324" w:type="dxa"/>
            <w:vAlign w:val="center"/>
          </w:tcPr>
          <w:p w14:paraId="36BAC612">
            <w:pPr>
              <w:snapToGrid w:val="0"/>
              <w:spacing w:line="360" w:lineRule="auto"/>
              <w:jc w:val="center"/>
              <w:rPr>
                <w:rFonts w:hint="eastAsia" w:ascii="宋体" w:hAnsi="宋体" w:cs="宋体"/>
                <w:kern w:val="0"/>
                <w:sz w:val="24"/>
                <w:highlight w:val="none"/>
              </w:rPr>
            </w:pPr>
          </w:p>
        </w:tc>
        <w:tc>
          <w:tcPr>
            <w:tcW w:w="1276" w:type="dxa"/>
          </w:tcPr>
          <w:p w14:paraId="364D72E3">
            <w:pPr>
              <w:snapToGrid w:val="0"/>
              <w:spacing w:line="360" w:lineRule="auto"/>
              <w:jc w:val="center"/>
              <w:rPr>
                <w:rFonts w:hint="eastAsia" w:ascii="宋体" w:hAnsi="宋体" w:cs="宋体"/>
                <w:kern w:val="0"/>
                <w:sz w:val="24"/>
                <w:highlight w:val="none"/>
              </w:rPr>
            </w:pPr>
          </w:p>
        </w:tc>
        <w:tc>
          <w:tcPr>
            <w:tcW w:w="1134" w:type="dxa"/>
          </w:tcPr>
          <w:p w14:paraId="543D39D8">
            <w:pPr>
              <w:snapToGrid w:val="0"/>
              <w:spacing w:line="360" w:lineRule="auto"/>
              <w:jc w:val="center"/>
              <w:rPr>
                <w:rFonts w:hint="eastAsia" w:ascii="宋体" w:hAnsi="宋体" w:cs="宋体"/>
                <w:kern w:val="0"/>
                <w:sz w:val="24"/>
                <w:highlight w:val="none"/>
              </w:rPr>
            </w:pPr>
          </w:p>
        </w:tc>
      </w:tr>
      <w:tr w14:paraId="5E1DCB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4" w:hRule="atLeast"/>
          <w:jc w:val="center"/>
        </w:trPr>
        <w:tc>
          <w:tcPr>
            <w:tcW w:w="851" w:type="dxa"/>
            <w:vMerge w:val="continue"/>
            <w:vAlign w:val="center"/>
          </w:tcPr>
          <w:p w14:paraId="0D701339">
            <w:pPr>
              <w:snapToGrid w:val="0"/>
              <w:spacing w:line="360" w:lineRule="auto"/>
              <w:jc w:val="center"/>
              <w:rPr>
                <w:rFonts w:hint="eastAsia" w:ascii="宋体" w:hAnsi="宋体" w:cs="宋体"/>
                <w:kern w:val="0"/>
                <w:sz w:val="24"/>
                <w:highlight w:val="none"/>
              </w:rPr>
            </w:pPr>
          </w:p>
        </w:tc>
        <w:tc>
          <w:tcPr>
            <w:tcW w:w="1000" w:type="dxa"/>
            <w:vMerge w:val="continue"/>
            <w:vAlign w:val="center"/>
          </w:tcPr>
          <w:p w14:paraId="1F9E1DFE">
            <w:pPr>
              <w:snapToGrid w:val="0"/>
              <w:spacing w:line="360" w:lineRule="auto"/>
              <w:jc w:val="center"/>
              <w:rPr>
                <w:rFonts w:hint="eastAsia" w:ascii="宋体" w:hAnsi="宋体" w:cs="宋体"/>
                <w:kern w:val="0"/>
                <w:sz w:val="24"/>
                <w:highlight w:val="none"/>
              </w:rPr>
            </w:pPr>
          </w:p>
        </w:tc>
        <w:tc>
          <w:tcPr>
            <w:tcW w:w="1905" w:type="dxa"/>
            <w:vAlign w:val="center"/>
          </w:tcPr>
          <w:p w14:paraId="0FF15A2A">
            <w:pPr>
              <w:snapToGrid w:val="0"/>
              <w:spacing w:line="360" w:lineRule="auto"/>
              <w:ind w:firstLine="480" w:firstLineChars="200"/>
              <w:rPr>
                <w:rFonts w:hint="eastAsia" w:ascii="宋体" w:hAnsi="宋体" w:cs="宋体"/>
                <w:kern w:val="0"/>
                <w:sz w:val="24"/>
                <w:highlight w:val="none"/>
              </w:rPr>
            </w:pPr>
          </w:p>
          <w:p w14:paraId="391CBC46">
            <w:pPr>
              <w:snapToGrid w:val="0"/>
              <w:spacing w:line="360" w:lineRule="auto"/>
              <w:ind w:firstLine="480" w:firstLineChars="200"/>
              <w:rPr>
                <w:rFonts w:hint="eastAsia" w:ascii="宋体" w:hAnsi="宋体" w:cs="宋体"/>
                <w:kern w:val="0"/>
                <w:sz w:val="24"/>
                <w:highlight w:val="none"/>
              </w:rPr>
            </w:pPr>
          </w:p>
        </w:tc>
        <w:tc>
          <w:tcPr>
            <w:tcW w:w="2324" w:type="dxa"/>
            <w:vAlign w:val="center"/>
          </w:tcPr>
          <w:p w14:paraId="1E6F9A0E">
            <w:pPr>
              <w:snapToGrid w:val="0"/>
              <w:spacing w:line="360" w:lineRule="auto"/>
              <w:jc w:val="center"/>
              <w:rPr>
                <w:rFonts w:hint="eastAsia" w:ascii="宋体" w:hAnsi="宋体" w:cs="宋体"/>
                <w:kern w:val="0"/>
                <w:sz w:val="24"/>
                <w:highlight w:val="none"/>
              </w:rPr>
            </w:pPr>
          </w:p>
        </w:tc>
        <w:tc>
          <w:tcPr>
            <w:tcW w:w="1276" w:type="dxa"/>
          </w:tcPr>
          <w:p w14:paraId="3A75CFA5">
            <w:pPr>
              <w:snapToGrid w:val="0"/>
              <w:spacing w:line="360" w:lineRule="auto"/>
              <w:jc w:val="center"/>
              <w:rPr>
                <w:rFonts w:hint="eastAsia" w:ascii="宋体" w:hAnsi="宋体" w:cs="宋体"/>
                <w:kern w:val="0"/>
                <w:sz w:val="24"/>
                <w:highlight w:val="none"/>
              </w:rPr>
            </w:pPr>
          </w:p>
        </w:tc>
        <w:tc>
          <w:tcPr>
            <w:tcW w:w="1134" w:type="dxa"/>
          </w:tcPr>
          <w:p w14:paraId="54ABCE7F">
            <w:pPr>
              <w:snapToGrid w:val="0"/>
              <w:spacing w:line="360" w:lineRule="auto"/>
              <w:jc w:val="center"/>
              <w:rPr>
                <w:rFonts w:hint="eastAsia" w:ascii="宋体" w:hAnsi="宋体" w:cs="宋体"/>
                <w:kern w:val="0"/>
                <w:sz w:val="24"/>
                <w:highlight w:val="none"/>
              </w:rPr>
            </w:pPr>
          </w:p>
        </w:tc>
      </w:tr>
    </w:tbl>
    <w:p w14:paraId="3801E2A5">
      <w:pPr>
        <w:snapToGrid w:val="0"/>
        <w:spacing w:line="360" w:lineRule="auto"/>
        <w:ind w:firstLine="482"/>
        <w:rPr>
          <w:rFonts w:hint="eastAsia" w:ascii="宋体" w:hAnsi="宋体" w:cs="宋体"/>
          <w:b/>
          <w:kern w:val="0"/>
          <w:sz w:val="24"/>
          <w:highlight w:val="none"/>
        </w:rPr>
      </w:pPr>
      <w:r>
        <w:rPr>
          <w:rFonts w:hint="eastAsia" w:ascii="宋体" w:hAnsi="宋体" w:cs="宋体"/>
          <w:b/>
          <w:kern w:val="0"/>
          <w:sz w:val="24"/>
          <w:highlight w:val="none"/>
        </w:rPr>
        <w:t>注：</w:t>
      </w:r>
    </w:p>
    <w:p w14:paraId="0542B6FD">
      <w:pPr>
        <w:snapToGrid w:val="0"/>
        <w:spacing w:line="360" w:lineRule="auto"/>
        <w:ind w:firstLine="472" w:firstLineChars="196"/>
        <w:rPr>
          <w:rFonts w:hint="eastAsia" w:ascii="宋体" w:hAnsi="宋体" w:cs="宋体"/>
          <w:b/>
          <w:kern w:val="0"/>
          <w:sz w:val="24"/>
          <w:highlight w:val="none"/>
        </w:rPr>
      </w:pPr>
      <w:r>
        <w:rPr>
          <w:rFonts w:hint="eastAsia" w:ascii="宋体" w:hAnsi="宋体" w:cs="宋体"/>
          <w:b/>
          <w:kern w:val="0"/>
          <w:sz w:val="24"/>
          <w:highlight w:val="none"/>
        </w:rPr>
        <w:t>1.投标人须对招标文件第三章用户需求书中“三、技术参数”逐条进行偏离情况说明，否则按无效投标文件处理；</w:t>
      </w:r>
    </w:p>
    <w:p w14:paraId="6B72C786">
      <w:pPr>
        <w:snapToGrid w:val="0"/>
        <w:spacing w:line="360" w:lineRule="auto"/>
        <w:ind w:firstLine="482"/>
        <w:rPr>
          <w:rFonts w:hint="eastAsia" w:ascii="宋体" w:hAnsi="宋体" w:cs="宋体"/>
          <w:b/>
          <w:kern w:val="0"/>
          <w:sz w:val="24"/>
          <w:highlight w:val="none"/>
        </w:rPr>
      </w:pPr>
      <w:r>
        <w:rPr>
          <w:rFonts w:hint="eastAsia" w:ascii="宋体" w:hAnsi="宋体" w:cs="宋体"/>
          <w:b/>
          <w:kern w:val="0"/>
          <w:sz w:val="24"/>
          <w:highlight w:val="none"/>
        </w:rPr>
        <w:t>2.一处技术参数如有负偏离，则该项技术参数认定为负偏离。</w:t>
      </w:r>
    </w:p>
    <w:p w14:paraId="2D5D41B0">
      <w:pPr>
        <w:pStyle w:val="45"/>
        <w:snapToGrid w:val="0"/>
        <w:spacing w:line="360" w:lineRule="auto"/>
        <w:ind w:firstLine="482"/>
        <w:jc w:val="center"/>
        <w:rPr>
          <w:rFonts w:hint="eastAsia" w:hAnsi="宋体" w:cs="宋体"/>
          <w:b/>
          <w:kern w:val="0"/>
          <w:sz w:val="24"/>
          <w:szCs w:val="24"/>
          <w:highlight w:val="none"/>
        </w:rPr>
      </w:pPr>
    </w:p>
    <w:p w14:paraId="6DADC6E4">
      <w:pPr>
        <w:snapToGrid w:val="0"/>
        <w:spacing w:line="360" w:lineRule="auto"/>
        <w:ind w:firstLine="480"/>
        <w:rPr>
          <w:rFonts w:hint="eastAsia" w:ascii="宋体" w:hAnsi="宋体" w:cs="宋体"/>
          <w:kern w:val="0"/>
          <w:sz w:val="24"/>
          <w:highlight w:val="none"/>
        </w:rPr>
      </w:pPr>
      <w:r>
        <w:rPr>
          <w:rFonts w:hint="eastAsia" w:ascii="宋体" w:hAnsi="宋体" w:cs="宋体"/>
          <w:kern w:val="0"/>
          <w:sz w:val="24"/>
          <w:highlight w:val="none"/>
        </w:rPr>
        <w:t>投标人： (盖章)</w:t>
      </w:r>
    </w:p>
    <w:p w14:paraId="3EB3FD62">
      <w:pPr>
        <w:snapToGrid w:val="0"/>
        <w:spacing w:line="360" w:lineRule="auto"/>
        <w:ind w:firstLine="480"/>
        <w:rPr>
          <w:rFonts w:hint="eastAsia" w:ascii="宋体" w:hAnsi="宋体" w:cs="宋体"/>
          <w:kern w:val="0"/>
          <w:sz w:val="24"/>
          <w:highlight w:val="none"/>
        </w:rPr>
      </w:pPr>
      <w:r>
        <w:rPr>
          <w:rFonts w:hint="eastAsia" w:ascii="宋体" w:hAnsi="宋体" w:cs="宋体"/>
          <w:kern w:val="0"/>
          <w:sz w:val="24"/>
          <w:highlight w:val="none"/>
        </w:rPr>
        <w:t>法定代表人或其委托代理人： (签字或盖章)</w:t>
      </w:r>
    </w:p>
    <w:p w14:paraId="1A0C6974">
      <w:pPr>
        <w:snapToGrid w:val="0"/>
        <w:spacing w:line="360" w:lineRule="auto"/>
        <w:ind w:firstLine="480"/>
        <w:rPr>
          <w:rFonts w:hint="eastAsia" w:ascii="宋体" w:hAnsi="宋体" w:cs="宋体"/>
          <w:kern w:val="0"/>
          <w:sz w:val="24"/>
          <w:highlight w:val="none"/>
        </w:rPr>
      </w:pPr>
      <w:r>
        <w:rPr>
          <w:rFonts w:hint="eastAsia" w:ascii="宋体" w:hAnsi="宋体" w:cs="宋体"/>
          <w:kern w:val="0"/>
          <w:sz w:val="24"/>
          <w:highlight w:val="none"/>
        </w:rPr>
        <w:t>日期：  年  月  日</w:t>
      </w:r>
    </w:p>
    <w:p w14:paraId="69363A3D">
      <w:pPr>
        <w:pStyle w:val="45"/>
        <w:snapToGrid w:val="0"/>
        <w:spacing w:line="360" w:lineRule="auto"/>
        <w:jc w:val="center"/>
        <w:rPr>
          <w:rFonts w:hint="eastAsia" w:hAnsi="宋体" w:cs="宋体"/>
          <w:b/>
          <w:kern w:val="0"/>
          <w:sz w:val="36"/>
          <w:szCs w:val="24"/>
          <w:highlight w:val="none"/>
        </w:rPr>
      </w:pPr>
      <w:bookmarkStart w:id="181" w:name="_Toc9638_WPSOffice_Level1"/>
      <w:bookmarkStart w:id="182" w:name="_Toc20656_WPSOffice_Level1"/>
      <w:bookmarkStart w:id="183" w:name="_Toc8661_WPSOffice_Level1"/>
      <w:bookmarkStart w:id="184" w:name="_Toc19657_WPSOffice_Level1"/>
      <w:r>
        <w:rPr>
          <w:rFonts w:hint="eastAsia" w:hAnsi="宋体" w:cs="宋体"/>
          <w:b/>
          <w:kern w:val="0"/>
          <w:sz w:val="36"/>
          <w:szCs w:val="24"/>
          <w:highlight w:val="none"/>
        </w:rPr>
        <w:br w:type="page"/>
      </w:r>
      <w:r>
        <w:rPr>
          <w:rFonts w:hint="eastAsia" w:hAnsi="宋体" w:cs="宋体"/>
          <w:b/>
          <w:kern w:val="0"/>
          <w:sz w:val="36"/>
          <w:szCs w:val="24"/>
          <w:highlight w:val="none"/>
        </w:rPr>
        <w:t>（二）商务偏离表</w:t>
      </w:r>
      <w:bookmarkEnd w:id="181"/>
      <w:bookmarkEnd w:id="182"/>
      <w:bookmarkEnd w:id="183"/>
      <w:bookmarkEnd w:id="184"/>
    </w:p>
    <w:tbl>
      <w:tblPr>
        <w:tblStyle w:val="88"/>
        <w:tblW w:w="9810" w:type="dxa"/>
        <w:jc w:val="center"/>
        <w:tblLayout w:type="autofit"/>
        <w:tblCellMar>
          <w:top w:w="0" w:type="dxa"/>
          <w:left w:w="108" w:type="dxa"/>
          <w:bottom w:w="0" w:type="dxa"/>
          <w:right w:w="108" w:type="dxa"/>
        </w:tblCellMar>
      </w:tblPr>
      <w:tblGrid>
        <w:gridCol w:w="816"/>
        <w:gridCol w:w="5629"/>
        <w:gridCol w:w="1125"/>
        <w:gridCol w:w="1214"/>
        <w:gridCol w:w="1026"/>
      </w:tblGrid>
      <w:tr w14:paraId="5D2B5DC0">
        <w:tblPrEx>
          <w:tblCellMar>
            <w:top w:w="0" w:type="dxa"/>
            <w:left w:w="108" w:type="dxa"/>
            <w:bottom w:w="0" w:type="dxa"/>
            <w:right w:w="108" w:type="dxa"/>
          </w:tblCellMar>
        </w:tblPrEx>
        <w:trPr>
          <w:jc w:val="center"/>
        </w:trPr>
        <w:tc>
          <w:tcPr>
            <w:tcW w:w="816" w:type="dxa"/>
            <w:tcBorders>
              <w:top w:val="single" w:color="000000" w:sz="4" w:space="0"/>
              <w:left w:val="single" w:color="000000" w:sz="4" w:space="0"/>
              <w:bottom w:val="single" w:color="000000" w:sz="4" w:space="0"/>
              <w:right w:val="single" w:color="000000" w:sz="4" w:space="0"/>
            </w:tcBorders>
            <w:vAlign w:val="center"/>
          </w:tcPr>
          <w:p w14:paraId="606531B7">
            <w:pPr>
              <w:adjustRightInd w:val="0"/>
              <w:snapToGrid w:val="0"/>
              <w:jc w:val="center"/>
              <w:rPr>
                <w:rFonts w:hint="eastAsia" w:ascii="宋体" w:hAnsi="宋体" w:cs="宋体"/>
                <w:kern w:val="0"/>
                <w:sz w:val="24"/>
                <w:highlight w:val="none"/>
              </w:rPr>
            </w:pPr>
            <w:r>
              <w:rPr>
                <w:rFonts w:hint="eastAsia" w:ascii="宋体" w:hAnsi="宋体" w:cs="宋体"/>
                <w:kern w:val="0"/>
                <w:sz w:val="24"/>
                <w:highlight w:val="none"/>
              </w:rPr>
              <w:t>序号</w:t>
            </w:r>
          </w:p>
        </w:tc>
        <w:tc>
          <w:tcPr>
            <w:tcW w:w="5629" w:type="dxa"/>
            <w:tcBorders>
              <w:top w:val="single" w:color="000000" w:sz="4" w:space="0"/>
              <w:left w:val="single" w:color="000000" w:sz="4" w:space="0"/>
              <w:bottom w:val="single" w:color="000000" w:sz="4" w:space="0"/>
              <w:right w:val="single" w:color="000000" w:sz="4" w:space="0"/>
            </w:tcBorders>
            <w:vAlign w:val="center"/>
          </w:tcPr>
          <w:p w14:paraId="2531277A">
            <w:pPr>
              <w:adjustRightInd w:val="0"/>
              <w:snapToGrid w:val="0"/>
              <w:jc w:val="center"/>
              <w:rPr>
                <w:rFonts w:hint="eastAsia" w:ascii="宋体" w:hAnsi="宋体" w:cs="宋体"/>
                <w:kern w:val="0"/>
                <w:sz w:val="24"/>
                <w:highlight w:val="none"/>
              </w:rPr>
            </w:pPr>
            <w:r>
              <w:rPr>
                <w:rFonts w:hint="eastAsia" w:ascii="宋体" w:hAnsi="宋体" w:cs="宋体"/>
                <w:kern w:val="0"/>
                <w:sz w:val="24"/>
                <w:highlight w:val="none"/>
              </w:rPr>
              <w:t>招标文件的商务条款</w:t>
            </w:r>
          </w:p>
        </w:tc>
        <w:tc>
          <w:tcPr>
            <w:tcW w:w="1125" w:type="dxa"/>
            <w:tcBorders>
              <w:top w:val="single" w:color="000000" w:sz="4" w:space="0"/>
              <w:left w:val="single" w:color="000000" w:sz="4" w:space="0"/>
              <w:bottom w:val="single" w:color="000000" w:sz="4" w:space="0"/>
              <w:right w:val="single" w:color="000000" w:sz="4" w:space="0"/>
            </w:tcBorders>
            <w:vAlign w:val="center"/>
          </w:tcPr>
          <w:p w14:paraId="69C43FAC">
            <w:pPr>
              <w:adjustRightInd w:val="0"/>
              <w:snapToGrid w:val="0"/>
              <w:jc w:val="center"/>
              <w:rPr>
                <w:rFonts w:hint="eastAsia" w:ascii="宋体" w:hAnsi="宋体" w:cs="宋体"/>
                <w:kern w:val="0"/>
                <w:sz w:val="24"/>
                <w:highlight w:val="none"/>
              </w:rPr>
            </w:pPr>
            <w:r>
              <w:rPr>
                <w:rFonts w:hint="eastAsia" w:ascii="宋体" w:hAnsi="宋体" w:cs="宋体"/>
                <w:kern w:val="0"/>
                <w:sz w:val="24"/>
                <w:highlight w:val="none"/>
              </w:rPr>
              <w:t>投标文件的商务条款</w:t>
            </w:r>
          </w:p>
        </w:tc>
        <w:tc>
          <w:tcPr>
            <w:tcW w:w="1214" w:type="dxa"/>
            <w:tcBorders>
              <w:top w:val="single" w:color="000000" w:sz="4" w:space="0"/>
              <w:left w:val="single" w:color="000000" w:sz="4" w:space="0"/>
              <w:bottom w:val="single" w:color="000000" w:sz="4" w:space="0"/>
              <w:right w:val="single" w:color="000000" w:sz="4" w:space="0"/>
            </w:tcBorders>
            <w:vAlign w:val="center"/>
          </w:tcPr>
          <w:p w14:paraId="28CB86D9">
            <w:pPr>
              <w:adjustRightInd w:val="0"/>
              <w:snapToGrid w:val="0"/>
              <w:jc w:val="center"/>
              <w:rPr>
                <w:rFonts w:hint="eastAsia" w:ascii="宋体" w:hAnsi="宋体" w:cs="宋体"/>
                <w:kern w:val="0"/>
                <w:sz w:val="24"/>
                <w:highlight w:val="none"/>
              </w:rPr>
            </w:pPr>
            <w:r>
              <w:rPr>
                <w:rFonts w:hint="eastAsia" w:ascii="宋体" w:hAnsi="宋体" w:cs="宋体"/>
                <w:kern w:val="0"/>
                <w:sz w:val="24"/>
                <w:highlight w:val="none"/>
              </w:rPr>
              <w:t>偏离情况</w:t>
            </w:r>
          </w:p>
          <w:p w14:paraId="2300F2BF">
            <w:pPr>
              <w:adjustRightInd w:val="0"/>
              <w:snapToGrid w:val="0"/>
              <w:jc w:val="center"/>
              <w:rPr>
                <w:rFonts w:hint="eastAsia" w:ascii="宋体" w:hAnsi="宋体" w:cs="宋体"/>
                <w:kern w:val="0"/>
                <w:sz w:val="24"/>
                <w:highlight w:val="none"/>
              </w:rPr>
            </w:pPr>
            <w:r>
              <w:rPr>
                <w:rFonts w:hint="eastAsia" w:ascii="宋体" w:hAnsi="宋体" w:cs="宋体"/>
                <w:kern w:val="0"/>
                <w:sz w:val="24"/>
                <w:highlight w:val="none"/>
              </w:rPr>
              <w:t>（正/负/无偏离）</w:t>
            </w:r>
          </w:p>
        </w:tc>
        <w:tc>
          <w:tcPr>
            <w:tcW w:w="1026" w:type="dxa"/>
            <w:tcBorders>
              <w:top w:val="single" w:color="000000" w:sz="4" w:space="0"/>
              <w:left w:val="single" w:color="000000" w:sz="4" w:space="0"/>
              <w:bottom w:val="single" w:color="000000" w:sz="4" w:space="0"/>
              <w:right w:val="single" w:color="000000" w:sz="4" w:space="0"/>
            </w:tcBorders>
            <w:vAlign w:val="center"/>
          </w:tcPr>
          <w:p w14:paraId="766D60E6">
            <w:pPr>
              <w:adjustRightInd w:val="0"/>
              <w:snapToGrid w:val="0"/>
              <w:jc w:val="center"/>
              <w:rPr>
                <w:rFonts w:hint="eastAsia" w:ascii="宋体" w:hAnsi="宋体" w:cs="宋体"/>
                <w:kern w:val="0"/>
                <w:sz w:val="24"/>
                <w:highlight w:val="none"/>
              </w:rPr>
            </w:pPr>
            <w:r>
              <w:rPr>
                <w:rFonts w:hint="eastAsia" w:ascii="宋体" w:hAnsi="宋体" w:cs="宋体"/>
                <w:kern w:val="0"/>
                <w:sz w:val="24"/>
                <w:highlight w:val="none"/>
              </w:rPr>
              <w:t>证明材料位置（页码）</w:t>
            </w:r>
          </w:p>
        </w:tc>
      </w:tr>
      <w:tr w14:paraId="418E0853">
        <w:tblPrEx>
          <w:tblCellMar>
            <w:top w:w="0" w:type="dxa"/>
            <w:left w:w="108" w:type="dxa"/>
            <w:bottom w:w="0" w:type="dxa"/>
            <w:right w:w="108" w:type="dxa"/>
          </w:tblCellMar>
        </w:tblPrEx>
        <w:trPr>
          <w:jc w:val="center"/>
        </w:trPr>
        <w:tc>
          <w:tcPr>
            <w:tcW w:w="816" w:type="dxa"/>
            <w:tcBorders>
              <w:top w:val="single" w:color="000000" w:sz="4" w:space="0"/>
              <w:left w:val="single" w:color="000000" w:sz="4" w:space="0"/>
              <w:bottom w:val="single" w:color="000000" w:sz="4" w:space="0"/>
              <w:right w:val="single" w:color="000000" w:sz="4" w:space="0"/>
            </w:tcBorders>
            <w:vAlign w:val="center"/>
          </w:tcPr>
          <w:p w14:paraId="63B874E0">
            <w:pPr>
              <w:adjustRightInd w:val="0"/>
              <w:snapToGrid w:val="0"/>
              <w:jc w:val="center"/>
              <w:rPr>
                <w:rFonts w:hint="eastAsia" w:ascii="宋体" w:hAnsi="宋体" w:cs="宋体"/>
                <w:kern w:val="0"/>
                <w:sz w:val="24"/>
                <w:highlight w:val="none"/>
              </w:rPr>
            </w:pPr>
            <w:r>
              <w:rPr>
                <w:rFonts w:hint="eastAsia" w:ascii="宋体" w:hAnsi="宋体" w:cs="宋体"/>
                <w:kern w:val="0"/>
                <w:sz w:val="24"/>
                <w:highlight w:val="none"/>
              </w:rPr>
              <w:t>1</w:t>
            </w:r>
          </w:p>
        </w:tc>
        <w:tc>
          <w:tcPr>
            <w:tcW w:w="5629" w:type="dxa"/>
            <w:tcBorders>
              <w:top w:val="single" w:color="000000" w:sz="4" w:space="0"/>
              <w:left w:val="single" w:color="000000" w:sz="4" w:space="0"/>
              <w:bottom w:val="single" w:color="000000" w:sz="4" w:space="0"/>
              <w:right w:val="single" w:color="000000" w:sz="4" w:space="0"/>
            </w:tcBorders>
            <w:vAlign w:val="center"/>
          </w:tcPr>
          <w:p w14:paraId="3668A552">
            <w:pPr>
              <w:widowControl/>
              <w:jc w:val="left"/>
              <w:rPr>
                <w:rFonts w:hint="eastAsia" w:ascii="宋体" w:hAnsi="宋体" w:cs="宋体"/>
                <w:kern w:val="0"/>
                <w:sz w:val="24"/>
                <w:highlight w:val="none"/>
              </w:rPr>
            </w:pPr>
            <w:r>
              <w:rPr>
                <w:rFonts w:hint="eastAsia" w:ascii="宋体" w:hAnsi="宋体" w:cs="宋体"/>
                <w:kern w:val="0"/>
                <w:sz w:val="24"/>
                <w:highlight w:val="none"/>
              </w:rPr>
              <w:t>★付款方式：</w:t>
            </w:r>
          </w:p>
          <w:p w14:paraId="679AFC80">
            <w:pPr>
              <w:snapToGrid w:val="0"/>
              <w:rPr>
                <w:rFonts w:hint="eastAsia" w:ascii="宋体" w:hAnsi="宋体" w:cs="宋体"/>
                <w:kern w:val="0"/>
                <w:sz w:val="24"/>
                <w:highlight w:val="none"/>
              </w:rPr>
            </w:pPr>
            <w:r>
              <w:rPr>
                <w:rFonts w:hint="eastAsia"/>
                <w:sz w:val="24"/>
                <w:szCs w:val="32"/>
                <w:highlight w:val="none"/>
              </w:rPr>
              <w:t>合同签订后，中标人向采购人开具合同总金额100%的预付款保函，采购人收到预付款保函后，向中标人一次性支付合同全款作为预付款。货到采购人指定地点后，中标人向采购人开具合同总金额10%的履约保函，采购人验收合格后退回预付款保函。预付款保函和履约保函必须为银行见索即付独立保函。预付款保函有效期覆盖供货期和验收期，履约保函有效期覆盖质保期第一年。如履约期间因特殊原因导致保函有效期不满足上述条件，中标人应无条件办理保函展期，直至满足条件为止。</w:t>
            </w:r>
          </w:p>
        </w:tc>
        <w:tc>
          <w:tcPr>
            <w:tcW w:w="1125" w:type="dxa"/>
            <w:tcBorders>
              <w:top w:val="single" w:color="000000" w:sz="4" w:space="0"/>
              <w:left w:val="single" w:color="000000" w:sz="4" w:space="0"/>
              <w:bottom w:val="single" w:color="000000" w:sz="4" w:space="0"/>
              <w:right w:val="single" w:color="000000" w:sz="4" w:space="0"/>
            </w:tcBorders>
            <w:vAlign w:val="center"/>
          </w:tcPr>
          <w:p w14:paraId="3FD59FCE">
            <w:pPr>
              <w:adjustRightInd w:val="0"/>
              <w:snapToGrid w:val="0"/>
              <w:jc w:val="center"/>
              <w:rPr>
                <w:rFonts w:hint="eastAsia" w:ascii="宋体" w:hAnsi="宋体" w:cs="宋体"/>
                <w:kern w:val="0"/>
                <w:sz w:val="24"/>
                <w:highlight w:val="none"/>
              </w:rPr>
            </w:pPr>
          </w:p>
        </w:tc>
        <w:tc>
          <w:tcPr>
            <w:tcW w:w="1214" w:type="dxa"/>
            <w:tcBorders>
              <w:top w:val="single" w:color="000000" w:sz="4" w:space="0"/>
              <w:left w:val="single" w:color="000000" w:sz="4" w:space="0"/>
              <w:bottom w:val="single" w:color="000000" w:sz="4" w:space="0"/>
              <w:right w:val="single" w:color="000000" w:sz="4" w:space="0"/>
            </w:tcBorders>
            <w:vAlign w:val="center"/>
          </w:tcPr>
          <w:p w14:paraId="01606B7F">
            <w:pPr>
              <w:adjustRightInd w:val="0"/>
              <w:snapToGrid w:val="0"/>
              <w:jc w:val="center"/>
              <w:rPr>
                <w:rFonts w:hint="eastAsia" w:ascii="宋体" w:hAnsi="宋体" w:cs="宋体"/>
                <w:kern w:val="0"/>
                <w:sz w:val="24"/>
                <w:highlight w:val="none"/>
              </w:rPr>
            </w:pPr>
          </w:p>
        </w:tc>
        <w:tc>
          <w:tcPr>
            <w:tcW w:w="1026" w:type="dxa"/>
            <w:tcBorders>
              <w:top w:val="single" w:color="000000" w:sz="4" w:space="0"/>
              <w:left w:val="single" w:color="000000" w:sz="4" w:space="0"/>
              <w:bottom w:val="single" w:color="000000" w:sz="4" w:space="0"/>
              <w:right w:val="single" w:color="000000" w:sz="4" w:space="0"/>
            </w:tcBorders>
            <w:vAlign w:val="center"/>
          </w:tcPr>
          <w:p w14:paraId="6B088974">
            <w:pPr>
              <w:adjustRightInd w:val="0"/>
              <w:snapToGrid w:val="0"/>
              <w:jc w:val="center"/>
              <w:rPr>
                <w:rFonts w:hint="eastAsia" w:ascii="宋体" w:hAnsi="宋体" w:cs="宋体"/>
                <w:kern w:val="0"/>
                <w:sz w:val="24"/>
                <w:highlight w:val="none"/>
              </w:rPr>
            </w:pPr>
          </w:p>
        </w:tc>
      </w:tr>
      <w:tr w14:paraId="09E0B451">
        <w:tblPrEx>
          <w:tblCellMar>
            <w:top w:w="0" w:type="dxa"/>
            <w:left w:w="108" w:type="dxa"/>
            <w:bottom w:w="0" w:type="dxa"/>
            <w:right w:w="108" w:type="dxa"/>
          </w:tblCellMar>
        </w:tblPrEx>
        <w:trPr>
          <w:jc w:val="center"/>
        </w:trPr>
        <w:tc>
          <w:tcPr>
            <w:tcW w:w="816" w:type="dxa"/>
            <w:tcBorders>
              <w:top w:val="single" w:color="000000" w:sz="4" w:space="0"/>
              <w:left w:val="single" w:color="000000" w:sz="4" w:space="0"/>
              <w:bottom w:val="single" w:color="000000" w:sz="4" w:space="0"/>
              <w:right w:val="single" w:color="000000" w:sz="4" w:space="0"/>
            </w:tcBorders>
            <w:vAlign w:val="center"/>
          </w:tcPr>
          <w:p w14:paraId="00E22DCD">
            <w:pPr>
              <w:adjustRightInd w:val="0"/>
              <w:snapToGrid w:val="0"/>
              <w:jc w:val="center"/>
              <w:rPr>
                <w:rFonts w:hint="eastAsia" w:ascii="宋体" w:hAnsi="宋体" w:cs="宋体"/>
                <w:kern w:val="0"/>
                <w:sz w:val="24"/>
                <w:highlight w:val="none"/>
              </w:rPr>
            </w:pPr>
            <w:r>
              <w:rPr>
                <w:rFonts w:hint="eastAsia" w:ascii="宋体" w:hAnsi="宋体" w:cs="宋体"/>
                <w:kern w:val="0"/>
                <w:sz w:val="24"/>
                <w:highlight w:val="none"/>
              </w:rPr>
              <w:t>2</w:t>
            </w:r>
          </w:p>
        </w:tc>
        <w:tc>
          <w:tcPr>
            <w:tcW w:w="5629" w:type="dxa"/>
            <w:tcBorders>
              <w:top w:val="single" w:color="000000" w:sz="4" w:space="0"/>
              <w:left w:val="single" w:color="000000" w:sz="4" w:space="0"/>
              <w:bottom w:val="single" w:color="000000" w:sz="4" w:space="0"/>
              <w:right w:val="single" w:color="000000" w:sz="4" w:space="0"/>
            </w:tcBorders>
            <w:vAlign w:val="center"/>
          </w:tcPr>
          <w:p w14:paraId="0003B631">
            <w:pPr>
              <w:snapToGrid w:val="0"/>
              <w:rPr>
                <w:rFonts w:hint="eastAsia" w:ascii="宋体" w:hAnsi="宋体" w:cs="宋体"/>
                <w:kern w:val="0"/>
                <w:sz w:val="24"/>
                <w:highlight w:val="none"/>
              </w:rPr>
            </w:pPr>
            <w:r>
              <w:rPr>
                <w:rFonts w:hint="eastAsia" w:ascii="宋体" w:hAnsi="宋体" w:cs="宋体"/>
                <w:kern w:val="0"/>
                <w:sz w:val="24"/>
                <w:highlight w:val="none"/>
              </w:rPr>
              <w:t>★供货期：自签订合同之日起，接到采购人供货通知后6个月内，货到采购人指定地点安装调试验收合格</w:t>
            </w:r>
            <w:r>
              <w:rPr>
                <w:rFonts w:hint="eastAsia" w:ascii="宋体" w:hAnsi="宋体"/>
                <w:sz w:val="24"/>
                <w:highlight w:val="none"/>
              </w:rPr>
              <w:t>。</w:t>
            </w:r>
          </w:p>
        </w:tc>
        <w:tc>
          <w:tcPr>
            <w:tcW w:w="1125" w:type="dxa"/>
            <w:tcBorders>
              <w:top w:val="single" w:color="000000" w:sz="4" w:space="0"/>
              <w:left w:val="single" w:color="000000" w:sz="4" w:space="0"/>
              <w:bottom w:val="single" w:color="000000" w:sz="4" w:space="0"/>
              <w:right w:val="single" w:color="000000" w:sz="4" w:space="0"/>
            </w:tcBorders>
            <w:vAlign w:val="center"/>
          </w:tcPr>
          <w:p w14:paraId="2971296E">
            <w:pPr>
              <w:adjustRightInd w:val="0"/>
              <w:snapToGrid w:val="0"/>
              <w:jc w:val="center"/>
              <w:rPr>
                <w:rFonts w:hint="eastAsia" w:ascii="宋体" w:hAnsi="宋体" w:cs="宋体"/>
                <w:kern w:val="0"/>
                <w:sz w:val="24"/>
                <w:highlight w:val="none"/>
              </w:rPr>
            </w:pPr>
          </w:p>
        </w:tc>
        <w:tc>
          <w:tcPr>
            <w:tcW w:w="1214" w:type="dxa"/>
            <w:tcBorders>
              <w:top w:val="single" w:color="000000" w:sz="4" w:space="0"/>
              <w:left w:val="single" w:color="000000" w:sz="4" w:space="0"/>
              <w:bottom w:val="single" w:color="000000" w:sz="4" w:space="0"/>
              <w:right w:val="single" w:color="000000" w:sz="4" w:space="0"/>
            </w:tcBorders>
            <w:vAlign w:val="center"/>
          </w:tcPr>
          <w:p w14:paraId="754F25B4">
            <w:pPr>
              <w:adjustRightInd w:val="0"/>
              <w:snapToGrid w:val="0"/>
              <w:jc w:val="center"/>
              <w:rPr>
                <w:rFonts w:hint="eastAsia" w:ascii="宋体" w:hAnsi="宋体" w:cs="宋体"/>
                <w:kern w:val="0"/>
                <w:sz w:val="24"/>
                <w:highlight w:val="none"/>
              </w:rPr>
            </w:pPr>
          </w:p>
        </w:tc>
        <w:tc>
          <w:tcPr>
            <w:tcW w:w="1026" w:type="dxa"/>
            <w:tcBorders>
              <w:top w:val="single" w:color="000000" w:sz="4" w:space="0"/>
              <w:left w:val="single" w:color="000000" w:sz="4" w:space="0"/>
              <w:bottom w:val="single" w:color="000000" w:sz="4" w:space="0"/>
              <w:right w:val="single" w:color="000000" w:sz="4" w:space="0"/>
            </w:tcBorders>
            <w:vAlign w:val="center"/>
          </w:tcPr>
          <w:p w14:paraId="78665BE7">
            <w:pPr>
              <w:adjustRightInd w:val="0"/>
              <w:snapToGrid w:val="0"/>
              <w:jc w:val="center"/>
              <w:rPr>
                <w:rFonts w:hint="eastAsia" w:ascii="宋体" w:hAnsi="宋体" w:cs="宋体"/>
                <w:kern w:val="0"/>
                <w:sz w:val="24"/>
                <w:highlight w:val="none"/>
              </w:rPr>
            </w:pPr>
          </w:p>
        </w:tc>
      </w:tr>
      <w:tr w14:paraId="35B1E49E">
        <w:tblPrEx>
          <w:tblCellMar>
            <w:top w:w="0" w:type="dxa"/>
            <w:left w:w="108" w:type="dxa"/>
            <w:bottom w:w="0" w:type="dxa"/>
            <w:right w:w="108" w:type="dxa"/>
          </w:tblCellMar>
        </w:tblPrEx>
        <w:trPr>
          <w:jc w:val="center"/>
        </w:trPr>
        <w:tc>
          <w:tcPr>
            <w:tcW w:w="816" w:type="dxa"/>
            <w:tcBorders>
              <w:top w:val="single" w:color="000000" w:sz="4" w:space="0"/>
              <w:left w:val="single" w:color="000000" w:sz="4" w:space="0"/>
              <w:bottom w:val="single" w:color="000000" w:sz="4" w:space="0"/>
              <w:right w:val="single" w:color="000000" w:sz="4" w:space="0"/>
            </w:tcBorders>
            <w:vAlign w:val="center"/>
          </w:tcPr>
          <w:p w14:paraId="0C724399">
            <w:pPr>
              <w:adjustRightInd w:val="0"/>
              <w:snapToGrid w:val="0"/>
              <w:jc w:val="center"/>
              <w:rPr>
                <w:rFonts w:hint="eastAsia" w:ascii="宋体" w:hAnsi="宋体" w:cs="宋体"/>
                <w:kern w:val="0"/>
                <w:sz w:val="24"/>
                <w:highlight w:val="none"/>
              </w:rPr>
            </w:pPr>
            <w:r>
              <w:rPr>
                <w:rFonts w:hint="eastAsia" w:ascii="宋体" w:hAnsi="宋体" w:cs="宋体"/>
                <w:kern w:val="0"/>
                <w:sz w:val="24"/>
                <w:highlight w:val="none"/>
              </w:rPr>
              <w:t>3</w:t>
            </w:r>
          </w:p>
        </w:tc>
        <w:tc>
          <w:tcPr>
            <w:tcW w:w="5629" w:type="dxa"/>
            <w:tcBorders>
              <w:top w:val="single" w:color="000000" w:sz="4" w:space="0"/>
              <w:left w:val="single" w:color="000000" w:sz="4" w:space="0"/>
              <w:bottom w:val="single" w:color="000000" w:sz="4" w:space="0"/>
              <w:right w:val="single" w:color="000000" w:sz="4" w:space="0"/>
            </w:tcBorders>
            <w:vAlign w:val="center"/>
          </w:tcPr>
          <w:p w14:paraId="1697F297">
            <w:pPr>
              <w:widowControl/>
              <w:rPr>
                <w:rFonts w:hint="eastAsia" w:ascii="宋体" w:hAnsi="宋体"/>
                <w:sz w:val="24"/>
                <w:highlight w:val="none"/>
              </w:rPr>
            </w:pPr>
            <w:r>
              <w:rPr>
                <w:rFonts w:hint="eastAsia" w:ascii="宋体" w:hAnsi="宋体"/>
                <w:sz w:val="24"/>
                <w:highlight w:val="none"/>
              </w:rPr>
              <w:t>售后服务要求：</w:t>
            </w:r>
          </w:p>
          <w:p w14:paraId="22D3FFB7">
            <w:pPr>
              <w:widowControl/>
              <w:rPr>
                <w:rFonts w:hint="eastAsia" w:ascii="宋体" w:hAnsi="宋体" w:cs="宋体"/>
                <w:kern w:val="0"/>
                <w:sz w:val="24"/>
                <w:highlight w:val="none"/>
              </w:rPr>
            </w:pPr>
            <w:r>
              <w:rPr>
                <w:rFonts w:hint="eastAsia" w:ascii="宋体" w:hAnsi="宋体" w:cs="宋体"/>
                <w:kern w:val="0"/>
                <w:sz w:val="24"/>
                <w:highlight w:val="none"/>
              </w:rPr>
              <w:t>★(1）货到采购方指定地点安装调试验收合格之日起，免费质保不低于 1 年。</w:t>
            </w:r>
          </w:p>
          <w:p w14:paraId="575C7B0A">
            <w:pPr>
              <w:widowControl/>
              <w:rPr>
                <w:rFonts w:hint="eastAsia" w:ascii="宋体" w:hAnsi="宋体" w:cs="宋体"/>
                <w:kern w:val="0"/>
                <w:sz w:val="24"/>
                <w:highlight w:val="none"/>
              </w:rPr>
            </w:pPr>
            <w:r>
              <w:rPr>
                <w:rFonts w:hint="eastAsia" w:ascii="宋体" w:hAnsi="宋体" w:cs="宋体"/>
                <w:kern w:val="0"/>
                <w:sz w:val="24"/>
                <w:highlight w:val="none"/>
              </w:rPr>
              <w:t>（2）售后响应时间：质保期内每年提供至少一次上门巡检，供应商 24 小时内对用户的报修申请做出响应。一般性问题应在 48小时内解决；对于在 48 小时内无法解决的其它较大的问题，应在 3 天内</w:t>
            </w:r>
            <w:r>
              <w:rPr>
                <w:rFonts w:hint="eastAsia" w:ascii="宋体" w:hAnsi="宋体" w:cs="宋体"/>
                <w:kern w:val="0"/>
                <w:sz w:val="24"/>
                <w:highlight w:val="none"/>
                <w:lang w:eastAsia="zh-CN"/>
              </w:rPr>
              <w:t>给予</w:t>
            </w:r>
            <w:r>
              <w:rPr>
                <w:rFonts w:hint="eastAsia" w:ascii="宋体" w:hAnsi="宋体" w:cs="宋体"/>
                <w:kern w:val="0"/>
                <w:sz w:val="24"/>
                <w:highlight w:val="none"/>
              </w:rPr>
              <w:t>解决；对于在 3 天内不能解决的问题，应提出明确的解决方案，得到用户的认可后，在预定的期限内解决问题，质保期内设备损坏，如 7 天内没解决，则顺应延长设备质保期。</w:t>
            </w:r>
          </w:p>
        </w:tc>
        <w:tc>
          <w:tcPr>
            <w:tcW w:w="1125" w:type="dxa"/>
            <w:tcBorders>
              <w:top w:val="single" w:color="000000" w:sz="4" w:space="0"/>
              <w:left w:val="single" w:color="000000" w:sz="4" w:space="0"/>
              <w:bottom w:val="single" w:color="000000" w:sz="4" w:space="0"/>
              <w:right w:val="single" w:color="000000" w:sz="4" w:space="0"/>
            </w:tcBorders>
            <w:vAlign w:val="center"/>
          </w:tcPr>
          <w:p w14:paraId="1516A670">
            <w:pPr>
              <w:adjustRightInd w:val="0"/>
              <w:snapToGrid w:val="0"/>
              <w:jc w:val="center"/>
              <w:rPr>
                <w:rFonts w:hint="eastAsia" w:ascii="宋体" w:hAnsi="宋体" w:cs="宋体"/>
                <w:kern w:val="0"/>
                <w:sz w:val="24"/>
                <w:highlight w:val="none"/>
              </w:rPr>
            </w:pPr>
          </w:p>
        </w:tc>
        <w:tc>
          <w:tcPr>
            <w:tcW w:w="1214" w:type="dxa"/>
            <w:tcBorders>
              <w:top w:val="single" w:color="000000" w:sz="4" w:space="0"/>
              <w:left w:val="single" w:color="000000" w:sz="4" w:space="0"/>
              <w:bottom w:val="single" w:color="000000" w:sz="4" w:space="0"/>
              <w:right w:val="single" w:color="000000" w:sz="4" w:space="0"/>
            </w:tcBorders>
            <w:vAlign w:val="center"/>
          </w:tcPr>
          <w:p w14:paraId="20FBD841">
            <w:pPr>
              <w:adjustRightInd w:val="0"/>
              <w:snapToGrid w:val="0"/>
              <w:jc w:val="center"/>
              <w:rPr>
                <w:rFonts w:hint="eastAsia" w:ascii="宋体" w:hAnsi="宋体" w:cs="宋体"/>
                <w:kern w:val="0"/>
                <w:sz w:val="24"/>
                <w:highlight w:val="none"/>
              </w:rPr>
            </w:pPr>
          </w:p>
          <w:p w14:paraId="78A3E69D">
            <w:pPr>
              <w:adjustRightInd w:val="0"/>
              <w:snapToGrid w:val="0"/>
              <w:jc w:val="center"/>
              <w:rPr>
                <w:rFonts w:hint="eastAsia" w:ascii="宋体" w:hAnsi="宋体" w:cs="宋体"/>
                <w:kern w:val="0"/>
                <w:sz w:val="24"/>
                <w:highlight w:val="none"/>
              </w:rPr>
            </w:pPr>
          </w:p>
        </w:tc>
        <w:tc>
          <w:tcPr>
            <w:tcW w:w="1026" w:type="dxa"/>
            <w:tcBorders>
              <w:top w:val="single" w:color="000000" w:sz="4" w:space="0"/>
              <w:left w:val="single" w:color="000000" w:sz="4" w:space="0"/>
              <w:bottom w:val="single" w:color="000000" w:sz="4" w:space="0"/>
              <w:right w:val="single" w:color="000000" w:sz="4" w:space="0"/>
            </w:tcBorders>
            <w:vAlign w:val="center"/>
          </w:tcPr>
          <w:p w14:paraId="42D30D4C">
            <w:pPr>
              <w:adjustRightInd w:val="0"/>
              <w:snapToGrid w:val="0"/>
              <w:jc w:val="center"/>
              <w:rPr>
                <w:rFonts w:hint="eastAsia" w:ascii="宋体" w:hAnsi="宋体" w:cs="宋体"/>
                <w:kern w:val="0"/>
                <w:sz w:val="24"/>
                <w:highlight w:val="none"/>
              </w:rPr>
            </w:pPr>
          </w:p>
        </w:tc>
      </w:tr>
      <w:tr w14:paraId="52FD5F7E">
        <w:tblPrEx>
          <w:tblCellMar>
            <w:top w:w="0" w:type="dxa"/>
            <w:left w:w="108" w:type="dxa"/>
            <w:bottom w:w="0" w:type="dxa"/>
            <w:right w:w="108" w:type="dxa"/>
          </w:tblCellMar>
        </w:tblPrEx>
        <w:trPr>
          <w:jc w:val="center"/>
        </w:trPr>
        <w:tc>
          <w:tcPr>
            <w:tcW w:w="816" w:type="dxa"/>
            <w:tcBorders>
              <w:top w:val="single" w:color="000000" w:sz="4" w:space="0"/>
              <w:left w:val="single" w:color="000000" w:sz="4" w:space="0"/>
              <w:bottom w:val="single" w:color="000000" w:sz="4" w:space="0"/>
              <w:right w:val="single" w:color="000000" w:sz="4" w:space="0"/>
            </w:tcBorders>
            <w:vAlign w:val="center"/>
          </w:tcPr>
          <w:p w14:paraId="049C4A3C">
            <w:pPr>
              <w:adjustRightInd w:val="0"/>
              <w:snapToGrid w:val="0"/>
              <w:jc w:val="center"/>
              <w:rPr>
                <w:rFonts w:hint="eastAsia" w:ascii="宋体" w:hAnsi="宋体" w:cs="宋体"/>
                <w:kern w:val="0"/>
                <w:sz w:val="24"/>
                <w:highlight w:val="none"/>
              </w:rPr>
            </w:pPr>
            <w:r>
              <w:rPr>
                <w:rFonts w:hint="eastAsia" w:ascii="宋体" w:hAnsi="宋体" w:cs="宋体"/>
                <w:kern w:val="0"/>
                <w:sz w:val="24"/>
                <w:highlight w:val="none"/>
              </w:rPr>
              <w:t>4</w:t>
            </w:r>
          </w:p>
        </w:tc>
        <w:tc>
          <w:tcPr>
            <w:tcW w:w="5629" w:type="dxa"/>
            <w:tcBorders>
              <w:top w:val="single" w:color="000000" w:sz="4" w:space="0"/>
              <w:left w:val="single" w:color="000000" w:sz="4" w:space="0"/>
              <w:bottom w:val="single" w:color="000000" w:sz="4" w:space="0"/>
              <w:right w:val="single" w:color="000000" w:sz="4" w:space="0"/>
            </w:tcBorders>
            <w:vAlign w:val="center"/>
          </w:tcPr>
          <w:p w14:paraId="7AD88230">
            <w:pPr>
              <w:widowControl/>
              <w:rPr>
                <w:rFonts w:hint="eastAsia" w:ascii="宋体" w:hAnsi="宋体"/>
                <w:sz w:val="24"/>
                <w:highlight w:val="none"/>
              </w:rPr>
            </w:pPr>
            <w:r>
              <w:rPr>
                <w:rFonts w:hint="eastAsia" w:ascii="宋体" w:hAnsi="宋体"/>
                <w:sz w:val="24"/>
                <w:highlight w:val="none"/>
              </w:rPr>
              <w:t>培训要求：</w:t>
            </w:r>
          </w:p>
          <w:p w14:paraId="75FE3FF5">
            <w:pPr>
              <w:widowControl/>
              <w:rPr>
                <w:rFonts w:hint="eastAsia" w:ascii="宋体" w:hAnsi="宋体"/>
                <w:sz w:val="24"/>
                <w:highlight w:val="none"/>
              </w:rPr>
            </w:pPr>
            <w:r>
              <w:rPr>
                <w:rFonts w:hint="eastAsia" w:ascii="宋体" w:hAnsi="宋体"/>
                <w:sz w:val="24"/>
                <w:highlight w:val="none"/>
              </w:rPr>
              <w:t>（1）仪器日常使用安全及注意事项培训：供应商承诺仪器安装完毕后指派专业服务工程师对操作人员进行为期 1天的仪器的使用日常维护、安全知识及注意事项培训，以保障操作人员的安全和设备安全。</w:t>
            </w:r>
          </w:p>
          <w:p w14:paraId="5F0933C2">
            <w:pPr>
              <w:widowControl/>
              <w:rPr>
                <w:rFonts w:hint="eastAsia" w:ascii="宋体" w:hAnsi="宋体"/>
                <w:sz w:val="24"/>
                <w:highlight w:val="none"/>
              </w:rPr>
            </w:pPr>
            <w:r>
              <w:rPr>
                <w:rFonts w:hint="eastAsia" w:ascii="宋体" w:hAnsi="宋体"/>
                <w:sz w:val="24"/>
                <w:highlight w:val="none"/>
              </w:rPr>
              <w:t>（2）仪器使用操作基础应用培训：供应商承诺仪器安装完毕、日常使用安全及注意事项培训结束后，指派专业应用工程师在采购人现场对用户操作人员进行设备操作培训，培训时间不少于 1天，并保证用户至少 2 人完全掌握设备的操作。</w:t>
            </w:r>
          </w:p>
          <w:p w14:paraId="05AFC9C6">
            <w:pPr>
              <w:widowControl/>
              <w:rPr>
                <w:rFonts w:hint="eastAsia" w:ascii="宋体" w:hAnsi="宋体"/>
                <w:sz w:val="24"/>
                <w:highlight w:val="none"/>
              </w:rPr>
            </w:pPr>
            <w:r>
              <w:rPr>
                <w:rFonts w:hint="eastAsia" w:ascii="宋体" w:hAnsi="宋体"/>
                <w:sz w:val="24"/>
                <w:highlight w:val="none"/>
              </w:rPr>
              <w:t>（3）培训内容包括：仪器的技术原理、操作、数据分析等。</w:t>
            </w:r>
          </w:p>
        </w:tc>
        <w:tc>
          <w:tcPr>
            <w:tcW w:w="1125" w:type="dxa"/>
            <w:tcBorders>
              <w:top w:val="single" w:color="000000" w:sz="4" w:space="0"/>
              <w:left w:val="single" w:color="000000" w:sz="4" w:space="0"/>
              <w:bottom w:val="single" w:color="000000" w:sz="4" w:space="0"/>
              <w:right w:val="single" w:color="000000" w:sz="4" w:space="0"/>
            </w:tcBorders>
            <w:vAlign w:val="center"/>
          </w:tcPr>
          <w:p w14:paraId="1F72B880">
            <w:pPr>
              <w:adjustRightInd w:val="0"/>
              <w:snapToGrid w:val="0"/>
              <w:jc w:val="center"/>
              <w:rPr>
                <w:rFonts w:hint="eastAsia" w:ascii="宋体" w:hAnsi="宋体" w:cs="宋体"/>
                <w:kern w:val="0"/>
                <w:sz w:val="24"/>
                <w:highlight w:val="none"/>
              </w:rPr>
            </w:pPr>
          </w:p>
        </w:tc>
        <w:tc>
          <w:tcPr>
            <w:tcW w:w="1214" w:type="dxa"/>
            <w:tcBorders>
              <w:top w:val="single" w:color="000000" w:sz="4" w:space="0"/>
              <w:left w:val="single" w:color="000000" w:sz="4" w:space="0"/>
              <w:bottom w:val="single" w:color="000000" w:sz="4" w:space="0"/>
              <w:right w:val="single" w:color="000000" w:sz="4" w:space="0"/>
            </w:tcBorders>
            <w:vAlign w:val="center"/>
          </w:tcPr>
          <w:p w14:paraId="0F1CBE8D">
            <w:pPr>
              <w:adjustRightInd w:val="0"/>
              <w:snapToGrid w:val="0"/>
              <w:jc w:val="center"/>
              <w:rPr>
                <w:rFonts w:hint="eastAsia" w:ascii="宋体" w:hAnsi="宋体" w:cs="宋体"/>
                <w:kern w:val="0"/>
                <w:sz w:val="24"/>
                <w:highlight w:val="none"/>
              </w:rPr>
            </w:pPr>
          </w:p>
        </w:tc>
        <w:tc>
          <w:tcPr>
            <w:tcW w:w="1026" w:type="dxa"/>
            <w:tcBorders>
              <w:top w:val="single" w:color="000000" w:sz="4" w:space="0"/>
              <w:left w:val="single" w:color="000000" w:sz="4" w:space="0"/>
              <w:bottom w:val="single" w:color="000000" w:sz="4" w:space="0"/>
              <w:right w:val="single" w:color="000000" w:sz="4" w:space="0"/>
            </w:tcBorders>
            <w:vAlign w:val="center"/>
          </w:tcPr>
          <w:p w14:paraId="5CC6D59A">
            <w:pPr>
              <w:adjustRightInd w:val="0"/>
              <w:snapToGrid w:val="0"/>
              <w:jc w:val="center"/>
              <w:rPr>
                <w:rFonts w:hint="eastAsia" w:ascii="宋体" w:hAnsi="宋体" w:cs="宋体"/>
                <w:kern w:val="0"/>
                <w:sz w:val="24"/>
                <w:highlight w:val="none"/>
              </w:rPr>
            </w:pPr>
          </w:p>
        </w:tc>
      </w:tr>
      <w:tr w14:paraId="116F42D7">
        <w:tblPrEx>
          <w:tblCellMar>
            <w:top w:w="0" w:type="dxa"/>
            <w:left w:w="108" w:type="dxa"/>
            <w:bottom w:w="0" w:type="dxa"/>
            <w:right w:w="108" w:type="dxa"/>
          </w:tblCellMar>
        </w:tblPrEx>
        <w:trPr>
          <w:jc w:val="center"/>
        </w:trPr>
        <w:tc>
          <w:tcPr>
            <w:tcW w:w="816" w:type="dxa"/>
            <w:tcBorders>
              <w:top w:val="single" w:color="000000" w:sz="4" w:space="0"/>
              <w:left w:val="single" w:color="000000" w:sz="4" w:space="0"/>
              <w:bottom w:val="single" w:color="000000" w:sz="4" w:space="0"/>
              <w:right w:val="single" w:color="000000" w:sz="4" w:space="0"/>
            </w:tcBorders>
            <w:vAlign w:val="center"/>
          </w:tcPr>
          <w:p w14:paraId="5D4549DA">
            <w:pPr>
              <w:adjustRightInd w:val="0"/>
              <w:snapToGrid w:val="0"/>
              <w:jc w:val="center"/>
              <w:rPr>
                <w:rFonts w:hint="eastAsia" w:ascii="宋体" w:hAnsi="宋体" w:cs="宋体"/>
                <w:kern w:val="0"/>
                <w:sz w:val="24"/>
                <w:highlight w:val="none"/>
              </w:rPr>
            </w:pPr>
            <w:r>
              <w:rPr>
                <w:rFonts w:hint="eastAsia" w:ascii="宋体" w:hAnsi="宋体" w:cs="宋体"/>
                <w:kern w:val="0"/>
                <w:sz w:val="24"/>
                <w:highlight w:val="none"/>
              </w:rPr>
              <w:t>5</w:t>
            </w:r>
          </w:p>
        </w:tc>
        <w:tc>
          <w:tcPr>
            <w:tcW w:w="5629" w:type="dxa"/>
            <w:tcBorders>
              <w:top w:val="single" w:color="000000" w:sz="4" w:space="0"/>
              <w:left w:val="single" w:color="000000" w:sz="4" w:space="0"/>
              <w:bottom w:val="single" w:color="000000" w:sz="4" w:space="0"/>
              <w:right w:val="single" w:color="000000" w:sz="4" w:space="0"/>
            </w:tcBorders>
            <w:vAlign w:val="center"/>
          </w:tcPr>
          <w:p w14:paraId="462F0B4F">
            <w:pPr>
              <w:widowControl/>
              <w:rPr>
                <w:rFonts w:hint="eastAsia" w:ascii="宋体" w:hAnsi="宋体"/>
                <w:sz w:val="24"/>
                <w:highlight w:val="none"/>
              </w:rPr>
            </w:pPr>
            <w:r>
              <w:rPr>
                <w:rFonts w:hint="eastAsia" w:ascii="宋体" w:hAnsi="宋体"/>
                <w:sz w:val="24"/>
                <w:highlight w:val="none"/>
              </w:rPr>
              <w:t>供货安装和包装运输:</w:t>
            </w:r>
          </w:p>
          <w:p w14:paraId="6C4D407A">
            <w:pPr>
              <w:widowControl/>
              <w:rPr>
                <w:rFonts w:hint="eastAsia" w:ascii="宋体" w:hAnsi="宋体"/>
                <w:sz w:val="24"/>
                <w:highlight w:val="none"/>
              </w:rPr>
            </w:pPr>
            <w:r>
              <w:rPr>
                <w:rFonts w:hint="eastAsia" w:ascii="宋体" w:hAnsi="宋体"/>
                <w:sz w:val="24"/>
                <w:highlight w:val="none"/>
              </w:rPr>
              <w:t>（1）设备材料的包装须是制造商原厂包装，其包装均应有良好的防湿、防锈、防潮、防雨、防腐及防碰撞的措施。凡由于包装不良造成的损失和由此产生的费用均由投标人承担。</w:t>
            </w:r>
          </w:p>
          <w:p w14:paraId="413C7EBF">
            <w:pPr>
              <w:widowControl/>
              <w:rPr>
                <w:rFonts w:hint="eastAsia" w:ascii="宋体" w:hAnsi="宋体"/>
                <w:sz w:val="24"/>
                <w:highlight w:val="none"/>
              </w:rPr>
            </w:pPr>
            <w:r>
              <w:rPr>
                <w:rFonts w:hint="eastAsia" w:ascii="宋体" w:hAnsi="宋体"/>
                <w:sz w:val="24"/>
                <w:highlight w:val="none"/>
              </w:rPr>
              <w:t>（2）中标人负责将设备材料货到现场过程中的全部运输，包括装卸车、货物现场的搬运。货物在现场的保管由中标人负责，直至项目安装、验收完毕。</w:t>
            </w:r>
          </w:p>
          <w:p w14:paraId="06E1F4F8">
            <w:pPr>
              <w:widowControl/>
              <w:rPr>
                <w:rFonts w:hint="eastAsia" w:ascii="宋体" w:hAnsi="宋体"/>
                <w:sz w:val="24"/>
                <w:highlight w:val="none"/>
              </w:rPr>
            </w:pPr>
            <w:r>
              <w:rPr>
                <w:rFonts w:hint="eastAsia" w:ascii="宋体" w:hAnsi="宋体"/>
                <w:sz w:val="24"/>
                <w:highlight w:val="none"/>
              </w:rPr>
              <w:t>（3）所供设备和材料中标人必须免费送货上门和免费负责安装调试。中标人必须依照招标文件的要求和投标文件的承诺，将设备、系统安装并调试至正常运行的最佳状态。</w:t>
            </w:r>
          </w:p>
        </w:tc>
        <w:tc>
          <w:tcPr>
            <w:tcW w:w="1125" w:type="dxa"/>
            <w:tcBorders>
              <w:top w:val="single" w:color="000000" w:sz="4" w:space="0"/>
              <w:left w:val="single" w:color="000000" w:sz="4" w:space="0"/>
              <w:bottom w:val="single" w:color="000000" w:sz="4" w:space="0"/>
              <w:right w:val="single" w:color="000000" w:sz="4" w:space="0"/>
            </w:tcBorders>
            <w:vAlign w:val="center"/>
          </w:tcPr>
          <w:p w14:paraId="68136C51">
            <w:pPr>
              <w:adjustRightInd w:val="0"/>
              <w:snapToGrid w:val="0"/>
              <w:jc w:val="center"/>
              <w:rPr>
                <w:rFonts w:hint="eastAsia" w:ascii="宋体" w:hAnsi="宋体" w:cs="宋体"/>
                <w:kern w:val="0"/>
                <w:sz w:val="24"/>
                <w:highlight w:val="none"/>
              </w:rPr>
            </w:pPr>
          </w:p>
        </w:tc>
        <w:tc>
          <w:tcPr>
            <w:tcW w:w="1214" w:type="dxa"/>
            <w:tcBorders>
              <w:top w:val="single" w:color="000000" w:sz="4" w:space="0"/>
              <w:left w:val="single" w:color="000000" w:sz="4" w:space="0"/>
              <w:bottom w:val="single" w:color="000000" w:sz="4" w:space="0"/>
              <w:right w:val="single" w:color="000000" w:sz="4" w:space="0"/>
            </w:tcBorders>
            <w:vAlign w:val="center"/>
          </w:tcPr>
          <w:p w14:paraId="4C2F4CBF">
            <w:pPr>
              <w:adjustRightInd w:val="0"/>
              <w:snapToGrid w:val="0"/>
              <w:jc w:val="center"/>
              <w:rPr>
                <w:rFonts w:hint="eastAsia" w:ascii="宋体" w:hAnsi="宋体" w:cs="宋体"/>
                <w:kern w:val="0"/>
                <w:sz w:val="24"/>
                <w:highlight w:val="none"/>
              </w:rPr>
            </w:pPr>
          </w:p>
        </w:tc>
        <w:tc>
          <w:tcPr>
            <w:tcW w:w="1026" w:type="dxa"/>
            <w:tcBorders>
              <w:top w:val="single" w:color="000000" w:sz="4" w:space="0"/>
              <w:left w:val="single" w:color="000000" w:sz="4" w:space="0"/>
              <w:bottom w:val="single" w:color="000000" w:sz="4" w:space="0"/>
              <w:right w:val="single" w:color="000000" w:sz="4" w:space="0"/>
            </w:tcBorders>
            <w:vAlign w:val="center"/>
          </w:tcPr>
          <w:p w14:paraId="4DA015C0">
            <w:pPr>
              <w:adjustRightInd w:val="0"/>
              <w:snapToGrid w:val="0"/>
              <w:jc w:val="center"/>
              <w:rPr>
                <w:rFonts w:hint="eastAsia" w:ascii="宋体" w:hAnsi="宋体" w:cs="宋体"/>
                <w:kern w:val="0"/>
                <w:sz w:val="24"/>
                <w:highlight w:val="none"/>
              </w:rPr>
            </w:pPr>
          </w:p>
        </w:tc>
      </w:tr>
      <w:tr w14:paraId="12906620">
        <w:tblPrEx>
          <w:tblCellMar>
            <w:top w:w="0" w:type="dxa"/>
            <w:left w:w="108" w:type="dxa"/>
            <w:bottom w:w="0" w:type="dxa"/>
            <w:right w:w="108" w:type="dxa"/>
          </w:tblCellMar>
        </w:tblPrEx>
        <w:trPr>
          <w:jc w:val="center"/>
        </w:trPr>
        <w:tc>
          <w:tcPr>
            <w:tcW w:w="816" w:type="dxa"/>
            <w:tcBorders>
              <w:top w:val="single" w:color="000000" w:sz="4" w:space="0"/>
              <w:left w:val="single" w:color="000000" w:sz="4" w:space="0"/>
              <w:bottom w:val="single" w:color="000000" w:sz="4" w:space="0"/>
              <w:right w:val="single" w:color="000000" w:sz="4" w:space="0"/>
            </w:tcBorders>
            <w:vAlign w:val="center"/>
          </w:tcPr>
          <w:p w14:paraId="7463EEA5">
            <w:pPr>
              <w:adjustRightInd w:val="0"/>
              <w:snapToGrid w:val="0"/>
              <w:jc w:val="center"/>
              <w:rPr>
                <w:rFonts w:hint="eastAsia" w:ascii="宋体" w:hAnsi="宋体" w:cs="宋体"/>
                <w:kern w:val="0"/>
                <w:sz w:val="24"/>
                <w:highlight w:val="none"/>
              </w:rPr>
            </w:pPr>
            <w:r>
              <w:rPr>
                <w:rFonts w:hint="eastAsia" w:ascii="宋体" w:hAnsi="宋体" w:cs="宋体"/>
                <w:kern w:val="0"/>
                <w:sz w:val="24"/>
                <w:highlight w:val="none"/>
              </w:rPr>
              <w:t>6</w:t>
            </w:r>
          </w:p>
        </w:tc>
        <w:tc>
          <w:tcPr>
            <w:tcW w:w="5629" w:type="dxa"/>
            <w:tcBorders>
              <w:top w:val="single" w:color="000000" w:sz="4" w:space="0"/>
              <w:left w:val="single" w:color="000000" w:sz="4" w:space="0"/>
              <w:bottom w:val="single" w:color="000000" w:sz="4" w:space="0"/>
              <w:right w:val="single" w:color="000000" w:sz="4" w:space="0"/>
            </w:tcBorders>
            <w:vAlign w:val="center"/>
          </w:tcPr>
          <w:p w14:paraId="38C72727">
            <w:pPr>
              <w:widowControl/>
              <w:rPr>
                <w:rFonts w:hint="eastAsia" w:ascii="宋体" w:hAnsi="宋体"/>
                <w:sz w:val="24"/>
                <w:highlight w:val="none"/>
              </w:rPr>
            </w:pPr>
            <w:r>
              <w:rPr>
                <w:rFonts w:hint="eastAsia" w:ascii="宋体" w:hAnsi="宋体"/>
                <w:sz w:val="24"/>
                <w:highlight w:val="none"/>
              </w:rPr>
              <w:t>验收</w:t>
            </w:r>
          </w:p>
          <w:p w14:paraId="4B35DCB5">
            <w:pPr>
              <w:ind w:right="42" w:rightChars="20"/>
              <w:rPr>
                <w:rFonts w:hint="eastAsia" w:ascii="宋体" w:hAnsi="宋体"/>
                <w:sz w:val="24"/>
                <w:highlight w:val="none"/>
              </w:rPr>
            </w:pPr>
            <w:r>
              <w:rPr>
                <w:rFonts w:hint="eastAsia" w:ascii="宋体" w:hAnsi="宋体"/>
                <w:sz w:val="24"/>
                <w:highlight w:val="none"/>
              </w:rPr>
              <w:t>（1）验收标准：检验试验根据招标文件项目需求及国家有关机构发布的最新版本的标准要求进行验收。</w:t>
            </w:r>
          </w:p>
          <w:p w14:paraId="6C60E7EA">
            <w:pPr>
              <w:ind w:right="42" w:rightChars="20"/>
              <w:rPr>
                <w:rFonts w:hint="eastAsia" w:ascii="宋体" w:hAnsi="宋体"/>
                <w:sz w:val="24"/>
                <w:highlight w:val="none"/>
              </w:rPr>
            </w:pPr>
            <w:r>
              <w:rPr>
                <w:rFonts w:hint="eastAsia" w:ascii="宋体" w:hAnsi="宋体"/>
                <w:sz w:val="24"/>
                <w:highlight w:val="none"/>
              </w:rPr>
              <w:t>（2）组织验收主体：本项目的履约验收工作由采购人依法组织实施。</w:t>
            </w:r>
          </w:p>
        </w:tc>
        <w:tc>
          <w:tcPr>
            <w:tcW w:w="1125" w:type="dxa"/>
            <w:tcBorders>
              <w:top w:val="single" w:color="000000" w:sz="4" w:space="0"/>
              <w:left w:val="single" w:color="000000" w:sz="4" w:space="0"/>
              <w:bottom w:val="single" w:color="000000" w:sz="4" w:space="0"/>
              <w:right w:val="single" w:color="000000" w:sz="4" w:space="0"/>
            </w:tcBorders>
            <w:vAlign w:val="center"/>
          </w:tcPr>
          <w:p w14:paraId="5CADE5E1">
            <w:pPr>
              <w:adjustRightInd w:val="0"/>
              <w:snapToGrid w:val="0"/>
              <w:jc w:val="center"/>
              <w:rPr>
                <w:rFonts w:hint="eastAsia" w:ascii="宋体" w:hAnsi="宋体" w:cs="宋体"/>
                <w:kern w:val="0"/>
                <w:sz w:val="24"/>
                <w:highlight w:val="none"/>
              </w:rPr>
            </w:pPr>
          </w:p>
        </w:tc>
        <w:tc>
          <w:tcPr>
            <w:tcW w:w="1214" w:type="dxa"/>
            <w:tcBorders>
              <w:top w:val="single" w:color="000000" w:sz="4" w:space="0"/>
              <w:left w:val="single" w:color="000000" w:sz="4" w:space="0"/>
              <w:bottom w:val="single" w:color="000000" w:sz="4" w:space="0"/>
              <w:right w:val="single" w:color="000000" w:sz="4" w:space="0"/>
            </w:tcBorders>
            <w:vAlign w:val="center"/>
          </w:tcPr>
          <w:p w14:paraId="1658DBE8">
            <w:pPr>
              <w:adjustRightInd w:val="0"/>
              <w:snapToGrid w:val="0"/>
              <w:jc w:val="center"/>
              <w:rPr>
                <w:rFonts w:hint="eastAsia" w:ascii="宋体" w:hAnsi="宋体" w:cs="宋体"/>
                <w:kern w:val="0"/>
                <w:sz w:val="24"/>
                <w:highlight w:val="none"/>
              </w:rPr>
            </w:pPr>
          </w:p>
        </w:tc>
        <w:tc>
          <w:tcPr>
            <w:tcW w:w="1026" w:type="dxa"/>
            <w:tcBorders>
              <w:top w:val="single" w:color="000000" w:sz="4" w:space="0"/>
              <w:left w:val="single" w:color="000000" w:sz="4" w:space="0"/>
              <w:bottom w:val="single" w:color="000000" w:sz="4" w:space="0"/>
              <w:right w:val="single" w:color="000000" w:sz="4" w:space="0"/>
            </w:tcBorders>
            <w:vAlign w:val="center"/>
          </w:tcPr>
          <w:p w14:paraId="69F90DB9">
            <w:pPr>
              <w:adjustRightInd w:val="0"/>
              <w:snapToGrid w:val="0"/>
              <w:jc w:val="center"/>
              <w:rPr>
                <w:rFonts w:hint="eastAsia" w:ascii="宋体" w:hAnsi="宋体" w:cs="宋体"/>
                <w:kern w:val="0"/>
                <w:sz w:val="24"/>
                <w:highlight w:val="none"/>
              </w:rPr>
            </w:pPr>
          </w:p>
        </w:tc>
      </w:tr>
      <w:tr w14:paraId="1C256B2C">
        <w:tblPrEx>
          <w:tblCellMar>
            <w:top w:w="0" w:type="dxa"/>
            <w:left w:w="108" w:type="dxa"/>
            <w:bottom w:w="0" w:type="dxa"/>
            <w:right w:w="108" w:type="dxa"/>
          </w:tblCellMar>
        </w:tblPrEx>
        <w:trPr>
          <w:jc w:val="center"/>
        </w:trPr>
        <w:tc>
          <w:tcPr>
            <w:tcW w:w="816" w:type="dxa"/>
            <w:tcBorders>
              <w:top w:val="single" w:color="000000" w:sz="4" w:space="0"/>
              <w:left w:val="single" w:color="000000" w:sz="4" w:space="0"/>
              <w:bottom w:val="single" w:color="000000" w:sz="4" w:space="0"/>
              <w:right w:val="single" w:color="000000" w:sz="4" w:space="0"/>
            </w:tcBorders>
            <w:vAlign w:val="center"/>
          </w:tcPr>
          <w:p w14:paraId="48AA8D07">
            <w:pPr>
              <w:adjustRightInd w:val="0"/>
              <w:snapToGrid w:val="0"/>
              <w:jc w:val="center"/>
              <w:rPr>
                <w:rFonts w:hint="eastAsia" w:ascii="宋体" w:hAnsi="宋体" w:cs="宋体"/>
                <w:kern w:val="0"/>
                <w:sz w:val="24"/>
                <w:highlight w:val="none"/>
              </w:rPr>
            </w:pPr>
            <w:r>
              <w:rPr>
                <w:rFonts w:hint="eastAsia" w:ascii="宋体" w:hAnsi="宋体" w:cs="宋体"/>
                <w:kern w:val="0"/>
                <w:sz w:val="24"/>
                <w:highlight w:val="none"/>
              </w:rPr>
              <w:t>7</w:t>
            </w:r>
          </w:p>
        </w:tc>
        <w:tc>
          <w:tcPr>
            <w:tcW w:w="5629" w:type="dxa"/>
            <w:tcBorders>
              <w:top w:val="single" w:color="000000" w:sz="4" w:space="0"/>
              <w:left w:val="single" w:color="000000" w:sz="4" w:space="0"/>
              <w:bottom w:val="single" w:color="000000" w:sz="4" w:space="0"/>
              <w:right w:val="single" w:color="000000" w:sz="4" w:space="0"/>
            </w:tcBorders>
            <w:vAlign w:val="center"/>
          </w:tcPr>
          <w:p w14:paraId="51F1103F">
            <w:pPr>
              <w:adjustRightInd w:val="0"/>
              <w:snapToGrid w:val="0"/>
              <w:rPr>
                <w:rFonts w:hint="eastAsia" w:ascii="宋体" w:hAnsi="宋体" w:cs="宋体"/>
                <w:kern w:val="0"/>
                <w:sz w:val="24"/>
                <w:highlight w:val="none"/>
              </w:rPr>
            </w:pPr>
            <w:r>
              <w:rPr>
                <w:rFonts w:hint="eastAsia" w:ascii="宋体" w:hAnsi="宋体" w:cs="宋体"/>
                <w:kern w:val="0"/>
                <w:sz w:val="24"/>
                <w:highlight w:val="none"/>
              </w:rPr>
              <w:t>本招标文件中要求的不限于上述的证明文件。</w:t>
            </w:r>
          </w:p>
        </w:tc>
        <w:tc>
          <w:tcPr>
            <w:tcW w:w="1125" w:type="dxa"/>
            <w:tcBorders>
              <w:top w:val="single" w:color="000000" w:sz="4" w:space="0"/>
              <w:left w:val="single" w:color="000000" w:sz="4" w:space="0"/>
              <w:bottom w:val="single" w:color="000000" w:sz="4" w:space="0"/>
              <w:right w:val="single" w:color="000000" w:sz="4" w:space="0"/>
            </w:tcBorders>
            <w:vAlign w:val="center"/>
          </w:tcPr>
          <w:p w14:paraId="28091E66">
            <w:pPr>
              <w:adjustRightInd w:val="0"/>
              <w:snapToGrid w:val="0"/>
              <w:jc w:val="left"/>
              <w:rPr>
                <w:rFonts w:hint="eastAsia" w:ascii="宋体" w:hAnsi="宋体" w:cs="宋体"/>
                <w:kern w:val="0"/>
                <w:sz w:val="24"/>
                <w:highlight w:val="none"/>
              </w:rPr>
            </w:pPr>
          </w:p>
        </w:tc>
        <w:tc>
          <w:tcPr>
            <w:tcW w:w="1214" w:type="dxa"/>
            <w:tcBorders>
              <w:top w:val="single" w:color="000000" w:sz="4" w:space="0"/>
              <w:left w:val="single" w:color="000000" w:sz="4" w:space="0"/>
              <w:bottom w:val="single" w:color="000000" w:sz="4" w:space="0"/>
              <w:right w:val="single" w:color="000000" w:sz="4" w:space="0"/>
            </w:tcBorders>
            <w:vAlign w:val="center"/>
          </w:tcPr>
          <w:p w14:paraId="00DFFCE9">
            <w:pPr>
              <w:adjustRightInd w:val="0"/>
              <w:snapToGrid w:val="0"/>
              <w:jc w:val="left"/>
              <w:rPr>
                <w:rFonts w:hint="eastAsia" w:ascii="宋体" w:hAnsi="宋体" w:cs="宋体"/>
                <w:kern w:val="0"/>
                <w:sz w:val="24"/>
                <w:highlight w:val="none"/>
              </w:rPr>
            </w:pPr>
          </w:p>
        </w:tc>
        <w:tc>
          <w:tcPr>
            <w:tcW w:w="1026" w:type="dxa"/>
            <w:tcBorders>
              <w:top w:val="single" w:color="000000" w:sz="4" w:space="0"/>
              <w:left w:val="single" w:color="000000" w:sz="4" w:space="0"/>
              <w:bottom w:val="single" w:color="000000" w:sz="4" w:space="0"/>
              <w:right w:val="single" w:color="000000" w:sz="4" w:space="0"/>
            </w:tcBorders>
            <w:vAlign w:val="center"/>
          </w:tcPr>
          <w:p w14:paraId="2BF61F8F">
            <w:pPr>
              <w:adjustRightInd w:val="0"/>
              <w:snapToGrid w:val="0"/>
              <w:jc w:val="left"/>
              <w:rPr>
                <w:rFonts w:hint="eastAsia" w:ascii="宋体" w:hAnsi="宋体" w:cs="宋体"/>
                <w:kern w:val="0"/>
                <w:sz w:val="24"/>
                <w:highlight w:val="none"/>
              </w:rPr>
            </w:pPr>
          </w:p>
        </w:tc>
      </w:tr>
    </w:tbl>
    <w:p w14:paraId="628D3B21">
      <w:pPr>
        <w:snapToGrid w:val="0"/>
        <w:spacing w:line="360" w:lineRule="exact"/>
        <w:ind w:firstLine="482"/>
        <w:rPr>
          <w:rFonts w:hint="eastAsia" w:ascii="宋体" w:hAnsi="宋体" w:cs="宋体"/>
          <w:b/>
          <w:kern w:val="0"/>
          <w:sz w:val="24"/>
          <w:highlight w:val="none"/>
        </w:rPr>
      </w:pPr>
      <w:r>
        <w:rPr>
          <w:rFonts w:hint="eastAsia" w:ascii="宋体" w:hAnsi="宋体" w:cs="宋体"/>
          <w:b/>
          <w:kern w:val="0"/>
          <w:sz w:val="24"/>
          <w:highlight w:val="none"/>
        </w:rPr>
        <w:t>注：商务偏离表须包含以下内容:</w:t>
      </w:r>
    </w:p>
    <w:p w14:paraId="5F2255C3">
      <w:pPr>
        <w:snapToGrid w:val="0"/>
        <w:spacing w:line="360" w:lineRule="exact"/>
        <w:ind w:firstLine="482"/>
        <w:rPr>
          <w:rFonts w:hint="eastAsia" w:ascii="宋体" w:hAnsi="宋体" w:cs="宋体"/>
          <w:b/>
          <w:kern w:val="0"/>
          <w:sz w:val="24"/>
          <w:highlight w:val="none"/>
        </w:rPr>
      </w:pPr>
      <w:r>
        <w:rPr>
          <w:rFonts w:hint="eastAsia" w:ascii="宋体" w:hAnsi="宋体" w:cs="宋体"/>
          <w:b/>
          <w:kern w:val="0"/>
          <w:sz w:val="24"/>
          <w:highlight w:val="none"/>
        </w:rPr>
        <w:t>（1）投标人须对商务条件进行偏离情况说明，如“★”号项商务条款未做响应或响应为负偏离，则按无效投标文件处理；</w:t>
      </w:r>
    </w:p>
    <w:p w14:paraId="43410A3B">
      <w:pPr>
        <w:snapToGrid w:val="0"/>
        <w:spacing w:line="360" w:lineRule="exact"/>
        <w:ind w:firstLine="482"/>
        <w:rPr>
          <w:rFonts w:hint="eastAsia" w:ascii="宋体" w:hAnsi="宋体" w:cs="宋体"/>
          <w:b/>
          <w:kern w:val="0"/>
          <w:sz w:val="24"/>
          <w:highlight w:val="none"/>
        </w:rPr>
      </w:pPr>
      <w:r>
        <w:rPr>
          <w:rFonts w:hint="eastAsia" w:ascii="宋体" w:hAnsi="宋体" w:cs="宋体"/>
          <w:b/>
          <w:kern w:val="0"/>
          <w:sz w:val="24"/>
          <w:highlight w:val="none"/>
        </w:rPr>
        <w:t>（2）投标人认为需要的其他内容。</w:t>
      </w:r>
    </w:p>
    <w:p w14:paraId="313264F5">
      <w:pPr>
        <w:snapToGrid w:val="0"/>
        <w:spacing w:line="360" w:lineRule="exact"/>
        <w:ind w:firstLine="480"/>
        <w:rPr>
          <w:rFonts w:hint="eastAsia" w:ascii="宋体" w:hAnsi="宋体" w:cs="宋体"/>
          <w:kern w:val="0"/>
          <w:sz w:val="24"/>
          <w:highlight w:val="none"/>
          <w:u w:val="single"/>
        </w:rPr>
      </w:pPr>
      <w:r>
        <w:rPr>
          <w:rFonts w:hint="eastAsia" w:ascii="宋体" w:hAnsi="宋体" w:cs="宋体"/>
          <w:kern w:val="0"/>
          <w:sz w:val="24"/>
          <w:highlight w:val="none"/>
        </w:rPr>
        <w:t>投标人： (盖章)</w:t>
      </w:r>
    </w:p>
    <w:p w14:paraId="7557D794">
      <w:pPr>
        <w:snapToGrid w:val="0"/>
        <w:spacing w:line="360" w:lineRule="exact"/>
        <w:ind w:firstLine="480"/>
        <w:rPr>
          <w:rFonts w:hint="eastAsia" w:ascii="宋体" w:hAnsi="宋体" w:cs="宋体"/>
          <w:kern w:val="0"/>
          <w:sz w:val="24"/>
          <w:highlight w:val="none"/>
        </w:rPr>
      </w:pPr>
      <w:r>
        <w:rPr>
          <w:rFonts w:hint="eastAsia" w:ascii="宋体" w:hAnsi="宋体" w:cs="宋体"/>
          <w:kern w:val="0"/>
          <w:sz w:val="24"/>
          <w:highlight w:val="none"/>
        </w:rPr>
        <w:t>法定代表人或其委托代理人： (签字或盖章)</w:t>
      </w:r>
    </w:p>
    <w:p w14:paraId="45F63B08">
      <w:pPr>
        <w:snapToGrid w:val="0"/>
        <w:spacing w:line="360" w:lineRule="exact"/>
        <w:ind w:firstLine="480"/>
        <w:rPr>
          <w:rFonts w:hint="eastAsia" w:ascii="宋体" w:hAnsi="宋体" w:cs="宋体"/>
          <w:kern w:val="0"/>
          <w:sz w:val="24"/>
          <w:highlight w:val="none"/>
        </w:rPr>
      </w:pPr>
      <w:r>
        <w:rPr>
          <w:rFonts w:hint="eastAsia" w:ascii="宋体" w:hAnsi="宋体" w:cs="宋体"/>
          <w:kern w:val="0"/>
          <w:sz w:val="24"/>
          <w:highlight w:val="none"/>
        </w:rPr>
        <w:t>日期：   年  月  日</w:t>
      </w:r>
    </w:p>
    <w:p w14:paraId="12437BE6">
      <w:pPr>
        <w:pStyle w:val="98"/>
        <w:rPr>
          <w:highlight w:val="none"/>
        </w:rPr>
      </w:pPr>
      <w:r>
        <w:rPr>
          <w:highlight w:val="none"/>
        </w:rPr>
        <w:br w:type="page"/>
      </w:r>
    </w:p>
    <w:p w14:paraId="41F4DFCD">
      <w:pPr>
        <w:pStyle w:val="45"/>
        <w:snapToGrid w:val="0"/>
        <w:spacing w:line="360" w:lineRule="auto"/>
        <w:jc w:val="center"/>
        <w:outlineLvl w:val="1"/>
        <w:rPr>
          <w:rFonts w:hint="eastAsia" w:hAnsi="宋体" w:cs="宋体"/>
          <w:b/>
          <w:kern w:val="0"/>
          <w:sz w:val="36"/>
          <w:szCs w:val="24"/>
          <w:highlight w:val="none"/>
        </w:rPr>
      </w:pPr>
      <w:bookmarkStart w:id="185" w:name="_Toc10283"/>
      <w:r>
        <w:rPr>
          <w:rFonts w:hint="eastAsia" w:hAnsi="宋体" w:cs="宋体"/>
          <w:b/>
          <w:kern w:val="0"/>
          <w:sz w:val="36"/>
          <w:szCs w:val="24"/>
          <w:highlight w:val="none"/>
        </w:rPr>
        <w:t>五、投标人关于资格的声明函</w:t>
      </w:r>
      <w:bookmarkEnd w:id="179"/>
      <w:bookmarkEnd w:id="180"/>
      <w:bookmarkEnd w:id="185"/>
    </w:p>
    <w:p w14:paraId="6A3A8C9E">
      <w:pPr>
        <w:pStyle w:val="45"/>
        <w:snapToGrid w:val="0"/>
        <w:spacing w:line="360" w:lineRule="auto"/>
        <w:ind w:firstLine="480"/>
        <w:rPr>
          <w:rFonts w:hint="eastAsia" w:hAnsi="宋体" w:cs="宋体"/>
          <w:kern w:val="0"/>
          <w:sz w:val="24"/>
          <w:szCs w:val="24"/>
          <w:highlight w:val="none"/>
        </w:rPr>
      </w:pPr>
    </w:p>
    <w:p w14:paraId="63317EBC">
      <w:pPr>
        <w:pStyle w:val="45"/>
        <w:snapToGrid w:val="0"/>
        <w:spacing w:line="360" w:lineRule="auto"/>
        <w:ind w:firstLine="480"/>
        <w:rPr>
          <w:rFonts w:hint="eastAsia" w:hAnsi="宋体" w:cs="宋体"/>
          <w:kern w:val="0"/>
          <w:sz w:val="24"/>
          <w:szCs w:val="24"/>
          <w:highlight w:val="none"/>
          <w:u w:val="single"/>
        </w:rPr>
      </w:pPr>
      <w:r>
        <w:rPr>
          <w:rFonts w:hint="eastAsia" w:hAnsi="宋体" w:cs="宋体"/>
          <w:kern w:val="0"/>
          <w:sz w:val="24"/>
          <w:szCs w:val="24"/>
          <w:highlight w:val="none"/>
        </w:rPr>
        <w:t>项目名称：</w:t>
      </w:r>
    </w:p>
    <w:p w14:paraId="7CD7DD5E">
      <w:pPr>
        <w:pStyle w:val="45"/>
        <w:snapToGrid w:val="0"/>
        <w:spacing w:line="360" w:lineRule="auto"/>
        <w:ind w:firstLine="480"/>
        <w:rPr>
          <w:rFonts w:hint="eastAsia" w:hAnsi="宋体" w:cs="宋体"/>
          <w:kern w:val="0"/>
          <w:sz w:val="24"/>
          <w:szCs w:val="24"/>
          <w:highlight w:val="none"/>
        </w:rPr>
      </w:pPr>
    </w:p>
    <w:p w14:paraId="00544EA5">
      <w:pPr>
        <w:pStyle w:val="45"/>
        <w:snapToGrid w:val="0"/>
        <w:spacing w:line="360" w:lineRule="auto"/>
        <w:ind w:firstLine="480"/>
        <w:rPr>
          <w:rFonts w:hint="eastAsia" w:hAnsi="宋体" w:cs="宋体"/>
          <w:kern w:val="0"/>
          <w:sz w:val="24"/>
          <w:szCs w:val="24"/>
          <w:highlight w:val="none"/>
          <w:u w:val="single"/>
        </w:rPr>
      </w:pPr>
      <w:r>
        <w:rPr>
          <w:rFonts w:hint="eastAsia" w:hAnsi="宋体" w:cs="宋体"/>
          <w:kern w:val="0"/>
          <w:sz w:val="24"/>
          <w:szCs w:val="24"/>
          <w:highlight w:val="none"/>
        </w:rPr>
        <w:t>日期：</w:t>
      </w:r>
    </w:p>
    <w:p w14:paraId="3D59CE35">
      <w:pPr>
        <w:pStyle w:val="45"/>
        <w:snapToGrid w:val="0"/>
        <w:spacing w:line="360" w:lineRule="auto"/>
        <w:ind w:firstLine="480"/>
        <w:rPr>
          <w:rFonts w:hint="eastAsia" w:hAnsi="宋体" w:cs="宋体"/>
          <w:kern w:val="0"/>
          <w:sz w:val="24"/>
          <w:szCs w:val="24"/>
          <w:highlight w:val="none"/>
        </w:rPr>
      </w:pPr>
    </w:p>
    <w:p w14:paraId="39489EEC">
      <w:pPr>
        <w:pStyle w:val="45"/>
        <w:snapToGrid w:val="0"/>
        <w:spacing w:line="360" w:lineRule="auto"/>
        <w:ind w:firstLine="480"/>
        <w:rPr>
          <w:rFonts w:hint="eastAsia" w:hAnsi="宋体" w:cs="宋体"/>
          <w:kern w:val="0"/>
          <w:sz w:val="24"/>
          <w:szCs w:val="24"/>
          <w:highlight w:val="none"/>
        </w:rPr>
      </w:pPr>
      <w:r>
        <w:rPr>
          <w:rFonts w:hint="eastAsia" w:hAnsi="宋体" w:cs="宋体"/>
          <w:kern w:val="0"/>
          <w:sz w:val="24"/>
          <w:szCs w:val="24"/>
          <w:highlight w:val="none"/>
        </w:rPr>
        <w:t>致：</w:t>
      </w:r>
    </w:p>
    <w:p w14:paraId="32059987">
      <w:pPr>
        <w:pStyle w:val="45"/>
        <w:snapToGrid w:val="0"/>
        <w:spacing w:line="360" w:lineRule="auto"/>
        <w:ind w:firstLine="480"/>
        <w:rPr>
          <w:rFonts w:hint="eastAsia" w:hAnsi="宋体" w:cs="宋体"/>
          <w:kern w:val="0"/>
          <w:sz w:val="24"/>
          <w:szCs w:val="24"/>
          <w:highlight w:val="none"/>
        </w:rPr>
      </w:pPr>
    </w:p>
    <w:p w14:paraId="1BDFA90F">
      <w:pPr>
        <w:pStyle w:val="45"/>
        <w:snapToGrid w:val="0"/>
        <w:spacing w:line="360" w:lineRule="auto"/>
        <w:ind w:firstLine="480"/>
        <w:rPr>
          <w:rFonts w:hint="eastAsia" w:hAnsi="宋体" w:cs="宋体"/>
          <w:kern w:val="0"/>
          <w:sz w:val="24"/>
          <w:szCs w:val="24"/>
          <w:highlight w:val="none"/>
        </w:rPr>
      </w:pPr>
      <w:r>
        <w:rPr>
          <w:rFonts w:hint="eastAsia" w:hAnsi="宋体" w:cs="宋体"/>
          <w:kern w:val="0"/>
          <w:sz w:val="24"/>
          <w:szCs w:val="24"/>
          <w:highlight w:val="none"/>
        </w:rPr>
        <w:t>本投标人愿意针对上述项目进行投标。投标文件中所有关于投标人资格</w:t>
      </w:r>
      <w:bookmarkStart w:id="186" w:name="_Hlk113183029"/>
      <w:r>
        <w:rPr>
          <w:rFonts w:hint="eastAsia" w:hAnsi="宋体" w:cs="宋体"/>
          <w:kern w:val="0"/>
          <w:sz w:val="24"/>
          <w:szCs w:val="24"/>
          <w:highlight w:val="none"/>
        </w:rPr>
        <w:t>、技术响应、商务响应</w:t>
      </w:r>
      <w:bookmarkEnd w:id="186"/>
      <w:r>
        <w:rPr>
          <w:rFonts w:hint="eastAsia" w:hAnsi="宋体" w:cs="宋体"/>
          <w:kern w:val="0"/>
          <w:sz w:val="24"/>
          <w:szCs w:val="24"/>
          <w:highlight w:val="none"/>
        </w:rPr>
        <w:t>的文件陈述均是真实的、准确的。若有违背，本投标人承担由此而产生的一切后果。</w:t>
      </w:r>
    </w:p>
    <w:p w14:paraId="6E657632">
      <w:pPr>
        <w:pStyle w:val="45"/>
        <w:snapToGrid w:val="0"/>
        <w:spacing w:line="360" w:lineRule="auto"/>
        <w:ind w:firstLine="480"/>
        <w:rPr>
          <w:rFonts w:hint="eastAsia" w:hAnsi="宋体" w:cs="宋体"/>
          <w:kern w:val="0"/>
          <w:sz w:val="24"/>
          <w:szCs w:val="24"/>
          <w:highlight w:val="none"/>
        </w:rPr>
      </w:pPr>
      <w:r>
        <w:rPr>
          <w:rFonts w:hint="eastAsia" w:hAnsi="宋体" w:cs="宋体"/>
          <w:kern w:val="0"/>
          <w:sz w:val="24"/>
          <w:szCs w:val="24"/>
          <w:highlight w:val="none"/>
        </w:rPr>
        <w:t>特此声明！</w:t>
      </w:r>
    </w:p>
    <w:p w14:paraId="45743C86">
      <w:pPr>
        <w:pStyle w:val="45"/>
        <w:snapToGrid w:val="0"/>
        <w:spacing w:line="360" w:lineRule="auto"/>
        <w:ind w:firstLine="480"/>
        <w:rPr>
          <w:rFonts w:hint="eastAsia" w:hAnsi="宋体" w:cs="宋体"/>
          <w:kern w:val="0"/>
          <w:sz w:val="24"/>
          <w:szCs w:val="24"/>
          <w:highlight w:val="none"/>
        </w:rPr>
      </w:pPr>
    </w:p>
    <w:p w14:paraId="1742AAF0">
      <w:pPr>
        <w:pStyle w:val="45"/>
        <w:snapToGrid w:val="0"/>
        <w:spacing w:line="360" w:lineRule="auto"/>
        <w:ind w:firstLine="480"/>
        <w:rPr>
          <w:rFonts w:hint="eastAsia" w:hAnsi="宋体" w:cs="宋体"/>
          <w:kern w:val="0"/>
          <w:sz w:val="24"/>
          <w:szCs w:val="24"/>
          <w:highlight w:val="none"/>
        </w:rPr>
      </w:pPr>
    </w:p>
    <w:p w14:paraId="73A46CE3">
      <w:pPr>
        <w:pStyle w:val="45"/>
        <w:snapToGrid w:val="0"/>
        <w:spacing w:line="360" w:lineRule="auto"/>
        <w:ind w:firstLine="480"/>
        <w:rPr>
          <w:rFonts w:hint="eastAsia" w:hAnsi="宋体" w:cs="宋体"/>
          <w:kern w:val="0"/>
          <w:sz w:val="24"/>
          <w:szCs w:val="24"/>
          <w:highlight w:val="none"/>
        </w:rPr>
      </w:pPr>
    </w:p>
    <w:p w14:paraId="05F2270C">
      <w:pPr>
        <w:pStyle w:val="45"/>
        <w:snapToGrid w:val="0"/>
        <w:spacing w:line="360" w:lineRule="auto"/>
        <w:ind w:firstLine="480"/>
        <w:rPr>
          <w:rFonts w:hint="eastAsia" w:hAnsi="宋体" w:cs="宋体"/>
          <w:kern w:val="0"/>
          <w:sz w:val="24"/>
          <w:szCs w:val="24"/>
          <w:highlight w:val="none"/>
        </w:rPr>
      </w:pPr>
    </w:p>
    <w:p w14:paraId="35D09E19">
      <w:pPr>
        <w:pStyle w:val="45"/>
        <w:snapToGrid w:val="0"/>
        <w:spacing w:line="360" w:lineRule="auto"/>
        <w:ind w:firstLine="480"/>
        <w:rPr>
          <w:rFonts w:hint="eastAsia" w:hAnsi="宋体" w:cs="宋体"/>
          <w:kern w:val="0"/>
          <w:sz w:val="24"/>
          <w:szCs w:val="24"/>
          <w:highlight w:val="none"/>
        </w:rPr>
      </w:pPr>
    </w:p>
    <w:p w14:paraId="1F4DFB67">
      <w:pPr>
        <w:pStyle w:val="45"/>
        <w:snapToGrid w:val="0"/>
        <w:spacing w:line="360" w:lineRule="auto"/>
        <w:ind w:firstLine="480"/>
        <w:rPr>
          <w:rFonts w:hint="eastAsia" w:hAnsi="宋体" w:cs="宋体"/>
          <w:kern w:val="0"/>
          <w:sz w:val="24"/>
          <w:szCs w:val="24"/>
          <w:highlight w:val="none"/>
        </w:rPr>
      </w:pPr>
    </w:p>
    <w:p w14:paraId="0DB25B7D">
      <w:pPr>
        <w:snapToGrid w:val="0"/>
        <w:spacing w:line="360" w:lineRule="auto"/>
        <w:ind w:firstLine="480"/>
        <w:rPr>
          <w:rFonts w:hint="eastAsia" w:ascii="宋体" w:hAnsi="宋体" w:cs="宋体"/>
          <w:kern w:val="0"/>
          <w:sz w:val="24"/>
          <w:highlight w:val="none"/>
        </w:rPr>
      </w:pPr>
      <w:r>
        <w:rPr>
          <w:rFonts w:hint="eastAsia" w:ascii="宋体" w:hAnsi="宋体" w:cs="宋体"/>
          <w:kern w:val="0"/>
          <w:sz w:val="24"/>
          <w:highlight w:val="none"/>
        </w:rPr>
        <w:t>投标人：(盖章)</w:t>
      </w:r>
    </w:p>
    <w:p w14:paraId="0E6C7F50">
      <w:pPr>
        <w:snapToGrid w:val="0"/>
        <w:spacing w:line="360" w:lineRule="auto"/>
        <w:ind w:firstLine="480"/>
        <w:rPr>
          <w:rFonts w:hint="eastAsia" w:ascii="宋体" w:hAnsi="宋体" w:cs="宋体"/>
          <w:kern w:val="0"/>
          <w:sz w:val="24"/>
          <w:highlight w:val="none"/>
        </w:rPr>
      </w:pPr>
      <w:r>
        <w:rPr>
          <w:rFonts w:hint="eastAsia" w:ascii="宋体" w:hAnsi="宋体" w:cs="宋体"/>
          <w:kern w:val="0"/>
          <w:sz w:val="24"/>
          <w:highlight w:val="none"/>
        </w:rPr>
        <w:t>法定代表人或其委托代理人：(签字或盖章)</w:t>
      </w:r>
    </w:p>
    <w:p w14:paraId="735CDCAD">
      <w:pPr>
        <w:snapToGrid w:val="0"/>
        <w:spacing w:line="360" w:lineRule="auto"/>
        <w:ind w:firstLine="480"/>
        <w:rPr>
          <w:rFonts w:hint="eastAsia" w:ascii="宋体" w:hAnsi="宋体" w:cs="宋体"/>
          <w:kern w:val="0"/>
          <w:sz w:val="24"/>
          <w:highlight w:val="none"/>
        </w:rPr>
      </w:pPr>
      <w:r>
        <w:rPr>
          <w:rFonts w:hint="eastAsia" w:ascii="宋体" w:hAnsi="宋体" w:cs="宋体"/>
          <w:kern w:val="0"/>
          <w:sz w:val="24"/>
          <w:highlight w:val="none"/>
        </w:rPr>
        <w:t>日期：  年  月  日</w:t>
      </w:r>
    </w:p>
    <w:p w14:paraId="4C8AD707">
      <w:pPr>
        <w:widowControl/>
        <w:jc w:val="left"/>
        <w:rPr>
          <w:rFonts w:hint="eastAsia" w:ascii="宋体" w:hAnsi="宋体" w:cs="宋体"/>
          <w:kern w:val="0"/>
          <w:sz w:val="24"/>
          <w:highlight w:val="none"/>
        </w:rPr>
      </w:pPr>
      <w:r>
        <w:rPr>
          <w:rFonts w:ascii="宋体" w:hAnsi="宋体" w:cs="宋体"/>
          <w:kern w:val="0"/>
          <w:sz w:val="24"/>
          <w:highlight w:val="none"/>
        </w:rPr>
        <w:br w:type="page"/>
      </w:r>
    </w:p>
    <w:p w14:paraId="0567FCE4">
      <w:pPr>
        <w:pStyle w:val="45"/>
        <w:snapToGrid w:val="0"/>
        <w:spacing w:line="360" w:lineRule="auto"/>
        <w:jc w:val="center"/>
        <w:outlineLvl w:val="1"/>
        <w:rPr>
          <w:rFonts w:hint="eastAsia" w:hAnsi="宋体" w:cs="宋体"/>
          <w:b/>
          <w:kern w:val="0"/>
          <w:sz w:val="36"/>
          <w:szCs w:val="24"/>
          <w:highlight w:val="none"/>
        </w:rPr>
      </w:pPr>
      <w:bookmarkStart w:id="187" w:name="_Toc17422"/>
      <w:bookmarkStart w:id="188" w:name="_Toc8658_WPSOffice_Level1"/>
      <w:bookmarkStart w:id="189" w:name="_Toc6653240"/>
      <w:bookmarkStart w:id="190" w:name="_Toc20790_WPSOffice_Level1"/>
      <w:r>
        <w:rPr>
          <w:rFonts w:hint="eastAsia" w:hAnsi="宋体" w:cs="宋体"/>
          <w:b/>
          <w:kern w:val="0"/>
          <w:sz w:val="36"/>
          <w:szCs w:val="24"/>
          <w:highlight w:val="none"/>
        </w:rPr>
        <w:t>六、法定代表人资格证明书</w:t>
      </w:r>
      <w:bookmarkEnd w:id="187"/>
      <w:bookmarkEnd w:id="188"/>
      <w:bookmarkEnd w:id="189"/>
      <w:bookmarkEnd w:id="190"/>
    </w:p>
    <w:p w14:paraId="015D6609">
      <w:pPr>
        <w:snapToGrid w:val="0"/>
        <w:spacing w:line="360" w:lineRule="auto"/>
        <w:ind w:firstLine="480"/>
        <w:rPr>
          <w:rFonts w:hint="eastAsia" w:ascii="宋体" w:hAnsi="宋体" w:cs="宋体"/>
          <w:kern w:val="0"/>
          <w:szCs w:val="21"/>
          <w:highlight w:val="none"/>
          <w:lang w:val="zh-CN"/>
        </w:rPr>
      </w:pPr>
    </w:p>
    <w:p w14:paraId="77202B60">
      <w:pPr>
        <w:snapToGrid w:val="0"/>
        <w:spacing w:line="360" w:lineRule="auto"/>
        <w:ind w:firstLine="480"/>
        <w:rPr>
          <w:rFonts w:hint="eastAsia" w:ascii="宋体" w:hAnsi="宋体" w:cs="宋体"/>
          <w:kern w:val="0"/>
          <w:sz w:val="24"/>
          <w:szCs w:val="21"/>
          <w:highlight w:val="none"/>
          <w:lang w:val="zh-CN"/>
        </w:rPr>
      </w:pPr>
      <w:r>
        <w:rPr>
          <w:rFonts w:hint="eastAsia" w:ascii="宋体" w:hAnsi="宋体" w:cs="宋体"/>
          <w:kern w:val="0"/>
          <w:sz w:val="24"/>
          <w:szCs w:val="21"/>
          <w:highlight w:val="none"/>
          <w:lang w:val="zh-CN"/>
        </w:rPr>
        <w:t>投标人名称：</w:t>
      </w:r>
    </w:p>
    <w:p w14:paraId="282D065A">
      <w:pPr>
        <w:snapToGrid w:val="0"/>
        <w:spacing w:line="360" w:lineRule="auto"/>
        <w:ind w:firstLine="480"/>
        <w:rPr>
          <w:rFonts w:hint="eastAsia" w:ascii="宋体" w:hAnsi="宋体" w:cs="宋体"/>
          <w:kern w:val="0"/>
          <w:sz w:val="24"/>
          <w:szCs w:val="21"/>
          <w:highlight w:val="none"/>
          <w:lang w:val="zh-CN"/>
        </w:rPr>
      </w:pPr>
    </w:p>
    <w:p w14:paraId="62596F1A">
      <w:pPr>
        <w:snapToGrid w:val="0"/>
        <w:spacing w:line="360" w:lineRule="auto"/>
        <w:ind w:firstLine="480"/>
        <w:rPr>
          <w:rFonts w:hint="eastAsia" w:ascii="宋体" w:hAnsi="宋体" w:cs="宋体"/>
          <w:kern w:val="0"/>
          <w:sz w:val="24"/>
          <w:szCs w:val="21"/>
          <w:highlight w:val="none"/>
          <w:lang w:val="zh-CN"/>
        </w:rPr>
      </w:pPr>
      <w:r>
        <w:rPr>
          <w:rFonts w:hint="eastAsia" w:ascii="宋体" w:hAnsi="宋体" w:cs="宋体"/>
          <w:kern w:val="0"/>
          <w:sz w:val="24"/>
          <w:szCs w:val="21"/>
          <w:highlight w:val="none"/>
          <w:lang w:val="zh-CN"/>
        </w:rPr>
        <w:t>地址：</w:t>
      </w:r>
    </w:p>
    <w:p w14:paraId="1C08326E">
      <w:pPr>
        <w:snapToGrid w:val="0"/>
        <w:spacing w:line="360" w:lineRule="auto"/>
        <w:ind w:firstLine="480"/>
        <w:rPr>
          <w:rFonts w:hint="eastAsia" w:ascii="宋体" w:hAnsi="宋体" w:cs="宋体"/>
          <w:kern w:val="0"/>
          <w:sz w:val="24"/>
          <w:szCs w:val="21"/>
          <w:highlight w:val="none"/>
          <w:lang w:val="zh-CN"/>
        </w:rPr>
      </w:pPr>
      <w:r>
        <w:rPr>
          <w:rFonts w:hint="eastAsia" w:ascii="宋体" w:hAnsi="宋体" w:cs="宋体"/>
          <w:kern w:val="0"/>
          <w:sz w:val="24"/>
          <w:szCs w:val="21"/>
          <w:highlight w:val="none"/>
          <w:lang w:val="zh-CN"/>
        </w:rPr>
        <w:t>姓名：          性别：          年龄：          职务：</w:t>
      </w:r>
    </w:p>
    <w:p w14:paraId="018374B7">
      <w:pPr>
        <w:snapToGrid w:val="0"/>
        <w:spacing w:line="360" w:lineRule="auto"/>
        <w:ind w:firstLine="480" w:firstLineChars="200"/>
        <w:rPr>
          <w:rFonts w:hint="eastAsia" w:ascii="宋体" w:hAnsi="宋体" w:cs="宋体"/>
          <w:kern w:val="0"/>
          <w:sz w:val="24"/>
          <w:szCs w:val="21"/>
          <w:highlight w:val="none"/>
          <w:lang w:val="zh-CN"/>
        </w:rPr>
      </w:pPr>
      <w:r>
        <w:rPr>
          <w:rFonts w:ascii="宋体" w:hAnsi="宋体" w:cs="宋体"/>
          <w:kern w:val="0"/>
          <w:sz w:val="24"/>
          <w:szCs w:val="21"/>
          <w:highlight w:val="none"/>
          <w:u w:val="single"/>
        </w:rPr>
        <w:t xml:space="preserve">    </w:t>
      </w:r>
      <w:r>
        <w:rPr>
          <w:rFonts w:hint="eastAsia" w:ascii="宋体" w:hAnsi="宋体" w:cs="宋体"/>
          <w:kern w:val="0"/>
          <w:sz w:val="24"/>
          <w:szCs w:val="21"/>
          <w:highlight w:val="none"/>
          <w:lang w:val="zh-CN"/>
        </w:rPr>
        <w:t>系</w:t>
      </w:r>
      <w:bookmarkStart w:id="191" w:name="OLE_LINK61"/>
      <w:bookmarkEnd w:id="191"/>
      <w:bookmarkStart w:id="192" w:name="OLE_LINK60"/>
      <w:bookmarkEnd w:id="192"/>
      <w:r>
        <w:rPr>
          <w:rFonts w:ascii="宋体" w:hAnsi="宋体" w:cs="宋体"/>
          <w:kern w:val="0"/>
          <w:sz w:val="24"/>
          <w:szCs w:val="21"/>
          <w:highlight w:val="none"/>
          <w:u w:val="single"/>
        </w:rPr>
        <w:t xml:space="preserve">    </w:t>
      </w:r>
      <w:r>
        <w:rPr>
          <w:rFonts w:hint="eastAsia" w:ascii="宋体" w:hAnsi="宋体" w:cs="宋体"/>
          <w:kern w:val="0"/>
          <w:sz w:val="24"/>
          <w:szCs w:val="21"/>
          <w:highlight w:val="none"/>
          <w:lang w:val="zh-CN"/>
        </w:rPr>
        <w:t>的法定代表人，为</w:t>
      </w:r>
      <w:r>
        <w:rPr>
          <w:rFonts w:ascii="宋体" w:hAnsi="宋体" w:cs="宋体"/>
          <w:kern w:val="0"/>
          <w:sz w:val="24"/>
          <w:szCs w:val="21"/>
          <w:highlight w:val="none"/>
          <w:u w:val="single"/>
        </w:rPr>
        <w:t xml:space="preserve">       </w:t>
      </w:r>
      <w:r>
        <w:rPr>
          <w:rFonts w:hint="eastAsia" w:ascii="宋体" w:hAnsi="宋体" w:cs="宋体"/>
          <w:kern w:val="0"/>
          <w:sz w:val="24"/>
          <w:szCs w:val="21"/>
          <w:highlight w:val="none"/>
          <w:lang w:val="zh-CN"/>
        </w:rPr>
        <w:t>项目的采购招标签署投标文件、进行合同谈判、签署合同和处理与之有关的一切事务，并确保货物的交付、安装调试、保修和售后服务的顺利进行。</w:t>
      </w:r>
    </w:p>
    <w:p w14:paraId="2B214049">
      <w:pPr>
        <w:snapToGrid w:val="0"/>
        <w:spacing w:line="360" w:lineRule="auto"/>
        <w:ind w:firstLine="480"/>
        <w:rPr>
          <w:rFonts w:hint="eastAsia" w:ascii="宋体" w:hAnsi="宋体" w:cs="宋体"/>
          <w:kern w:val="0"/>
          <w:sz w:val="24"/>
          <w:szCs w:val="21"/>
          <w:highlight w:val="none"/>
          <w:lang w:val="zh-CN"/>
        </w:rPr>
      </w:pPr>
      <w:r>
        <w:rPr>
          <w:rFonts w:hint="eastAsia" w:ascii="宋体" w:hAnsi="宋体" w:cs="宋体"/>
          <w:kern w:val="0"/>
          <w:sz w:val="24"/>
          <w:szCs w:val="21"/>
          <w:highlight w:val="none"/>
          <w:lang w:val="zh-CN"/>
        </w:rPr>
        <w:t>特此证明。</w:t>
      </w:r>
    </w:p>
    <w:p w14:paraId="35AC0604">
      <w:pPr>
        <w:snapToGrid w:val="0"/>
        <w:spacing w:line="360" w:lineRule="auto"/>
        <w:ind w:firstLine="480"/>
        <w:rPr>
          <w:rFonts w:hint="eastAsia" w:ascii="宋体" w:hAnsi="宋体" w:cs="宋体"/>
          <w:kern w:val="0"/>
          <w:sz w:val="24"/>
          <w:szCs w:val="21"/>
          <w:highlight w:val="none"/>
          <w:lang w:val="zh-CN"/>
        </w:rPr>
      </w:pPr>
    </w:p>
    <w:p w14:paraId="236F9019">
      <w:pPr>
        <w:pBdr>
          <w:top w:val="single" w:color="000000" w:sz="4" w:space="1"/>
          <w:left w:val="single" w:color="000000" w:sz="4" w:space="4"/>
          <w:bottom w:val="single" w:color="000000" w:sz="4" w:space="1"/>
          <w:right w:val="single" w:color="000000" w:sz="4" w:space="4"/>
        </w:pBdr>
        <w:snapToGrid w:val="0"/>
        <w:spacing w:line="360" w:lineRule="auto"/>
        <w:ind w:firstLine="480"/>
        <w:rPr>
          <w:rFonts w:hint="eastAsia" w:ascii="宋体" w:hAnsi="宋体" w:cs="宋体"/>
          <w:kern w:val="0"/>
          <w:sz w:val="24"/>
          <w:szCs w:val="21"/>
          <w:highlight w:val="none"/>
          <w:lang w:val="zh-CN"/>
        </w:rPr>
      </w:pPr>
      <w:r>
        <w:rPr>
          <w:rFonts w:hint="eastAsia" w:ascii="宋体" w:hAnsi="宋体" w:cs="宋体"/>
          <w:kern w:val="0"/>
          <w:sz w:val="24"/>
          <w:szCs w:val="21"/>
          <w:highlight w:val="none"/>
          <w:lang w:val="zh-CN"/>
        </w:rPr>
        <w:t>法定代表人身份证复印件（</w:t>
      </w:r>
      <w:r>
        <w:rPr>
          <w:rFonts w:hint="eastAsia" w:ascii="宋体" w:hAnsi="宋体" w:cs="宋体"/>
          <w:kern w:val="0"/>
          <w:sz w:val="24"/>
          <w:szCs w:val="21"/>
          <w:highlight w:val="none"/>
        </w:rPr>
        <w:t>正反面</w:t>
      </w:r>
      <w:r>
        <w:rPr>
          <w:rFonts w:hint="eastAsia" w:ascii="宋体" w:hAnsi="宋体" w:cs="宋体"/>
          <w:kern w:val="0"/>
          <w:sz w:val="24"/>
          <w:szCs w:val="21"/>
          <w:highlight w:val="none"/>
          <w:lang w:val="zh-CN"/>
        </w:rPr>
        <w:t>）：</w:t>
      </w:r>
    </w:p>
    <w:p w14:paraId="09F7D990">
      <w:pPr>
        <w:pBdr>
          <w:top w:val="single" w:color="000000" w:sz="4" w:space="1"/>
          <w:left w:val="single" w:color="000000" w:sz="4" w:space="4"/>
          <w:bottom w:val="single" w:color="000000" w:sz="4" w:space="1"/>
          <w:right w:val="single" w:color="000000" w:sz="4" w:space="4"/>
        </w:pBdr>
        <w:snapToGrid w:val="0"/>
        <w:spacing w:line="360" w:lineRule="auto"/>
        <w:ind w:firstLine="480"/>
        <w:rPr>
          <w:rFonts w:hint="eastAsia" w:ascii="宋体" w:hAnsi="宋体" w:cs="宋体"/>
          <w:kern w:val="0"/>
          <w:sz w:val="24"/>
          <w:szCs w:val="21"/>
          <w:highlight w:val="none"/>
          <w:lang w:val="zh-CN"/>
        </w:rPr>
      </w:pPr>
    </w:p>
    <w:p w14:paraId="046231EC">
      <w:pPr>
        <w:pBdr>
          <w:top w:val="single" w:color="000000" w:sz="4" w:space="1"/>
          <w:left w:val="single" w:color="000000" w:sz="4" w:space="4"/>
          <w:bottom w:val="single" w:color="000000" w:sz="4" w:space="1"/>
          <w:right w:val="single" w:color="000000" w:sz="4" w:space="4"/>
        </w:pBdr>
        <w:snapToGrid w:val="0"/>
        <w:spacing w:line="360" w:lineRule="auto"/>
        <w:ind w:firstLine="480"/>
        <w:rPr>
          <w:rFonts w:hint="eastAsia" w:ascii="宋体" w:hAnsi="宋体" w:cs="宋体"/>
          <w:kern w:val="0"/>
          <w:sz w:val="24"/>
          <w:szCs w:val="21"/>
          <w:highlight w:val="none"/>
          <w:lang w:val="zh-CN"/>
        </w:rPr>
      </w:pPr>
    </w:p>
    <w:p w14:paraId="4621DE96">
      <w:pPr>
        <w:pBdr>
          <w:top w:val="single" w:color="000000" w:sz="4" w:space="1"/>
          <w:left w:val="single" w:color="000000" w:sz="4" w:space="4"/>
          <w:bottom w:val="single" w:color="000000" w:sz="4" w:space="1"/>
          <w:right w:val="single" w:color="000000" w:sz="4" w:space="4"/>
        </w:pBdr>
        <w:snapToGrid w:val="0"/>
        <w:spacing w:line="360" w:lineRule="auto"/>
        <w:ind w:firstLine="480"/>
        <w:rPr>
          <w:rFonts w:hint="eastAsia" w:ascii="宋体" w:hAnsi="宋体" w:cs="宋体"/>
          <w:kern w:val="0"/>
          <w:sz w:val="24"/>
          <w:szCs w:val="21"/>
          <w:highlight w:val="none"/>
          <w:lang w:val="zh-CN"/>
        </w:rPr>
      </w:pPr>
    </w:p>
    <w:p w14:paraId="1C64EEA5">
      <w:pPr>
        <w:pBdr>
          <w:top w:val="single" w:color="000000" w:sz="4" w:space="1"/>
          <w:left w:val="single" w:color="000000" w:sz="4" w:space="4"/>
          <w:bottom w:val="single" w:color="000000" w:sz="4" w:space="1"/>
          <w:right w:val="single" w:color="000000" w:sz="4" w:space="4"/>
        </w:pBdr>
        <w:snapToGrid w:val="0"/>
        <w:spacing w:line="360" w:lineRule="auto"/>
        <w:ind w:firstLine="480"/>
        <w:rPr>
          <w:rFonts w:hint="eastAsia" w:ascii="宋体" w:hAnsi="宋体" w:cs="宋体"/>
          <w:kern w:val="0"/>
          <w:sz w:val="24"/>
          <w:szCs w:val="21"/>
          <w:highlight w:val="none"/>
          <w:lang w:val="zh-CN"/>
        </w:rPr>
      </w:pPr>
    </w:p>
    <w:p w14:paraId="6723F4B9">
      <w:pPr>
        <w:pBdr>
          <w:top w:val="single" w:color="000000" w:sz="4" w:space="1"/>
          <w:left w:val="single" w:color="000000" w:sz="4" w:space="4"/>
          <w:bottom w:val="single" w:color="000000" w:sz="4" w:space="1"/>
          <w:right w:val="single" w:color="000000" w:sz="4" w:space="4"/>
        </w:pBdr>
        <w:snapToGrid w:val="0"/>
        <w:spacing w:line="360" w:lineRule="auto"/>
        <w:ind w:firstLine="480"/>
        <w:rPr>
          <w:rFonts w:hint="eastAsia" w:ascii="宋体" w:hAnsi="宋体" w:cs="宋体"/>
          <w:kern w:val="0"/>
          <w:sz w:val="24"/>
          <w:szCs w:val="21"/>
          <w:highlight w:val="none"/>
          <w:lang w:val="zh-CN"/>
        </w:rPr>
      </w:pPr>
    </w:p>
    <w:p w14:paraId="697053AB">
      <w:pPr>
        <w:pBdr>
          <w:top w:val="single" w:color="000000" w:sz="4" w:space="1"/>
          <w:left w:val="single" w:color="000000" w:sz="4" w:space="4"/>
          <w:bottom w:val="single" w:color="000000" w:sz="4" w:space="1"/>
          <w:right w:val="single" w:color="000000" w:sz="4" w:space="4"/>
        </w:pBdr>
        <w:snapToGrid w:val="0"/>
        <w:spacing w:line="360" w:lineRule="auto"/>
        <w:ind w:firstLine="480"/>
        <w:rPr>
          <w:rFonts w:hint="eastAsia" w:ascii="宋体" w:hAnsi="宋体" w:cs="宋体"/>
          <w:kern w:val="0"/>
          <w:sz w:val="24"/>
          <w:szCs w:val="21"/>
          <w:highlight w:val="none"/>
          <w:lang w:val="zh-CN"/>
        </w:rPr>
      </w:pPr>
    </w:p>
    <w:p w14:paraId="1546A7A2">
      <w:pPr>
        <w:pBdr>
          <w:top w:val="single" w:color="000000" w:sz="4" w:space="1"/>
          <w:left w:val="single" w:color="000000" w:sz="4" w:space="4"/>
          <w:bottom w:val="single" w:color="000000" w:sz="4" w:space="1"/>
          <w:right w:val="single" w:color="000000" w:sz="4" w:space="4"/>
        </w:pBdr>
        <w:snapToGrid w:val="0"/>
        <w:spacing w:line="360" w:lineRule="auto"/>
        <w:ind w:firstLine="480"/>
        <w:rPr>
          <w:rFonts w:hint="eastAsia" w:ascii="宋体" w:hAnsi="宋体" w:cs="宋体"/>
          <w:kern w:val="0"/>
          <w:sz w:val="24"/>
          <w:szCs w:val="21"/>
          <w:highlight w:val="none"/>
          <w:lang w:val="zh-CN"/>
        </w:rPr>
      </w:pPr>
    </w:p>
    <w:p w14:paraId="5299A387">
      <w:pPr>
        <w:pBdr>
          <w:top w:val="single" w:color="000000" w:sz="4" w:space="1"/>
          <w:left w:val="single" w:color="000000" w:sz="4" w:space="4"/>
          <w:bottom w:val="single" w:color="000000" w:sz="4" w:space="1"/>
          <w:right w:val="single" w:color="000000" w:sz="4" w:space="4"/>
        </w:pBdr>
        <w:snapToGrid w:val="0"/>
        <w:spacing w:line="360" w:lineRule="auto"/>
        <w:ind w:firstLine="480"/>
        <w:rPr>
          <w:rFonts w:hint="eastAsia" w:ascii="宋体" w:hAnsi="宋体" w:cs="宋体"/>
          <w:kern w:val="0"/>
          <w:sz w:val="24"/>
          <w:szCs w:val="21"/>
          <w:highlight w:val="none"/>
          <w:lang w:val="zh-CN"/>
        </w:rPr>
      </w:pPr>
    </w:p>
    <w:p w14:paraId="6B235C4A">
      <w:pPr>
        <w:pBdr>
          <w:top w:val="single" w:color="000000" w:sz="4" w:space="1"/>
          <w:left w:val="single" w:color="000000" w:sz="4" w:space="4"/>
          <w:bottom w:val="single" w:color="000000" w:sz="4" w:space="1"/>
          <w:right w:val="single" w:color="000000" w:sz="4" w:space="4"/>
        </w:pBdr>
        <w:snapToGrid w:val="0"/>
        <w:spacing w:line="360" w:lineRule="auto"/>
        <w:ind w:firstLine="480"/>
        <w:rPr>
          <w:rFonts w:hint="eastAsia" w:ascii="宋体" w:hAnsi="宋体" w:cs="宋体"/>
          <w:kern w:val="0"/>
          <w:sz w:val="24"/>
          <w:szCs w:val="21"/>
          <w:highlight w:val="none"/>
          <w:lang w:val="zh-CN"/>
        </w:rPr>
      </w:pPr>
    </w:p>
    <w:p w14:paraId="46987273">
      <w:pPr>
        <w:snapToGrid w:val="0"/>
        <w:spacing w:line="360" w:lineRule="auto"/>
        <w:ind w:firstLine="480"/>
        <w:rPr>
          <w:rFonts w:hint="eastAsia" w:ascii="宋体" w:hAnsi="宋体" w:cs="宋体"/>
          <w:kern w:val="0"/>
          <w:sz w:val="24"/>
          <w:szCs w:val="21"/>
          <w:highlight w:val="none"/>
          <w:lang w:val="zh-CN"/>
        </w:rPr>
      </w:pPr>
    </w:p>
    <w:p w14:paraId="616B9173">
      <w:pPr>
        <w:snapToGrid w:val="0"/>
        <w:spacing w:line="360" w:lineRule="auto"/>
        <w:ind w:firstLine="480"/>
        <w:rPr>
          <w:rFonts w:hint="eastAsia" w:ascii="宋体" w:hAnsi="宋体" w:cs="宋体"/>
          <w:kern w:val="0"/>
          <w:sz w:val="24"/>
          <w:szCs w:val="21"/>
          <w:highlight w:val="none"/>
          <w:lang w:val="zh-CN"/>
        </w:rPr>
      </w:pPr>
    </w:p>
    <w:p w14:paraId="76B7C34A">
      <w:pPr>
        <w:snapToGrid w:val="0"/>
        <w:spacing w:line="360" w:lineRule="auto"/>
        <w:ind w:firstLine="480"/>
        <w:rPr>
          <w:rFonts w:hint="eastAsia" w:ascii="宋体" w:hAnsi="宋体" w:cs="宋体"/>
          <w:kern w:val="0"/>
          <w:sz w:val="24"/>
          <w:highlight w:val="none"/>
          <w:lang w:val="zh-CN"/>
        </w:rPr>
      </w:pPr>
      <w:r>
        <w:rPr>
          <w:rFonts w:hint="eastAsia" w:ascii="宋体" w:hAnsi="宋体" w:cs="宋体"/>
          <w:kern w:val="0"/>
          <w:sz w:val="24"/>
          <w:highlight w:val="none"/>
          <w:lang w:val="zh-CN"/>
        </w:rPr>
        <w:t>投标人：(公章)</w:t>
      </w:r>
    </w:p>
    <w:p w14:paraId="02CBD7E9">
      <w:pPr>
        <w:snapToGrid w:val="0"/>
        <w:spacing w:line="360" w:lineRule="auto"/>
        <w:ind w:firstLine="480"/>
        <w:rPr>
          <w:rFonts w:hint="eastAsia" w:ascii="宋体" w:hAnsi="宋体" w:cs="宋体"/>
          <w:kern w:val="0"/>
          <w:sz w:val="24"/>
          <w:highlight w:val="none"/>
          <w:lang w:val="zh-CN"/>
        </w:rPr>
      </w:pPr>
      <w:r>
        <w:rPr>
          <w:rFonts w:hint="eastAsia" w:ascii="宋体" w:hAnsi="宋体" w:cs="宋体"/>
          <w:kern w:val="0"/>
          <w:sz w:val="24"/>
          <w:highlight w:val="none"/>
          <w:lang w:val="zh-CN"/>
        </w:rPr>
        <w:t>日期：</w:t>
      </w:r>
    </w:p>
    <w:p w14:paraId="6126BA05">
      <w:pPr>
        <w:snapToGrid w:val="0"/>
        <w:spacing w:line="360" w:lineRule="auto"/>
        <w:ind w:firstLine="480"/>
        <w:rPr>
          <w:rFonts w:hint="eastAsia" w:ascii="宋体" w:hAnsi="宋体" w:cs="宋体"/>
          <w:kern w:val="0"/>
          <w:sz w:val="24"/>
          <w:highlight w:val="none"/>
          <w:lang w:val="zh-CN"/>
        </w:rPr>
      </w:pPr>
    </w:p>
    <w:p w14:paraId="25BB2A63">
      <w:pPr>
        <w:snapToGrid w:val="0"/>
        <w:spacing w:line="360" w:lineRule="auto"/>
        <w:ind w:firstLine="482"/>
        <w:jc w:val="left"/>
        <w:rPr>
          <w:rFonts w:hint="eastAsia" w:ascii="宋体" w:hAnsi="宋体" w:cs="宋体"/>
          <w:b/>
          <w:kern w:val="0"/>
          <w:sz w:val="24"/>
          <w:highlight w:val="none"/>
        </w:rPr>
      </w:pPr>
      <w:r>
        <w:rPr>
          <w:rFonts w:hint="eastAsia" w:ascii="宋体" w:hAnsi="宋体" w:cs="宋体"/>
          <w:b/>
          <w:kern w:val="0"/>
          <w:sz w:val="24"/>
          <w:highlight w:val="none"/>
        </w:rPr>
        <w:t>注：本文件应按规定签署，否则投标文件无效。</w:t>
      </w:r>
    </w:p>
    <w:p w14:paraId="1855D6E8">
      <w:pPr>
        <w:pStyle w:val="98"/>
        <w:rPr>
          <w:highlight w:val="none"/>
        </w:rPr>
      </w:pPr>
      <w:r>
        <w:rPr>
          <w:highlight w:val="none"/>
        </w:rPr>
        <w:br w:type="page"/>
      </w:r>
    </w:p>
    <w:p w14:paraId="30224BF0">
      <w:pPr>
        <w:pStyle w:val="45"/>
        <w:snapToGrid w:val="0"/>
        <w:spacing w:line="360" w:lineRule="auto"/>
        <w:jc w:val="center"/>
        <w:outlineLvl w:val="1"/>
        <w:rPr>
          <w:rFonts w:hint="eastAsia" w:hAnsi="宋体" w:cs="宋体"/>
          <w:b/>
          <w:kern w:val="0"/>
          <w:sz w:val="36"/>
          <w:szCs w:val="24"/>
          <w:highlight w:val="none"/>
        </w:rPr>
      </w:pPr>
      <w:bookmarkStart w:id="193" w:name="_Toc3666"/>
      <w:bookmarkStart w:id="194" w:name="_Toc4066_WPSOffice_Level1"/>
      <w:bookmarkStart w:id="195" w:name="_Toc12442_WPSOffice_Level1"/>
      <w:r>
        <w:rPr>
          <w:rFonts w:hint="eastAsia" w:hAnsi="宋体" w:cs="宋体"/>
          <w:b/>
          <w:kern w:val="0"/>
          <w:sz w:val="36"/>
          <w:szCs w:val="24"/>
          <w:highlight w:val="none"/>
        </w:rPr>
        <w:t>七、法定代表人授权委托书</w:t>
      </w:r>
      <w:bookmarkEnd w:id="193"/>
      <w:bookmarkEnd w:id="194"/>
      <w:bookmarkEnd w:id="195"/>
    </w:p>
    <w:p w14:paraId="2EC7FEDF">
      <w:pPr>
        <w:snapToGrid w:val="0"/>
        <w:spacing w:line="360" w:lineRule="auto"/>
        <w:ind w:firstLine="480"/>
        <w:rPr>
          <w:rFonts w:hint="eastAsia" w:ascii="宋体" w:hAnsi="宋体" w:cs="宋体"/>
          <w:kern w:val="0"/>
          <w:sz w:val="24"/>
          <w:highlight w:val="none"/>
        </w:rPr>
      </w:pPr>
    </w:p>
    <w:p w14:paraId="49896BD5">
      <w:pPr>
        <w:snapToGrid w:val="0"/>
        <w:spacing w:line="360" w:lineRule="auto"/>
        <w:ind w:firstLine="480"/>
        <w:rPr>
          <w:rFonts w:hint="eastAsia" w:ascii="宋体" w:hAnsi="宋体" w:cs="宋体"/>
          <w:kern w:val="0"/>
          <w:sz w:val="24"/>
          <w:highlight w:val="none"/>
        </w:rPr>
      </w:pPr>
      <w:r>
        <w:rPr>
          <w:rFonts w:hint="eastAsia" w:ascii="宋体" w:hAnsi="宋体" w:cs="宋体"/>
          <w:bCs/>
          <w:kern w:val="0"/>
          <w:sz w:val="24"/>
          <w:highlight w:val="none"/>
        </w:rPr>
        <w:t>兹授权</w:t>
      </w:r>
      <w:r>
        <w:rPr>
          <w:rFonts w:hint="eastAsia" w:ascii="宋体" w:hAnsi="宋体" w:cs="宋体"/>
          <w:bCs/>
          <w:kern w:val="0"/>
          <w:sz w:val="24"/>
          <w:highlight w:val="none"/>
          <w:u w:val="single"/>
        </w:rPr>
        <w:t xml:space="preserve">          (</w:t>
      </w:r>
      <w:r>
        <w:rPr>
          <w:rFonts w:hint="eastAsia" w:ascii="宋体" w:hAnsi="宋体" w:cs="宋体"/>
          <w:bCs/>
          <w:kern w:val="0"/>
          <w:sz w:val="24"/>
          <w:highlight w:val="none"/>
        </w:rPr>
        <w:t>委托代理人姓名)</w:t>
      </w:r>
      <w:r>
        <w:rPr>
          <w:rFonts w:hint="eastAsia" w:ascii="宋体" w:hAnsi="宋体" w:cs="宋体"/>
          <w:bCs/>
          <w:kern w:val="0"/>
          <w:sz w:val="24"/>
          <w:highlight w:val="none"/>
          <w:u w:val="single"/>
        </w:rPr>
        <w:t xml:space="preserve">        </w:t>
      </w:r>
      <w:r>
        <w:rPr>
          <w:rFonts w:hint="eastAsia" w:ascii="宋体" w:hAnsi="宋体" w:cs="宋体"/>
          <w:bCs/>
          <w:kern w:val="0"/>
          <w:sz w:val="24"/>
          <w:highlight w:val="none"/>
        </w:rPr>
        <w:t>(身份证号）为我方委托代理人，参加</w:t>
      </w:r>
      <w:r>
        <w:rPr>
          <w:rFonts w:hint="eastAsia" w:ascii="宋体" w:hAnsi="宋体" w:cs="宋体"/>
          <w:kern w:val="0"/>
          <w:sz w:val="24"/>
          <w:highlight w:val="none"/>
        </w:rPr>
        <w:t>（项目名称）</w:t>
      </w:r>
      <w:r>
        <w:rPr>
          <w:rFonts w:hint="eastAsia" w:ascii="宋体" w:hAnsi="宋体" w:cs="宋体"/>
          <w:kern w:val="0"/>
          <w:sz w:val="24"/>
          <w:highlight w:val="none"/>
          <w:u w:val="single"/>
        </w:rPr>
        <w:t xml:space="preserve">               （</w:t>
      </w:r>
      <w:r>
        <w:rPr>
          <w:rFonts w:hint="eastAsia" w:ascii="宋体" w:hAnsi="宋体" w:cs="宋体"/>
          <w:kern w:val="0"/>
          <w:sz w:val="24"/>
          <w:highlight w:val="none"/>
        </w:rPr>
        <w:t>项目编号)的投标活动，并以本公司名义处理一切与此次投标有关的事宜。在此次投标过程中，本公司将承担该代理人行为的全部法律后果和法律责任。</w:t>
      </w:r>
    </w:p>
    <w:p w14:paraId="37FA9469">
      <w:pPr>
        <w:pStyle w:val="229"/>
        <w:snapToGrid w:val="0"/>
        <w:spacing w:line="360" w:lineRule="auto"/>
        <w:ind w:firstLine="480"/>
        <w:rPr>
          <w:rFonts w:hint="eastAsia" w:cs="宋体"/>
          <w:color w:val="auto"/>
          <w:kern w:val="0"/>
          <w:sz w:val="24"/>
          <w:szCs w:val="24"/>
          <w:highlight w:val="none"/>
        </w:rPr>
      </w:pPr>
      <w:r>
        <w:rPr>
          <w:rFonts w:hint="eastAsia" w:cs="宋体"/>
          <w:color w:val="auto"/>
          <w:kern w:val="0"/>
          <w:sz w:val="24"/>
          <w:szCs w:val="24"/>
          <w:highlight w:val="none"/>
          <w:lang w:val="en-GB"/>
        </w:rPr>
        <w:t>本</w:t>
      </w:r>
      <w:r>
        <w:rPr>
          <w:rFonts w:hint="eastAsia" w:cs="宋体"/>
          <w:color w:val="auto"/>
          <w:kern w:val="0"/>
          <w:sz w:val="24"/>
          <w:szCs w:val="24"/>
          <w:highlight w:val="none"/>
        </w:rPr>
        <w:t>授权书</w:t>
      </w:r>
      <w:r>
        <w:rPr>
          <w:rFonts w:hint="eastAsia" w:cs="宋体"/>
          <w:color w:val="auto"/>
          <w:kern w:val="0"/>
          <w:sz w:val="24"/>
          <w:szCs w:val="24"/>
          <w:highlight w:val="none"/>
          <w:lang w:val="en-GB"/>
        </w:rPr>
        <w:t>有效期与本公司投标文件中标注的投标有效期相同，自签章之日起生效。</w:t>
      </w:r>
    </w:p>
    <w:p w14:paraId="231C454E">
      <w:pPr>
        <w:snapToGrid w:val="0"/>
        <w:spacing w:line="360" w:lineRule="auto"/>
        <w:ind w:firstLine="480"/>
        <w:rPr>
          <w:rFonts w:hint="eastAsia" w:ascii="宋体" w:hAnsi="宋体" w:cs="宋体"/>
          <w:kern w:val="0"/>
          <w:sz w:val="24"/>
          <w:highlight w:val="none"/>
        </w:rPr>
      </w:pPr>
    </w:p>
    <w:p w14:paraId="0E9B8DEA">
      <w:pPr>
        <w:pBdr>
          <w:top w:val="single" w:color="000000" w:sz="4" w:space="1"/>
          <w:left w:val="single" w:color="000000" w:sz="4" w:space="4"/>
          <w:bottom w:val="single" w:color="000000" w:sz="4" w:space="1"/>
          <w:right w:val="single" w:color="000000" w:sz="4" w:space="4"/>
        </w:pBdr>
        <w:snapToGrid w:val="0"/>
        <w:spacing w:line="360" w:lineRule="auto"/>
        <w:ind w:firstLine="480"/>
        <w:rPr>
          <w:rFonts w:hint="eastAsia" w:ascii="宋体" w:hAnsi="宋体" w:cs="宋体"/>
          <w:kern w:val="0"/>
          <w:sz w:val="24"/>
          <w:highlight w:val="none"/>
        </w:rPr>
      </w:pPr>
      <w:r>
        <w:rPr>
          <w:rFonts w:hint="eastAsia" w:ascii="宋体" w:hAnsi="宋体" w:cs="宋体"/>
          <w:kern w:val="0"/>
          <w:sz w:val="24"/>
          <w:highlight w:val="none"/>
        </w:rPr>
        <w:t>被授权委托人身份证复印件（正反面）：</w:t>
      </w:r>
    </w:p>
    <w:p w14:paraId="00A015EA">
      <w:pPr>
        <w:pBdr>
          <w:top w:val="single" w:color="000000" w:sz="4" w:space="1"/>
          <w:left w:val="single" w:color="000000" w:sz="4" w:space="4"/>
          <w:bottom w:val="single" w:color="000000" w:sz="4" w:space="1"/>
          <w:right w:val="single" w:color="000000" w:sz="4" w:space="4"/>
        </w:pBdr>
        <w:snapToGrid w:val="0"/>
        <w:spacing w:line="360" w:lineRule="auto"/>
        <w:ind w:firstLine="480"/>
        <w:rPr>
          <w:rFonts w:hint="eastAsia" w:ascii="宋体" w:hAnsi="宋体" w:cs="宋体"/>
          <w:kern w:val="0"/>
          <w:sz w:val="24"/>
          <w:highlight w:val="none"/>
        </w:rPr>
      </w:pPr>
    </w:p>
    <w:p w14:paraId="18756590">
      <w:pPr>
        <w:pBdr>
          <w:top w:val="single" w:color="000000" w:sz="4" w:space="1"/>
          <w:left w:val="single" w:color="000000" w:sz="4" w:space="4"/>
          <w:bottom w:val="single" w:color="000000" w:sz="4" w:space="1"/>
          <w:right w:val="single" w:color="000000" w:sz="4" w:space="4"/>
        </w:pBdr>
        <w:snapToGrid w:val="0"/>
        <w:spacing w:line="360" w:lineRule="auto"/>
        <w:ind w:firstLine="480"/>
        <w:rPr>
          <w:rFonts w:hint="eastAsia" w:ascii="宋体" w:hAnsi="宋体" w:cs="宋体"/>
          <w:kern w:val="0"/>
          <w:sz w:val="24"/>
          <w:highlight w:val="none"/>
        </w:rPr>
      </w:pPr>
    </w:p>
    <w:p w14:paraId="6AC5F797">
      <w:pPr>
        <w:pBdr>
          <w:top w:val="single" w:color="000000" w:sz="4" w:space="1"/>
          <w:left w:val="single" w:color="000000" w:sz="4" w:space="4"/>
          <w:bottom w:val="single" w:color="000000" w:sz="4" w:space="1"/>
          <w:right w:val="single" w:color="000000" w:sz="4" w:space="4"/>
        </w:pBdr>
        <w:snapToGrid w:val="0"/>
        <w:spacing w:line="360" w:lineRule="auto"/>
        <w:ind w:firstLine="480"/>
        <w:rPr>
          <w:rFonts w:hint="eastAsia" w:ascii="宋体" w:hAnsi="宋体" w:cs="宋体"/>
          <w:kern w:val="0"/>
          <w:sz w:val="24"/>
          <w:highlight w:val="none"/>
        </w:rPr>
      </w:pPr>
    </w:p>
    <w:p w14:paraId="47B83CA0">
      <w:pPr>
        <w:pBdr>
          <w:top w:val="single" w:color="000000" w:sz="4" w:space="1"/>
          <w:left w:val="single" w:color="000000" w:sz="4" w:space="4"/>
          <w:bottom w:val="single" w:color="000000" w:sz="4" w:space="1"/>
          <w:right w:val="single" w:color="000000" w:sz="4" w:space="4"/>
        </w:pBdr>
        <w:snapToGrid w:val="0"/>
        <w:spacing w:line="360" w:lineRule="auto"/>
        <w:ind w:firstLine="480"/>
        <w:rPr>
          <w:rFonts w:hint="eastAsia" w:ascii="宋体" w:hAnsi="宋体" w:cs="宋体"/>
          <w:kern w:val="0"/>
          <w:sz w:val="24"/>
          <w:highlight w:val="none"/>
        </w:rPr>
      </w:pPr>
    </w:p>
    <w:p w14:paraId="01FAA36A">
      <w:pPr>
        <w:pBdr>
          <w:top w:val="single" w:color="000000" w:sz="4" w:space="1"/>
          <w:left w:val="single" w:color="000000" w:sz="4" w:space="4"/>
          <w:bottom w:val="single" w:color="000000" w:sz="4" w:space="1"/>
          <w:right w:val="single" w:color="000000" w:sz="4" w:space="4"/>
        </w:pBdr>
        <w:snapToGrid w:val="0"/>
        <w:spacing w:line="360" w:lineRule="auto"/>
        <w:ind w:firstLine="480"/>
        <w:rPr>
          <w:rFonts w:hint="eastAsia" w:ascii="宋体" w:hAnsi="宋体" w:cs="宋体"/>
          <w:kern w:val="0"/>
          <w:sz w:val="24"/>
          <w:highlight w:val="none"/>
        </w:rPr>
      </w:pPr>
    </w:p>
    <w:p w14:paraId="075BD275">
      <w:pPr>
        <w:snapToGrid w:val="0"/>
        <w:spacing w:line="360" w:lineRule="auto"/>
        <w:ind w:firstLine="480"/>
        <w:rPr>
          <w:rFonts w:hint="eastAsia" w:ascii="宋体" w:hAnsi="宋体" w:cs="宋体"/>
          <w:kern w:val="0"/>
          <w:sz w:val="24"/>
          <w:highlight w:val="none"/>
        </w:rPr>
      </w:pPr>
    </w:p>
    <w:p w14:paraId="68A587C7">
      <w:pPr>
        <w:snapToGrid w:val="0"/>
        <w:spacing w:line="360" w:lineRule="auto"/>
        <w:ind w:firstLine="480"/>
        <w:rPr>
          <w:rFonts w:hint="eastAsia" w:ascii="宋体" w:hAnsi="宋体" w:cs="宋体"/>
          <w:kern w:val="0"/>
          <w:sz w:val="24"/>
          <w:highlight w:val="none"/>
        </w:rPr>
      </w:pPr>
    </w:p>
    <w:p w14:paraId="3156D3BF">
      <w:pPr>
        <w:snapToGrid w:val="0"/>
        <w:spacing w:line="360" w:lineRule="auto"/>
        <w:ind w:firstLine="480"/>
        <w:rPr>
          <w:rFonts w:hint="eastAsia" w:ascii="宋体" w:hAnsi="宋体" w:cs="宋体"/>
          <w:kern w:val="0"/>
          <w:sz w:val="24"/>
          <w:highlight w:val="none"/>
          <w:u w:val="single"/>
        </w:rPr>
      </w:pPr>
      <w:r>
        <w:rPr>
          <w:rFonts w:hint="eastAsia" w:ascii="宋体" w:hAnsi="宋体" w:cs="宋体"/>
          <w:kern w:val="0"/>
          <w:sz w:val="24"/>
          <w:highlight w:val="none"/>
        </w:rPr>
        <w:t>法定代表人签字或盖章：</w:t>
      </w:r>
    </w:p>
    <w:p w14:paraId="6B06179B">
      <w:pPr>
        <w:snapToGrid w:val="0"/>
        <w:spacing w:line="360" w:lineRule="auto"/>
        <w:ind w:firstLine="480"/>
        <w:rPr>
          <w:rFonts w:hint="eastAsia" w:ascii="宋体" w:hAnsi="宋体" w:cs="宋体"/>
          <w:kern w:val="0"/>
          <w:sz w:val="24"/>
          <w:highlight w:val="none"/>
          <w:u w:val="single"/>
        </w:rPr>
      </w:pPr>
      <w:r>
        <w:rPr>
          <w:rFonts w:hint="eastAsia" w:ascii="宋体" w:hAnsi="宋体" w:cs="宋体"/>
          <w:kern w:val="0"/>
          <w:sz w:val="24"/>
          <w:highlight w:val="none"/>
        </w:rPr>
        <w:t>被授权人签字：</w:t>
      </w:r>
    </w:p>
    <w:p w14:paraId="63C4919D">
      <w:pPr>
        <w:snapToGrid w:val="0"/>
        <w:spacing w:line="360" w:lineRule="auto"/>
        <w:ind w:firstLine="480"/>
        <w:rPr>
          <w:rFonts w:hint="eastAsia" w:ascii="宋体" w:hAnsi="宋体" w:cs="宋体"/>
          <w:kern w:val="0"/>
          <w:sz w:val="24"/>
          <w:highlight w:val="none"/>
          <w:u w:val="single"/>
        </w:rPr>
      </w:pPr>
      <w:r>
        <w:rPr>
          <w:rFonts w:hint="eastAsia" w:ascii="宋体" w:hAnsi="宋体" w:cs="宋体"/>
          <w:kern w:val="0"/>
          <w:sz w:val="24"/>
          <w:highlight w:val="none"/>
        </w:rPr>
        <w:t>投标人公章：</w:t>
      </w:r>
    </w:p>
    <w:p w14:paraId="07131B11">
      <w:pPr>
        <w:snapToGrid w:val="0"/>
        <w:spacing w:line="360" w:lineRule="auto"/>
        <w:ind w:firstLine="480"/>
        <w:rPr>
          <w:rFonts w:hint="eastAsia" w:ascii="宋体" w:hAnsi="宋体" w:cs="宋体"/>
          <w:kern w:val="0"/>
          <w:sz w:val="24"/>
          <w:highlight w:val="none"/>
        </w:rPr>
      </w:pPr>
      <w:r>
        <w:rPr>
          <w:rFonts w:hint="eastAsia" w:ascii="宋体" w:hAnsi="宋体" w:cs="宋体"/>
          <w:kern w:val="0"/>
          <w:sz w:val="24"/>
          <w:highlight w:val="none"/>
        </w:rPr>
        <w:t>日期：</w:t>
      </w:r>
    </w:p>
    <w:p w14:paraId="0302054A">
      <w:pPr>
        <w:snapToGrid w:val="0"/>
        <w:spacing w:line="360" w:lineRule="auto"/>
        <w:ind w:firstLine="480"/>
        <w:rPr>
          <w:rFonts w:hint="eastAsia" w:ascii="宋体" w:hAnsi="宋体" w:cs="宋体"/>
          <w:kern w:val="0"/>
          <w:sz w:val="24"/>
          <w:highlight w:val="none"/>
          <w:u w:val="single"/>
        </w:rPr>
      </w:pPr>
    </w:p>
    <w:p w14:paraId="7F919E81">
      <w:pPr>
        <w:snapToGrid w:val="0"/>
        <w:spacing w:line="360" w:lineRule="auto"/>
        <w:ind w:firstLine="480"/>
        <w:rPr>
          <w:rFonts w:hint="eastAsia" w:ascii="宋体" w:hAnsi="宋体" w:cs="宋体"/>
          <w:kern w:val="0"/>
          <w:sz w:val="24"/>
          <w:highlight w:val="none"/>
          <w:u w:val="single"/>
        </w:rPr>
      </w:pPr>
    </w:p>
    <w:p w14:paraId="107AA4AB">
      <w:pPr>
        <w:snapToGrid w:val="0"/>
        <w:spacing w:line="360" w:lineRule="auto"/>
        <w:ind w:firstLine="482"/>
        <w:rPr>
          <w:rFonts w:hint="eastAsia" w:ascii="宋体" w:hAnsi="宋体" w:cs="宋体"/>
          <w:b/>
          <w:kern w:val="0"/>
          <w:sz w:val="24"/>
          <w:highlight w:val="none"/>
        </w:rPr>
      </w:pPr>
      <w:r>
        <w:rPr>
          <w:rFonts w:hint="eastAsia" w:ascii="宋体" w:hAnsi="宋体" w:cs="宋体"/>
          <w:b/>
          <w:kern w:val="0"/>
          <w:sz w:val="24"/>
          <w:highlight w:val="none"/>
        </w:rPr>
        <w:t>注：1.法定代表人和被授权人签字，必须是亲笔签名。</w:t>
      </w:r>
    </w:p>
    <w:p w14:paraId="4C0BEA98">
      <w:pPr>
        <w:snapToGrid w:val="0"/>
        <w:spacing w:line="360" w:lineRule="auto"/>
        <w:ind w:firstLine="482"/>
        <w:rPr>
          <w:rFonts w:hint="eastAsia" w:ascii="宋体" w:hAnsi="宋体" w:cs="宋体"/>
          <w:b/>
          <w:kern w:val="0"/>
          <w:sz w:val="24"/>
          <w:highlight w:val="none"/>
        </w:rPr>
      </w:pPr>
      <w:r>
        <w:rPr>
          <w:rFonts w:hint="eastAsia" w:ascii="宋体" w:hAnsi="宋体" w:cs="宋体"/>
          <w:b/>
          <w:kern w:val="0"/>
          <w:sz w:val="24"/>
          <w:highlight w:val="none"/>
        </w:rPr>
        <w:t>2.法定代表人盖章和投标人公章，必须是经公安部门备案的印章。</w:t>
      </w:r>
    </w:p>
    <w:p w14:paraId="0033A516">
      <w:pPr>
        <w:snapToGrid w:val="0"/>
        <w:spacing w:line="360" w:lineRule="auto"/>
        <w:ind w:firstLine="482"/>
        <w:rPr>
          <w:rFonts w:hint="eastAsia" w:ascii="宋体" w:hAnsi="宋体" w:cs="宋体"/>
          <w:b/>
          <w:kern w:val="0"/>
          <w:sz w:val="24"/>
          <w:highlight w:val="none"/>
        </w:rPr>
      </w:pPr>
      <w:r>
        <w:rPr>
          <w:rFonts w:hint="eastAsia" w:ascii="宋体" w:hAnsi="宋体" w:cs="宋体"/>
          <w:b/>
          <w:kern w:val="0"/>
          <w:sz w:val="24"/>
          <w:highlight w:val="none"/>
        </w:rPr>
        <w:t>3.不得使用其他印章或电子制版签名。</w:t>
      </w:r>
    </w:p>
    <w:p w14:paraId="5850E4A1">
      <w:pPr>
        <w:snapToGrid w:val="0"/>
        <w:spacing w:line="360" w:lineRule="auto"/>
        <w:ind w:firstLine="482"/>
        <w:rPr>
          <w:rFonts w:hint="eastAsia" w:ascii="宋体" w:hAnsi="宋体" w:cs="宋体"/>
          <w:b/>
          <w:kern w:val="0"/>
          <w:sz w:val="24"/>
          <w:highlight w:val="none"/>
        </w:rPr>
      </w:pPr>
      <w:r>
        <w:rPr>
          <w:rFonts w:hint="eastAsia" w:ascii="宋体" w:hAnsi="宋体" w:cs="宋体"/>
          <w:b/>
          <w:kern w:val="0"/>
          <w:sz w:val="24"/>
          <w:highlight w:val="none"/>
        </w:rPr>
        <w:t>4.本文件应按规定签署，否则投标文件无效。</w:t>
      </w:r>
    </w:p>
    <w:p w14:paraId="325FD1B4">
      <w:pPr>
        <w:widowControl/>
        <w:jc w:val="left"/>
        <w:rPr>
          <w:rFonts w:hint="eastAsia" w:ascii="宋体" w:hAnsi="宋体" w:cs="宋体"/>
          <w:kern w:val="0"/>
          <w:sz w:val="24"/>
          <w:szCs w:val="21"/>
          <w:highlight w:val="none"/>
        </w:rPr>
      </w:pPr>
      <w:r>
        <w:rPr>
          <w:rFonts w:hAnsi="宋体" w:cs="宋体"/>
          <w:kern w:val="0"/>
          <w:sz w:val="24"/>
          <w:highlight w:val="none"/>
        </w:rPr>
        <w:br w:type="page"/>
      </w:r>
    </w:p>
    <w:p w14:paraId="20FCA6C2">
      <w:pPr>
        <w:pStyle w:val="45"/>
        <w:snapToGrid w:val="0"/>
        <w:spacing w:line="360" w:lineRule="auto"/>
        <w:jc w:val="center"/>
        <w:outlineLvl w:val="1"/>
        <w:rPr>
          <w:rFonts w:hint="eastAsia" w:hAnsi="宋体" w:cs="宋体"/>
          <w:b/>
          <w:kern w:val="0"/>
          <w:sz w:val="36"/>
          <w:szCs w:val="24"/>
          <w:highlight w:val="none"/>
        </w:rPr>
      </w:pPr>
      <w:bookmarkStart w:id="196" w:name="_Toc31598"/>
      <w:bookmarkStart w:id="197" w:name="_Toc29096_WPSOffice_Level1"/>
      <w:bookmarkStart w:id="198" w:name="_Toc32228_WPSOffice_Level1"/>
      <w:r>
        <w:rPr>
          <w:rFonts w:hint="eastAsia" w:hAnsi="宋体" w:cs="宋体"/>
          <w:b/>
          <w:kern w:val="0"/>
          <w:sz w:val="36"/>
          <w:szCs w:val="24"/>
          <w:highlight w:val="none"/>
        </w:rPr>
        <w:t>八、资格证明文件</w:t>
      </w:r>
      <w:bookmarkEnd w:id="196"/>
      <w:bookmarkEnd w:id="197"/>
      <w:bookmarkEnd w:id="198"/>
    </w:p>
    <w:p w14:paraId="17961514">
      <w:pPr>
        <w:pStyle w:val="45"/>
        <w:snapToGrid w:val="0"/>
        <w:spacing w:line="360" w:lineRule="auto"/>
        <w:ind w:firstLine="480" w:firstLineChars="200"/>
        <w:rPr>
          <w:rFonts w:hint="eastAsia" w:hAnsi="宋体" w:cs="宋体"/>
          <w:bCs/>
          <w:kern w:val="0"/>
          <w:sz w:val="24"/>
          <w:highlight w:val="none"/>
        </w:rPr>
      </w:pPr>
      <w:r>
        <w:rPr>
          <w:rFonts w:hint="eastAsia" w:hAnsi="宋体" w:cs="宋体"/>
          <w:kern w:val="0"/>
          <w:sz w:val="24"/>
          <w:szCs w:val="24"/>
          <w:highlight w:val="none"/>
        </w:rPr>
        <w:t>1.营业执照（</w:t>
      </w:r>
      <w:r>
        <w:rPr>
          <w:rFonts w:hint="eastAsia" w:hAnsi="宋体" w:cs="宋体"/>
          <w:bCs/>
          <w:kern w:val="0"/>
          <w:sz w:val="24"/>
          <w:highlight w:val="none"/>
        </w:rPr>
        <w:t>或事业单位法人证书）副本复印件</w:t>
      </w:r>
    </w:p>
    <w:p w14:paraId="73B3675F">
      <w:pPr>
        <w:pStyle w:val="45"/>
        <w:snapToGrid w:val="0"/>
        <w:spacing w:line="360" w:lineRule="auto"/>
        <w:ind w:firstLine="480" w:firstLineChars="200"/>
        <w:rPr>
          <w:rFonts w:hint="eastAsia" w:hAnsi="宋体" w:cs="宋体"/>
          <w:kern w:val="0"/>
          <w:sz w:val="24"/>
          <w:szCs w:val="24"/>
          <w:highlight w:val="none"/>
        </w:rPr>
      </w:pPr>
      <w:r>
        <w:rPr>
          <w:rFonts w:hint="eastAsia" w:hAnsi="宋体" w:cs="宋体"/>
          <w:kern w:val="0"/>
          <w:sz w:val="24"/>
          <w:szCs w:val="24"/>
          <w:highlight w:val="none"/>
        </w:rPr>
        <w:t>2.2024年度经过审计的财务报告，或2025年基本存款账户开户银行出具的资信证明及基本存款账户开户证明材料（复印件加盖公章）</w:t>
      </w:r>
    </w:p>
    <w:p w14:paraId="44918FD0">
      <w:pPr>
        <w:pStyle w:val="45"/>
        <w:snapToGrid w:val="0"/>
        <w:spacing w:line="360" w:lineRule="auto"/>
        <w:ind w:firstLine="480" w:firstLineChars="200"/>
        <w:rPr>
          <w:rFonts w:hint="eastAsia" w:hAnsi="宋体" w:cs="宋体"/>
          <w:kern w:val="0"/>
          <w:sz w:val="24"/>
          <w:szCs w:val="24"/>
          <w:highlight w:val="none"/>
        </w:rPr>
      </w:pPr>
      <w:r>
        <w:rPr>
          <w:rFonts w:hint="eastAsia" w:hAnsi="宋体" w:cs="宋体"/>
          <w:kern w:val="0"/>
          <w:sz w:val="24"/>
          <w:szCs w:val="24"/>
          <w:highlight w:val="none"/>
        </w:rPr>
        <w:t>3.具备履行合同所必需的设备和专业技术能力声明函（格式自拟，原件）</w:t>
      </w:r>
    </w:p>
    <w:p w14:paraId="1F46F269">
      <w:pPr>
        <w:pStyle w:val="45"/>
        <w:snapToGrid w:val="0"/>
        <w:spacing w:line="360" w:lineRule="auto"/>
        <w:ind w:firstLine="480" w:firstLineChars="200"/>
        <w:rPr>
          <w:rFonts w:hint="eastAsia" w:hAnsi="宋体" w:cs="宋体"/>
          <w:kern w:val="0"/>
          <w:sz w:val="24"/>
          <w:szCs w:val="24"/>
          <w:highlight w:val="none"/>
        </w:rPr>
      </w:pPr>
      <w:r>
        <w:rPr>
          <w:rFonts w:hint="eastAsia" w:hAnsi="宋体" w:cs="宋体"/>
          <w:kern w:val="0"/>
          <w:sz w:val="24"/>
          <w:szCs w:val="24"/>
          <w:highlight w:val="none"/>
        </w:rPr>
        <w:t>4.开标时间前六个月内任一个月的依法缴纳税收的缴款凭据（复印件加盖公章）</w:t>
      </w:r>
    </w:p>
    <w:p w14:paraId="7FCE636F">
      <w:pPr>
        <w:pStyle w:val="45"/>
        <w:snapToGrid w:val="0"/>
        <w:spacing w:line="360" w:lineRule="auto"/>
        <w:ind w:firstLine="480" w:firstLineChars="200"/>
        <w:rPr>
          <w:rFonts w:hint="eastAsia" w:hAnsi="宋体" w:cs="宋体"/>
          <w:kern w:val="0"/>
          <w:sz w:val="24"/>
          <w:szCs w:val="24"/>
          <w:highlight w:val="none"/>
        </w:rPr>
      </w:pPr>
      <w:r>
        <w:rPr>
          <w:rFonts w:hint="eastAsia" w:hAnsi="宋体" w:cs="宋体"/>
          <w:kern w:val="0"/>
          <w:sz w:val="24"/>
          <w:szCs w:val="24"/>
          <w:highlight w:val="none"/>
        </w:rPr>
        <w:t>5.开标时间前六个月内任一个月的依法缴纳社会保障资金的缴款凭据（复印件加盖公章）</w:t>
      </w:r>
    </w:p>
    <w:p w14:paraId="2BC9897E">
      <w:pPr>
        <w:pStyle w:val="45"/>
        <w:snapToGrid w:val="0"/>
        <w:spacing w:line="360" w:lineRule="auto"/>
        <w:ind w:firstLine="480" w:firstLineChars="200"/>
        <w:rPr>
          <w:rFonts w:hint="eastAsia" w:hAnsi="宋体" w:cs="宋体"/>
          <w:kern w:val="0"/>
          <w:sz w:val="24"/>
          <w:szCs w:val="24"/>
          <w:highlight w:val="none"/>
        </w:rPr>
      </w:pPr>
      <w:r>
        <w:rPr>
          <w:rFonts w:hint="eastAsia" w:hAnsi="宋体" w:cs="宋体"/>
          <w:kern w:val="0"/>
          <w:sz w:val="24"/>
          <w:szCs w:val="24"/>
          <w:highlight w:val="none"/>
        </w:rPr>
        <w:t>6.诚信投标承诺函（参加政府采购活动前三年内在经营活动中没有重大违法记录的书面声明函）（格式6）</w:t>
      </w:r>
    </w:p>
    <w:p w14:paraId="6DAC7D77">
      <w:pPr>
        <w:pStyle w:val="45"/>
        <w:snapToGrid w:val="0"/>
        <w:spacing w:line="360" w:lineRule="auto"/>
        <w:ind w:firstLine="480" w:firstLineChars="200"/>
        <w:rPr>
          <w:rFonts w:hint="eastAsia" w:hAnsi="宋体" w:cs="宋体"/>
          <w:kern w:val="0"/>
          <w:sz w:val="24"/>
          <w:szCs w:val="24"/>
          <w:highlight w:val="none"/>
        </w:rPr>
      </w:pPr>
      <w:r>
        <w:rPr>
          <w:rFonts w:hint="eastAsia" w:hAnsi="宋体" w:cs="宋体"/>
          <w:kern w:val="0"/>
          <w:sz w:val="24"/>
          <w:szCs w:val="24"/>
          <w:highlight w:val="none"/>
        </w:rPr>
        <w:t>7.非联合体投标声明（格式自拟）</w:t>
      </w:r>
    </w:p>
    <w:p w14:paraId="0D561E24">
      <w:pPr>
        <w:pStyle w:val="45"/>
        <w:snapToGrid w:val="0"/>
        <w:spacing w:line="360" w:lineRule="auto"/>
        <w:ind w:firstLine="480" w:firstLineChars="200"/>
        <w:jc w:val="left"/>
        <w:rPr>
          <w:rFonts w:hint="eastAsia" w:hAnsi="宋体" w:cs="宋体"/>
          <w:kern w:val="0"/>
          <w:sz w:val="24"/>
          <w:szCs w:val="24"/>
          <w:highlight w:val="none"/>
        </w:rPr>
      </w:pPr>
      <w:r>
        <w:rPr>
          <w:rFonts w:hint="eastAsia" w:hAnsi="宋体" w:cs="宋体"/>
          <w:kern w:val="0"/>
          <w:sz w:val="24"/>
          <w:szCs w:val="24"/>
          <w:highlight w:val="none"/>
        </w:rPr>
        <w:t>8.投标人关联单位的说明（格式8）</w:t>
      </w:r>
    </w:p>
    <w:p w14:paraId="3BCF11BC">
      <w:pPr>
        <w:pStyle w:val="45"/>
        <w:snapToGrid w:val="0"/>
        <w:spacing w:line="360" w:lineRule="auto"/>
        <w:ind w:firstLine="482"/>
        <w:rPr>
          <w:rFonts w:hint="eastAsia" w:hAnsi="宋体" w:cs="宋体"/>
          <w:b/>
          <w:kern w:val="0"/>
          <w:sz w:val="24"/>
          <w:szCs w:val="24"/>
          <w:highlight w:val="none"/>
        </w:rPr>
      </w:pPr>
      <w:r>
        <w:rPr>
          <w:rFonts w:hint="eastAsia" w:hAnsi="宋体" w:cs="宋体"/>
          <w:b/>
          <w:kern w:val="0"/>
          <w:sz w:val="24"/>
          <w:szCs w:val="24"/>
          <w:highlight w:val="none"/>
        </w:rPr>
        <w:t>注:以上证明材料需在投标文件目录中明确标注页码。</w:t>
      </w:r>
    </w:p>
    <w:p w14:paraId="11E83E27">
      <w:pPr>
        <w:widowControl/>
        <w:snapToGrid w:val="0"/>
        <w:spacing w:line="360" w:lineRule="auto"/>
        <w:jc w:val="left"/>
        <w:rPr>
          <w:rFonts w:hint="eastAsia" w:hAnsi="宋体" w:cs="宋体"/>
          <w:kern w:val="0"/>
          <w:sz w:val="24"/>
          <w:highlight w:val="none"/>
        </w:rPr>
      </w:pPr>
      <w:r>
        <w:rPr>
          <w:rFonts w:hint="eastAsia" w:ascii="宋体" w:hAnsi="宋体" w:cs="宋体"/>
          <w:kern w:val="0"/>
          <w:sz w:val="24"/>
          <w:highlight w:val="none"/>
        </w:rPr>
        <w:br w:type="page"/>
      </w:r>
      <w:r>
        <w:rPr>
          <w:rFonts w:hint="eastAsia" w:hAnsi="宋体" w:cs="宋体"/>
          <w:kern w:val="0"/>
          <w:sz w:val="24"/>
          <w:highlight w:val="none"/>
        </w:rPr>
        <w:t>格式6</w:t>
      </w:r>
    </w:p>
    <w:p w14:paraId="15A52461">
      <w:pPr>
        <w:snapToGrid w:val="0"/>
        <w:spacing w:before="240" w:after="240" w:line="360" w:lineRule="auto"/>
        <w:ind w:firstLine="643"/>
        <w:jc w:val="center"/>
        <w:rPr>
          <w:rFonts w:hint="eastAsia" w:ascii="宋体" w:hAnsi="宋体" w:cs="宋体"/>
          <w:b/>
          <w:kern w:val="0"/>
          <w:sz w:val="32"/>
          <w:szCs w:val="32"/>
          <w:highlight w:val="none"/>
        </w:rPr>
      </w:pPr>
      <w:r>
        <w:rPr>
          <w:rFonts w:hint="eastAsia" w:ascii="宋体" w:hAnsi="宋体" w:cs="宋体"/>
          <w:b/>
          <w:kern w:val="0"/>
          <w:sz w:val="32"/>
          <w:szCs w:val="32"/>
          <w:highlight w:val="none"/>
        </w:rPr>
        <w:t>诚信投标承诺函</w:t>
      </w:r>
    </w:p>
    <w:p w14:paraId="7B715847">
      <w:pPr>
        <w:snapToGrid w:val="0"/>
        <w:spacing w:line="360" w:lineRule="auto"/>
        <w:ind w:firstLine="482"/>
        <w:rPr>
          <w:rFonts w:hint="eastAsia" w:ascii="宋体" w:hAnsi="宋体" w:cs="宋体"/>
          <w:b/>
          <w:kern w:val="0"/>
          <w:sz w:val="24"/>
          <w:highlight w:val="none"/>
        </w:rPr>
      </w:pPr>
      <w:r>
        <w:rPr>
          <w:rFonts w:hint="eastAsia" w:ascii="宋体" w:hAnsi="宋体" w:cs="宋体"/>
          <w:b/>
          <w:kern w:val="0"/>
          <w:sz w:val="24"/>
          <w:highlight w:val="none"/>
          <w:u w:val="single"/>
        </w:rPr>
        <w:t>（采购人或采购代理机构名称）</w:t>
      </w:r>
      <w:r>
        <w:rPr>
          <w:rFonts w:hint="eastAsia" w:ascii="宋体" w:hAnsi="宋体" w:cs="宋体"/>
          <w:b/>
          <w:kern w:val="0"/>
          <w:sz w:val="24"/>
          <w:highlight w:val="none"/>
        </w:rPr>
        <w:t xml:space="preserve"> ：</w:t>
      </w:r>
    </w:p>
    <w:p w14:paraId="4654A117">
      <w:pPr>
        <w:snapToGrid w:val="0"/>
        <w:spacing w:line="360" w:lineRule="auto"/>
        <w:ind w:firstLine="564" w:firstLineChars="235"/>
        <w:rPr>
          <w:rFonts w:hint="eastAsia" w:ascii="宋体" w:hAnsi="宋体" w:cs="宋体"/>
          <w:kern w:val="0"/>
          <w:sz w:val="24"/>
          <w:highlight w:val="none"/>
        </w:rPr>
      </w:pPr>
      <w:r>
        <w:rPr>
          <w:rFonts w:hint="eastAsia" w:ascii="宋体" w:hAnsi="宋体" w:cs="宋体"/>
          <w:kern w:val="0"/>
          <w:sz w:val="24"/>
          <w:highlight w:val="none"/>
        </w:rPr>
        <w:t>在本项目投标文件截止时间前，我单位参加本次政府采购活动前三年内在经营活动中没有因违法经营受到刑事处罚或者责令停产停业、吊销许可证或者执照、较大数额罚款等行政处罚的重大违法记录；通过“信用中国”(网站：www.creditchina.gov.cn/)、“中国政府采购网”（网站www.ccgp.gov.cn）等渠道查询，我单位未被列入失信被执行人、重大税收违法案件当事人名单、政府采购严重违法失信行为记录名单。</w:t>
      </w:r>
    </w:p>
    <w:p w14:paraId="37B4CE97">
      <w:pPr>
        <w:snapToGrid w:val="0"/>
        <w:spacing w:line="360" w:lineRule="auto"/>
        <w:ind w:firstLine="240" w:firstLineChars="100"/>
        <w:rPr>
          <w:rFonts w:hint="eastAsia" w:ascii="宋体" w:hAnsi="宋体" w:cs="宋体"/>
          <w:kern w:val="0"/>
          <w:sz w:val="24"/>
          <w:highlight w:val="none"/>
        </w:rPr>
      </w:pPr>
      <w:bookmarkStart w:id="199" w:name="_Hlk113183055"/>
      <w:r>
        <w:rPr>
          <w:rFonts w:hint="eastAsia" w:ascii="宋体" w:hAnsi="宋体" w:cs="宋体"/>
          <w:kern w:val="0"/>
          <w:sz w:val="24"/>
          <w:highlight w:val="none"/>
        </w:rPr>
        <w:t>我单位在本项目所属行业</w:t>
      </w:r>
      <w:r>
        <w:rPr>
          <w:rFonts w:hint="eastAsia" w:ascii="宋体" w:hAnsi="宋体" w:cs="宋体"/>
          <w:kern w:val="0"/>
          <w:sz w:val="24"/>
          <w:highlight w:val="none"/>
          <w:u w:val="single"/>
        </w:rPr>
        <w:t xml:space="preserve"> </w:t>
      </w:r>
      <w:r>
        <w:rPr>
          <w:rFonts w:ascii="宋体" w:hAnsi="宋体" w:cs="宋体"/>
          <w:kern w:val="0"/>
          <w:sz w:val="24"/>
          <w:highlight w:val="none"/>
          <w:u w:val="single"/>
        </w:rPr>
        <w:t xml:space="preserve">       </w:t>
      </w:r>
      <w:r>
        <w:rPr>
          <w:rFonts w:hint="eastAsia" w:ascii="宋体" w:hAnsi="宋体" w:cs="宋体"/>
          <w:kern w:val="0"/>
          <w:sz w:val="24"/>
          <w:highlight w:val="none"/>
        </w:rPr>
        <w:t>中为</w:t>
      </w:r>
      <w:r>
        <w:rPr>
          <w:rFonts w:ascii="宋体" w:hAnsi="宋体" w:cs="宋体"/>
          <w:kern w:val="0"/>
          <w:sz w:val="24"/>
          <w:highlight w:val="none"/>
          <w:u w:val="single"/>
        </w:rPr>
        <w:t xml:space="preserve">        </w:t>
      </w:r>
      <w:r>
        <w:rPr>
          <w:rFonts w:hint="eastAsia" w:ascii="宋体" w:hAnsi="宋体" w:cs="宋体"/>
          <w:kern w:val="0"/>
          <w:sz w:val="24"/>
          <w:highlight w:val="none"/>
        </w:rPr>
        <w:t>（中型、小型、微型企业），《中小企业声明函》中内容属实。</w:t>
      </w:r>
    </w:p>
    <w:p w14:paraId="2E664B87">
      <w:pPr>
        <w:snapToGrid w:val="0"/>
        <w:spacing w:line="360" w:lineRule="auto"/>
        <w:ind w:firstLine="564" w:firstLineChars="235"/>
        <w:rPr>
          <w:rFonts w:hint="eastAsia" w:ascii="宋体" w:hAnsi="宋体" w:cs="宋体"/>
          <w:kern w:val="0"/>
          <w:sz w:val="24"/>
          <w:highlight w:val="none"/>
        </w:rPr>
      </w:pPr>
      <w:r>
        <w:rPr>
          <w:rFonts w:hint="eastAsia" w:ascii="宋体" w:hAnsi="宋体" w:cs="宋体"/>
          <w:kern w:val="0"/>
          <w:sz w:val="24"/>
          <w:highlight w:val="none"/>
        </w:rPr>
        <w:t>我单位在本项目投标文件中所响应的各类文件，我单位均依法核实，保证所提供材料的真实性。</w:t>
      </w:r>
    </w:p>
    <w:bookmarkEnd w:id="199"/>
    <w:p w14:paraId="256C3743">
      <w:pPr>
        <w:tabs>
          <w:tab w:val="left" w:pos="10065"/>
        </w:tabs>
        <w:snapToGrid w:val="0"/>
        <w:spacing w:line="360" w:lineRule="auto"/>
        <w:ind w:firstLine="424" w:firstLineChars="177"/>
        <w:rPr>
          <w:rFonts w:hint="eastAsia" w:ascii="宋体" w:hAnsi="宋体" w:cs="宋体"/>
          <w:kern w:val="0"/>
          <w:sz w:val="24"/>
          <w:highlight w:val="none"/>
        </w:rPr>
      </w:pPr>
      <w:r>
        <w:rPr>
          <w:rFonts w:hint="eastAsia" w:ascii="宋体" w:hAnsi="宋体" w:cs="宋体"/>
          <w:kern w:val="0"/>
          <w:sz w:val="24"/>
          <w:highlight w:val="none"/>
        </w:rPr>
        <w:t>如发现我单位提供的</w:t>
      </w:r>
      <w:bookmarkStart w:id="200" w:name="_Hlk113183062"/>
      <w:r>
        <w:rPr>
          <w:rFonts w:hint="eastAsia" w:ascii="宋体" w:hAnsi="宋体" w:cs="宋体"/>
          <w:kern w:val="0"/>
          <w:sz w:val="24"/>
          <w:highlight w:val="none"/>
        </w:rPr>
        <w:t>材料</w:t>
      </w:r>
      <w:bookmarkEnd w:id="200"/>
      <w:r>
        <w:rPr>
          <w:rFonts w:hint="eastAsia" w:ascii="宋体" w:hAnsi="宋体" w:cs="宋体"/>
          <w:kern w:val="0"/>
          <w:sz w:val="24"/>
          <w:highlight w:val="none"/>
        </w:rPr>
        <w:t>不实时，我单位将按照《政府采购法》有关提供虚假材料的规定，接受处罚。</w:t>
      </w:r>
    </w:p>
    <w:p w14:paraId="4390C82D">
      <w:pPr>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特此声明。</w:t>
      </w:r>
    </w:p>
    <w:p w14:paraId="245C4116">
      <w:pPr>
        <w:snapToGrid w:val="0"/>
        <w:spacing w:line="360" w:lineRule="auto"/>
        <w:ind w:firstLine="480"/>
        <w:rPr>
          <w:rFonts w:hint="eastAsia" w:ascii="宋体" w:hAnsi="宋体" w:cs="宋体"/>
          <w:kern w:val="0"/>
          <w:sz w:val="24"/>
          <w:highlight w:val="none"/>
        </w:rPr>
      </w:pPr>
    </w:p>
    <w:p w14:paraId="0239C190">
      <w:pPr>
        <w:snapToGrid w:val="0"/>
        <w:spacing w:before="120" w:after="120" w:line="360" w:lineRule="auto"/>
        <w:ind w:firstLine="480"/>
        <w:rPr>
          <w:rFonts w:hint="eastAsia" w:ascii="宋体" w:hAnsi="宋体" w:cs="宋体"/>
          <w:kern w:val="0"/>
          <w:sz w:val="24"/>
          <w:highlight w:val="none"/>
        </w:rPr>
      </w:pPr>
    </w:p>
    <w:p w14:paraId="7CC3593F">
      <w:pPr>
        <w:snapToGrid w:val="0"/>
        <w:spacing w:before="120" w:after="120" w:line="360" w:lineRule="auto"/>
        <w:ind w:firstLine="480"/>
        <w:rPr>
          <w:rFonts w:hint="eastAsia" w:ascii="宋体" w:hAnsi="宋体" w:cs="宋体"/>
          <w:kern w:val="0"/>
          <w:sz w:val="24"/>
          <w:highlight w:val="none"/>
        </w:rPr>
      </w:pPr>
    </w:p>
    <w:p w14:paraId="6D43BEF9">
      <w:pPr>
        <w:snapToGrid w:val="0"/>
        <w:spacing w:before="120" w:after="120" w:line="360" w:lineRule="auto"/>
        <w:ind w:firstLine="480"/>
        <w:rPr>
          <w:rFonts w:hint="eastAsia" w:ascii="宋体" w:hAnsi="宋体" w:cs="宋体"/>
          <w:kern w:val="0"/>
          <w:sz w:val="24"/>
          <w:highlight w:val="none"/>
        </w:rPr>
      </w:pPr>
    </w:p>
    <w:p w14:paraId="5B023564">
      <w:pPr>
        <w:snapToGrid w:val="0"/>
        <w:spacing w:line="360" w:lineRule="auto"/>
        <w:ind w:firstLine="480"/>
        <w:rPr>
          <w:rFonts w:hint="eastAsia" w:ascii="宋体" w:hAnsi="宋体" w:cs="宋体"/>
          <w:kern w:val="0"/>
          <w:sz w:val="24"/>
          <w:highlight w:val="none"/>
        </w:rPr>
      </w:pPr>
    </w:p>
    <w:p w14:paraId="7EC71C8F">
      <w:pPr>
        <w:snapToGrid w:val="0"/>
        <w:spacing w:line="360" w:lineRule="auto"/>
        <w:ind w:firstLine="480"/>
        <w:rPr>
          <w:rFonts w:hint="eastAsia" w:ascii="宋体" w:hAnsi="宋体" w:cs="宋体"/>
          <w:kern w:val="0"/>
          <w:sz w:val="24"/>
          <w:highlight w:val="none"/>
        </w:rPr>
      </w:pPr>
      <w:r>
        <w:rPr>
          <w:rFonts w:hint="eastAsia" w:ascii="宋体" w:hAnsi="宋体" w:cs="宋体"/>
          <w:kern w:val="0"/>
          <w:sz w:val="24"/>
          <w:highlight w:val="none"/>
        </w:rPr>
        <w:t>投标人名称（加盖单位公章）：</w:t>
      </w:r>
    </w:p>
    <w:p w14:paraId="379F94FB">
      <w:pPr>
        <w:snapToGrid w:val="0"/>
        <w:spacing w:line="360" w:lineRule="auto"/>
        <w:ind w:firstLine="480"/>
        <w:rPr>
          <w:rFonts w:hint="eastAsia" w:ascii="宋体" w:hAnsi="宋体" w:cs="宋体"/>
          <w:kern w:val="0"/>
          <w:sz w:val="24"/>
          <w:highlight w:val="none"/>
        </w:rPr>
      </w:pPr>
      <w:r>
        <w:rPr>
          <w:rFonts w:hint="eastAsia" w:ascii="宋体" w:hAnsi="宋体" w:cs="宋体"/>
          <w:kern w:val="0"/>
          <w:sz w:val="24"/>
          <w:highlight w:val="none"/>
        </w:rPr>
        <w:t>法定代表人（或非法人组织负责人）或其授权代表人(签字或盖章)：</w:t>
      </w:r>
    </w:p>
    <w:p w14:paraId="002344EB">
      <w:pPr>
        <w:snapToGrid w:val="0"/>
        <w:spacing w:line="360" w:lineRule="auto"/>
        <w:ind w:firstLine="480"/>
        <w:rPr>
          <w:rFonts w:hint="eastAsia" w:ascii="宋体" w:hAnsi="宋体" w:cs="宋体"/>
          <w:kern w:val="0"/>
          <w:sz w:val="24"/>
          <w:highlight w:val="none"/>
        </w:rPr>
      </w:pPr>
      <w:r>
        <w:rPr>
          <w:rFonts w:hint="eastAsia" w:ascii="宋体" w:hAnsi="宋体" w:cs="宋体"/>
          <w:kern w:val="0"/>
          <w:sz w:val="24"/>
          <w:highlight w:val="none"/>
        </w:rPr>
        <w:t>日期：</w:t>
      </w:r>
    </w:p>
    <w:p w14:paraId="641795C7">
      <w:pPr>
        <w:widowControl/>
        <w:jc w:val="left"/>
        <w:rPr>
          <w:rFonts w:hint="eastAsia" w:ascii="宋体" w:hAnsi="宋体" w:cs="宋体"/>
          <w:kern w:val="0"/>
          <w:sz w:val="24"/>
          <w:highlight w:val="none"/>
        </w:rPr>
      </w:pPr>
      <w:bookmarkStart w:id="201" w:name="_Toc18517_WPSOffice_Level1"/>
      <w:bookmarkStart w:id="202" w:name="_Toc26986_WPSOffice_Level1"/>
      <w:r>
        <w:rPr>
          <w:rFonts w:ascii="宋体" w:hAnsi="宋体" w:cs="宋体"/>
          <w:kern w:val="0"/>
          <w:sz w:val="24"/>
          <w:highlight w:val="none"/>
        </w:rPr>
        <w:br w:type="page"/>
      </w:r>
    </w:p>
    <w:p w14:paraId="77D9EC27">
      <w:pPr>
        <w:tabs>
          <w:tab w:val="left" w:pos="840"/>
        </w:tabs>
        <w:adjustRightInd w:val="0"/>
        <w:snapToGrid w:val="0"/>
        <w:spacing w:line="360" w:lineRule="auto"/>
        <w:rPr>
          <w:rFonts w:hint="eastAsia" w:ascii="宋体" w:hAnsi="宋体" w:cs="宋体"/>
          <w:b/>
          <w:kern w:val="0"/>
          <w:sz w:val="24"/>
          <w:highlight w:val="none"/>
        </w:rPr>
      </w:pPr>
      <w:r>
        <w:rPr>
          <w:rFonts w:hint="eastAsia" w:ascii="宋体" w:hAnsi="宋体" w:cs="宋体"/>
          <w:kern w:val="0"/>
          <w:sz w:val="24"/>
          <w:highlight w:val="none"/>
        </w:rPr>
        <w:t>格式8</w:t>
      </w:r>
    </w:p>
    <w:p w14:paraId="7E457BDE">
      <w:pPr>
        <w:tabs>
          <w:tab w:val="left" w:pos="840"/>
        </w:tabs>
        <w:adjustRightInd w:val="0"/>
        <w:snapToGrid w:val="0"/>
        <w:spacing w:line="360" w:lineRule="auto"/>
        <w:jc w:val="center"/>
        <w:rPr>
          <w:rFonts w:hint="eastAsia" w:ascii="宋体" w:hAnsi="宋体" w:cs="宋体"/>
          <w:b/>
          <w:kern w:val="0"/>
          <w:sz w:val="32"/>
          <w:szCs w:val="32"/>
          <w:highlight w:val="none"/>
        </w:rPr>
      </w:pPr>
      <w:r>
        <w:rPr>
          <w:rFonts w:hint="eastAsia" w:ascii="宋体" w:hAnsi="宋体" w:cs="宋体"/>
          <w:b/>
          <w:kern w:val="0"/>
          <w:sz w:val="32"/>
          <w:szCs w:val="32"/>
          <w:highlight w:val="none"/>
        </w:rPr>
        <w:t>投标人关联单位的说明</w:t>
      </w:r>
    </w:p>
    <w:p w14:paraId="4AADDC79">
      <w:pPr>
        <w:snapToGrid w:val="0"/>
        <w:spacing w:line="360" w:lineRule="auto"/>
        <w:ind w:firstLine="480" w:firstLineChars="200"/>
        <w:rPr>
          <w:rFonts w:hint="eastAsia" w:ascii="宋体" w:hAnsi="宋体" w:cs="宋体"/>
          <w:bCs/>
          <w:kern w:val="0"/>
          <w:sz w:val="24"/>
          <w:highlight w:val="none"/>
        </w:rPr>
      </w:pPr>
      <w:r>
        <w:rPr>
          <w:rFonts w:hint="eastAsia" w:ascii="宋体" w:hAnsi="宋体" w:cs="宋体"/>
          <w:bCs/>
          <w:kern w:val="0"/>
          <w:sz w:val="24"/>
          <w:highlight w:val="none"/>
        </w:rPr>
        <w:t>说明：投标人应当如实披露与本单位存在下列关联关系的单位名称：</w:t>
      </w:r>
    </w:p>
    <w:p w14:paraId="0AEFEC4C">
      <w:pPr>
        <w:snapToGrid w:val="0"/>
        <w:spacing w:line="360" w:lineRule="auto"/>
        <w:ind w:firstLine="480" w:firstLineChars="200"/>
        <w:rPr>
          <w:rFonts w:hint="eastAsia" w:ascii="宋体" w:hAnsi="宋体" w:cs="宋体"/>
          <w:bCs/>
          <w:kern w:val="0"/>
          <w:sz w:val="24"/>
          <w:highlight w:val="none"/>
        </w:rPr>
      </w:pPr>
      <w:r>
        <w:rPr>
          <w:rFonts w:hint="eastAsia" w:ascii="宋体" w:hAnsi="宋体" w:cs="宋体"/>
          <w:bCs/>
          <w:kern w:val="0"/>
          <w:sz w:val="24"/>
          <w:highlight w:val="none"/>
        </w:rPr>
        <w:t>（1）与投标人法定代表人（或非法人组织负责人）为同一人的其他单位；</w:t>
      </w:r>
    </w:p>
    <w:p w14:paraId="3148C706">
      <w:pPr>
        <w:snapToGrid w:val="0"/>
        <w:spacing w:line="360" w:lineRule="auto"/>
        <w:ind w:firstLine="480" w:firstLineChars="200"/>
        <w:rPr>
          <w:rFonts w:hint="eastAsia" w:ascii="宋体" w:hAnsi="宋体" w:cs="宋体"/>
          <w:bCs/>
          <w:kern w:val="0"/>
          <w:sz w:val="24"/>
          <w:highlight w:val="none"/>
          <w:u w:val="single"/>
        </w:rPr>
      </w:pPr>
      <w:r>
        <w:rPr>
          <w:rFonts w:hint="eastAsia" w:ascii="宋体" w:hAnsi="宋体" w:cs="宋体"/>
          <w:bCs/>
          <w:kern w:val="0"/>
          <w:sz w:val="24"/>
          <w:highlight w:val="none"/>
        </w:rPr>
        <w:t>（2）与投标人存在直接控股、管理关系的其他单位：</w:t>
      </w:r>
    </w:p>
    <w:p w14:paraId="5007F97C">
      <w:pPr>
        <w:spacing w:line="360" w:lineRule="auto"/>
        <w:ind w:firstLine="480" w:firstLineChars="200"/>
        <w:rPr>
          <w:rFonts w:hint="eastAsia" w:ascii="宋体" w:hAnsi="宋体"/>
          <w:bCs/>
          <w:sz w:val="24"/>
          <w:highlight w:val="none"/>
        </w:rPr>
      </w:pPr>
      <w:r>
        <w:rPr>
          <w:rFonts w:hint="eastAsia" w:ascii="宋体" w:hAnsi="宋体"/>
          <w:bCs/>
          <w:sz w:val="24"/>
          <w:highlight w:val="none"/>
        </w:rPr>
        <w:t>（3）为本采购项目提供整体设计、规范编制或者项目管理、监理、检测等服务的供应商参加本项目采购活动：</w:t>
      </w:r>
    </w:p>
    <w:p w14:paraId="5CFAEEC0">
      <w:pPr>
        <w:spacing w:line="360" w:lineRule="auto"/>
        <w:ind w:firstLine="708" w:firstLineChars="295"/>
        <w:rPr>
          <w:rFonts w:hint="eastAsia" w:ascii="宋体" w:hAnsi="宋体"/>
          <w:bCs/>
          <w:sz w:val="24"/>
          <w:highlight w:val="none"/>
        </w:rPr>
      </w:pPr>
      <w:r>
        <w:rPr>
          <w:rFonts w:hint="eastAsia" w:ascii="宋体" w:hAnsi="宋体"/>
          <w:bCs/>
          <w:sz w:val="24"/>
          <w:highlight w:val="none"/>
        </w:rPr>
        <w:t>是否存在以上情形：</w:t>
      </w:r>
      <w:r>
        <w:rPr>
          <w:rFonts w:ascii="宋体" w:hAnsi="宋体"/>
          <w:bCs/>
          <w:sz w:val="24"/>
          <w:highlight w:val="none"/>
          <w:u w:val="single"/>
        </w:rPr>
        <w:t xml:space="preserve">      </w:t>
      </w:r>
      <w:r>
        <w:rPr>
          <w:rFonts w:hint="eastAsia" w:ascii="宋体" w:hAnsi="宋体"/>
          <w:bCs/>
          <w:sz w:val="24"/>
          <w:highlight w:val="none"/>
        </w:rPr>
        <w:t>。</w:t>
      </w:r>
    </w:p>
    <w:p w14:paraId="21A61A63">
      <w:pPr>
        <w:snapToGrid w:val="0"/>
        <w:spacing w:line="360" w:lineRule="auto"/>
        <w:ind w:firstLine="480" w:firstLineChars="200"/>
        <w:rPr>
          <w:rFonts w:hint="eastAsia" w:ascii="宋体" w:hAnsi="宋体" w:cs="宋体"/>
          <w:bCs/>
          <w:kern w:val="0"/>
          <w:sz w:val="24"/>
          <w:highlight w:val="none"/>
        </w:rPr>
      </w:pPr>
    </w:p>
    <w:p w14:paraId="7C4F0B3F">
      <w:pPr>
        <w:snapToGrid w:val="0"/>
        <w:spacing w:line="360" w:lineRule="auto"/>
        <w:ind w:firstLine="480" w:firstLineChars="200"/>
        <w:rPr>
          <w:rFonts w:hint="eastAsia" w:ascii="宋体" w:hAnsi="宋体" w:cs="宋体"/>
          <w:bCs/>
          <w:kern w:val="0"/>
          <w:sz w:val="24"/>
          <w:highlight w:val="none"/>
        </w:rPr>
      </w:pPr>
      <w:r>
        <w:rPr>
          <w:rFonts w:hint="eastAsia" w:ascii="宋体" w:hAnsi="宋体" w:cs="宋体"/>
          <w:bCs/>
          <w:kern w:val="0"/>
          <w:sz w:val="24"/>
          <w:highlight w:val="none"/>
        </w:rPr>
        <w:t>注：若无此情形，写“无”即可</w:t>
      </w:r>
    </w:p>
    <w:p w14:paraId="7F6F746E">
      <w:pPr>
        <w:snapToGrid w:val="0"/>
        <w:spacing w:before="120" w:after="120" w:line="360" w:lineRule="auto"/>
        <w:ind w:firstLine="480" w:firstLineChars="200"/>
        <w:rPr>
          <w:rFonts w:hint="eastAsia" w:ascii="宋体" w:hAnsi="宋体" w:cs="宋体"/>
          <w:bCs/>
          <w:kern w:val="0"/>
          <w:sz w:val="24"/>
          <w:highlight w:val="none"/>
          <w:u w:val="single"/>
        </w:rPr>
      </w:pPr>
      <w:r>
        <w:rPr>
          <w:rFonts w:hint="eastAsia" w:ascii="宋体" w:hAnsi="宋体" w:cs="宋体"/>
          <w:bCs/>
          <w:kern w:val="0"/>
          <w:sz w:val="24"/>
          <w:highlight w:val="none"/>
        </w:rPr>
        <w:t>投标人名称（加盖单位公章）：</w:t>
      </w:r>
    </w:p>
    <w:p w14:paraId="71D2AC99">
      <w:pPr>
        <w:snapToGrid w:val="0"/>
        <w:spacing w:line="360" w:lineRule="auto"/>
        <w:ind w:firstLine="480" w:firstLineChars="200"/>
        <w:rPr>
          <w:rFonts w:hint="eastAsia" w:ascii="宋体" w:hAnsi="宋体" w:cs="宋体"/>
          <w:bCs/>
          <w:kern w:val="0"/>
          <w:sz w:val="24"/>
          <w:highlight w:val="none"/>
        </w:rPr>
      </w:pPr>
      <w:r>
        <w:rPr>
          <w:rFonts w:hint="eastAsia" w:ascii="宋体" w:hAnsi="宋体" w:cs="宋体"/>
          <w:bCs/>
          <w:kern w:val="0"/>
          <w:sz w:val="24"/>
          <w:highlight w:val="none"/>
        </w:rPr>
        <w:t>法定代表人（或非法人组织负责人）或其授权委托人(签字或盖章)：</w:t>
      </w:r>
    </w:p>
    <w:p w14:paraId="3A34678A">
      <w:pPr>
        <w:tabs>
          <w:tab w:val="left" w:pos="840"/>
        </w:tabs>
        <w:adjustRightInd w:val="0"/>
        <w:snapToGrid w:val="0"/>
        <w:spacing w:line="360" w:lineRule="auto"/>
        <w:ind w:firstLine="480" w:firstLineChars="200"/>
        <w:rPr>
          <w:rFonts w:hint="eastAsia" w:ascii="宋体" w:hAnsi="宋体" w:cs="宋体"/>
          <w:b/>
          <w:kern w:val="0"/>
          <w:sz w:val="24"/>
          <w:highlight w:val="none"/>
        </w:rPr>
      </w:pPr>
      <w:r>
        <w:rPr>
          <w:rFonts w:hint="eastAsia" w:ascii="宋体" w:hAnsi="宋体" w:cs="宋体"/>
          <w:bCs/>
          <w:kern w:val="0"/>
          <w:sz w:val="24"/>
          <w:highlight w:val="none"/>
        </w:rPr>
        <w:t>日期：    年  月  日</w:t>
      </w:r>
    </w:p>
    <w:p w14:paraId="0774D9A6">
      <w:pPr>
        <w:pStyle w:val="45"/>
        <w:snapToGrid w:val="0"/>
        <w:spacing w:line="360" w:lineRule="auto"/>
        <w:jc w:val="center"/>
        <w:outlineLvl w:val="1"/>
        <w:rPr>
          <w:rFonts w:hint="eastAsia" w:hAnsi="宋体" w:cs="宋体"/>
          <w:b/>
          <w:kern w:val="0"/>
          <w:sz w:val="36"/>
          <w:szCs w:val="24"/>
          <w:highlight w:val="none"/>
        </w:rPr>
      </w:pPr>
      <w:r>
        <w:rPr>
          <w:rFonts w:hint="eastAsia" w:hAnsi="宋体" w:cs="宋体"/>
          <w:b/>
          <w:kern w:val="0"/>
          <w:sz w:val="36"/>
          <w:highlight w:val="none"/>
        </w:rPr>
        <w:br w:type="page"/>
      </w:r>
      <w:bookmarkStart w:id="203" w:name="_Toc8019"/>
      <w:r>
        <w:rPr>
          <w:rFonts w:hint="eastAsia" w:hAnsi="宋体" w:cs="宋体"/>
          <w:b/>
          <w:kern w:val="0"/>
          <w:sz w:val="36"/>
          <w:szCs w:val="24"/>
          <w:highlight w:val="none"/>
        </w:rPr>
        <w:t>九、</w:t>
      </w:r>
      <w:bookmarkEnd w:id="201"/>
      <w:bookmarkEnd w:id="202"/>
      <w:r>
        <w:rPr>
          <w:rFonts w:hAnsi="宋体" w:cs="宋体"/>
          <w:b/>
          <w:kern w:val="0"/>
          <w:sz w:val="36"/>
          <w:szCs w:val="24"/>
          <w:highlight w:val="none"/>
        </w:rPr>
        <w:t>投标保证金缴纳凭证</w:t>
      </w:r>
      <w:bookmarkEnd w:id="203"/>
    </w:p>
    <w:p w14:paraId="28CE77D8">
      <w:pPr>
        <w:pStyle w:val="45"/>
        <w:snapToGrid w:val="0"/>
        <w:spacing w:line="360" w:lineRule="auto"/>
        <w:ind w:firstLine="723"/>
        <w:rPr>
          <w:rFonts w:hint="eastAsia" w:hAnsi="宋体" w:cs="宋体"/>
          <w:b/>
          <w:kern w:val="0"/>
          <w:sz w:val="36"/>
          <w:szCs w:val="24"/>
          <w:highlight w:val="none"/>
        </w:rPr>
      </w:pPr>
    </w:p>
    <w:p w14:paraId="13D85856">
      <w:pPr>
        <w:pStyle w:val="45"/>
        <w:snapToGrid w:val="0"/>
        <w:spacing w:line="360" w:lineRule="auto"/>
        <w:ind w:firstLine="723"/>
        <w:rPr>
          <w:rFonts w:hint="eastAsia" w:hAnsi="宋体" w:cs="宋体"/>
          <w:b/>
          <w:kern w:val="0"/>
          <w:sz w:val="36"/>
          <w:szCs w:val="24"/>
          <w:highlight w:val="none"/>
        </w:rPr>
      </w:pPr>
    </w:p>
    <w:p w14:paraId="6DC19DED">
      <w:pPr>
        <w:snapToGrid w:val="0"/>
        <w:spacing w:line="360" w:lineRule="auto"/>
        <w:rPr>
          <w:rFonts w:hint="eastAsia" w:ascii="宋体" w:hAnsi="宋体" w:cs="宋体"/>
          <w:b/>
          <w:kern w:val="0"/>
          <w:sz w:val="24"/>
          <w:highlight w:val="none"/>
        </w:rPr>
      </w:pPr>
      <w:bookmarkStart w:id="204" w:name="_Toc529515609"/>
      <w:bookmarkEnd w:id="204"/>
      <w:bookmarkStart w:id="205" w:name="_Toc529375325"/>
      <w:bookmarkEnd w:id="205"/>
      <w:bookmarkStart w:id="206" w:name="_Toc10787_WPSOffice_Level1"/>
      <w:bookmarkStart w:id="207" w:name="_Toc5510_WPSOffice_Level1"/>
      <w:r>
        <w:rPr>
          <w:rFonts w:hint="eastAsia" w:hAnsi="宋体" w:cs="宋体"/>
          <w:b/>
          <w:kern w:val="0"/>
          <w:sz w:val="32"/>
          <w:szCs w:val="32"/>
          <w:highlight w:val="none"/>
        </w:rPr>
        <w:br w:type="page"/>
      </w:r>
    </w:p>
    <w:p w14:paraId="37D48043">
      <w:pPr>
        <w:widowControl/>
        <w:jc w:val="left"/>
        <w:rPr>
          <w:rFonts w:hint="eastAsia" w:ascii="宋体" w:hAnsi="宋体" w:cs="宋体"/>
          <w:kern w:val="0"/>
          <w:sz w:val="24"/>
          <w:highlight w:val="none"/>
        </w:rPr>
      </w:pPr>
    </w:p>
    <w:bookmarkEnd w:id="206"/>
    <w:bookmarkEnd w:id="207"/>
    <w:p w14:paraId="6E496B38">
      <w:pPr>
        <w:pStyle w:val="45"/>
        <w:snapToGrid w:val="0"/>
        <w:spacing w:line="360" w:lineRule="auto"/>
        <w:outlineLvl w:val="1"/>
        <w:rPr>
          <w:rFonts w:hint="eastAsia" w:hAnsi="宋体" w:cs="宋体"/>
          <w:b/>
          <w:kern w:val="0"/>
          <w:sz w:val="36"/>
          <w:szCs w:val="24"/>
          <w:highlight w:val="none"/>
        </w:rPr>
      </w:pPr>
      <w:bookmarkStart w:id="208" w:name="_Toc4240_WPSOffice_Level1"/>
      <w:bookmarkStart w:id="209" w:name="_Toc3503_WPSOffice_Level1"/>
      <w:bookmarkStart w:id="210" w:name="_Toc17699"/>
      <w:r>
        <w:rPr>
          <w:rFonts w:hint="eastAsia" w:hAnsi="宋体" w:cs="宋体"/>
          <w:b/>
          <w:kern w:val="0"/>
          <w:sz w:val="36"/>
          <w:szCs w:val="24"/>
          <w:highlight w:val="none"/>
        </w:rPr>
        <w:t>十、中小企业声明函、监狱企业证明、残疾人福利性单位声明函</w:t>
      </w:r>
      <w:bookmarkEnd w:id="208"/>
      <w:bookmarkEnd w:id="209"/>
      <w:bookmarkEnd w:id="210"/>
    </w:p>
    <w:p w14:paraId="11A33E3B">
      <w:pPr>
        <w:pStyle w:val="45"/>
        <w:snapToGrid w:val="0"/>
        <w:spacing w:line="360" w:lineRule="auto"/>
        <w:jc w:val="center"/>
        <w:rPr>
          <w:rFonts w:hint="eastAsia" w:hAnsi="宋体" w:cs="宋体"/>
          <w:b/>
          <w:kern w:val="0"/>
          <w:sz w:val="36"/>
          <w:szCs w:val="24"/>
          <w:highlight w:val="none"/>
        </w:rPr>
      </w:pPr>
      <w:bookmarkStart w:id="211" w:name="_Toc11670_WPSOffice_Level1"/>
      <w:bookmarkStart w:id="212" w:name="_Toc14357_WPSOffice_Level1"/>
      <w:bookmarkStart w:id="213" w:name="_Toc32003_WPSOffice_Level1"/>
      <w:bookmarkStart w:id="214" w:name="_Toc25853_WPSOffice_Level1"/>
      <w:r>
        <w:rPr>
          <w:rFonts w:hint="eastAsia" w:hAnsi="宋体" w:cs="宋体"/>
          <w:b/>
          <w:kern w:val="0"/>
          <w:sz w:val="36"/>
          <w:szCs w:val="24"/>
          <w:highlight w:val="none"/>
        </w:rPr>
        <w:t>（一）中小企业声明函</w:t>
      </w:r>
    </w:p>
    <w:p w14:paraId="3E970CB7">
      <w:pPr>
        <w:snapToGrid w:val="0"/>
        <w:spacing w:line="360" w:lineRule="auto"/>
        <w:jc w:val="center"/>
        <w:rPr>
          <w:rFonts w:hint="eastAsia" w:ascii="宋体" w:hAnsi="宋体" w:cs="宋体"/>
          <w:b/>
          <w:kern w:val="0"/>
          <w:sz w:val="28"/>
          <w:szCs w:val="28"/>
          <w:highlight w:val="none"/>
          <w:lang w:val="zh-CN"/>
        </w:rPr>
      </w:pPr>
      <w:r>
        <w:rPr>
          <w:rFonts w:hint="eastAsia" w:ascii="宋体" w:hAnsi="宋体" w:cs="宋体"/>
          <w:b/>
          <w:kern w:val="0"/>
          <w:sz w:val="28"/>
          <w:szCs w:val="28"/>
          <w:highlight w:val="none"/>
        </w:rPr>
        <w:t>（如不符合请填“无”）</w:t>
      </w:r>
    </w:p>
    <w:p w14:paraId="43CF938F">
      <w:pPr>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本公司（联合体）郑重声明，根据《政府采购促进中小企业发展管理办法》（财库﹝2020﹞46号）的规定，本公司（联合体）参加</w:t>
      </w:r>
      <w:r>
        <w:rPr>
          <w:rFonts w:hint="eastAsia" w:ascii="宋体" w:hAnsi="宋体" w:cs="宋体"/>
          <w:kern w:val="0"/>
          <w:sz w:val="24"/>
          <w:highlight w:val="none"/>
          <w:u w:val="single"/>
        </w:rPr>
        <w:t>（单位名称）</w:t>
      </w:r>
      <w:r>
        <w:rPr>
          <w:rFonts w:hint="eastAsia" w:ascii="宋体" w:hAnsi="宋体" w:cs="宋体"/>
          <w:kern w:val="0"/>
          <w:sz w:val="24"/>
          <w:highlight w:val="none"/>
        </w:rPr>
        <w:t>的</w:t>
      </w:r>
      <w:r>
        <w:rPr>
          <w:rFonts w:hint="eastAsia" w:ascii="宋体" w:hAnsi="宋体" w:cs="宋体"/>
          <w:kern w:val="0"/>
          <w:sz w:val="24"/>
          <w:highlight w:val="none"/>
          <w:u w:val="single"/>
        </w:rPr>
        <w:t>（项目名称）</w:t>
      </w:r>
      <w:r>
        <w:rPr>
          <w:rFonts w:hint="eastAsia" w:ascii="宋体" w:hAnsi="宋体" w:cs="宋体"/>
          <w:kern w:val="0"/>
          <w:sz w:val="24"/>
          <w:highlight w:val="none"/>
        </w:rPr>
        <w:t>采购活动，提供的货物全部由符合政策要求的中小企业制造。相关企业（含联合体中的中小企业、签订分包意向协议的中小企业）的具体情况如下：</w:t>
      </w:r>
    </w:p>
    <w:p w14:paraId="0D5CAEF1">
      <w:pPr>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 xml:space="preserve">1. </w:t>
      </w:r>
      <w:r>
        <w:rPr>
          <w:rFonts w:hint="eastAsia" w:ascii="宋体" w:hAnsi="宋体" w:cs="宋体"/>
          <w:kern w:val="0"/>
          <w:sz w:val="24"/>
          <w:highlight w:val="none"/>
          <w:u w:val="single"/>
        </w:rPr>
        <w:t>（</w:t>
      </w:r>
      <w:r>
        <w:rPr>
          <w:rFonts w:hint="eastAsia" w:ascii="宋体" w:hAnsi="宋体" w:cs="宋体"/>
          <w:i/>
          <w:iCs/>
          <w:kern w:val="0"/>
          <w:sz w:val="24"/>
          <w:highlight w:val="none"/>
          <w:u w:val="single"/>
        </w:rPr>
        <w:t>标的名称</w:t>
      </w:r>
      <w:r>
        <w:rPr>
          <w:rFonts w:hint="eastAsia" w:ascii="宋体" w:hAnsi="宋体" w:cs="宋体"/>
          <w:kern w:val="0"/>
          <w:sz w:val="24"/>
          <w:highlight w:val="none"/>
          <w:u w:val="single"/>
        </w:rPr>
        <w:t>）</w:t>
      </w:r>
      <w:r>
        <w:rPr>
          <w:rFonts w:hint="eastAsia" w:ascii="宋体" w:hAnsi="宋体" w:cs="宋体"/>
          <w:kern w:val="0"/>
          <w:sz w:val="24"/>
          <w:highlight w:val="none"/>
        </w:rPr>
        <w:t>，属于</w:t>
      </w:r>
      <w:r>
        <w:rPr>
          <w:rFonts w:hint="eastAsia" w:ascii="宋体" w:hAnsi="宋体" w:cs="宋体"/>
          <w:kern w:val="0"/>
          <w:sz w:val="24"/>
          <w:highlight w:val="none"/>
          <w:u w:val="single"/>
        </w:rPr>
        <w:t>（</w:t>
      </w:r>
      <w:r>
        <w:rPr>
          <w:rFonts w:hint="eastAsia" w:ascii="宋体" w:hAnsi="宋体" w:cs="宋体"/>
          <w:i w:val="0"/>
          <w:iCs w:val="0"/>
          <w:kern w:val="0"/>
          <w:sz w:val="24"/>
          <w:highlight w:val="none"/>
          <w:u w:val="single"/>
          <w:lang w:val="en-US" w:eastAsia="zh-CN"/>
        </w:rPr>
        <w:t>工业</w:t>
      </w:r>
      <w:r>
        <w:rPr>
          <w:rFonts w:hint="eastAsia" w:ascii="宋体" w:hAnsi="宋体" w:cs="宋体"/>
          <w:kern w:val="0"/>
          <w:sz w:val="24"/>
          <w:highlight w:val="none"/>
          <w:u w:val="single"/>
        </w:rPr>
        <w:t>）行业</w:t>
      </w:r>
      <w:r>
        <w:rPr>
          <w:rFonts w:hint="eastAsia" w:ascii="宋体" w:hAnsi="宋体" w:cs="宋体"/>
          <w:kern w:val="0"/>
          <w:sz w:val="24"/>
          <w:highlight w:val="none"/>
        </w:rPr>
        <w:t>；制造商为</w:t>
      </w:r>
      <w:r>
        <w:rPr>
          <w:rFonts w:hint="eastAsia" w:ascii="宋体" w:hAnsi="宋体" w:cs="宋体"/>
          <w:kern w:val="0"/>
          <w:sz w:val="24"/>
          <w:highlight w:val="none"/>
          <w:u w:val="single"/>
        </w:rPr>
        <w:t>（</w:t>
      </w:r>
      <w:r>
        <w:rPr>
          <w:rFonts w:hint="eastAsia" w:ascii="宋体" w:hAnsi="宋体" w:cs="宋体"/>
          <w:i/>
          <w:iCs/>
          <w:kern w:val="0"/>
          <w:sz w:val="24"/>
          <w:highlight w:val="none"/>
          <w:u w:val="single"/>
        </w:rPr>
        <w:t>企业名称</w:t>
      </w:r>
      <w:r>
        <w:rPr>
          <w:rFonts w:hint="eastAsia" w:ascii="宋体" w:hAnsi="宋体" w:cs="宋体"/>
          <w:kern w:val="0"/>
          <w:sz w:val="24"/>
          <w:highlight w:val="none"/>
          <w:u w:val="single"/>
        </w:rPr>
        <w:t>）</w:t>
      </w:r>
      <w:r>
        <w:rPr>
          <w:rFonts w:hint="eastAsia" w:ascii="宋体" w:hAnsi="宋体" w:cs="宋体"/>
          <w:kern w:val="0"/>
          <w:sz w:val="24"/>
          <w:highlight w:val="none"/>
        </w:rPr>
        <w:t>，从业人员</w:t>
      </w:r>
      <w:r>
        <w:rPr>
          <w:rFonts w:hint="eastAsia" w:ascii="宋体" w:hAnsi="宋体" w:cs="宋体"/>
          <w:kern w:val="0"/>
          <w:sz w:val="24"/>
          <w:highlight w:val="none"/>
          <w:u w:val="single"/>
          <w:lang w:val="en-US" w:eastAsia="zh-CN"/>
        </w:rPr>
        <w:t xml:space="preserve">   </w:t>
      </w:r>
      <w:r>
        <w:rPr>
          <w:rFonts w:hint="eastAsia" w:ascii="宋体" w:hAnsi="宋体" w:cs="宋体"/>
          <w:kern w:val="0"/>
          <w:sz w:val="24"/>
          <w:highlight w:val="none"/>
        </w:rPr>
        <w:t>人，营业收入为</w:t>
      </w:r>
      <w:r>
        <w:rPr>
          <w:rFonts w:hint="eastAsia" w:ascii="宋体" w:hAnsi="宋体" w:cs="宋体"/>
          <w:kern w:val="0"/>
          <w:sz w:val="24"/>
          <w:highlight w:val="none"/>
          <w:u w:val="single"/>
          <w:lang w:val="en-US" w:eastAsia="zh-CN"/>
        </w:rPr>
        <w:t xml:space="preserve">   </w:t>
      </w:r>
      <w:r>
        <w:rPr>
          <w:rFonts w:hint="eastAsia" w:ascii="宋体" w:hAnsi="宋体" w:cs="宋体"/>
          <w:kern w:val="0"/>
          <w:sz w:val="24"/>
          <w:highlight w:val="none"/>
        </w:rPr>
        <w:t>万元，资产总额为_</w:t>
      </w:r>
      <w:r>
        <w:rPr>
          <w:rFonts w:ascii="宋体" w:hAnsi="宋体" w:cs="宋体"/>
          <w:kern w:val="0"/>
          <w:sz w:val="24"/>
          <w:highlight w:val="none"/>
        </w:rPr>
        <w:t>___</w:t>
      </w:r>
      <w:r>
        <w:rPr>
          <w:rFonts w:hint="eastAsia" w:ascii="宋体" w:hAnsi="宋体" w:cs="宋体"/>
          <w:kern w:val="0"/>
          <w:sz w:val="24"/>
          <w:highlight w:val="none"/>
        </w:rPr>
        <w:t>万元</w:t>
      </w:r>
      <w:r>
        <w:rPr>
          <w:rFonts w:hint="eastAsia" w:ascii="宋体" w:hAnsi="宋体" w:cs="宋体"/>
          <w:kern w:val="0"/>
          <w:sz w:val="24"/>
          <w:highlight w:val="none"/>
          <w:vertAlign w:val="superscript"/>
        </w:rPr>
        <w:t xml:space="preserve"> 1</w:t>
      </w:r>
      <w:r>
        <w:rPr>
          <w:rFonts w:hint="eastAsia" w:ascii="宋体" w:hAnsi="宋体" w:cs="宋体"/>
          <w:kern w:val="0"/>
          <w:sz w:val="24"/>
          <w:highlight w:val="none"/>
        </w:rPr>
        <w:t>，属于</w:t>
      </w:r>
      <w:r>
        <w:rPr>
          <w:rFonts w:hint="eastAsia" w:ascii="宋体" w:hAnsi="宋体" w:cs="宋体"/>
          <w:kern w:val="0"/>
          <w:sz w:val="24"/>
          <w:highlight w:val="none"/>
          <w:u w:val="single"/>
        </w:rPr>
        <w:t>（</w:t>
      </w:r>
      <w:r>
        <w:rPr>
          <w:rFonts w:hint="eastAsia" w:ascii="宋体" w:hAnsi="宋体" w:cs="宋体"/>
          <w:i/>
          <w:iCs/>
          <w:kern w:val="0"/>
          <w:sz w:val="24"/>
          <w:highlight w:val="none"/>
          <w:u w:val="single"/>
        </w:rPr>
        <w:t>中型企业、小型企业、微型企业</w:t>
      </w:r>
      <w:r>
        <w:rPr>
          <w:rFonts w:hint="eastAsia" w:ascii="宋体" w:hAnsi="宋体" w:cs="宋体"/>
          <w:kern w:val="0"/>
          <w:sz w:val="24"/>
          <w:highlight w:val="none"/>
          <w:u w:val="single"/>
        </w:rPr>
        <w:t>）</w:t>
      </w:r>
      <w:r>
        <w:rPr>
          <w:rFonts w:hint="eastAsia" w:ascii="宋体" w:hAnsi="宋体" w:cs="宋体"/>
          <w:kern w:val="0"/>
          <w:sz w:val="24"/>
          <w:highlight w:val="none"/>
        </w:rPr>
        <w:t>；</w:t>
      </w:r>
    </w:p>
    <w:p w14:paraId="37B00CCC">
      <w:pPr>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 xml:space="preserve">2. </w:t>
      </w:r>
      <w:r>
        <w:rPr>
          <w:rFonts w:hint="eastAsia" w:ascii="宋体" w:hAnsi="宋体" w:cs="宋体"/>
          <w:kern w:val="0"/>
          <w:sz w:val="24"/>
          <w:highlight w:val="none"/>
          <w:u w:val="single"/>
        </w:rPr>
        <w:t>（</w:t>
      </w:r>
      <w:r>
        <w:rPr>
          <w:rFonts w:hint="eastAsia" w:ascii="宋体" w:hAnsi="宋体" w:cs="宋体"/>
          <w:i/>
          <w:iCs/>
          <w:kern w:val="0"/>
          <w:sz w:val="24"/>
          <w:highlight w:val="none"/>
          <w:u w:val="single"/>
        </w:rPr>
        <w:t>标的名称</w:t>
      </w:r>
      <w:r>
        <w:rPr>
          <w:rFonts w:hint="eastAsia" w:ascii="宋体" w:hAnsi="宋体" w:cs="宋体"/>
          <w:kern w:val="0"/>
          <w:sz w:val="24"/>
          <w:highlight w:val="none"/>
          <w:u w:val="single"/>
        </w:rPr>
        <w:t>）</w:t>
      </w:r>
      <w:r>
        <w:rPr>
          <w:rFonts w:hint="eastAsia" w:ascii="宋体" w:hAnsi="宋体" w:cs="宋体"/>
          <w:kern w:val="0"/>
          <w:sz w:val="24"/>
          <w:highlight w:val="none"/>
        </w:rPr>
        <w:t>，属于</w:t>
      </w:r>
      <w:r>
        <w:rPr>
          <w:rFonts w:hint="eastAsia" w:ascii="宋体" w:hAnsi="宋体" w:cs="宋体"/>
          <w:kern w:val="0"/>
          <w:sz w:val="24"/>
          <w:highlight w:val="none"/>
          <w:u w:val="single"/>
        </w:rPr>
        <w:t>（</w:t>
      </w:r>
      <w:r>
        <w:rPr>
          <w:rFonts w:hint="eastAsia" w:ascii="宋体" w:hAnsi="宋体" w:cs="宋体"/>
          <w:i/>
          <w:iCs/>
          <w:kern w:val="0"/>
          <w:sz w:val="24"/>
          <w:highlight w:val="none"/>
          <w:u w:val="single"/>
        </w:rPr>
        <w:t>采购文件中明确的所属行业</w:t>
      </w:r>
      <w:r>
        <w:rPr>
          <w:rFonts w:hint="eastAsia" w:ascii="宋体" w:hAnsi="宋体" w:cs="宋体"/>
          <w:kern w:val="0"/>
          <w:sz w:val="24"/>
          <w:highlight w:val="none"/>
          <w:u w:val="single"/>
        </w:rPr>
        <w:t>）行业</w:t>
      </w:r>
      <w:r>
        <w:rPr>
          <w:rFonts w:hint="eastAsia" w:ascii="宋体" w:hAnsi="宋体" w:cs="宋体"/>
          <w:kern w:val="0"/>
          <w:sz w:val="24"/>
          <w:highlight w:val="none"/>
        </w:rPr>
        <w:t>；制造商为</w:t>
      </w:r>
      <w:r>
        <w:rPr>
          <w:rFonts w:hint="eastAsia" w:ascii="宋体" w:hAnsi="宋体" w:cs="宋体"/>
          <w:kern w:val="0"/>
          <w:sz w:val="24"/>
          <w:highlight w:val="none"/>
          <w:u w:val="single"/>
        </w:rPr>
        <w:t>（</w:t>
      </w:r>
      <w:r>
        <w:rPr>
          <w:rFonts w:hint="eastAsia" w:ascii="宋体" w:hAnsi="宋体" w:cs="宋体"/>
          <w:i/>
          <w:iCs/>
          <w:kern w:val="0"/>
          <w:sz w:val="24"/>
          <w:highlight w:val="none"/>
          <w:u w:val="single"/>
        </w:rPr>
        <w:t>企业名称</w:t>
      </w:r>
      <w:r>
        <w:rPr>
          <w:rFonts w:hint="eastAsia" w:ascii="宋体" w:hAnsi="宋体" w:cs="宋体"/>
          <w:kern w:val="0"/>
          <w:sz w:val="24"/>
          <w:highlight w:val="none"/>
          <w:u w:val="single"/>
        </w:rPr>
        <w:t>）</w:t>
      </w:r>
      <w:r>
        <w:rPr>
          <w:rFonts w:hint="eastAsia" w:ascii="宋体" w:hAnsi="宋体" w:cs="宋体"/>
          <w:kern w:val="0"/>
          <w:sz w:val="24"/>
          <w:highlight w:val="none"/>
        </w:rPr>
        <w:t>，从业人员</w:t>
      </w:r>
      <w:r>
        <w:rPr>
          <w:rFonts w:hint="eastAsia" w:ascii="宋体" w:hAnsi="宋体" w:cs="宋体"/>
          <w:kern w:val="0"/>
          <w:sz w:val="24"/>
          <w:highlight w:val="none"/>
          <w:u w:val="single"/>
          <w:lang w:val="en-US" w:eastAsia="zh-CN"/>
        </w:rPr>
        <w:t xml:space="preserve">   </w:t>
      </w:r>
      <w:r>
        <w:rPr>
          <w:rFonts w:hint="eastAsia" w:ascii="宋体" w:hAnsi="宋体" w:cs="宋体"/>
          <w:kern w:val="0"/>
          <w:sz w:val="24"/>
          <w:highlight w:val="none"/>
        </w:rPr>
        <w:t>人，营业收入为</w:t>
      </w:r>
      <w:r>
        <w:rPr>
          <w:rFonts w:ascii="宋体" w:hAnsi="宋体" w:cs="宋体"/>
          <w:kern w:val="0"/>
          <w:sz w:val="24"/>
          <w:highlight w:val="none"/>
        </w:rPr>
        <w:t>____</w:t>
      </w:r>
      <w:r>
        <w:rPr>
          <w:rFonts w:hint="eastAsia" w:ascii="宋体" w:hAnsi="宋体" w:cs="宋体"/>
          <w:kern w:val="0"/>
          <w:sz w:val="24"/>
          <w:highlight w:val="none"/>
        </w:rPr>
        <w:t>万元，资产总额为</w:t>
      </w:r>
      <w:r>
        <w:rPr>
          <w:rFonts w:hint="eastAsia" w:ascii="宋体" w:hAnsi="宋体" w:cs="宋体"/>
          <w:kern w:val="0"/>
          <w:sz w:val="24"/>
          <w:highlight w:val="none"/>
          <w:u w:val="single"/>
          <w:lang w:val="en-US" w:eastAsia="zh-CN"/>
        </w:rPr>
        <w:t xml:space="preserve">   </w:t>
      </w:r>
      <w:r>
        <w:rPr>
          <w:rFonts w:hint="eastAsia" w:ascii="宋体" w:hAnsi="宋体" w:cs="宋体"/>
          <w:kern w:val="0"/>
          <w:sz w:val="24"/>
          <w:highlight w:val="none"/>
        </w:rPr>
        <w:t>万元，属于</w:t>
      </w:r>
      <w:r>
        <w:rPr>
          <w:rFonts w:hint="eastAsia" w:ascii="宋体" w:hAnsi="宋体" w:cs="宋体"/>
          <w:kern w:val="0"/>
          <w:sz w:val="24"/>
          <w:highlight w:val="none"/>
          <w:u w:val="single"/>
        </w:rPr>
        <w:t>（</w:t>
      </w:r>
      <w:r>
        <w:rPr>
          <w:rFonts w:hint="eastAsia" w:ascii="宋体" w:hAnsi="宋体" w:cs="宋体"/>
          <w:i/>
          <w:iCs/>
          <w:kern w:val="0"/>
          <w:sz w:val="24"/>
          <w:highlight w:val="none"/>
          <w:u w:val="single"/>
        </w:rPr>
        <w:t>中型企业、小型企业、微型企业</w:t>
      </w:r>
      <w:r>
        <w:rPr>
          <w:rFonts w:hint="eastAsia" w:ascii="宋体" w:hAnsi="宋体" w:cs="宋体"/>
          <w:kern w:val="0"/>
          <w:sz w:val="24"/>
          <w:highlight w:val="none"/>
          <w:u w:val="single"/>
        </w:rPr>
        <w:t>）</w:t>
      </w:r>
      <w:r>
        <w:rPr>
          <w:rFonts w:hint="eastAsia" w:ascii="宋体" w:hAnsi="宋体" w:cs="宋体"/>
          <w:kern w:val="0"/>
          <w:sz w:val="24"/>
          <w:highlight w:val="none"/>
        </w:rPr>
        <w:t>；</w:t>
      </w:r>
    </w:p>
    <w:p w14:paraId="77E7BF41">
      <w:pPr>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 xml:space="preserve">…… </w:t>
      </w:r>
    </w:p>
    <w:p w14:paraId="10A115F4">
      <w:pPr>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以上企业，不属于大企业的分支机构，不存在控股股东为大企业的情形，也不存在与大企业的负责人为同一人的情形。</w:t>
      </w:r>
    </w:p>
    <w:p w14:paraId="0ED3F681">
      <w:pPr>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本企业对上述声明内容的真实性负责。如有虚假，将依法承担相应责任。</w:t>
      </w:r>
    </w:p>
    <w:p w14:paraId="74A46390">
      <w:pPr>
        <w:tabs>
          <w:tab w:val="left" w:pos="4860"/>
        </w:tabs>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 xml:space="preserve">                企业名称（盖章）：</w:t>
      </w:r>
      <w:r>
        <w:rPr>
          <w:rFonts w:hint="eastAsia" w:ascii="宋体" w:hAnsi="宋体" w:cs="宋体"/>
          <w:kern w:val="0"/>
          <w:sz w:val="24"/>
          <w:highlight w:val="none"/>
          <w:u w:val="single"/>
        </w:rPr>
        <w:t xml:space="preserve">          </w:t>
      </w:r>
    </w:p>
    <w:p w14:paraId="618C8E10">
      <w:pPr>
        <w:snapToGrid w:val="0"/>
        <w:spacing w:line="360" w:lineRule="auto"/>
        <w:ind w:firstLine="480"/>
        <w:rPr>
          <w:rFonts w:hint="eastAsia" w:ascii="宋体" w:hAnsi="宋体" w:cs="宋体"/>
          <w:kern w:val="0"/>
          <w:sz w:val="24"/>
          <w:highlight w:val="none"/>
        </w:rPr>
      </w:pPr>
      <w:r>
        <w:rPr>
          <w:rFonts w:hint="eastAsia" w:ascii="宋体" w:hAnsi="宋体" w:cs="宋体"/>
          <w:kern w:val="0"/>
          <w:sz w:val="24"/>
          <w:highlight w:val="none"/>
        </w:rPr>
        <w:t xml:space="preserve">                          日  期：</w:t>
      </w:r>
      <w:r>
        <w:rPr>
          <w:rFonts w:hint="eastAsia" w:ascii="宋体" w:hAnsi="宋体" w:cs="宋体"/>
          <w:kern w:val="0"/>
          <w:sz w:val="24"/>
          <w:highlight w:val="none"/>
          <w:u w:val="single"/>
        </w:rPr>
        <w:t xml:space="preserve">          </w:t>
      </w:r>
    </w:p>
    <w:p w14:paraId="6832D44D">
      <w:pPr>
        <w:snapToGrid w:val="0"/>
        <w:spacing w:line="360" w:lineRule="auto"/>
        <w:ind w:firstLine="482"/>
        <w:rPr>
          <w:rFonts w:hint="eastAsia" w:ascii="宋体" w:hAnsi="宋体" w:cs="宋体"/>
          <w:b/>
          <w:bCs/>
          <w:kern w:val="0"/>
          <w:sz w:val="24"/>
          <w:highlight w:val="none"/>
        </w:rPr>
      </w:pPr>
    </w:p>
    <w:p w14:paraId="01077BAC">
      <w:pPr>
        <w:snapToGrid w:val="0"/>
        <w:spacing w:line="360" w:lineRule="auto"/>
        <w:ind w:firstLine="482"/>
        <w:rPr>
          <w:rFonts w:hint="eastAsia" w:ascii="宋体" w:hAnsi="宋体" w:cs="宋体"/>
          <w:bCs/>
          <w:kern w:val="0"/>
          <w:sz w:val="24"/>
          <w:highlight w:val="none"/>
        </w:rPr>
      </w:pPr>
      <w:r>
        <w:rPr>
          <w:rFonts w:hint="eastAsia" w:ascii="宋体" w:hAnsi="宋体" w:cs="宋体"/>
          <w:b/>
          <w:kern w:val="0"/>
          <w:sz w:val="24"/>
          <w:highlight w:val="none"/>
        </w:rPr>
        <w:t>注：</w:t>
      </w:r>
      <w:r>
        <w:rPr>
          <w:rFonts w:ascii="宋体" w:hAnsi="宋体" w:cs="宋体"/>
          <w:bCs/>
          <w:kern w:val="0"/>
          <w:sz w:val="24"/>
          <w:highlight w:val="none"/>
        </w:rPr>
        <w:t>1、</w:t>
      </w:r>
      <w:r>
        <w:rPr>
          <w:rFonts w:hint="eastAsia" w:ascii="宋体" w:hAnsi="宋体" w:cs="宋体"/>
          <w:bCs/>
          <w:kern w:val="0"/>
          <w:sz w:val="24"/>
          <w:highlight w:val="none"/>
        </w:rPr>
        <w:t>从业人员、营业收入、资产总额填报上一年度数据，无上一年度数据的新成立企业可不填报。</w:t>
      </w:r>
    </w:p>
    <w:p w14:paraId="172025F7">
      <w:pPr>
        <w:pStyle w:val="98"/>
        <w:ind w:firstLine="480"/>
        <w:rPr>
          <w:rFonts w:hint="eastAsia" w:ascii="宋体" w:hAnsi="宋体" w:cs="宋体"/>
          <w:bCs/>
          <w:kern w:val="0"/>
          <w:highlight w:val="none"/>
        </w:rPr>
      </w:pPr>
      <w:bookmarkStart w:id="215" w:name="_Hlk113183088"/>
      <w:r>
        <w:rPr>
          <w:rFonts w:ascii="宋体" w:hAnsi="宋体" w:cs="宋体"/>
          <w:bCs/>
          <w:kern w:val="0"/>
          <w:highlight w:val="none"/>
        </w:rPr>
        <w:t>2</w:t>
      </w:r>
      <w:r>
        <w:rPr>
          <w:rFonts w:hint="eastAsia" w:ascii="宋体" w:hAnsi="宋体" w:cs="宋体"/>
          <w:bCs/>
          <w:kern w:val="0"/>
          <w:highlight w:val="none"/>
        </w:rPr>
        <w:t>、中标人为中小企业的，其《中小企业声明函》将在中标公告中公告，接受社会监督。</w:t>
      </w:r>
    </w:p>
    <w:p w14:paraId="475D3C37">
      <w:pPr>
        <w:pStyle w:val="98"/>
        <w:ind w:firstLine="480"/>
        <w:rPr>
          <w:rFonts w:hint="eastAsia" w:ascii="宋体" w:hAnsi="宋体" w:cs="宋体"/>
          <w:bCs/>
          <w:kern w:val="0"/>
          <w:highlight w:val="none"/>
        </w:rPr>
      </w:pPr>
      <w:r>
        <w:rPr>
          <w:rFonts w:ascii="宋体" w:hAnsi="宋体" w:cs="宋体"/>
          <w:bCs/>
          <w:kern w:val="0"/>
          <w:highlight w:val="none"/>
        </w:rPr>
        <w:t>3</w:t>
      </w:r>
      <w:r>
        <w:rPr>
          <w:rFonts w:hint="eastAsia" w:ascii="宋体" w:hAnsi="宋体" w:cs="宋体"/>
          <w:bCs/>
          <w:kern w:val="0"/>
          <w:highlight w:val="none"/>
        </w:rPr>
        <w:t>、投标人提供的《中小企业声明函》与事实不符的，依照《政府采购法》第七十七条第一款的规定，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p>
    <w:p w14:paraId="5EDBD3E5">
      <w:pPr>
        <w:pStyle w:val="98"/>
        <w:ind w:firstLine="480"/>
        <w:rPr>
          <w:rFonts w:hint="eastAsia" w:ascii="宋体" w:hAnsi="宋体" w:cs="宋体"/>
          <w:bCs/>
          <w:kern w:val="0"/>
          <w:highlight w:val="none"/>
        </w:rPr>
      </w:pPr>
      <w:r>
        <w:rPr>
          <w:rFonts w:ascii="宋体" w:hAnsi="宋体" w:cs="宋体"/>
          <w:bCs/>
          <w:kern w:val="0"/>
          <w:highlight w:val="none"/>
        </w:rPr>
        <w:t>4</w:t>
      </w:r>
      <w:r>
        <w:rPr>
          <w:rFonts w:hint="eastAsia" w:ascii="宋体" w:hAnsi="宋体" w:cs="宋体"/>
          <w:bCs/>
          <w:kern w:val="0"/>
          <w:highlight w:val="none"/>
        </w:rPr>
        <w:t>、供应商应当按照采购文件中明确的采购标的对应行业出具中小企业声明函，供应商应当对照采购标的对应行业划型标准，判断自己是否属于中小企业，符合条件的，出具中小企业声明函。</w:t>
      </w:r>
    </w:p>
    <w:p w14:paraId="325CEC7B">
      <w:pPr>
        <w:pStyle w:val="98"/>
        <w:ind w:firstLine="480"/>
        <w:rPr>
          <w:rFonts w:hint="eastAsia" w:ascii="宋体" w:hAnsi="宋体" w:cs="宋体"/>
          <w:bCs/>
          <w:kern w:val="0"/>
          <w:highlight w:val="none"/>
        </w:rPr>
      </w:pPr>
      <w:r>
        <w:rPr>
          <w:rFonts w:hint="eastAsia" w:ascii="宋体" w:hAnsi="宋体" w:cs="宋体"/>
          <w:bCs/>
          <w:kern w:val="0"/>
          <w:highlight w:val="none"/>
        </w:rPr>
        <w:t>5、货物代理商参加货物政府采购活动的，应按照中小企业声明函格式要求填写制造商的相关企业指标数据。而货物制造商、服务和工程供应商应按照相应的中小企业声明函格式填写企业自身的相关指标数据。其中涉及多个标的物的，分别填写相关企业指标数据。</w:t>
      </w:r>
    </w:p>
    <w:p w14:paraId="31E900ED">
      <w:pPr>
        <w:pStyle w:val="98"/>
        <w:ind w:firstLine="480"/>
        <w:rPr>
          <w:rFonts w:hint="eastAsia" w:ascii="宋体" w:hAnsi="宋体" w:cs="宋体"/>
          <w:bCs/>
          <w:kern w:val="0"/>
          <w:highlight w:val="none"/>
        </w:rPr>
      </w:pPr>
      <w:r>
        <w:rPr>
          <w:rFonts w:hint="eastAsia" w:ascii="宋体" w:hAnsi="宋体" w:cs="宋体"/>
          <w:bCs/>
          <w:kern w:val="0"/>
          <w:highlight w:val="none"/>
        </w:rPr>
        <w:t>6、根据《政府采购促进中小企业发展管理办法》，在货物采购项目中，供应商提供的货物既有中小企业制造货物，也有大型企业制造货物的，不享受办法规定的中小企业扶持政策。</w:t>
      </w:r>
    </w:p>
    <w:bookmarkEnd w:id="215"/>
    <w:p w14:paraId="52D5608F">
      <w:pPr>
        <w:tabs>
          <w:tab w:val="left" w:pos="1800"/>
          <w:tab w:val="center" w:pos="4156"/>
        </w:tabs>
        <w:snapToGrid w:val="0"/>
        <w:spacing w:line="360" w:lineRule="auto"/>
        <w:ind w:firstLine="723"/>
        <w:jc w:val="center"/>
        <w:rPr>
          <w:rFonts w:hint="eastAsia" w:ascii="宋体" w:hAnsi="宋体" w:cs="宋体"/>
          <w:b/>
          <w:kern w:val="0"/>
          <w:sz w:val="36"/>
          <w:highlight w:val="none"/>
          <w:lang w:val="zh-CN"/>
        </w:rPr>
      </w:pPr>
    </w:p>
    <w:p w14:paraId="5EE62D55">
      <w:pPr>
        <w:widowControl/>
        <w:jc w:val="left"/>
        <w:rPr>
          <w:rFonts w:hint="eastAsia" w:ascii="宋体" w:hAnsi="宋体" w:cs="宋体"/>
          <w:b/>
          <w:kern w:val="0"/>
          <w:sz w:val="36"/>
          <w:highlight w:val="none"/>
          <w:lang w:val="zh-CN"/>
        </w:rPr>
      </w:pPr>
      <w:r>
        <w:rPr>
          <w:rFonts w:ascii="宋体" w:hAnsi="宋体" w:cs="宋体"/>
          <w:b/>
          <w:kern w:val="0"/>
          <w:sz w:val="36"/>
          <w:highlight w:val="none"/>
          <w:lang w:val="zh-CN"/>
        </w:rPr>
        <w:br w:type="page"/>
      </w:r>
    </w:p>
    <w:p w14:paraId="3F65F87C">
      <w:pPr>
        <w:pStyle w:val="45"/>
        <w:snapToGrid w:val="0"/>
        <w:spacing w:line="360" w:lineRule="auto"/>
        <w:jc w:val="center"/>
        <w:rPr>
          <w:rFonts w:hint="eastAsia" w:hAnsi="宋体" w:cs="宋体"/>
          <w:b/>
          <w:kern w:val="0"/>
          <w:sz w:val="36"/>
          <w:szCs w:val="24"/>
          <w:highlight w:val="none"/>
        </w:rPr>
      </w:pPr>
      <w:r>
        <w:rPr>
          <w:rFonts w:hint="eastAsia" w:hAnsi="宋体" w:cs="宋体"/>
          <w:b/>
          <w:kern w:val="0"/>
          <w:sz w:val="36"/>
          <w:szCs w:val="24"/>
          <w:highlight w:val="none"/>
        </w:rPr>
        <w:t>（二）监狱企业证明文件</w:t>
      </w:r>
    </w:p>
    <w:p w14:paraId="45FA8862">
      <w:pPr>
        <w:adjustRightInd w:val="0"/>
        <w:snapToGrid w:val="0"/>
        <w:spacing w:line="360" w:lineRule="auto"/>
        <w:ind w:firstLine="240" w:firstLineChars="100"/>
        <w:jc w:val="center"/>
        <w:rPr>
          <w:rFonts w:hint="eastAsia" w:ascii="宋体" w:hAnsi="宋体" w:cs="宋体"/>
          <w:kern w:val="0"/>
          <w:sz w:val="28"/>
          <w:szCs w:val="28"/>
          <w:highlight w:val="none"/>
        </w:rPr>
      </w:pPr>
      <w:r>
        <w:rPr>
          <w:rFonts w:hint="eastAsia" w:ascii="宋体" w:hAnsi="宋体" w:cs="宋体"/>
          <w:kern w:val="0"/>
          <w:sz w:val="24"/>
          <w:highlight w:val="none"/>
        </w:rPr>
        <w:t>（由省级以上监狱管理局、戒毒管理局（含新疆生产建设兵团）出具的属于监狱企业的证明文件复印件加盖公章）</w:t>
      </w:r>
    </w:p>
    <w:p w14:paraId="374F018D">
      <w:pPr>
        <w:pStyle w:val="45"/>
        <w:snapToGrid w:val="0"/>
        <w:spacing w:line="360" w:lineRule="auto"/>
        <w:jc w:val="center"/>
        <w:rPr>
          <w:rFonts w:hint="eastAsia" w:hAnsi="宋体" w:cs="宋体"/>
          <w:b/>
          <w:kern w:val="0"/>
          <w:sz w:val="36"/>
          <w:szCs w:val="24"/>
          <w:highlight w:val="none"/>
        </w:rPr>
      </w:pPr>
      <w:r>
        <w:rPr>
          <w:rFonts w:hint="eastAsia" w:hAnsi="宋体" w:cs="宋体"/>
          <w:b/>
          <w:kern w:val="0"/>
          <w:sz w:val="36"/>
          <w:highlight w:val="none"/>
          <w:lang w:val="zh-CN"/>
        </w:rPr>
        <w:br w:type="page"/>
      </w:r>
      <w:r>
        <w:rPr>
          <w:rFonts w:hint="eastAsia" w:hAnsi="宋体" w:cs="宋体"/>
          <w:b/>
          <w:kern w:val="0"/>
          <w:sz w:val="36"/>
          <w:szCs w:val="24"/>
          <w:highlight w:val="none"/>
        </w:rPr>
        <w:t>（三）残疾人福利性单位声明函</w:t>
      </w:r>
      <w:bookmarkEnd w:id="211"/>
      <w:bookmarkEnd w:id="212"/>
      <w:bookmarkEnd w:id="213"/>
      <w:bookmarkEnd w:id="214"/>
    </w:p>
    <w:p w14:paraId="6CFB51EA">
      <w:pPr>
        <w:snapToGrid w:val="0"/>
        <w:spacing w:line="360" w:lineRule="auto"/>
        <w:ind w:firstLine="723"/>
        <w:jc w:val="center"/>
        <w:rPr>
          <w:rFonts w:hint="eastAsia" w:ascii="宋体" w:hAnsi="宋体" w:cs="宋体"/>
          <w:b/>
          <w:kern w:val="0"/>
          <w:sz w:val="36"/>
          <w:highlight w:val="none"/>
          <w:lang w:val="zh-CN"/>
        </w:rPr>
      </w:pPr>
    </w:p>
    <w:p w14:paraId="00827A18">
      <w:pPr>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本单位郑重声明，根据《财政部民政部中国残疾人联合会关于促进残疾人就业政府采购政策的通知》（财库〔2017〕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28929667">
      <w:pPr>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本单位对上述声明的真实性负责。如有虚假，将依法承担相应责任。</w:t>
      </w:r>
    </w:p>
    <w:p w14:paraId="1AA0C34A">
      <w:pPr>
        <w:snapToGrid w:val="0"/>
        <w:spacing w:line="360" w:lineRule="auto"/>
        <w:ind w:firstLine="480"/>
        <w:rPr>
          <w:rFonts w:hint="eastAsia" w:ascii="宋体" w:hAnsi="宋体" w:cs="宋体"/>
          <w:kern w:val="0"/>
          <w:sz w:val="24"/>
          <w:highlight w:val="none"/>
        </w:rPr>
      </w:pPr>
    </w:p>
    <w:p w14:paraId="2470B302">
      <w:pPr>
        <w:snapToGrid w:val="0"/>
        <w:spacing w:line="360" w:lineRule="auto"/>
        <w:ind w:firstLine="480"/>
        <w:rPr>
          <w:rFonts w:hint="eastAsia" w:ascii="宋体" w:hAnsi="宋体" w:cs="宋体"/>
          <w:kern w:val="0"/>
          <w:sz w:val="24"/>
          <w:highlight w:val="none"/>
        </w:rPr>
      </w:pPr>
    </w:p>
    <w:p w14:paraId="129009A4">
      <w:pPr>
        <w:snapToGrid w:val="0"/>
        <w:spacing w:line="360" w:lineRule="auto"/>
        <w:ind w:firstLine="480"/>
        <w:jc w:val="center"/>
        <w:rPr>
          <w:rFonts w:hint="eastAsia" w:ascii="宋体" w:hAnsi="宋体" w:cs="宋体"/>
          <w:kern w:val="0"/>
          <w:sz w:val="24"/>
          <w:highlight w:val="none"/>
        </w:rPr>
      </w:pPr>
      <w:r>
        <w:rPr>
          <w:rFonts w:hint="eastAsia" w:ascii="宋体" w:hAnsi="宋体" w:cs="宋体"/>
          <w:kern w:val="0"/>
          <w:sz w:val="24"/>
          <w:highlight w:val="none"/>
        </w:rPr>
        <w:t xml:space="preserve">           单位名称（盖章）：</w:t>
      </w:r>
    </w:p>
    <w:p w14:paraId="3ACE935C">
      <w:pPr>
        <w:snapToGrid w:val="0"/>
        <w:spacing w:line="360" w:lineRule="auto"/>
        <w:ind w:firstLine="480"/>
        <w:jc w:val="center"/>
        <w:rPr>
          <w:rFonts w:hint="eastAsia" w:ascii="宋体" w:hAnsi="宋体" w:cs="宋体"/>
          <w:kern w:val="0"/>
          <w:sz w:val="24"/>
          <w:highlight w:val="none"/>
        </w:rPr>
      </w:pPr>
      <w:r>
        <w:rPr>
          <w:rFonts w:hint="eastAsia" w:ascii="宋体" w:hAnsi="宋体" w:cs="宋体"/>
          <w:kern w:val="0"/>
          <w:sz w:val="24"/>
          <w:highlight w:val="none"/>
        </w:rPr>
        <w:t>日期：</w:t>
      </w:r>
    </w:p>
    <w:p w14:paraId="21F80A27">
      <w:pPr>
        <w:snapToGrid w:val="0"/>
        <w:spacing w:line="360" w:lineRule="auto"/>
        <w:ind w:firstLine="480"/>
        <w:rPr>
          <w:rFonts w:hint="eastAsia" w:ascii="宋体" w:hAnsi="宋体" w:cs="宋体"/>
          <w:kern w:val="0"/>
          <w:sz w:val="24"/>
          <w:highlight w:val="none"/>
        </w:rPr>
      </w:pPr>
    </w:p>
    <w:p w14:paraId="43AA2E2B">
      <w:pPr>
        <w:snapToGrid w:val="0"/>
        <w:spacing w:line="360" w:lineRule="auto"/>
        <w:ind w:firstLine="480"/>
        <w:rPr>
          <w:rFonts w:hint="eastAsia" w:ascii="宋体" w:hAnsi="宋体" w:cs="宋体"/>
          <w:kern w:val="0"/>
          <w:sz w:val="24"/>
          <w:highlight w:val="none"/>
        </w:rPr>
      </w:pPr>
      <w:r>
        <w:rPr>
          <w:rFonts w:hint="eastAsia" w:ascii="宋体" w:hAnsi="宋体" w:cs="宋体"/>
          <w:kern w:val="0"/>
          <w:sz w:val="24"/>
          <w:highlight w:val="none"/>
        </w:rPr>
        <w:t>注：1.中标、成交投标人为残疾人福利性单位且评审中享受了残疾人福利性单位相关政府采购支持政策的，其《残疾人福利性单位声明函》将在中标、中选公示中公告，接受社会监督。</w:t>
      </w:r>
    </w:p>
    <w:p w14:paraId="72BA03B5">
      <w:pPr>
        <w:snapToGrid w:val="0"/>
        <w:spacing w:line="360" w:lineRule="auto"/>
        <w:ind w:firstLine="480"/>
        <w:rPr>
          <w:rFonts w:hint="eastAsia" w:ascii="宋体" w:hAnsi="宋体" w:cs="宋体"/>
          <w:kern w:val="0"/>
          <w:sz w:val="24"/>
          <w:highlight w:val="none"/>
        </w:rPr>
      </w:pPr>
      <w:r>
        <w:rPr>
          <w:rFonts w:hint="eastAsia" w:ascii="宋体" w:hAnsi="宋体" w:cs="宋体"/>
          <w:kern w:val="0"/>
          <w:sz w:val="24"/>
          <w:highlight w:val="none"/>
        </w:rPr>
        <w:t>2.投标人提供的《残疾人福利性单位声明函》与事实不符的，依照《政府采购法》第七十七条第一款的规定，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p>
    <w:p w14:paraId="652D19A8">
      <w:pPr>
        <w:widowControl/>
        <w:jc w:val="left"/>
        <w:rPr>
          <w:rFonts w:hint="eastAsia" w:ascii="宋体" w:hAnsi="宋体" w:cs="宋体"/>
          <w:kern w:val="0"/>
          <w:sz w:val="24"/>
          <w:highlight w:val="none"/>
        </w:rPr>
      </w:pPr>
      <w:r>
        <w:rPr>
          <w:rFonts w:ascii="宋体" w:hAnsi="宋体" w:cs="宋体"/>
          <w:kern w:val="0"/>
          <w:sz w:val="24"/>
          <w:highlight w:val="none"/>
        </w:rPr>
        <w:br w:type="page"/>
      </w:r>
    </w:p>
    <w:p w14:paraId="0E3E393F">
      <w:pPr>
        <w:pStyle w:val="45"/>
        <w:snapToGrid w:val="0"/>
        <w:spacing w:line="360" w:lineRule="auto"/>
        <w:jc w:val="center"/>
        <w:outlineLvl w:val="1"/>
        <w:rPr>
          <w:rFonts w:hint="eastAsia" w:hAnsi="宋体" w:cs="宋体"/>
          <w:b/>
          <w:kern w:val="0"/>
          <w:sz w:val="36"/>
          <w:szCs w:val="24"/>
          <w:highlight w:val="none"/>
        </w:rPr>
      </w:pPr>
      <w:bookmarkStart w:id="216" w:name="_Toc26025"/>
      <w:bookmarkStart w:id="217" w:name="_Toc24072_WPSOffice_Level1"/>
      <w:bookmarkStart w:id="218" w:name="_Toc6724_WPSOffice_Level1"/>
      <w:r>
        <w:rPr>
          <w:rFonts w:hint="eastAsia" w:hAnsi="宋体" w:cs="宋体"/>
          <w:b/>
          <w:kern w:val="0"/>
          <w:sz w:val="36"/>
          <w:szCs w:val="24"/>
          <w:highlight w:val="none"/>
        </w:rPr>
        <w:t>十一、总体方案及功能要求、方案适用性</w:t>
      </w:r>
      <w:bookmarkEnd w:id="216"/>
    </w:p>
    <w:p w14:paraId="0426D8FE">
      <w:pPr>
        <w:pStyle w:val="45"/>
        <w:snapToGrid w:val="0"/>
        <w:spacing w:line="360" w:lineRule="auto"/>
        <w:jc w:val="center"/>
        <w:outlineLvl w:val="1"/>
        <w:rPr>
          <w:rFonts w:hint="eastAsia" w:hAnsi="宋体" w:cs="宋体"/>
          <w:b/>
          <w:bCs/>
          <w:kern w:val="0"/>
          <w:sz w:val="36"/>
          <w:szCs w:val="24"/>
          <w:highlight w:val="none"/>
        </w:rPr>
      </w:pPr>
      <w:bookmarkStart w:id="219" w:name="_Toc15085"/>
      <w:r>
        <w:rPr>
          <w:rFonts w:hint="eastAsia" w:hAnsi="宋体" w:cs="宋体"/>
          <w:b/>
          <w:kern w:val="0"/>
          <w:sz w:val="36"/>
          <w:szCs w:val="24"/>
          <w:highlight w:val="none"/>
        </w:rPr>
        <w:t>及</w:t>
      </w:r>
      <w:r>
        <w:rPr>
          <w:rFonts w:hint="eastAsia" w:hAnsi="宋体" w:cs="宋体"/>
          <w:b/>
          <w:bCs/>
          <w:kern w:val="0"/>
          <w:sz w:val="36"/>
          <w:szCs w:val="24"/>
          <w:highlight w:val="none"/>
        </w:rPr>
        <w:t>技术先进性说明</w:t>
      </w:r>
      <w:bookmarkEnd w:id="219"/>
    </w:p>
    <w:p w14:paraId="615F371A">
      <w:pPr>
        <w:pStyle w:val="45"/>
        <w:snapToGrid w:val="0"/>
        <w:spacing w:line="360" w:lineRule="auto"/>
        <w:jc w:val="center"/>
        <w:rPr>
          <w:rFonts w:hint="eastAsia" w:hAnsi="宋体" w:cs="宋体"/>
          <w:b/>
          <w:bCs/>
          <w:kern w:val="0"/>
          <w:sz w:val="36"/>
          <w:szCs w:val="24"/>
          <w:highlight w:val="none"/>
        </w:rPr>
      </w:pPr>
      <w:r>
        <w:rPr>
          <w:rFonts w:hint="eastAsia" w:hAnsi="宋体" w:cs="宋体"/>
          <w:kern w:val="0"/>
          <w:sz w:val="36"/>
          <w:szCs w:val="36"/>
          <w:highlight w:val="none"/>
        </w:rPr>
        <w:t>（格式自拟）</w:t>
      </w:r>
    </w:p>
    <w:p w14:paraId="1CD1CE71">
      <w:pPr>
        <w:pStyle w:val="45"/>
        <w:snapToGrid w:val="0"/>
        <w:spacing w:line="360" w:lineRule="auto"/>
        <w:ind w:firstLine="723"/>
        <w:jc w:val="center"/>
        <w:rPr>
          <w:rFonts w:hint="eastAsia" w:hAnsi="宋体" w:cs="宋体"/>
          <w:b/>
          <w:bCs/>
          <w:kern w:val="0"/>
          <w:sz w:val="36"/>
          <w:szCs w:val="24"/>
          <w:highlight w:val="none"/>
        </w:rPr>
      </w:pPr>
    </w:p>
    <w:p w14:paraId="37E99167">
      <w:pPr>
        <w:pStyle w:val="45"/>
        <w:snapToGrid w:val="0"/>
        <w:spacing w:line="360" w:lineRule="auto"/>
        <w:jc w:val="center"/>
        <w:outlineLvl w:val="1"/>
        <w:rPr>
          <w:rFonts w:hint="eastAsia" w:hAnsi="宋体" w:cs="宋体"/>
          <w:kern w:val="0"/>
          <w:sz w:val="36"/>
          <w:szCs w:val="36"/>
          <w:highlight w:val="none"/>
        </w:rPr>
      </w:pPr>
      <w:bookmarkStart w:id="220" w:name="_Toc4239"/>
      <w:r>
        <w:rPr>
          <w:rFonts w:hint="eastAsia" w:hAnsi="宋体" w:cs="宋体"/>
          <w:b/>
          <w:kern w:val="0"/>
          <w:sz w:val="36"/>
          <w:szCs w:val="24"/>
          <w:highlight w:val="none"/>
        </w:rPr>
        <w:t>十二、</w:t>
      </w:r>
      <w:bookmarkEnd w:id="220"/>
      <w:r>
        <w:rPr>
          <w:rFonts w:hint="eastAsia" w:hAnsi="宋体" w:cs="宋体"/>
          <w:b/>
          <w:kern w:val="0"/>
          <w:sz w:val="36"/>
          <w:szCs w:val="24"/>
          <w:highlight w:val="none"/>
        </w:rPr>
        <w:t>供货安装方案</w:t>
      </w:r>
    </w:p>
    <w:p w14:paraId="167BF9C8">
      <w:pPr>
        <w:pStyle w:val="45"/>
        <w:snapToGrid w:val="0"/>
        <w:spacing w:line="360" w:lineRule="auto"/>
        <w:jc w:val="center"/>
        <w:rPr>
          <w:rFonts w:hint="eastAsia" w:hAnsi="宋体" w:cs="宋体"/>
          <w:b/>
          <w:bCs/>
          <w:kern w:val="0"/>
          <w:sz w:val="36"/>
          <w:szCs w:val="24"/>
          <w:highlight w:val="none"/>
        </w:rPr>
      </w:pPr>
      <w:r>
        <w:rPr>
          <w:rFonts w:hint="eastAsia" w:hAnsi="宋体" w:cs="宋体"/>
          <w:kern w:val="0"/>
          <w:sz w:val="36"/>
          <w:szCs w:val="36"/>
          <w:highlight w:val="none"/>
        </w:rPr>
        <w:t>（格式自拟）</w:t>
      </w:r>
    </w:p>
    <w:p w14:paraId="2D2A2D92">
      <w:pPr>
        <w:pStyle w:val="45"/>
        <w:snapToGrid w:val="0"/>
        <w:spacing w:line="360" w:lineRule="auto"/>
        <w:rPr>
          <w:rFonts w:hint="eastAsia" w:hAnsi="宋体" w:cs="宋体"/>
          <w:b/>
          <w:bCs/>
          <w:kern w:val="0"/>
          <w:sz w:val="36"/>
          <w:szCs w:val="24"/>
          <w:highlight w:val="none"/>
        </w:rPr>
      </w:pPr>
    </w:p>
    <w:p w14:paraId="4623118E">
      <w:pPr>
        <w:pStyle w:val="45"/>
        <w:numPr>
          <w:ilvl w:val="0"/>
          <w:numId w:val="6"/>
        </w:numPr>
        <w:snapToGrid w:val="0"/>
        <w:spacing w:line="360" w:lineRule="auto"/>
        <w:jc w:val="center"/>
        <w:outlineLvl w:val="1"/>
        <w:rPr>
          <w:rFonts w:ascii="Times New Roman" w:hAnsi="Times New Roman"/>
          <w:b/>
          <w:bCs/>
          <w:sz w:val="36"/>
          <w:szCs w:val="24"/>
          <w:highlight w:val="none"/>
        </w:rPr>
      </w:pPr>
      <w:r>
        <w:rPr>
          <w:rFonts w:hint="eastAsia" w:ascii="Times New Roman" w:hAnsi="Times New Roman"/>
          <w:b/>
          <w:bCs/>
          <w:sz w:val="36"/>
          <w:szCs w:val="24"/>
          <w:highlight w:val="none"/>
        </w:rPr>
        <w:t>培训方案</w:t>
      </w:r>
    </w:p>
    <w:p w14:paraId="4A65546B">
      <w:pPr>
        <w:pStyle w:val="45"/>
        <w:snapToGrid w:val="0"/>
        <w:spacing w:line="360" w:lineRule="auto"/>
        <w:jc w:val="center"/>
        <w:rPr>
          <w:rFonts w:hint="eastAsia" w:hAnsi="宋体" w:cs="宋体"/>
          <w:b/>
          <w:bCs/>
          <w:kern w:val="0"/>
          <w:sz w:val="36"/>
          <w:szCs w:val="24"/>
          <w:highlight w:val="none"/>
        </w:rPr>
      </w:pPr>
      <w:r>
        <w:rPr>
          <w:rFonts w:hint="eastAsia" w:hAnsi="宋体" w:cs="宋体"/>
          <w:kern w:val="0"/>
          <w:sz w:val="36"/>
          <w:szCs w:val="36"/>
          <w:highlight w:val="none"/>
        </w:rPr>
        <w:t>（格式自拟）</w:t>
      </w:r>
    </w:p>
    <w:p w14:paraId="2C6472ED">
      <w:pPr>
        <w:pStyle w:val="45"/>
        <w:snapToGrid w:val="0"/>
        <w:spacing w:line="360" w:lineRule="auto"/>
        <w:rPr>
          <w:rFonts w:ascii="Times New Roman" w:hAnsi="Times New Roman"/>
          <w:b/>
          <w:bCs/>
          <w:sz w:val="36"/>
          <w:szCs w:val="24"/>
          <w:highlight w:val="none"/>
        </w:rPr>
      </w:pPr>
    </w:p>
    <w:p w14:paraId="2499B0B6">
      <w:pPr>
        <w:pStyle w:val="45"/>
        <w:snapToGrid w:val="0"/>
        <w:spacing w:line="360" w:lineRule="auto"/>
        <w:rPr>
          <w:rFonts w:ascii="Times New Roman" w:hAnsi="Times New Roman"/>
          <w:b/>
          <w:bCs/>
          <w:sz w:val="36"/>
          <w:szCs w:val="24"/>
          <w:highlight w:val="none"/>
        </w:rPr>
      </w:pPr>
    </w:p>
    <w:p w14:paraId="371CFBF4">
      <w:pPr>
        <w:pStyle w:val="45"/>
        <w:numPr>
          <w:ilvl w:val="0"/>
          <w:numId w:val="6"/>
        </w:numPr>
        <w:snapToGrid w:val="0"/>
        <w:spacing w:line="360" w:lineRule="auto"/>
        <w:jc w:val="center"/>
        <w:outlineLvl w:val="1"/>
        <w:rPr>
          <w:rFonts w:ascii="Times New Roman" w:hAnsi="Times New Roman"/>
          <w:b/>
          <w:bCs/>
          <w:sz w:val="36"/>
          <w:szCs w:val="24"/>
          <w:highlight w:val="none"/>
        </w:rPr>
      </w:pPr>
      <w:bookmarkStart w:id="221" w:name="_Toc16988"/>
      <w:bookmarkStart w:id="222" w:name="_Toc24971"/>
      <w:r>
        <w:rPr>
          <w:rFonts w:hint="eastAsia" w:ascii="Times New Roman" w:hAnsi="Times New Roman"/>
          <w:b/>
          <w:bCs/>
          <w:sz w:val="36"/>
          <w:szCs w:val="24"/>
          <w:highlight w:val="none"/>
        </w:rPr>
        <w:t>售后服务方案</w:t>
      </w:r>
      <w:bookmarkEnd w:id="221"/>
      <w:bookmarkEnd w:id="222"/>
    </w:p>
    <w:p w14:paraId="6DFA7E34">
      <w:pPr>
        <w:pStyle w:val="45"/>
        <w:snapToGrid w:val="0"/>
        <w:spacing w:line="360" w:lineRule="auto"/>
        <w:jc w:val="center"/>
        <w:rPr>
          <w:rFonts w:hint="eastAsia" w:hAnsi="宋体" w:cs="宋体"/>
          <w:b/>
          <w:bCs/>
          <w:kern w:val="0"/>
          <w:sz w:val="36"/>
          <w:szCs w:val="24"/>
          <w:highlight w:val="none"/>
        </w:rPr>
      </w:pPr>
      <w:r>
        <w:rPr>
          <w:rFonts w:hint="eastAsia" w:hAnsi="宋体" w:cs="宋体"/>
          <w:kern w:val="0"/>
          <w:sz w:val="36"/>
          <w:szCs w:val="36"/>
          <w:highlight w:val="none"/>
        </w:rPr>
        <w:t>（格式自拟）</w:t>
      </w:r>
    </w:p>
    <w:p w14:paraId="3DC8846E">
      <w:pPr>
        <w:pStyle w:val="45"/>
        <w:snapToGrid w:val="0"/>
        <w:spacing w:line="360" w:lineRule="auto"/>
        <w:jc w:val="center"/>
        <w:rPr>
          <w:rFonts w:ascii="Times New Roman" w:hAnsi="Times New Roman"/>
          <w:b/>
          <w:bCs/>
          <w:sz w:val="36"/>
          <w:szCs w:val="24"/>
          <w:highlight w:val="none"/>
        </w:rPr>
      </w:pPr>
    </w:p>
    <w:p w14:paraId="508D4D65">
      <w:pPr>
        <w:pStyle w:val="45"/>
        <w:snapToGrid w:val="0"/>
        <w:spacing w:line="360" w:lineRule="auto"/>
        <w:ind w:firstLine="723"/>
        <w:jc w:val="center"/>
        <w:rPr>
          <w:rFonts w:hint="eastAsia" w:hAnsi="宋体" w:cs="宋体"/>
          <w:b/>
          <w:bCs/>
          <w:kern w:val="0"/>
          <w:sz w:val="36"/>
          <w:szCs w:val="24"/>
          <w:highlight w:val="none"/>
        </w:rPr>
      </w:pPr>
    </w:p>
    <w:p w14:paraId="57DF08F0">
      <w:pPr>
        <w:pStyle w:val="45"/>
        <w:snapToGrid w:val="0"/>
        <w:spacing w:line="360" w:lineRule="auto"/>
        <w:jc w:val="center"/>
        <w:rPr>
          <w:rFonts w:hint="eastAsia" w:hAnsi="宋体" w:cs="宋体"/>
          <w:b/>
          <w:bCs/>
          <w:kern w:val="0"/>
          <w:sz w:val="36"/>
          <w:szCs w:val="24"/>
          <w:highlight w:val="none"/>
        </w:rPr>
      </w:pPr>
      <w:r>
        <w:rPr>
          <w:rFonts w:hint="eastAsia" w:hAnsi="宋体" w:cs="宋体"/>
          <w:b/>
          <w:bCs/>
          <w:kern w:val="0"/>
          <w:sz w:val="36"/>
          <w:szCs w:val="24"/>
          <w:highlight w:val="none"/>
        </w:rPr>
        <w:t>十五、质保期承诺</w:t>
      </w:r>
    </w:p>
    <w:p w14:paraId="2266B296">
      <w:pPr>
        <w:pStyle w:val="45"/>
        <w:snapToGrid w:val="0"/>
        <w:spacing w:line="360" w:lineRule="auto"/>
        <w:jc w:val="center"/>
        <w:rPr>
          <w:rFonts w:hint="eastAsia" w:hAnsi="宋体" w:cs="宋体"/>
          <w:b/>
          <w:bCs/>
          <w:kern w:val="0"/>
          <w:sz w:val="36"/>
          <w:szCs w:val="24"/>
          <w:highlight w:val="none"/>
        </w:rPr>
      </w:pPr>
      <w:r>
        <w:rPr>
          <w:rFonts w:hint="eastAsia" w:hAnsi="宋体" w:cs="宋体"/>
          <w:kern w:val="0"/>
          <w:sz w:val="36"/>
          <w:szCs w:val="36"/>
          <w:highlight w:val="none"/>
        </w:rPr>
        <w:t>（格式自拟）</w:t>
      </w:r>
    </w:p>
    <w:p w14:paraId="58DDDE56">
      <w:pPr>
        <w:pStyle w:val="45"/>
        <w:snapToGrid w:val="0"/>
        <w:spacing w:line="360" w:lineRule="auto"/>
        <w:ind w:firstLine="723"/>
        <w:jc w:val="center"/>
        <w:rPr>
          <w:rFonts w:hint="eastAsia" w:hAnsi="宋体" w:cs="宋体"/>
          <w:b/>
          <w:bCs/>
          <w:kern w:val="0"/>
          <w:sz w:val="36"/>
          <w:szCs w:val="24"/>
          <w:highlight w:val="none"/>
        </w:rPr>
      </w:pPr>
    </w:p>
    <w:p w14:paraId="52A76BC6">
      <w:pPr>
        <w:widowControl/>
        <w:jc w:val="left"/>
        <w:rPr>
          <w:rFonts w:hint="eastAsia" w:ascii="宋体" w:hAnsi="宋体" w:cs="宋体"/>
          <w:b/>
          <w:bCs/>
          <w:kern w:val="0"/>
          <w:sz w:val="36"/>
          <w:highlight w:val="none"/>
        </w:rPr>
      </w:pPr>
      <w:r>
        <w:rPr>
          <w:rFonts w:hAnsi="宋体" w:cs="宋体"/>
          <w:b/>
          <w:bCs/>
          <w:kern w:val="0"/>
          <w:sz w:val="36"/>
          <w:highlight w:val="none"/>
        </w:rPr>
        <w:br w:type="page"/>
      </w:r>
    </w:p>
    <w:p w14:paraId="7BDE5F4C">
      <w:pPr>
        <w:pStyle w:val="45"/>
        <w:snapToGrid w:val="0"/>
        <w:spacing w:line="360" w:lineRule="auto"/>
        <w:jc w:val="center"/>
        <w:outlineLvl w:val="1"/>
        <w:rPr>
          <w:rFonts w:hint="eastAsia" w:hAnsi="宋体" w:cs="宋体"/>
          <w:b/>
          <w:kern w:val="0"/>
          <w:sz w:val="36"/>
          <w:szCs w:val="24"/>
          <w:highlight w:val="none"/>
        </w:rPr>
      </w:pPr>
      <w:bookmarkStart w:id="223" w:name="_Toc2121"/>
      <w:r>
        <w:rPr>
          <w:rFonts w:hint="eastAsia" w:hAnsi="宋体" w:cs="宋体"/>
          <w:b/>
          <w:kern w:val="0"/>
          <w:sz w:val="36"/>
          <w:szCs w:val="24"/>
          <w:highlight w:val="none"/>
        </w:rPr>
        <w:t>十六、2022年1月1日至投标文件递交截止时间</w:t>
      </w:r>
      <w:r>
        <w:rPr>
          <w:rFonts w:hint="eastAsia" w:hAnsi="宋体" w:cs="宋体"/>
          <w:b/>
          <w:kern w:val="0"/>
          <w:sz w:val="36"/>
          <w:szCs w:val="24"/>
          <w:highlight w:val="none"/>
          <w:lang w:val="en-US" w:eastAsia="zh-CN"/>
        </w:rPr>
        <w:t>的</w:t>
      </w:r>
      <w:r>
        <w:rPr>
          <w:rFonts w:hint="eastAsia" w:hAnsi="宋体" w:cs="宋体"/>
          <w:b/>
          <w:kern w:val="0"/>
          <w:sz w:val="36"/>
          <w:szCs w:val="24"/>
          <w:highlight w:val="none"/>
        </w:rPr>
        <w:t>类似项目业绩</w:t>
      </w:r>
      <w:bookmarkEnd w:id="223"/>
    </w:p>
    <w:p w14:paraId="1CFAD4AE">
      <w:pPr>
        <w:pStyle w:val="45"/>
        <w:tabs>
          <w:tab w:val="left" w:pos="7770"/>
        </w:tabs>
        <w:snapToGrid w:val="0"/>
        <w:spacing w:line="360" w:lineRule="auto"/>
        <w:ind w:firstLine="480"/>
        <w:jc w:val="left"/>
        <w:rPr>
          <w:rFonts w:hint="eastAsia" w:hAnsi="宋体" w:cs="宋体"/>
          <w:kern w:val="0"/>
          <w:sz w:val="24"/>
          <w:highlight w:val="none"/>
        </w:rPr>
      </w:pPr>
    </w:p>
    <w:p w14:paraId="5DBDEA9B">
      <w:pPr>
        <w:pStyle w:val="45"/>
        <w:snapToGrid w:val="0"/>
        <w:spacing w:line="360" w:lineRule="auto"/>
        <w:ind w:firstLine="480"/>
        <w:jc w:val="left"/>
        <w:rPr>
          <w:rFonts w:hint="eastAsia" w:hAnsi="宋体" w:cs="宋体"/>
          <w:kern w:val="0"/>
          <w:sz w:val="24"/>
          <w:szCs w:val="24"/>
          <w:highlight w:val="none"/>
        </w:rPr>
      </w:pPr>
      <w:r>
        <w:rPr>
          <w:rFonts w:hint="eastAsia" w:hAnsi="宋体" w:cs="宋体"/>
          <w:kern w:val="0"/>
          <w:sz w:val="24"/>
          <w:szCs w:val="24"/>
          <w:highlight w:val="none"/>
        </w:rPr>
        <w:t>注：1.业绩以投标文件中所附合同复印件、验收证明或用户报告（加盖公章）为准，两者缺一不可。提供的证明材料均不得遮挡涂黑，否则不予认定加分。</w:t>
      </w:r>
    </w:p>
    <w:p w14:paraId="59DE1C84">
      <w:pPr>
        <w:pStyle w:val="98"/>
        <w:numPr>
          <w:ilvl w:val="0"/>
          <w:numId w:val="0"/>
        </w:numPr>
        <w:snapToGrid w:val="0"/>
        <w:ind w:left="488" w:leftChars="228" w:hanging="9" w:hangingChars="4"/>
        <w:rPr>
          <w:rFonts w:hint="eastAsia" w:ascii="宋体" w:hAnsi="宋体" w:cs="宋体"/>
          <w:kern w:val="0"/>
          <w:highlight w:val="none"/>
        </w:rPr>
      </w:pPr>
      <w:r>
        <w:rPr>
          <w:rFonts w:hint="eastAsia" w:hAnsi="宋体" w:cs="宋体"/>
          <w:kern w:val="0"/>
          <w:highlight w:val="none"/>
        </w:rPr>
        <w:t>2.类似业绩</w:t>
      </w:r>
      <w:r>
        <w:rPr>
          <w:rFonts w:hint="eastAsia" w:ascii="宋体" w:hAnsi="宋体" w:cs="宋体"/>
          <w:kern w:val="0"/>
          <w:highlight w:val="none"/>
        </w:rPr>
        <w:t>指“PEM/AEM水电解制氢实验教学系统”</w:t>
      </w:r>
      <w:r>
        <w:rPr>
          <w:rFonts w:hint="eastAsia" w:hAnsi="宋体" w:cs="宋体"/>
          <w:kern w:val="0"/>
          <w:highlight w:val="none"/>
        </w:rPr>
        <w:t>，业绩须提供相关的合同关键页(含签订合同双方的单位名称、合同项目名称、合同金额、签订合同双方的落款盖章、签订日期的关键页、合同清单)复印件加盖公章，业绩时间以合同签订时间为准），验收证明或用户报告需包含设备名称、验收时间及用户盖章。</w:t>
      </w:r>
    </w:p>
    <w:p w14:paraId="38F8D67C">
      <w:pPr>
        <w:pStyle w:val="45"/>
        <w:snapToGrid w:val="0"/>
        <w:spacing w:line="360" w:lineRule="auto"/>
        <w:ind w:firstLine="723"/>
        <w:jc w:val="center"/>
        <w:rPr>
          <w:rFonts w:hint="eastAsia" w:hAnsi="宋体" w:cs="宋体"/>
          <w:b/>
          <w:bCs/>
          <w:kern w:val="0"/>
          <w:sz w:val="36"/>
          <w:szCs w:val="24"/>
          <w:highlight w:val="none"/>
        </w:rPr>
      </w:pPr>
    </w:p>
    <w:p w14:paraId="3D49276B">
      <w:pPr>
        <w:pStyle w:val="45"/>
        <w:snapToGrid w:val="0"/>
        <w:spacing w:line="360" w:lineRule="auto"/>
        <w:ind w:firstLine="723"/>
        <w:jc w:val="center"/>
        <w:rPr>
          <w:rFonts w:hint="eastAsia" w:hAnsi="宋体" w:cs="宋体"/>
          <w:b/>
          <w:bCs/>
          <w:kern w:val="0"/>
          <w:sz w:val="36"/>
          <w:szCs w:val="24"/>
          <w:highlight w:val="none"/>
        </w:rPr>
      </w:pPr>
    </w:p>
    <w:p w14:paraId="3A79FB94">
      <w:pPr>
        <w:pStyle w:val="45"/>
        <w:snapToGrid w:val="0"/>
        <w:spacing w:line="360" w:lineRule="auto"/>
        <w:ind w:firstLine="723"/>
        <w:jc w:val="center"/>
        <w:outlineLvl w:val="1"/>
        <w:rPr>
          <w:rFonts w:hint="eastAsia" w:hAnsi="宋体" w:cs="宋体"/>
          <w:kern w:val="0"/>
          <w:highlight w:val="none"/>
        </w:rPr>
      </w:pPr>
      <w:bookmarkStart w:id="224" w:name="_Toc4690"/>
      <w:r>
        <w:rPr>
          <w:rFonts w:hint="eastAsia" w:hAnsi="宋体" w:cs="宋体"/>
          <w:b/>
          <w:bCs/>
          <w:kern w:val="0"/>
          <w:sz w:val="36"/>
          <w:szCs w:val="24"/>
          <w:highlight w:val="none"/>
        </w:rPr>
        <w:t>十七、投标人需提交的其他文件</w:t>
      </w:r>
      <w:bookmarkEnd w:id="217"/>
      <w:bookmarkEnd w:id="218"/>
      <w:bookmarkEnd w:id="224"/>
    </w:p>
    <w:p w14:paraId="74B53015">
      <w:pPr>
        <w:pStyle w:val="45"/>
        <w:snapToGrid w:val="0"/>
        <w:spacing w:line="360" w:lineRule="auto"/>
        <w:ind w:firstLine="480"/>
        <w:jc w:val="center"/>
        <w:rPr>
          <w:rFonts w:hint="eastAsia" w:hAnsi="宋体" w:cs="宋体"/>
          <w:kern w:val="0"/>
          <w:sz w:val="24"/>
          <w:szCs w:val="24"/>
          <w:highlight w:val="none"/>
        </w:rPr>
      </w:pPr>
      <w:r>
        <w:rPr>
          <w:rFonts w:hint="eastAsia" w:hAnsi="宋体" w:cs="宋体"/>
          <w:kern w:val="0"/>
          <w:sz w:val="24"/>
          <w:szCs w:val="24"/>
          <w:highlight w:val="none"/>
        </w:rPr>
        <w:t>1.投标人简介(含组织机构、职工人数、技术人员、技术装备能力等)；</w:t>
      </w:r>
    </w:p>
    <w:p w14:paraId="6602953B">
      <w:pPr>
        <w:pStyle w:val="45"/>
        <w:snapToGrid w:val="0"/>
        <w:spacing w:line="360" w:lineRule="auto"/>
        <w:ind w:firstLine="480"/>
        <w:jc w:val="center"/>
        <w:rPr>
          <w:rFonts w:hint="eastAsia" w:hAnsi="宋体" w:cs="宋体"/>
          <w:kern w:val="0"/>
          <w:sz w:val="24"/>
          <w:szCs w:val="24"/>
          <w:highlight w:val="none"/>
        </w:rPr>
      </w:pPr>
      <w:r>
        <w:rPr>
          <w:rFonts w:hint="eastAsia" w:hAnsi="宋体" w:cs="宋体"/>
          <w:kern w:val="0"/>
          <w:sz w:val="24"/>
          <w:szCs w:val="24"/>
          <w:highlight w:val="none"/>
        </w:rPr>
        <w:t>2.近五年内企业信誉列表及有效证明（复印件加盖公章）</w:t>
      </w:r>
    </w:p>
    <w:p w14:paraId="0C23DF2A">
      <w:pPr>
        <w:pStyle w:val="45"/>
        <w:snapToGrid w:val="0"/>
        <w:spacing w:line="360" w:lineRule="auto"/>
        <w:ind w:firstLine="480"/>
        <w:jc w:val="center"/>
        <w:rPr>
          <w:rFonts w:hint="eastAsia" w:hAnsi="宋体" w:cs="宋体"/>
          <w:kern w:val="0"/>
          <w:sz w:val="24"/>
          <w:szCs w:val="24"/>
          <w:highlight w:val="none"/>
        </w:rPr>
      </w:pPr>
    </w:p>
    <w:p w14:paraId="573502DB">
      <w:pPr>
        <w:pStyle w:val="45"/>
        <w:snapToGrid w:val="0"/>
        <w:spacing w:line="360" w:lineRule="auto"/>
        <w:ind w:firstLine="723"/>
        <w:rPr>
          <w:rFonts w:hint="eastAsia" w:hAnsi="宋体" w:cs="宋体"/>
          <w:b/>
          <w:kern w:val="0"/>
          <w:sz w:val="36"/>
          <w:szCs w:val="24"/>
          <w:highlight w:val="none"/>
        </w:rPr>
      </w:pPr>
    </w:p>
    <w:p w14:paraId="27BB7908">
      <w:pPr>
        <w:pStyle w:val="45"/>
        <w:snapToGrid w:val="0"/>
        <w:spacing w:line="360" w:lineRule="auto"/>
        <w:ind w:firstLine="723"/>
        <w:rPr>
          <w:rFonts w:hint="eastAsia" w:hAnsi="宋体" w:cs="宋体"/>
          <w:b/>
          <w:kern w:val="0"/>
          <w:sz w:val="36"/>
          <w:szCs w:val="24"/>
          <w:highlight w:val="none"/>
        </w:rPr>
      </w:pPr>
    </w:p>
    <w:p w14:paraId="5E1EE9D7">
      <w:pPr>
        <w:pStyle w:val="45"/>
        <w:snapToGrid w:val="0"/>
        <w:spacing w:line="360" w:lineRule="auto"/>
        <w:ind w:firstLine="723"/>
        <w:jc w:val="center"/>
        <w:outlineLvl w:val="1"/>
        <w:rPr>
          <w:rFonts w:hint="eastAsia" w:hAnsi="宋体" w:cs="宋体"/>
          <w:b/>
          <w:kern w:val="0"/>
          <w:sz w:val="36"/>
          <w:szCs w:val="24"/>
          <w:highlight w:val="none"/>
        </w:rPr>
      </w:pPr>
      <w:bookmarkStart w:id="225" w:name="_Toc27346_WPSOffice_Level1"/>
      <w:bookmarkStart w:id="226" w:name="_Toc12569_WPSOffice_Level1"/>
      <w:bookmarkStart w:id="227" w:name="_Toc25084"/>
      <w:r>
        <w:rPr>
          <w:rFonts w:hint="eastAsia" w:hAnsi="宋体" w:cs="宋体"/>
          <w:b/>
          <w:kern w:val="0"/>
          <w:sz w:val="36"/>
          <w:szCs w:val="24"/>
          <w:highlight w:val="none"/>
        </w:rPr>
        <w:t>十八、投标人需说明的其他问题</w:t>
      </w:r>
      <w:bookmarkEnd w:id="225"/>
      <w:bookmarkEnd w:id="226"/>
      <w:bookmarkEnd w:id="227"/>
    </w:p>
    <w:p w14:paraId="62FDD750">
      <w:pPr>
        <w:pStyle w:val="45"/>
        <w:snapToGrid w:val="0"/>
        <w:spacing w:line="360" w:lineRule="auto"/>
        <w:ind w:firstLine="480"/>
        <w:jc w:val="center"/>
        <w:rPr>
          <w:rFonts w:hint="eastAsia" w:hAnsi="宋体" w:cs="宋体"/>
          <w:kern w:val="0"/>
          <w:sz w:val="24"/>
          <w:highlight w:val="none"/>
        </w:rPr>
      </w:pPr>
      <w:r>
        <w:rPr>
          <w:rFonts w:hint="eastAsia" w:hAnsi="宋体" w:cs="宋体"/>
          <w:kern w:val="0"/>
          <w:sz w:val="24"/>
          <w:highlight w:val="none"/>
        </w:rPr>
        <w:t>投标人可提出补充建议或说明，提出比招标文件的要求更合理的建议方案，同时应说明对技术条件、价格、运行、维护、检修、安装等方面的影响。</w:t>
      </w:r>
    </w:p>
    <w:p w14:paraId="3F39FBB8">
      <w:pPr>
        <w:pStyle w:val="45"/>
        <w:snapToGrid w:val="0"/>
        <w:spacing w:line="360" w:lineRule="auto"/>
        <w:ind w:firstLine="480"/>
        <w:jc w:val="center"/>
        <w:rPr>
          <w:rFonts w:hint="eastAsia" w:hAnsi="宋体" w:cs="宋体"/>
          <w:kern w:val="0"/>
          <w:sz w:val="24"/>
          <w:highlight w:val="none"/>
        </w:rPr>
      </w:pPr>
    </w:p>
    <w:p w14:paraId="2E7A8BA6">
      <w:pPr>
        <w:widowControl/>
        <w:jc w:val="left"/>
        <w:rPr>
          <w:rFonts w:hint="eastAsia" w:ascii="宋体" w:hAnsi="宋体" w:cs="宋体"/>
          <w:kern w:val="0"/>
          <w:sz w:val="24"/>
          <w:szCs w:val="21"/>
          <w:highlight w:val="none"/>
        </w:rPr>
      </w:pPr>
      <w:r>
        <w:rPr>
          <w:rFonts w:hAnsi="宋体" w:cs="宋体"/>
          <w:kern w:val="0"/>
          <w:sz w:val="24"/>
          <w:highlight w:val="none"/>
        </w:rPr>
        <w:br w:type="page"/>
      </w:r>
    </w:p>
    <w:p w14:paraId="2E4C35EC">
      <w:pPr>
        <w:snapToGrid w:val="0"/>
        <w:spacing w:line="360" w:lineRule="auto"/>
        <w:jc w:val="center"/>
        <w:outlineLvl w:val="0"/>
        <w:rPr>
          <w:rFonts w:hint="eastAsia" w:ascii="宋体" w:hAnsi="宋体" w:cs="宋体"/>
          <w:b/>
          <w:kern w:val="0"/>
          <w:sz w:val="32"/>
          <w:szCs w:val="32"/>
          <w:highlight w:val="none"/>
        </w:rPr>
      </w:pPr>
      <w:bookmarkStart w:id="228" w:name="_Toc26890"/>
      <w:bookmarkStart w:id="229" w:name="_Toc26143"/>
      <w:bookmarkStart w:id="230" w:name="_Toc11094_WPSOffice_Level1"/>
      <w:bookmarkStart w:id="231" w:name="_Toc24355_WPSOffice_Level1"/>
      <w:r>
        <w:rPr>
          <w:rFonts w:hint="eastAsia" w:ascii="宋体" w:hAnsi="宋体" w:cs="宋体"/>
          <w:b/>
          <w:kern w:val="0"/>
          <w:sz w:val="32"/>
          <w:szCs w:val="32"/>
          <w:highlight w:val="none"/>
        </w:rPr>
        <w:t>资格审查表</w:t>
      </w:r>
      <w:bookmarkEnd w:id="228"/>
      <w:bookmarkEnd w:id="229"/>
    </w:p>
    <w:tbl>
      <w:tblPr>
        <w:tblStyle w:val="88"/>
        <w:tblW w:w="912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9"/>
        <w:gridCol w:w="5552"/>
        <w:gridCol w:w="709"/>
        <w:gridCol w:w="709"/>
        <w:gridCol w:w="690"/>
        <w:gridCol w:w="758"/>
      </w:tblGrid>
      <w:tr w14:paraId="29A8AC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5" w:hRule="atLeast"/>
          <w:jc w:val="center"/>
        </w:trPr>
        <w:tc>
          <w:tcPr>
            <w:tcW w:w="709" w:type="dxa"/>
            <w:vMerge w:val="restart"/>
            <w:vAlign w:val="center"/>
          </w:tcPr>
          <w:p w14:paraId="3CBD77AD">
            <w:pPr>
              <w:snapToGrid w:val="0"/>
              <w:rPr>
                <w:rFonts w:hint="eastAsia" w:ascii="宋体" w:hAnsi="宋体" w:cs="宋体"/>
                <w:b/>
                <w:bCs/>
                <w:kern w:val="0"/>
                <w:sz w:val="24"/>
                <w:highlight w:val="none"/>
              </w:rPr>
            </w:pPr>
            <w:r>
              <w:rPr>
                <w:rFonts w:hint="eastAsia" w:ascii="宋体" w:hAnsi="宋体" w:cs="宋体"/>
                <w:b/>
                <w:bCs/>
                <w:kern w:val="0"/>
                <w:sz w:val="24"/>
                <w:highlight w:val="none"/>
              </w:rPr>
              <w:t>序号</w:t>
            </w:r>
          </w:p>
        </w:tc>
        <w:tc>
          <w:tcPr>
            <w:tcW w:w="5552" w:type="dxa"/>
            <w:vMerge w:val="restart"/>
            <w:vAlign w:val="center"/>
          </w:tcPr>
          <w:p w14:paraId="4BA4F2A0">
            <w:pPr>
              <w:snapToGrid w:val="0"/>
              <w:jc w:val="center"/>
              <w:rPr>
                <w:rFonts w:hint="eastAsia" w:ascii="宋体" w:hAnsi="宋体" w:cs="宋体"/>
                <w:b/>
                <w:bCs/>
                <w:kern w:val="0"/>
                <w:sz w:val="24"/>
                <w:highlight w:val="none"/>
              </w:rPr>
            </w:pPr>
            <w:r>
              <w:rPr>
                <w:rFonts w:hint="eastAsia" w:ascii="宋体" w:hAnsi="宋体" w:cs="宋体"/>
                <w:b/>
                <w:bCs/>
                <w:kern w:val="0"/>
                <w:sz w:val="24"/>
                <w:highlight w:val="none"/>
              </w:rPr>
              <w:t>资格审查表（评审结果为合格、不合格）</w:t>
            </w:r>
          </w:p>
        </w:tc>
        <w:tc>
          <w:tcPr>
            <w:tcW w:w="2866" w:type="dxa"/>
            <w:gridSpan w:val="4"/>
            <w:vAlign w:val="center"/>
          </w:tcPr>
          <w:p w14:paraId="11FCC89B">
            <w:pPr>
              <w:snapToGrid w:val="0"/>
              <w:jc w:val="center"/>
              <w:rPr>
                <w:rFonts w:hint="eastAsia" w:ascii="宋体" w:hAnsi="宋体" w:cs="宋体"/>
                <w:b/>
                <w:bCs/>
                <w:kern w:val="0"/>
                <w:sz w:val="24"/>
                <w:highlight w:val="none"/>
              </w:rPr>
            </w:pPr>
            <w:r>
              <w:rPr>
                <w:rFonts w:hint="eastAsia" w:ascii="宋体" w:hAnsi="宋体" w:cs="宋体"/>
                <w:b/>
                <w:bCs/>
                <w:kern w:val="0"/>
                <w:sz w:val="24"/>
                <w:highlight w:val="none"/>
              </w:rPr>
              <w:t>投标人名称及审查意见（合格、不合格）</w:t>
            </w:r>
          </w:p>
        </w:tc>
      </w:tr>
      <w:tr w14:paraId="0D1A29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8" w:hRule="atLeast"/>
          <w:jc w:val="center"/>
        </w:trPr>
        <w:tc>
          <w:tcPr>
            <w:tcW w:w="709" w:type="dxa"/>
            <w:vMerge w:val="continue"/>
            <w:vAlign w:val="center"/>
          </w:tcPr>
          <w:p w14:paraId="46DCCB48">
            <w:pPr>
              <w:snapToGrid w:val="0"/>
              <w:ind w:firstLine="482"/>
              <w:jc w:val="center"/>
              <w:rPr>
                <w:rFonts w:hint="eastAsia" w:ascii="宋体" w:hAnsi="宋体" w:cs="宋体"/>
                <w:b/>
                <w:bCs/>
                <w:kern w:val="0"/>
                <w:sz w:val="24"/>
                <w:highlight w:val="none"/>
              </w:rPr>
            </w:pPr>
          </w:p>
        </w:tc>
        <w:tc>
          <w:tcPr>
            <w:tcW w:w="5552" w:type="dxa"/>
            <w:vMerge w:val="continue"/>
            <w:vAlign w:val="center"/>
          </w:tcPr>
          <w:p w14:paraId="1F6F6638">
            <w:pPr>
              <w:snapToGrid w:val="0"/>
              <w:ind w:firstLine="482"/>
              <w:rPr>
                <w:rFonts w:hint="eastAsia" w:ascii="宋体" w:hAnsi="宋体" w:cs="宋体"/>
                <w:b/>
                <w:bCs/>
                <w:kern w:val="0"/>
                <w:sz w:val="24"/>
                <w:highlight w:val="none"/>
              </w:rPr>
            </w:pPr>
          </w:p>
        </w:tc>
        <w:tc>
          <w:tcPr>
            <w:tcW w:w="709" w:type="dxa"/>
            <w:vAlign w:val="center"/>
          </w:tcPr>
          <w:p w14:paraId="0FB13CC0">
            <w:pPr>
              <w:snapToGrid w:val="0"/>
              <w:ind w:firstLine="482"/>
              <w:jc w:val="center"/>
              <w:rPr>
                <w:rFonts w:hint="eastAsia" w:ascii="宋体" w:hAnsi="宋体" w:cs="宋体"/>
                <w:b/>
                <w:bCs/>
                <w:kern w:val="0"/>
                <w:sz w:val="24"/>
                <w:highlight w:val="none"/>
              </w:rPr>
            </w:pPr>
          </w:p>
        </w:tc>
        <w:tc>
          <w:tcPr>
            <w:tcW w:w="709" w:type="dxa"/>
            <w:vAlign w:val="center"/>
          </w:tcPr>
          <w:p w14:paraId="1D745364">
            <w:pPr>
              <w:snapToGrid w:val="0"/>
              <w:ind w:firstLine="482"/>
              <w:jc w:val="center"/>
              <w:rPr>
                <w:rFonts w:hint="eastAsia" w:ascii="宋体" w:hAnsi="宋体" w:cs="宋体"/>
                <w:b/>
                <w:bCs/>
                <w:kern w:val="0"/>
                <w:sz w:val="24"/>
                <w:highlight w:val="none"/>
              </w:rPr>
            </w:pPr>
          </w:p>
        </w:tc>
        <w:tc>
          <w:tcPr>
            <w:tcW w:w="690" w:type="dxa"/>
            <w:vAlign w:val="center"/>
          </w:tcPr>
          <w:p w14:paraId="12AFDB4D">
            <w:pPr>
              <w:snapToGrid w:val="0"/>
              <w:ind w:firstLine="482"/>
              <w:jc w:val="center"/>
              <w:rPr>
                <w:rFonts w:hint="eastAsia" w:ascii="宋体" w:hAnsi="宋体" w:cs="宋体"/>
                <w:b/>
                <w:bCs/>
                <w:kern w:val="0"/>
                <w:sz w:val="24"/>
                <w:highlight w:val="none"/>
              </w:rPr>
            </w:pPr>
          </w:p>
        </w:tc>
        <w:tc>
          <w:tcPr>
            <w:tcW w:w="758" w:type="dxa"/>
            <w:vAlign w:val="center"/>
          </w:tcPr>
          <w:p w14:paraId="7F7CE6BF">
            <w:pPr>
              <w:snapToGrid w:val="0"/>
              <w:rPr>
                <w:rFonts w:hint="eastAsia" w:ascii="宋体" w:hAnsi="宋体" w:cs="宋体"/>
                <w:b/>
                <w:bCs/>
                <w:kern w:val="0"/>
                <w:sz w:val="24"/>
                <w:highlight w:val="none"/>
              </w:rPr>
            </w:pPr>
            <w:r>
              <w:rPr>
                <w:rFonts w:hint="eastAsia" w:ascii="宋体" w:hAnsi="宋体" w:cs="宋体"/>
                <w:b/>
                <w:bCs/>
                <w:kern w:val="0"/>
                <w:sz w:val="24"/>
                <w:highlight w:val="none"/>
              </w:rPr>
              <w:t>备注</w:t>
            </w:r>
          </w:p>
          <w:p w14:paraId="75AD1C0E">
            <w:pPr>
              <w:snapToGrid w:val="0"/>
              <w:rPr>
                <w:rFonts w:hint="eastAsia" w:ascii="宋体" w:hAnsi="宋体" w:cs="宋体"/>
                <w:b/>
                <w:bCs/>
                <w:kern w:val="0"/>
                <w:sz w:val="24"/>
                <w:highlight w:val="none"/>
              </w:rPr>
            </w:pPr>
            <w:r>
              <w:rPr>
                <w:rFonts w:hint="eastAsia" w:ascii="宋体" w:hAnsi="宋体" w:cs="宋体"/>
                <w:b/>
                <w:bCs/>
                <w:kern w:val="0"/>
                <w:sz w:val="24"/>
                <w:highlight w:val="none"/>
              </w:rPr>
              <w:t>说明</w:t>
            </w:r>
          </w:p>
        </w:tc>
      </w:tr>
      <w:tr w14:paraId="66F4A3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4" w:hRule="atLeast"/>
          <w:jc w:val="center"/>
        </w:trPr>
        <w:tc>
          <w:tcPr>
            <w:tcW w:w="709" w:type="dxa"/>
            <w:vAlign w:val="center"/>
          </w:tcPr>
          <w:p w14:paraId="3FC4E8F7">
            <w:pPr>
              <w:adjustRightInd w:val="0"/>
              <w:snapToGrid w:val="0"/>
              <w:jc w:val="center"/>
              <w:rPr>
                <w:rFonts w:hint="eastAsia" w:ascii="宋体" w:hAnsi="宋体" w:cs="宋体"/>
                <w:kern w:val="0"/>
                <w:sz w:val="24"/>
                <w:highlight w:val="none"/>
              </w:rPr>
            </w:pPr>
            <w:r>
              <w:rPr>
                <w:rFonts w:hint="eastAsia" w:ascii="宋体" w:hAnsi="宋体" w:cs="宋体"/>
                <w:kern w:val="0"/>
                <w:sz w:val="24"/>
                <w:highlight w:val="none"/>
              </w:rPr>
              <w:t>1</w:t>
            </w:r>
          </w:p>
        </w:tc>
        <w:tc>
          <w:tcPr>
            <w:tcW w:w="5552" w:type="dxa"/>
            <w:vAlign w:val="center"/>
          </w:tcPr>
          <w:p w14:paraId="002A11DE">
            <w:pPr>
              <w:adjustRightInd w:val="0"/>
              <w:snapToGrid w:val="0"/>
              <w:jc w:val="left"/>
              <w:rPr>
                <w:rFonts w:hint="eastAsia" w:ascii="宋体" w:hAnsi="宋体" w:cs="宋体"/>
                <w:kern w:val="0"/>
                <w:sz w:val="24"/>
                <w:highlight w:val="none"/>
              </w:rPr>
            </w:pPr>
            <w:r>
              <w:rPr>
                <w:rFonts w:hint="eastAsia" w:ascii="宋体" w:hAnsi="宋体" w:cs="宋体"/>
                <w:kern w:val="0"/>
                <w:sz w:val="24"/>
                <w:highlight w:val="none"/>
              </w:rPr>
              <w:t>按要求提供合法有效的营业执照(或事业单位法人证书)</w:t>
            </w:r>
          </w:p>
        </w:tc>
        <w:tc>
          <w:tcPr>
            <w:tcW w:w="709" w:type="dxa"/>
            <w:vAlign w:val="center"/>
          </w:tcPr>
          <w:p w14:paraId="68FC25B9">
            <w:pPr>
              <w:adjustRightInd w:val="0"/>
              <w:snapToGrid w:val="0"/>
              <w:ind w:firstLine="480"/>
              <w:jc w:val="center"/>
              <w:rPr>
                <w:rFonts w:hint="eastAsia" w:ascii="宋体" w:hAnsi="宋体" w:cs="宋体"/>
                <w:kern w:val="0"/>
                <w:sz w:val="24"/>
                <w:highlight w:val="none"/>
              </w:rPr>
            </w:pPr>
          </w:p>
        </w:tc>
        <w:tc>
          <w:tcPr>
            <w:tcW w:w="709" w:type="dxa"/>
            <w:vAlign w:val="center"/>
          </w:tcPr>
          <w:p w14:paraId="2C400D44">
            <w:pPr>
              <w:adjustRightInd w:val="0"/>
              <w:snapToGrid w:val="0"/>
              <w:ind w:firstLine="480"/>
              <w:jc w:val="center"/>
              <w:rPr>
                <w:rFonts w:hint="eastAsia" w:ascii="宋体" w:hAnsi="宋体" w:cs="宋体"/>
                <w:kern w:val="0"/>
                <w:sz w:val="24"/>
                <w:highlight w:val="none"/>
              </w:rPr>
            </w:pPr>
          </w:p>
        </w:tc>
        <w:tc>
          <w:tcPr>
            <w:tcW w:w="690" w:type="dxa"/>
            <w:vAlign w:val="center"/>
          </w:tcPr>
          <w:p w14:paraId="3049B083">
            <w:pPr>
              <w:adjustRightInd w:val="0"/>
              <w:snapToGrid w:val="0"/>
              <w:ind w:firstLine="480"/>
              <w:jc w:val="center"/>
              <w:rPr>
                <w:rFonts w:hint="eastAsia" w:ascii="宋体" w:hAnsi="宋体" w:cs="宋体"/>
                <w:kern w:val="0"/>
                <w:sz w:val="24"/>
                <w:highlight w:val="none"/>
              </w:rPr>
            </w:pPr>
          </w:p>
        </w:tc>
        <w:tc>
          <w:tcPr>
            <w:tcW w:w="758" w:type="dxa"/>
            <w:vAlign w:val="center"/>
          </w:tcPr>
          <w:p w14:paraId="16055E05">
            <w:pPr>
              <w:adjustRightInd w:val="0"/>
              <w:snapToGrid w:val="0"/>
              <w:ind w:firstLine="480"/>
              <w:jc w:val="center"/>
              <w:rPr>
                <w:rFonts w:hint="eastAsia" w:ascii="宋体" w:hAnsi="宋体" w:cs="宋体"/>
                <w:kern w:val="0"/>
                <w:sz w:val="24"/>
                <w:highlight w:val="none"/>
              </w:rPr>
            </w:pPr>
          </w:p>
        </w:tc>
      </w:tr>
      <w:tr w14:paraId="7C6176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709" w:type="dxa"/>
            <w:vAlign w:val="center"/>
          </w:tcPr>
          <w:p w14:paraId="523C11D0">
            <w:pPr>
              <w:adjustRightInd w:val="0"/>
              <w:snapToGrid w:val="0"/>
              <w:jc w:val="center"/>
              <w:rPr>
                <w:rFonts w:hint="eastAsia" w:ascii="宋体" w:hAnsi="宋体" w:cs="宋体"/>
                <w:kern w:val="0"/>
                <w:sz w:val="24"/>
                <w:highlight w:val="none"/>
              </w:rPr>
            </w:pPr>
            <w:r>
              <w:rPr>
                <w:rFonts w:hint="eastAsia" w:ascii="宋体" w:hAnsi="宋体" w:cs="宋体"/>
                <w:kern w:val="0"/>
                <w:sz w:val="24"/>
                <w:highlight w:val="none"/>
              </w:rPr>
              <w:t>2</w:t>
            </w:r>
          </w:p>
        </w:tc>
        <w:tc>
          <w:tcPr>
            <w:tcW w:w="5552" w:type="dxa"/>
            <w:vAlign w:val="center"/>
          </w:tcPr>
          <w:p w14:paraId="65843074">
            <w:pPr>
              <w:adjustRightInd w:val="0"/>
              <w:snapToGrid w:val="0"/>
              <w:jc w:val="left"/>
              <w:rPr>
                <w:rFonts w:hint="eastAsia" w:ascii="宋体" w:hAnsi="宋体" w:cs="宋体"/>
                <w:kern w:val="0"/>
                <w:sz w:val="24"/>
                <w:highlight w:val="none"/>
              </w:rPr>
            </w:pPr>
            <w:r>
              <w:rPr>
                <w:rFonts w:hint="eastAsia" w:ascii="宋体" w:hAnsi="宋体" w:cs="宋体"/>
                <w:kern w:val="0"/>
                <w:sz w:val="24"/>
                <w:highlight w:val="none"/>
              </w:rPr>
              <w:t>提供2024年度经过审计的财务会计报告，或2025年基本存款账户开户银行出具的资信证明及基本存款账户开户证明材料</w:t>
            </w:r>
          </w:p>
        </w:tc>
        <w:tc>
          <w:tcPr>
            <w:tcW w:w="709" w:type="dxa"/>
            <w:vAlign w:val="center"/>
          </w:tcPr>
          <w:p w14:paraId="1B43AE74">
            <w:pPr>
              <w:adjustRightInd w:val="0"/>
              <w:snapToGrid w:val="0"/>
              <w:jc w:val="center"/>
              <w:rPr>
                <w:rFonts w:hint="eastAsia" w:ascii="宋体" w:hAnsi="宋体" w:cs="宋体"/>
                <w:kern w:val="0"/>
                <w:sz w:val="24"/>
                <w:highlight w:val="none"/>
              </w:rPr>
            </w:pPr>
          </w:p>
        </w:tc>
        <w:tc>
          <w:tcPr>
            <w:tcW w:w="709" w:type="dxa"/>
            <w:vAlign w:val="center"/>
          </w:tcPr>
          <w:p w14:paraId="0E886997">
            <w:pPr>
              <w:adjustRightInd w:val="0"/>
              <w:snapToGrid w:val="0"/>
              <w:jc w:val="center"/>
              <w:rPr>
                <w:rFonts w:hint="eastAsia" w:ascii="宋体" w:hAnsi="宋体" w:cs="宋体"/>
                <w:kern w:val="0"/>
                <w:sz w:val="24"/>
                <w:highlight w:val="none"/>
              </w:rPr>
            </w:pPr>
          </w:p>
        </w:tc>
        <w:tc>
          <w:tcPr>
            <w:tcW w:w="690" w:type="dxa"/>
            <w:vAlign w:val="center"/>
          </w:tcPr>
          <w:p w14:paraId="22478A58">
            <w:pPr>
              <w:adjustRightInd w:val="0"/>
              <w:snapToGrid w:val="0"/>
              <w:jc w:val="center"/>
              <w:rPr>
                <w:rFonts w:hint="eastAsia" w:ascii="宋体" w:hAnsi="宋体" w:cs="宋体"/>
                <w:kern w:val="0"/>
                <w:sz w:val="24"/>
                <w:highlight w:val="none"/>
              </w:rPr>
            </w:pPr>
          </w:p>
        </w:tc>
        <w:tc>
          <w:tcPr>
            <w:tcW w:w="758" w:type="dxa"/>
            <w:vAlign w:val="center"/>
          </w:tcPr>
          <w:p w14:paraId="2D930632">
            <w:pPr>
              <w:adjustRightInd w:val="0"/>
              <w:snapToGrid w:val="0"/>
              <w:jc w:val="center"/>
              <w:rPr>
                <w:rFonts w:hint="eastAsia" w:ascii="宋体" w:hAnsi="宋体" w:cs="宋体"/>
                <w:kern w:val="0"/>
                <w:sz w:val="24"/>
                <w:highlight w:val="none"/>
              </w:rPr>
            </w:pPr>
          </w:p>
        </w:tc>
      </w:tr>
      <w:tr w14:paraId="12C29E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6" w:hRule="atLeast"/>
          <w:jc w:val="center"/>
        </w:trPr>
        <w:tc>
          <w:tcPr>
            <w:tcW w:w="709" w:type="dxa"/>
            <w:vAlign w:val="center"/>
          </w:tcPr>
          <w:p w14:paraId="4217204A">
            <w:pPr>
              <w:adjustRightInd w:val="0"/>
              <w:snapToGrid w:val="0"/>
              <w:jc w:val="center"/>
              <w:rPr>
                <w:rFonts w:hint="eastAsia" w:ascii="宋体" w:hAnsi="宋体" w:cs="宋体"/>
                <w:kern w:val="0"/>
                <w:sz w:val="24"/>
                <w:highlight w:val="none"/>
              </w:rPr>
            </w:pPr>
            <w:r>
              <w:rPr>
                <w:rFonts w:hint="eastAsia" w:ascii="宋体" w:hAnsi="宋体" w:cs="宋体"/>
                <w:kern w:val="0"/>
                <w:sz w:val="24"/>
                <w:highlight w:val="none"/>
              </w:rPr>
              <w:t>3</w:t>
            </w:r>
          </w:p>
        </w:tc>
        <w:tc>
          <w:tcPr>
            <w:tcW w:w="5552" w:type="dxa"/>
            <w:vAlign w:val="center"/>
          </w:tcPr>
          <w:p w14:paraId="0C3E88EF">
            <w:pPr>
              <w:adjustRightInd w:val="0"/>
              <w:snapToGrid w:val="0"/>
              <w:jc w:val="left"/>
              <w:rPr>
                <w:rFonts w:hint="eastAsia" w:ascii="宋体" w:hAnsi="宋体" w:cs="宋体"/>
                <w:kern w:val="0"/>
                <w:sz w:val="24"/>
                <w:highlight w:val="none"/>
              </w:rPr>
            </w:pPr>
            <w:r>
              <w:rPr>
                <w:rFonts w:hint="eastAsia" w:ascii="宋体" w:hAnsi="宋体" w:cs="宋体"/>
                <w:kern w:val="0"/>
                <w:sz w:val="24"/>
                <w:highlight w:val="none"/>
              </w:rPr>
              <w:t>提供履行合同所必须的设备和专业技术能力的证明</w:t>
            </w:r>
          </w:p>
        </w:tc>
        <w:tc>
          <w:tcPr>
            <w:tcW w:w="709" w:type="dxa"/>
            <w:vAlign w:val="center"/>
          </w:tcPr>
          <w:p w14:paraId="5617E854">
            <w:pPr>
              <w:adjustRightInd w:val="0"/>
              <w:snapToGrid w:val="0"/>
              <w:jc w:val="center"/>
              <w:rPr>
                <w:rFonts w:hint="eastAsia" w:ascii="宋体" w:hAnsi="宋体" w:cs="宋体"/>
                <w:kern w:val="0"/>
                <w:sz w:val="24"/>
                <w:highlight w:val="none"/>
              </w:rPr>
            </w:pPr>
          </w:p>
        </w:tc>
        <w:tc>
          <w:tcPr>
            <w:tcW w:w="709" w:type="dxa"/>
            <w:vAlign w:val="center"/>
          </w:tcPr>
          <w:p w14:paraId="6E38BE7F">
            <w:pPr>
              <w:adjustRightInd w:val="0"/>
              <w:snapToGrid w:val="0"/>
              <w:jc w:val="center"/>
              <w:rPr>
                <w:rFonts w:hint="eastAsia" w:ascii="宋体" w:hAnsi="宋体" w:cs="宋体"/>
                <w:kern w:val="0"/>
                <w:sz w:val="24"/>
                <w:highlight w:val="none"/>
              </w:rPr>
            </w:pPr>
          </w:p>
        </w:tc>
        <w:tc>
          <w:tcPr>
            <w:tcW w:w="690" w:type="dxa"/>
            <w:vAlign w:val="center"/>
          </w:tcPr>
          <w:p w14:paraId="11F10221">
            <w:pPr>
              <w:adjustRightInd w:val="0"/>
              <w:snapToGrid w:val="0"/>
              <w:jc w:val="center"/>
              <w:rPr>
                <w:rFonts w:hint="eastAsia" w:ascii="宋体" w:hAnsi="宋体" w:cs="宋体"/>
                <w:kern w:val="0"/>
                <w:sz w:val="24"/>
                <w:highlight w:val="none"/>
              </w:rPr>
            </w:pPr>
          </w:p>
        </w:tc>
        <w:tc>
          <w:tcPr>
            <w:tcW w:w="758" w:type="dxa"/>
            <w:vAlign w:val="center"/>
          </w:tcPr>
          <w:p w14:paraId="65EB665B">
            <w:pPr>
              <w:adjustRightInd w:val="0"/>
              <w:snapToGrid w:val="0"/>
              <w:jc w:val="center"/>
              <w:rPr>
                <w:rFonts w:hint="eastAsia" w:ascii="宋体" w:hAnsi="宋体" w:cs="宋体"/>
                <w:kern w:val="0"/>
                <w:sz w:val="24"/>
                <w:highlight w:val="none"/>
              </w:rPr>
            </w:pPr>
          </w:p>
        </w:tc>
      </w:tr>
      <w:tr w14:paraId="7A5FCB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4" w:hRule="atLeast"/>
          <w:jc w:val="center"/>
        </w:trPr>
        <w:tc>
          <w:tcPr>
            <w:tcW w:w="709" w:type="dxa"/>
            <w:vAlign w:val="center"/>
          </w:tcPr>
          <w:p w14:paraId="4F346A3F">
            <w:pPr>
              <w:adjustRightInd w:val="0"/>
              <w:snapToGrid w:val="0"/>
              <w:jc w:val="center"/>
              <w:rPr>
                <w:rFonts w:hint="eastAsia" w:ascii="宋体" w:hAnsi="宋体" w:cs="宋体"/>
                <w:kern w:val="0"/>
                <w:sz w:val="24"/>
                <w:highlight w:val="none"/>
              </w:rPr>
            </w:pPr>
            <w:r>
              <w:rPr>
                <w:rFonts w:hint="eastAsia" w:ascii="宋体" w:hAnsi="宋体" w:cs="宋体"/>
                <w:kern w:val="0"/>
                <w:sz w:val="24"/>
                <w:highlight w:val="none"/>
              </w:rPr>
              <w:t>4</w:t>
            </w:r>
          </w:p>
        </w:tc>
        <w:tc>
          <w:tcPr>
            <w:tcW w:w="5552" w:type="dxa"/>
            <w:vAlign w:val="center"/>
          </w:tcPr>
          <w:p w14:paraId="28DCE395">
            <w:pPr>
              <w:adjustRightInd w:val="0"/>
              <w:snapToGrid w:val="0"/>
              <w:jc w:val="left"/>
              <w:rPr>
                <w:rFonts w:hint="eastAsia" w:ascii="宋体" w:hAnsi="宋体" w:cs="宋体"/>
                <w:kern w:val="0"/>
                <w:sz w:val="24"/>
                <w:highlight w:val="none"/>
              </w:rPr>
            </w:pPr>
            <w:r>
              <w:rPr>
                <w:rFonts w:hint="eastAsia" w:ascii="宋体" w:hAnsi="宋体" w:cs="宋体"/>
                <w:kern w:val="0"/>
                <w:sz w:val="24"/>
                <w:highlight w:val="none"/>
              </w:rPr>
              <w:t>提供开标时间前六个月内任一个月的依法缴纳税收的缴款凭据证明材料</w:t>
            </w:r>
          </w:p>
        </w:tc>
        <w:tc>
          <w:tcPr>
            <w:tcW w:w="709" w:type="dxa"/>
            <w:vAlign w:val="center"/>
          </w:tcPr>
          <w:p w14:paraId="3D1385CC">
            <w:pPr>
              <w:adjustRightInd w:val="0"/>
              <w:snapToGrid w:val="0"/>
              <w:jc w:val="center"/>
              <w:rPr>
                <w:rFonts w:hint="eastAsia" w:ascii="宋体" w:hAnsi="宋体" w:cs="宋体"/>
                <w:kern w:val="0"/>
                <w:sz w:val="24"/>
                <w:highlight w:val="none"/>
              </w:rPr>
            </w:pPr>
          </w:p>
        </w:tc>
        <w:tc>
          <w:tcPr>
            <w:tcW w:w="709" w:type="dxa"/>
            <w:vAlign w:val="center"/>
          </w:tcPr>
          <w:p w14:paraId="3100C591">
            <w:pPr>
              <w:adjustRightInd w:val="0"/>
              <w:snapToGrid w:val="0"/>
              <w:jc w:val="center"/>
              <w:rPr>
                <w:rFonts w:hint="eastAsia" w:ascii="宋体" w:hAnsi="宋体" w:cs="宋体"/>
                <w:kern w:val="0"/>
                <w:sz w:val="24"/>
                <w:highlight w:val="none"/>
              </w:rPr>
            </w:pPr>
          </w:p>
        </w:tc>
        <w:tc>
          <w:tcPr>
            <w:tcW w:w="690" w:type="dxa"/>
            <w:vAlign w:val="center"/>
          </w:tcPr>
          <w:p w14:paraId="05A81915">
            <w:pPr>
              <w:adjustRightInd w:val="0"/>
              <w:snapToGrid w:val="0"/>
              <w:jc w:val="center"/>
              <w:rPr>
                <w:rFonts w:hint="eastAsia" w:ascii="宋体" w:hAnsi="宋体" w:cs="宋体"/>
                <w:kern w:val="0"/>
                <w:sz w:val="24"/>
                <w:highlight w:val="none"/>
              </w:rPr>
            </w:pPr>
          </w:p>
        </w:tc>
        <w:tc>
          <w:tcPr>
            <w:tcW w:w="758" w:type="dxa"/>
            <w:vAlign w:val="center"/>
          </w:tcPr>
          <w:p w14:paraId="1CD6E018">
            <w:pPr>
              <w:adjustRightInd w:val="0"/>
              <w:snapToGrid w:val="0"/>
              <w:jc w:val="center"/>
              <w:rPr>
                <w:rFonts w:hint="eastAsia" w:ascii="宋体" w:hAnsi="宋体" w:cs="宋体"/>
                <w:kern w:val="0"/>
                <w:sz w:val="24"/>
                <w:highlight w:val="none"/>
              </w:rPr>
            </w:pPr>
          </w:p>
        </w:tc>
      </w:tr>
      <w:tr w14:paraId="420995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jc w:val="center"/>
        </w:trPr>
        <w:tc>
          <w:tcPr>
            <w:tcW w:w="709" w:type="dxa"/>
            <w:vAlign w:val="center"/>
          </w:tcPr>
          <w:p w14:paraId="48151585">
            <w:pPr>
              <w:adjustRightInd w:val="0"/>
              <w:snapToGrid w:val="0"/>
              <w:jc w:val="center"/>
              <w:rPr>
                <w:rFonts w:hint="eastAsia" w:ascii="宋体" w:hAnsi="宋体" w:cs="宋体"/>
                <w:kern w:val="0"/>
                <w:sz w:val="24"/>
                <w:highlight w:val="none"/>
              </w:rPr>
            </w:pPr>
            <w:r>
              <w:rPr>
                <w:rFonts w:hint="eastAsia" w:ascii="宋体" w:hAnsi="宋体" w:cs="宋体"/>
                <w:kern w:val="0"/>
                <w:sz w:val="24"/>
                <w:highlight w:val="none"/>
              </w:rPr>
              <w:t>5</w:t>
            </w:r>
          </w:p>
        </w:tc>
        <w:tc>
          <w:tcPr>
            <w:tcW w:w="5552" w:type="dxa"/>
            <w:vAlign w:val="center"/>
          </w:tcPr>
          <w:p w14:paraId="6BE7645C">
            <w:pPr>
              <w:adjustRightInd w:val="0"/>
              <w:snapToGrid w:val="0"/>
              <w:jc w:val="left"/>
              <w:rPr>
                <w:rFonts w:hint="eastAsia" w:ascii="宋体" w:hAnsi="宋体" w:cs="宋体"/>
                <w:kern w:val="0"/>
                <w:sz w:val="24"/>
                <w:highlight w:val="none"/>
              </w:rPr>
            </w:pPr>
            <w:r>
              <w:rPr>
                <w:rFonts w:hint="eastAsia" w:ascii="宋体" w:hAnsi="宋体" w:cs="宋体"/>
                <w:kern w:val="0"/>
                <w:sz w:val="24"/>
                <w:highlight w:val="none"/>
              </w:rPr>
              <w:t>提供开标前六个月内任一个月的依法缴纳社会保障资金的缴款凭据证明材料</w:t>
            </w:r>
          </w:p>
        </w:tc>
        <w:tc>
          <w:tcPr>
            <w:tcW w:w="709" w:type="dxa"/>
            <w:vAlign w:val="center"/>
          </w:tcPr>
          <w:p w14:paraId="2701FD7B">
            <w:pPr>
              <w:adjustRightInd w:val="0"/>
              <w:snapToGrid w:val="0"/>
              <w:jc w:val="center"/>
              <w:rPr>
                <w:rFonts w:hint="eastAsia" w:ascii="宋体" w:hAnsi="宋体" w:cs="宋体"/>
                <w:kern w:val="0"/>
                <w:sz w:val="24"/>
                <w:highlight w:val="none"/>
              </w:rPr>
            </w:pPr>
          </w:p>
        </w:tc>
        <w:tc>
          <w:tcPr>
            <w:tcW w:w="709" w:type="dxa"/>
            <w:vAlign w:val="center"/>
          </w:tcPr>
          <w:p w14:paraId="12662C6E">
            <w:pPr>
              <w:adjustRightInd w:val="0"/>
              <w:snapToGrid w:val="0"/>
              <w:jc w:val="center"/>
              <w:rPr>
                <w:rFonts w:hint="eastAsia" w:ascii="宋体" w:hAnsi="宋体" w:cs="宋体"/>
                <w:kern w:val="0"/>
                <w:sz w:val="24"/>
                <w:highlight w:val="none"/>
              </w:rPr>
            </w:pPr>
          </w:p>
        </w:tc>
        <w:tc>
          <w:tcPr>
            <w:tcW w:w="690" w:type="dxa"/>
            <w:vAlign w:val="center"/>
          </w:tcPr>
          <w:p w14:paraId="74C33C25">
            <w:pPr>
              <w:adjustRightInd w:val="0"/>
              <w:snapToGrid w:val="0"/>
              <w:jc w:val="center"/>
              <w:rPr>
                <w:rFonts w:hint="eastAsia" w:ascii="宋体" w:hAnsi="宋体" w:cs="宋体"/>
                <w:kern w:val="0"/>
                <w:sz w:val="24"/>
                <w:highlight w:val="none"/>
              </w:rPr>
            </w:pPr>
          </w:p>
        </w:tc>
        <w:tc>
          <w:tcPr>
            <w:tcW w:w="758" w:type="dxa"/>
            <w:vAlign w:val="center"/>
          </w:tcPr>
          <w:p w14:paraId="00E73C86">
            <w:pPr>
              <w:adjustRightInd w:val="0"/>
              <w:snapToGrid w:val="0"/>
              <w:jc w:val="center"/>
              <w:rPr>
                <w:rFonts w:hint="eastAsia" w:ascii="宋体" w:hAnsi="宋体" w:cs="宋体"/>
                <w:kern w:val="0"/>
                <w:sz w:val="24"/>
                <w:highlight w:val="none"/>
              </w:rPr>
            </w:pPr>
          </w:p>
        </w:tc>
      </w:tr>
      <w:tr w14:paraId="41A9D1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2" w:hRule="atLeast"/>
          <w:jc w:val="center"/>
        </w:trPr>
        <w:tc>
          <w:tcPr>
            <w:tcW w:w="709" w:type="dxa"/>
            <w:vAlign w:val="center"/>
          </w:tcPr>
          <w:p w14:paraId="04B951E1">
            <w:pPr>
              <w:adjustRightInd w:val="0"/>
              <w:snapToGrid w:val="0"/>
              <w:jc w:val="center"/>
              <w:rPr>
                <w:rFonts w:hint="eastAsia" w:ascii="宋体" w:hAnsi="宋体" w:cs="宋体"/>
                <w:kern w:val="0"/>
                <w:sz w:val="24"/>
                <w:highlight w:val="none"/>
              </w:rPr>
            </w:pPr>
            <w:r>
              <w:rPr>
                <w:rFonts w:hint="eastAsia" w:ascii="宋体" w:hAnsi="宋体" w:cs="宋体"/>
                <w:kern w:val="0"/>
                <w:sz w:val="24"/>
                <w:highlight w:val="none"/>
              </w:rPr>
              <w:t>6</w:t>
            </w:r>
          </w:p>
        </w:tc>
        <w:tc>
          <w:tcPr>
            <w:tcW w:w="5552" w:type="dxa"/>
            <w:vAlign w:val="center"/>
          </w:tcPr>
          <w:p w14:paraId="5486E5C6">
            <w:pPr>
              <w:adjustRightInd w:val="0"/>
              <w:snapToGrid w:val="0"/>
              <w:jc w:val="left"/>
              <w:rPr>
                <w:rFonts w:hint="eastAsia" w:ascii="宋体" w:hAnsi="宋体" w:cs="宋体"/>
                <w:kern w:val="0"/>
                <w:sz w:val="24"/>
                <w:highlight w:val="none"/>
              </w:rPr>
            </w:pPr>
            <w:r>
              <w:rPr>
                <w:rFonts w:hint="eastAsia" w:ascii="宋体" w:hAnsi="宋体" w:cs="宋体"/>
                <w:kern w:val="0"/>
                <w:sz w:val="24"/>
                <w:highlight w:val="none"/>
              </w:rPr>
              <w:t>提供按给定格式填写并签章诚信投标声明函</w:t>
            </w:r>
          </w:p>
        </w:tc>
        <w:tc>
          <w:tcPr>
            <w:tcW w:w="709" w:type="dxa"/>
            <w:vAlign w:val="center"/>
          </w:tcPr>
          <w:p w14:paraId="5629D03E">
            <w:pPr>
              <w:adjustRightInd w:val="0"/>
              <w:snapToGrid w:val="0"/>
              <w:jc w:val="center"/>
              <w:rPr>
                <w:rFonts w:hint="eastAsia" w:ascii="宋体" w:hAnsi="宋体" w:cs="宋体"/>
                <w:kern w:val="0"/>
                <w:sz w:val="24"/>
                <w:highlight w:val="none"/>
              </w:rPr>
            </w:pPr>
          </w:p>
        </w:tc>
        <w:tc>
          <w:tcPr>
            <w:tcW w:w="709" w:type="dxa"/>
            <w:vAlign w:val="center"/>
          </w:tcPr>
          <w:p w14:paraId="1D26C945">
            <w:pPr>
              <w:adjustRightInd w:val="0"/>
              <w:snapToGrid w:val="0"/>
              <w:jc w:val="center"/>
              <w:rPr>
                <w:rFonts w:hint="eastAsia" w:ascii="宋体" w:hAnsi="宋体" w:cs="宋体"/>
                <w:kern w:val="0"/>
                <w:sz w:val="24"/>
                <w:highlight w:val="none"/>
              </w:rPr>
            </w:pPr>
          </w:p>
        </w:tc>
        <w:tc>
          <w:tcPr>
            <w:tcW w:w="690" w:type="dxa"/>
            <w:vAlign w:val="center"/>
          </w:tcPr>
          <w:p w14:paraId="7404215F">
            <w:pPr>
              <w:adjustRightInd w:val="0"/>
              <w:snapToGrid w:val="0"/>
              <w:jc w:val="center"/>
              <w:rPr>
                <w:rFonts w:hint="eastAsia" w:ascii="宋体" w:hAnsi="宋体" w:cs="宋体"/>
                <w:kern w:val="0"/>
                <w:sz w:val="24"/>
                <w:highlight w:val="none"/>
              </w:rPr>
            </w:pPr>
          </w:p>
        </w:tc>
        <w:tc>
          <w:tcPr>
            <w:tcW w:w="758" w:type="dxa"/>
            <w:vAlign w:val="center"/>
          </w:tcPr>
          <w:p w14:paraId="5D813A63">
            <w:pPr>
              <w:adjustRightInd w:val="0"/>
              <w:snapToGrid w:val="0"/>
              <w:jc w:val="center"/>
              <w:rPr>
                <w:rFonts w:hint="eastAsia" w:ascii="宋体" w:hAnsi="宋体" w:cs="宋体"/>
                <w:kern w:val="0"/>
                <w:sz w:val="24"/>
                <w:highlight w:val="none"/>
              </w:rPr>
            </w:pPr>
          </w:p>
        </w:tc>
      </w:tr>
      <w:tr w14:paraId="482BF6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2" w:hRule="atLeast"/>
          <w:jc w:val="center"/>
        </w:trPr>
        <w:tc>
          <w:tcPr>
            <w:tcW w:w="709" w:type="dxa"/>
            <w:vAlign w:val="center"/>
          </w:tcPr>
          <w:p w14:paraId="2AE9B193">
            <w:pPr>
              <w:adjustRightInd w:val="0"/>
              <w:snapToGrid w:val="0"/>
              <w:jc w:val="center"/>
              <w:rPr>
                <w:rFonts w:hint="eastAsia" w:ascii="宋体" w:hAnsi="宋体" w:cs="宋体"/>
                <w:kern w:val="0"/>
                <w:sz w:val="24"/>
                <w:highlight w:val="none"/>
              </w:rPr>
            </w:pPr>
            <w:r>
              <w:rPr>
                <w:rFonts w:hint="eastAsia" w:ascii="宋体" w:hAnsi="宋体" w:cs="宋体"/>
                <w:kern w:val="0"/>
                <w:sz w:val="24"/>
                <w:highlight w:val="none"/>
              </w:rPr>
              <w:t>7</w:t>
            </w:r>
          </w:p>
        </w:tc>
        <w:tc>
          <w:tcPr>
            <w:tcW w:w="5552" w:type="dxa"/>
            <w:vAlign w:val="center"/>
          </w:tcPr>
          <w:p w14:paraId="624E25FF">
            <w:pPr>
              <w:adjustRightInd w:val="0"/>
              <w:snapToGrid w:val="0"/>
              <w:jc w:val="left"/>
              <w:rPr>
                <w:rFonts w:hint="eastAsia" w:ascii="宋体" w:hAnsi="宋体" w:cs="宋体"/>
                <w:kern w:val="0"/>
                <w:sz w:val="24"/>
                <w:highlight w:val="none"/>
              </w:rPr>
            </w:pPr>
            <w:r>
              <w:rPr>
                <w:rFonts w:hint="eastAsia" w:ascii="宋体" w:hAnsi="宋体" w:cs="宋体"/>
                <w:kern w:val="0"/>
                <w:sz w:val="24"/>
                <w:highlight w:val="none"/>
              </w:rPr>
              <w:t>非联合体投标</w:t>
            </w:r>
          </w:p>
        </w:tc>
        <w:tc>
          <w:tcPr>
            <w:tcW w:w="709" w:type="dxa"/>
            <w:vAlign w:val="center"/>
          </w:tcPr>
          <w:p w14:paraId="6B14A06B">
            <w:pPr>
              <w:adjustRightInd w:val="0"/>
              <w:snapToGrid w:val="0"/>
              <w:jc w:val="center"/>
              <w:rPr>
                <w:rFonts w:hint="eastAsia" w:ascii="宋体" w:hAnsi="宋体" w:cs="宋体"/>
                <w:kern w:val="0"/>
                <w:sz w:val="24"/>
                <w:highlight w:val="none"/>
              </w:rPr>
            </w:pPr>
          </w:p>
        </w:tc>
        <w:tc>
          <w:tcPr>
            <w:tcW w:w="709" w:type="dxa"/>
            <w:vAlign w:val="center"/>
          </w:tcPr>
          <w:p w14:paraId="115B2195">
            <w:pPr>
              <w:adjustRightInd w:val="0"/>
              <w:snapToGrid w:val="0"/>
              <w:jc w:val="center"/>
              <w:rPr>
                <w:rFonts w:hint="eastAsia" w:ascii="宋体" w:hAnsi="宋体" w:cs="宋体"/>
                <w:kern w:val="0"/>
                <w:sz w:val="24"/>
                <w:highlight w:val="none"/>
              </w:rPr>
            </w:pPr>
          </w:p>
        </w:tc>
        <w:tc>
          <w:tcPr>
            <w:tcW w:w="690" w:type="dxa"/>
            <w:vAlign w:val="center"/>
          </w:tcPr>
          <w:p w14:paraId="70241C94">
            <w:pPr>
              <w:adjustRightInd w:val="0"/>
              <w:snapToGrid w:val="0"/>
              <w:jc w:val="center"/>
              <w:rPr>
                <w:rFonts w:hint="eastAsia" w:ascii="宋体" w:hAnsi="宋体" w:cs="宋体"/>
                <w:kern w:val="0"/>
                <w:sz w:val="24"/>
                <w:highlight w:val="none"/>
              </w:rPr>
            </w:pPr>
          </w:p>
        </w:tc>
        <w:tc>
          <w:tcPr>
            <w:tcW w:w="758" w:type="dxa"/>
            <w:vAlign w:val="center"/>
          </w:tcPr>
          <w:p w14:paraId="34695699">
            <w:pPr>
              <w:adjustRightInd w:val="0"/>
              <w:snapToGrid w:val="0"/>
              <w:jc w:val="center"/>
              <w:rPr>
                <w:rFonts w:hint="eastAsia" w:ascii="宋体" w:hAnsi="宋体" w:cs="宋体"/>
                <w:kern w:val="0"/>
                <w:sz w:val="24"/>
                <w:highlight w:val="none"/>
              </w:rPr>
            </w:pPr>
          </w:p>
        </w:tc>
      </w:tr>
      <w:tr w14:paraId="65388E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29" w:hRule="atLeast"/>
          <w:jc w:val="center"/>
        </w:trPr>
        <w:tc>
          <w:tcPr>
            <w:tcW w:w="709" w:type="dxa"/>
            <w:vAlign w:val="center"/>
          </w:tcPr>
          <w:p w14:paraId="59A56B41">
            <w:pPr>
              <w:adjustRightInd w:val="0"/>
              <w:snapToGrid w:val="0"/>
              <w:jc w:val="center"/>
              <w:rPr>
                <w:rFonts w:hint="eastAsia" w:ascii="宋体" w:hAnsi="宋体" w:cs="宋体"/>
                <w:kern w:val="0"/>
                <w:sz w:val="24"/>
                <w:highlight w:val="none"/>
              </w:rPr>
            </w:pPr>
            <w:r>
              <w:rPr>
                <w:rFonts w:hint="eastAsia" w:ascii="宋体" w:hAnsi="宋体" w:cs="宋体"/>
                <w:kern w:val="0"/>
                <w:sz w:val="24"/>
                <w:highlight w:val="none"/>
              </w:rPr>
              <w:t>8</w:t>
            </w:r>
          </w:p>
        </w:tc>
        <w:tc>
          <w:tcPr>
            <w:tcW w:w="5552" w:type="dxa"/>
            <w:vAlign w:val="center"/>
          </w:tcPr>
          <w:p w14:paraId="3A10781A">
            <w:pPr>
              <w:adjustRightInd w:val="0"/>
              <w:snapToGrid w:val="0"/>
              <w:jc w:val="left"/>
              <w:rPr>
                <w:rFonts w:hint="eastAsia" w:ascii="宋体" w:hAnsi="宋体" w:cs="宋体"/>
                <w:kern w:val="0"/>
                <w:sz w:val="24"/>
                <w:highlight w:val="none"/>
              </w:rPr>
            </w:pPr>
            <w:r>
              <w:rPr>
                <w:rFonts w:hint="eastAsia" w:ascii="宋体" w:hAnsi="宋体" w:cs="宋体"/>
                <w:kern w:val="0"/>
                <w:sz w:val="24"/>
                <w:highlight w:val="none"/>
              </w:rPr>
              <w:t>截至开标时间未被“信用中国”网站（www.creditchina.gov.cn）列入失信被执行人和重大税收违法案件当事人名单，不是中国政府采购网（www.ccgp.gov.cn）政府采购严重违法失信行为记录名单中被财政部门禁止参加政府采购活动的供应商（处罚决定规定的时间和地域范围内）</w:t>
            </w:r>
          </w:p>
        </w:tc>
        <w:tc>
          <w:tcPr>
            <w:tcW w:w="709" w:type="dxa"/>
            <w:vAlign w:val="center"/>
          </w:tcPr>
          <w:p w14:paraId="24DC4EF8">
            <w:pPr>
              <w:adjustRightInd w:val="0"/>
              <w:snapToGrid w:val="0"/>
              <w:jc w:val="center"/>
              <w:rPr>
                <w:rFonts w:hint="eastAsia" w:ascii="宋体" w:hAnsi="宋体" w:cs="宋体"/>
                <w:kern w:val="0"/>
                <w:sz w:val="24"/>
                <w:highlight w:val="none"/>
              </w:rPr>
            </w:pPr>
          </w:p>
        </w:tc>
        <w:tc>
          <w:tcPr>
            <w:tcW w:w="709" w:type="dxa"/>
            <w:vAlign w:val="center"/>
          </w:tcPr>
          <w:p w14:paraId="32CE4B8C">
            <w:pPr>
              <w:adjustRightInd w:val="0"/>
              <w:snapToGrid w:val="0"/>
              <w:jc w:val="center"/>
              <w:rPr>
                <w:rFonts w:hint="eastAsia" w:ascii="宋体" w:hAnsi="宋体" w:cs="宋体"/>
                <w:kern w:val="0"/>
                <w:sz w:val="24"/>
                <w:highlight w:val="none"/>
              </w:rPr>
            </w:pPr>
          </w:p>
        </w:tc>
        <w:tc>
          <w:tcPr>
            <w:tcW w:w="690" w:type="dxa"/>
            <w:vAlign w:val="center"/>
          </w:tcPr>
          <w:p w14:paraId="2F351054">
            <w:pPr>
              <w:adjustRightInd w:val="0"/>
              <w:snapToGrid w:val="0"/>
              <w:jc w:val="center"/>
              <w:rPr>
                <w:rFonts w:hint="eastAsia" w:ascii="宋体" w:hAnsi="宋体" w:cs="宋体"/>
                <w:kern w:val="0"/>
                <w:sz w:val="24"/>
                <w:highlight w:val="none"/>
              </w:rPr>
            </w:pPr>
          </w:p>
        </w:tc>
        <w:tc>
          <w:tcPr>
            <w:tcW w:w="758" w:type="dxa"/>
            <w:vAlign w:val="center"/>
          </w:tcPr>
          <w:p w14:paraId="21C03185">
            <w:pPr>
              <w:adjustRightInd w:val="0"/>
              <w:snapToGrid w:val="0"/>
              <w:jc w:val="center"/>
              <w:rPr>
                <w:rFonts w:hint="eastAsia" w:ascii="宋体" w:hAnsi="宋体" w:cs="宋体"/>
                <w:kern w:val="0"/>
                <w:sz w:val="24"/>
                <w:highlight w:val="none"/>
              </w:rPr>
            </w:pPr>
          </w:p>
        </w:tc>
      </w:tr>
      <w:tr w14:paraId="6E5599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2" w:hRule="atLeast"/>
          <w:jc w:val="center"/>
        </w:trPr>
        <w:tc>
          <w:tcPr>
            <w:tcW w:w="709" w:type="dxa"/>
            <w:vAlign w:val="center"/>
          </w:tcPr>
          <w:p w14:paraId="45B95CF9">
            <w:pPr>
              <w:adjustRightInd w:val="0"/>
              <w:snapToGrid w:val="0"/>
              <w:jc w:val="center"/>
              <w:rPr>
                <w:rFonts w:hint="eastAsia" w:ascii="宋体" w:hAnsi="宋体" w:cs="宋体"/>
                <w:kern w:val="0"/>
                <w:sz w:val="24"/>
                <w:highlight w:val="none"/>
              </w:rPr>
            </w:pPr>
            <w:r>
              <w:rPr>
                <w:rFonts w:hint="eastAsia" w:ascii="宋体" w:hAnsi="宋体" w:cs="宋体"/>
                <w:kern w:val="0"/>
                <w:sz w:val="24"/>
                <w:highlight w:val="none"/>
              </w:rPr>
              <w:t>9</w:t>
            </w:r>
          </w:p>
        </w:tc>
        <w:tc>
          <w:tcPr>
            <w:tcW w:w="5552" w:type="dxa"/>
            <w:vAlign w:val="center"/>
          </w:tcPr>
          <w:p w14:paraId="73308D3A">
            <w:pPr>
              <w:adjustRightInd w:val="0"/>
              <w:snapToGrid w:val="0"/>
              <w:jc w:val="left"/>
              <w:rPr>
                <w:rFonts w:hint="eastAsia" w:ascii="宋体" w:hAnsi="宋体" w:cs="宋体"/>
                <w:kern w:val="0"/>
                <w:sz w:val="24"/>
                <w:highlight w:val="none"/>
              </w:rPr>
            </w:pPr>
            <w:r>
              <w:rPr>
                <w:rFonts w:hint="eastAsia" w:ascii="宋体" w:hAnsi="宋体" w:cs="宋体"/>
                <w:kern w:val="0"/>
                <w:sz w:val="24"/>
                <w:highlight w:val="none"/>
              </w:rPr>
              <w:t>不存在单位负责人为同一人或者存在直接控股、管理关系的不同供应商参加本项目采购活动。不存在为本采购项目提供整体设计、规范编制或者项目管理、监理、检测等服务的供应商参加本项目采购活动。</w:t>
            </w:r>
          </w:p>
        </w:tc>
        <w:tc>
          <w:tcPr>
            <w:tcW w:w="709" w:type="dxa"/>
            <w:vAlign w:val="center"/>
          </w:tcPr>
          <w:p w14:paraId="28A6E2EE">
            <w:pPr>
              <w:adjustRightInd w:val="0"/>
              <w:snapToGrid w:val="0"/>
              <w:jc w:val="center"/>
              <w:rPr>
                <w:rFonts w:hint="eastAsia" w:ascii="宋体" w:hAnsi="宋体" w:cs="宋体"/>
                <w:kern w:val="0"/>
                <w:sz w:val="24"/>
                <w:highlight w:val="none"/>
              </w:rPr>
            </w:pPr>
          </w:p>
        </w:tc>
        <w:tc>
          <w:tcPr>
            <w:tcW w:w="709" w:type="dxa"/>
            <w:vAlign w:val="center"/>
          </w:tcPr>
          <w:p w14:paraId="255C9DDA">
            <w:pPr>
              <w:adjustRightInd w:val="0"/>
              <w:snapToGrid w:val="0"/>
              <w:jc w:val="center"/>
              <w:rPr>
                <w:rFonts w:hint="eastAsia" w:ascii="宋体" w:hAnsi="宋体" w:cs="宋体"/>
                <w:kern w:val="0"/>
                <w:sz w:val="24"/>
                <w:highlight w:val="none"/>
              </w:rPr>
            </w:pPr>
          </w:p>
        </w:tc>
        <w:tc>
          <w:tcPr>
            <w:tcW w:w="690" w:type="dxa"/>
            <w:vAlign w:val="center"/>
          </w:tcPr>
          <w:p w14:paraId="6D20826B">
            <w:pPr>
              <w:adjustRightInd w:val="0"/>
              <w:snapToGrid w:val="0"/>
              <w:jc w:val="center"/>
              <w:rPr>
                <w:rFonts w:hint="eastAsia" w:ascii="宋体" w:hAnsi="宋体" w:cs="宋体"/>
                <w:kern w:val="0"/>
                <w:sz w:val="24"/>
                <w:highlight w:val="none"/>
              </w:rPr>
            </w:pPr>
          </w:p>
        </w:tc>
        <w:tc>
          <w:tcPr>
            <w:tcW w:w="758" w:type="dxa"/>
            <w:vAlign w:val="center"/>
          </w:tcPr>
          <w:p w14:paraId="133834FD">
            <w:pPr>
              <w:adjustRightInd w:val="0"/>
              <w:snapToGrid w:val="0"/>
              <w:jc w:val="center"/>
              <w:rPr>
                <w:rFonts w:hint="eastAsia" w:ascii="宋体" w:hAnsi="宋体" w:cs="宋体"/>
                <w:kern w:val="0"/>
                <w:sz w:val="24"/>
                <w:highlight w:val="none"/>
              </w:rPr>
            </w:pPr>
          </w:p>
        </w:tc>
      </w:tr>
      <w:tr w14:paraId="13436C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2" w:hRule="atLeast"/>
          <w:jc w:val="center"/>
        </w:trPr>
        <w:tc>
          <w:tcPr>
            <w:tcW w:w="709" w:type="dxa"/>
            <w:vAlign w:val="center"/>
          </w:tcPr>
          <w:p w14:paraId="65005A37">
            <w:pPr>
              <w:adjustRightInd w:val="0"/>
              <w:snapToGrid w:val="0"/>
              <w:jc w:val="center"/>
              <w:rPr>
                <w:rFonts w:hint="eastAsia" w:ascii="宋体" w:hAnsi="宋体" w:cs="宋体"/>
                <w:kern w:val="0"/>
                <w:sz w:val="24"/>
                <w:highlight w:val="none"/>
              </w:rPr>
            </w:pPr>
            <w:r>
              <w:rPr>
                <w:rFonts w:hint="eastAsia" w:ascii="宋体" w:hAnsi="宋体" w:cs="宋体"/>
                <w:kern w:val="0"/>
                <w:sz w:val="24"/>
                <w:highlight w:val="none"/>
              </w:rPr>
              <w:t>10</w:t>
            </w:r>
          </w:p>
        </w:tc>
        <w:tc>
          <w:tcPr>
            <w:tcW w:w="5552" w:type="dxa"/>
            <w:vAlign w:val="center"/>
          </w:tcPr>
          <w:p w14:paraId="5991E6E4">
            <w:pPr>
              <w:adjustRightInd w:val="0"/>
              <w:snapToGrid w:val="0"/>
              <w:jc w:val="left"/>
              <w:rPr>
                <w:rFonts w:hint="eastAsia" w:ascii="宋体" w:hAnsi="宋体" w:cs="宋体"/>
                <w:kern w:val="0"/>
                <w:sz w:val="24"/>
                <w:highlight w:val="none"/>
              </w:rPr>
            </w:pPr>
            <w:r>
              <w:rPr>
                <w:rFonts w:hint="eastAsia" w:ascii="宋体" w:hAnsi="宋体" w:cs="宋体"/>
                <w:kern w:val="0"/>
                <w:sz w:val="24"/>
                <w:highlight w:val="none"/>
              </w:rPr>
              <w:t>提供了有效的“中小企业声明函”或“监狱企业证明”或“残疾人福利性单位声明函”</w:t>
            </w:r>
          </w:p>
        </w:tc>
        <w:tc>
          <w:tcPr>
            <w:tcW w:w="709" w:type="dxa"/>
            <w:vAlign w:val="center"/>
          </w:tcPr>
          <w:p w14:paraId="4D539CC8">
            <w:pPr>
              <w:adjustRightInd w:val="0"/>
              <w:snapToGrid w:val="0"/>
              <w:jc w:val="center"/>
              <w:rPr>
                <w:rFonts w:hint="eastAsia" w:ascii="宋体" w:hAnsi="宋体" w:cs="宋体"/>
                <w:kern w:val="0"/>
                <w:sz w:val="24"/>
                <w:highlight w:val="none"/>
              </w:rPr>
            </w:pPr>
          </w:p>
        </w:tc>
        <w:tc>
          <w:tcPr>
            <w:tcW w:w="709" w:type="dxa"/>
            <w:vAlign w:val="center"/>
          </w:tcPr>
          <w:p w14:paraId="1BB28A56">
            <w:pPr>
              <w:adjustRightInd w:val="0"/>
              <w:snapToGrid w:val="0"/>
              <w:jc w:val="center"/>
              <w:rPr>
                <w:rFonts w:hint="eastAsia" w:ascii="宋体" w:hAnsi="宋体" w:cs="宋体"/>
                <w:kern w:val="0"/>
                <w:sz w:val="24"/>
                <w:highlight w:val="none"/>
              </w:rPr>
            </w:pPr>
          </w:p>
        </w:tc>
        <w:tc>
          <w:tcPr>
            <w:tcW w:w="690" w:type="dxa"/>
            <w:vAlign w:val="center"/>
          </w:tcPr>
          <w:p w14:paraId="2B71CB60">
            <w:pPr>
              <w:adjustRightInd w:val="0"/>
              <w:snapToGrid w:val="0"/>
              <w:jc w:val="center"/>
              <w:rPr>
                <w:rFonts w:hint="eastAsia" w:ascii="宋体" w:hAnsi="宋体" w:cs="宋体"/>
                <w:kern w:val="0"/>
                <w:sz w:val="24"/>
                <w:highlight w:val="none"/>
              </w:rPr>
            </w:pPr>
          </w:p>
        </w:tc>
        <w:tc>
          <w:tcPr>
            <w:tcW w:w="758" w:type="dxa"/>
            <w:vAlign w:val="center"/>
          </w:tcPr>
          <w:p w14:paraId="4793FC50">
            <w:pPr>
              <w:adjustRightInd w:val="0"/>
              <w:snapToGrid w:val="0"/>
              <w:jc w:val="center"/>
              <w:rPr>
                <w:rFonts w:hint="eastAsia" w:ascii="宋体" w:hAnsi="宋体" w:cs="宋体"/>
                <w:kern w:val="0"/>
                <w:sz w:val="24"/>
                <w:highlight w:val="none"/>
              </w:rPr>
            </w:pPr>
          </w:p>
        </w:tc>
      </w:tr>
      <w:tr w14:paraId="55051D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2" w:hRule="atLeast"/>
          <w:jc w:val="center"/>
        </w:trPr>
        <w:tc>
          <w:tcPr>
            <w:tcW w:w="6261" w:type="dxa"/>
            <w:gridSpan w:val="2"/>
            <w:vAlign w:val="center"/>
          </w:tcPr>
          <w:p w14:paraId="1C9799AF">
            <w:pPr>
              <w:adjustRightInd w:val="0"/>
              <w:snapToGrid w:val="0"/>
              <w:jc w:val="center"/>
              <w:rPr>
                <w:rFonts w:hint="eastAsia" w:ascii="宋体" w:hAnsi="宋体" w:cs="宋体"/>
                <w:kern w:val="0"/>
                <w:sz w:val="24"/>
                <w:highlight w:val="none"/>
              </w:rPr>
            </w:pPr>
            <w:r>
              <w:rPr>
                <w:rFonts w:hint="eastAsia" w:ascii="宋体" w:hAnsi="宋体" w:cs="宋体"/>
                <w:kern w:val="0"/>
                <w:sz w:val="24"/>
                <w:highlight w:val="none"/>
              </w:rPr>
              <w:t>审查结论</w:t>
            </w:r>
          </w:p>
        </w:tc>
        <w:tc>
          <w:tcPr>
            <w:tcW w:w="709" w:type="dxa"/>
            <w:vAlign w:val="center"/>
          </w:tcPr>
          <w:p w14:paraId="7EEF9FCB">
            <w:pPr>
              <w:adjustRightInd w:val="0"/>
              <w:snapToGrid w:val="0"/>
              <w:jc w:val="center"/>
              <w:rPr>
                <w:rFonts w:hint="eastAsia" w:ascii="宋体" w:hAnsi="宋体" w:cs="宋体"/>
                <w:kern w:val="0"/>
                <w:sz w:val="24"/>
                <w:highlight w:val="none"/>
              </w:rPr>
            </w:pPr>
          </w:p>
        </w:tc>
        <w:tc>
          <w:tcPr>
            <w:tcW w:w="709" w:type="dxa"/>
            <w:vAlign w:val="center"/>
          </w:tcPr>
          <w:p w14:paraId="49D22B0D">
            <w:pPr>
              <w:adjustRightInd w:val="0"/>
              <w:snapToGrid w:val="0"/>
              <w:jc w:val="center"/>
              <w:rPr>
                <w:rFonts w:hint="eastAsia" w:ascii="宋体" w:hAnsi="宋体" w:cs="宋体"/>
                <w:kern w:val="0"/>
                <w:sz w:val="24"/>
                <w:highlight w:val="none"/>
              </w:rPr>
            </w:pPr>
          </w:p>
        </w:tc>
        <w:tc>
          <w:tcPr>
            <w:tcW w:w="690" w:type="dxa"/>
            <w:vAlign w:val="center"/>
          </w:tcPr>
          <w:p w14:paraId="1ECA78C0">
            <w:pPr>
              <w:adjustRightInd w:val="0"/>
              <w:snapToGrid w:val="0"/>
              <w:jc w:val="center"/>
              <w:rPr>
                <w:rFonts w:hint="eastAsia" w:ascii="宋体" w:hAnsi="宋体" w:cs="宋体"/>
                <w:kern w:val="0"/>
                <w:sz w:val="24"/>
                <w:highlight w:val="none"/>
              </w:rPr>
            </w:pPr>
          </w:p>
        </w:tc>
        <w:tc>
          <w:tcPr>
            <w:tcW w:w="758" w:type="dxa"/>
            <w:vAlign w:val="center"/>
          </w:tcPr>
          <w:p w14:paraId="58872E39">
            <w:pPr>
              <w:adjustRightInd w:val="0"/>
              <w:snapToGrid w:val="0"/>
              <w:jc w:val="center"/>
              <w:rPr>
                <w:rFonts w:hint="eastAsia" w:ascii="宋体" w:hAnsi="宋体" w:cs="宋体"/>
                <w:kern w:val="0"/>
                <w:sz w:val="24"/>
                <w:highlight w:val="none"/>
              </w:rPr>
            </w:pPr>
          </w:p>
        </w:tc>
      </w:tr>
      <w:tr w14:paraId="7D7120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8" w:hRule="atLeast"/>
          <w:jc w:val="center"/>
        </w:trPr>
        <w:tc>
          <w:tcPr>
            <w:tcW w:w="9127" w:type="dxa"/>
            <w:gridSpan w:val="6"/>
            <w:vAlign w:val="center"/>
          </w:tcPr>
          <w:p w14:paraId="4050F91A">
            <w:pPr>
              <w:adjustRightInd w:val="0"/>
              <w:snapToGrid w:val="0"/>
              <w:jc w:val="center"/>
              <w:rPr>
                <w:rFonts w:hint="eastAsia" w:ascii="宋体" w:hAnsi="宋体" w:cs="宋体"/>
                <w:kern w:val="0"/>
                <w:sz w:val="24"/>
                <w:highlight w:val="none"/>
              </w:rPr>
            </w:pPr>
            <w:r>
              <w:rPr>
                <w:rFonts w:hint="eastAsia" w:ascii="宋体" w:hAnsi="宋体" w:cs="宋体"/>
                <w:kern w:val="0"/>
                <w:sz w:val="24"/>
                <w:highlight w:val="none"/>
              </w:rPr>
              <w:t>备注：（有不符合项的，需在此处详细写明理由）</w:t>
            </w:r>
          </w:p>
        </w:tc>
      </w:tr>
      <w:tr w14:paraId="5DFDF7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51" w:hRule="atLeast"/>
          <w:jc w:val="center"/>
        </w:trPr>
        <w:tc>
          <w:tcPr>
            <w:tcW w:w="709" w:type="dxa"/>
            <w:vAlign w:val="center"/>
          </w:tcPr>
          <w:p w14:paraId="77ED48D9">
            <w:pPr>
              <w:adjustRightInd w:val="0"/>
              <w:snapToGrid w:val="0"/>
              <w:jc w:val="center"/>
              <w:rPr>
                <w:rFonts w:hint="eastAsia" w:ascii="宋体" w:hAnsi="宋体" w:cs="宋体"/>
                <w:kern w:val="0"/>
                <w:sz w:val="24"/>
                <w:highlight w:val="none"/>
              </w:rPr>
            </w:pPr>
            <w:r>
              <w:rPr>
                <w:rFonts w:hint="eastAsia" w:ascii="宋体" w:hAnsi="宋体" w:cs="宋体"/>
                <w:kern w:val="0"/>
                <w:sz w:val="24"/>
                <w:highlight w:val="none"/>
              </w:rPr>
              <w:t>审查</w:t>
            </w:r>
          </w:p>
          <w:p w14:paraId="6510A4A4">
            <w:pPr>
              <w:adjustRightInd w:val="0"/>
              <w:snapToGrid w:val="0"/>
              <w:jc w:val="center"/>
              <w:rPr>
                <w:rFonts w:hint="eastAsia" w:ascii="宋体" w:hAnsi="宋体" w:cs="宋体"/>
                <w:kern w:val="0"/>
                <w:sz w:val="24"/>
                <w:highlight w:val="none"/>
              </w:rPr>
            </w:pPr>
            <w:r>
              <w:rPr>
                <w:rFonts w:hint="eastAsia" w:ascii="宋体" w:hAnsi="宋体" w:cs="宋体"/>
                <w:kern w:val="0"/>
                <w:sz w:val="24"/>
                <w:highlight w:val="none"/>
              </w:rPr>
              <w:t>人员</w:t>
            </w:r>
          </w:p>
        </w:tc>
        <w:tc>
          <w:tcPr>
            <w:tcW w:w="8418" w:type="dxa"/>
            <w:gridSpan w:val="5"/>
            <w:vAlign w:val="center"/>
          </w:tcPr>
          <w:p w14:paraId="4A891280">
            <w:pPr>
              <w:adjustRightInd w:val="0"/>
              <w:snapToGrid w:val="0"/>
              <w:rPr>
                <w:rFonts w:hint="eastAsia" w:ascii="宋体" w:hAnsi="宋体" w:cs="宋体"/>
                <w:kern w:val="0"/>
                <w:sz w:val="24"/>
                <w:highlight w:val="none"/>
              </w:rPr>
            </w:pPr>
            <w:r>
              <w:rPr>
                <w:rFonts w:hint="eastAsia" w:ascii="宋体" w:hAnsi="宋体" w:cs="宋体"/>
                <w:kern w:val="0"/>
                <w:sz w:val="24"/>
                <w:highlight w:val="none"/>
              </w:rPr>
              <w:t>签字：</w:t>
            </w:r>
          </w:p>
          <w:p w14:paraId="07979A0F">
            <w:pPr>
              <w:adjustRightInd w:val="0"/>
              <w:snapToGrid w:val="0"/>
              <w:jc w:val="right"/>
              <w:rPr>
                <w:rFonts w:hint="eastAsia" w:ascii="宋体" w:hAnsi="宋体" w:cs="宋体"/>
                <w:kern w:val="0"/>
                <w:sz w:val="24"/>
                <w:highlight w:val="none"/>
              </w:rPr>
            </w:pPr>
            <w:r>
              <w:rPr>
                <w:rFonts w:hint="eastAsia" w:ascii="宋体" w:hAnsi="宋体" w:cs="宋体"/>
                <w:kern w:val="0"/>
                <w:sz w:val="24"/>
                <w:highlight w:val="none"/>
              </w:rPr>
              <w:t>年   月   日</w:t>
            </w:r>
          </w:p>
        </w:tc>
      </w:tr>
    </w:tbl>
    <w:p w14:paraId="731E48EB">
      <w:pPr>
        <w:adjustRightInd w:val="0"/>
        <w:snapToGrid w:val="0"/>
        <w:spacing w:line="360" w:lineRule="auto"/>
        <w:ind w:firstLine="482"/>
        <w:jc w:val="left"/>
        <w:rPr>
          <w:rFonts w:hint="eastAsia" w:ascii="宋体" w:hAnsi="宋体" w:cs="宋体"/>
          <w:b/>
          <w:kern w:val="0"/>
          <w:sz w:val="24"/>
          <w:highlight w:val="none"/>
        </w:rPr>
      </w:pPr>
    </w:p>
    <w:p w14:paraId="6BE0542F">
      <w:pPr>
        <w:adjustRightInd w:val="0"/>
        <w:snapToGrid w:val="0"/>
        <w:spacing w:line="360" w:lineRule="auto"/>
        <w:ind w:firstLine="482"/>
        <w:jc w:val="left"/>
        <w:rPr>
          <w:rFonts w:hint="eastAsia" w:ascii="宋体" w:hAnsi="宋体" w:cs="宋体"/>
          <w:b/>
          <w:kern w:val="0"/>
          <w:sz w:val="24"/>
          <w:highlight w:val="none"/>
        </w:rPr>
      </w:pPr>
      <w:r>
        <w:rPr>
          <w:rFonts w:hint="eastAsia" w:ascii="宋体" w:hAnsi="宋体" w:cs="宋体"/>
          <w:b/>
          <w:kern w:val="0"/>
          <w:sz w:val="24"/>
          <w:highlight w:val="none"/>
        </w:rPr>
        <w:t>说明：</w:t>
      </w:r>
    </w:p>
    <w:p w14:paraId="180A6FCF">
      <w:pPr>
        <w:adjustRightInd w:val="0"/>
        <w:snapToGrid w:val="0"/>
        <w:spacing w:line="360" w:lineRule="auto"/>
        <w:ind w:firstLine="482"/>
        <w:jc w:val="left"/>
        <w:rPr>
          <w:rFonts w:hint="eastAsia" w:ascii="宋体" w:hAnsi="宋体" w:cs="宋体"/>
          <w:b/>
          <w:kern w:val="0"/>
          <w:sz w:val="24"/>
          <w:highlight w:val="none"/>
        </w:rPr>
      </w:pPr>
      <w:r>
        <w:rPr>
          <w:rFonts w:hint="eastAsia" w:ascii="宋体" w:hAnsi="宋体" w:cs="宋体"/>
          <w:b/>
          <w:kern w:val="0"/>
          <w:sz w:val="24"/>
          <w:highlight w:val="none"/>
        </w:rPr>
        <w:t>1．该表仅适用于政府采购货物和服务项目的资格审查，由采购人代表或采购代理机构负责。</w:t>
      </w:r>
    </w:p>
    <w:p w14:paraId="63701EDB">
      <w:pPr>
        <w:adjustRightInd w:val="0"/>
        <w:snapToGrid w:val="0"/>
        <w:spacing w:line="360" w:lineRule="auto"/>
        <w:ind w:firstLine="482"/>
        <w:jc w:val="left"/>
        <w:rPr>
          <w:rFonts w:hint="eastAsia" w:ascii="宋体" w:hAnsi="宋体" w:cs="宋体"/>
          <w:b/>
          <w:kern w:val="0"/>
          <w:sz w:val="24"/>
          <w:highlight w:val="none"/>
        </w:rPr>
      </w:pPr>
      <w:r>
        <w:rPr>
          <w:rFonts w:hint="eastAsia" w:ascii="宋体" w:hAnsi="宋体" w:cs="宋体"/>
          <w:b/>
          <w:kern w:val="0"/>
          <w:sz w:val="24"/>
          <w:highlight w:val="none"/>
        </w:rPr>
        <w:t>2．应根据招标文件设定的“供应商资格条件”选择确定具体的审查内容。</w:t>
      </w:r>
    </w:p>
    <w:p w14:paraId="5F5C9C69">
      <w:pPr>
        <w:adjustRightInd w:val="0"/>
        <w:snapToGrid w:val="0"/>
        <w:spacing w:line="360" w:lineRule="auto"/>
        <w:ind w:firstLine="482"/>
        <w:jc w:val="left"/>
        <w:rPr>
          <w:rFonts w:hint="eastAsia" w:ascii="宋体" w:hAnsi="宋体" w:cs="宋体"/>
          <w:b/>
          <w:kern w:val="0"/>
          <w:sz w:val="24"/>
          <w:highlight w:val="none"/>
        </w:rPr>
      </w:pPr>
      <w:r>
        <w:rPr>
          <w:rFonts w:hint="eastAsia" w:ascii="宋体" w:hAnsi="宋体" w:cs="宋体"/>
          <w:b/>
          <w:kern w:val="0"/>
          <w:sz w:val="24"/>
          <w:highlight w:val="none"/>
        </w:rPr>
        <w:t>3．审查情况或结论合格打√，不合格打×，不合格原因应在备注栏内详细说明。</w:t>
      </w:r>
    </w:p>
    <w:p w14:paraId="7EE954B6">
      <w:pPr>
        <w:adjustRightInd w:val="0"/>
        <w:snapToGrid w:val="0"/>
        <w:spacing w:line="360" w:lineRule="auto"/>
        <w:ind w:firstLine="482"/>
        <w:jc w:val="left"/>
        <w:rPr>
          <w:rFonts w:hint="eastAsia" w:ascii="宋体" w:hAnsi="宋体" w:cs="宋体"/>
          <w:b/>
          <w:kern w:val="0"/>
          <w:sz w:val="24"/>
          <w:highlight w:val="none"/>
        </w:rPr>
      </w:pPr>
    </w:p>
    <w:p w14:paraId="5863D1E3">
      <w:pPr>
        <w:widowControl/>
        <w:jc w:val="left"/>
        <w:rPr>
          <w:rFonts w:hint="eastAsia" w:ascii="宋体" w:hAnsi="宋体" w:cs="宋体"/>
          <w:b/>
          <w:kern w:val="0"/>
          <w:sz w:val="24"/>
          <w:highlight w:val="none"/>
        </w:rPr>
      </w:pPr>
      <w:r>
        <w:rPr>
          <w:rFonts w:ascii="宋体" w:hAnsi="宋体" w:cs="宋体"/>
          <w:b/>
          <w:kern w:val="0"/>
          <w:sz w:val="24"/>
          <w:highlight w:val="none"/>
        </w:rPr>
        <w:br w:type="page"/>
      </w:r>
    </w:p>
    <w:p w14:paraId="0877D067">
      <w:pPr>
        <w:snapToGrid w:val="0"/>
        <w:spacing w:line="360" w:lineRule="auto"/>
        <w:jc w:val="center"/>
        <w:outlineLvl w:val="0"/>
        <w:rPr>
          <w:rFonts w:hint="eastAsia" w:ascii="宋体" w:hAnsi="宋体" w:cs="宋体"/>
          <w:b/>
          <w:kern w:val="0"/>
          <w:sz w:val="32"/>
          <w:szCs w:val="32"/>
          <w:highlight w:val="none"/>
        </w:rPr>
      </w:pPr>
      <w:bookmarkStart w:id="232" w:name="_Toc558"/>
      <w:bookmarkStart w:id="233" w:name="_Toc2814"/>
      <w:r>
        <w:rPr>
          <w:rFonts w:hint="eastAsia" w:ascii="宋体" w:hAnsi="宋体" w:cs="宋体"/>
          <w:b/>
          <w:kern w:val="0"/>
          <w:sz w:val="32"/>
          <w:szCs w:val="32"/>
          <w:highlight w:val="none"/>
        </w:rPr>
        <w:t>符合性审查表</w:t>
      </w:r>
      <w:bookmarkEnd w:id="230"/>
      <w:bookmarkEnd w:id="231"/>
      <w:bookmarkEnd w:id="232"/>
      <w:bookmarkEnd w:id="233"/>
    </w:p>
    <w:tbl>
      <w:tblPr>
        <w:tblStyle w:val="88"/>
        <w:tblW w:w="92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5"/>
        <w:gridCol w:w="4863"/>
        <w:gridCol w:w="714"/>
        <w:gridCol w:w="714"/>
        <w:gridCol w:w="714"/>
        <w:gridCol w:w="714"/>
        <w:gridCol w:w="714"/>
      </w:tblGrid>
      <w:tr w14:paraId="6069C0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jc w:val="center"/>
        </w:trPr>
        <w:tc>
          <w:tcPr>
            <w:tcW w:w="825" w:type="dxa"/>
            <w:vMerge w:val="restart"/>
            <w:vAlign w:val="center"/>
          </w:tcPr>
          <w:p w14:paraId="7782B836">
            <w:pPr>
              <w:pStyle w:val="21"/>
              <w:snapToGrid w:val="0"/>
              <w:ind w:firstLine="0" w:firstLineChars="0"/>
              <w:jc w:val="center"/>
              <w:rPr>
                <w:rFonts w:hint="eastAsia" w:ascii="宋体" w:hAnsi="宋体" w:cs="宋体"/>
                <w:kern w:val="0"/>
                <w:sz w:val="24"/>
                <w:highlight w:val="none"/>
              </w:rPr>
            </w:pPr>
            <w:r>
              <w:rPr>
                <w:rFonts w:hint="eastAsia" w:ascii="宋体" w:hAnsi="宋体" w:cs="宋体"/>
                <w:kern w:val="0"/>
                <w:sz w:val="24"/>
                <w:highlight w:val="none"/>
              </w:rPr>
              <w:t>序号</w:t>
            </w:r>
          </w:p>
        </w:tc>
        <w:tc>
          <w:tcPr>
            <w:tcW w:w="4863" w:type="dxa"/>
            <w:vMerge w:val="restart"/>
            <w:vAlign w:val="center"/>
          </w:tcPr>
          <w:p w14:paraId="6CE1E3AE">
            <w:pPr>
              <w:autoSpaceDE w:val="0"/>
              <w:autoSpaceDN w:val="0"/>
              <w:adjustRightInd w:val="0"/>
              <w:snapToGrid w:val="0"/>
              <w:ind w:firstLine="480"/>
              <w:jc w:val="center"/>
              <w:rPr>
                <w:rFonts w:hint="eastAsia" w:ascii="宋体" w:hAnsi="宋体" w:cs="宋体"/>
                <w:kern w:val="0"/>
                <w:sz w:val="24"/>
                <w:highlight w:val="none"/>
              </w:rPr>
            </w:pPr>
            <w:r>
              <w:rPr>
                <w:rFonts w:hint="eastAsia" w:ascii="宋体" w:hAnsi="宋体" w:cs="宋体"/>
                <w:kern w:val="0"/>
                <w:sz w:val="24"/>
                <w:highlight w:val="none"/>
              </w:rPr>
              <w:t>审查内容</w:t>
            </w:r>
          </w:p>
        </w:tc>
        <w:tc>
          <w:tcPr>
            <w:tcW w:w="3570" w:type="dxa"/>
            <w:gridSpan w:val="5"/>
            <w:vAlign w:val="center"/>
          </w:tcPr>
          <w:p w14:paraId="30E871FD">
            <w:pPr>
              <w:snapToGrid w:val="0"/>
              <w:ind w:firstLine="480"/>
              <w:jc w:val="center"/>
              <w:rPr>
                <w:rFonts w:hint="eastAsia" w:ascii="宋体" w:hAnsi="宋体" w:cs="宋体"/>
                <w:kern w:val="0"/>
                <w:sz w:val="24"/>
                <w:highlight w:val="none"/>
              </w:rPr>
            </w:pPr>
            <w:r>
              <w:rPr>
                <w:rFonts w:hint="eastAsia" w:ascii="宋体" w:hAnsi="宋体" w:cs="宋体"/>
                <w:kern w:val="0"/>
                <w:sz w:val="24"/>
                <w:highlight w:val="none"/>
              </w:rPr>
              <w:t>投标人</w:t>
            </w:r>
          </w:p>
        </w:tc>
      </w:tr>
      <w:tr w14:paraId="6C5D5D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5" w:hRule="atLeast"/>
          <w:jc w:val="center"/>
        </w:trPr>
        <w:tc>
          <w:tcPr>
            <w:tcW w:w="825" w:type="dxa"/>
            <w:vMerge w:val="continue"/>
            <w:vAlign w:val="center"/>
          </w:tcPr>
          <w:p w14:paraId="5407839D">
            <w:pPr>
              <w:autoSpaceDE w:val="0"/>
              <w:autoSpaceDN w:val="0"/>
              <w:adjustRightInd w:val="0"/>
              <w:snapToGrid w:val="0"/>
              <w:ind w:firstLine="480"/>
              <w:jc w:val="center"/>
              <w:rPr>
                <w:rFonts w:hint="eastAsia" w:ascii="宋体" w:hAnsi="宋体" w:cs="宋体"/>
                <w:kern w:val="0"/>
                <w:sz w:val="24"/>
                <w:highlight w:val="none"/>
              </w:rPr>
            </w:pPr>
          </w:p>
        </w:tc>
        <w:tc>
          <w:tcPr>
            <w:tcW w:w="4863" w:type="dxa"/>
            <w:vMerge w:val="continue"/>
            <w:vAlign w:val="center"/>
          </w:tcPr>
          <w:p w14:paraId="3F510776">
            <w:pPr>
              <w:autoSpaceDE w:val="0"/>
              <w:autoSpaceDN w:val="0"/>
              <w:adjustRightInd w:val="0"/>
              <w:snapToGrid w:val="0"/>
              <w:ind w:firstLine="480"/>
              <w:jc w:val="center"/>
              <w:rPr>
                <w:rFonts w:hint="eastAsia" w:ascii="宋体" w:hAnsi="宋体" w:cs="宋体"/>
                <w:kern w:val="0"/>
                <w:sz w:val="24"/>
                <w:highlight w:val="none"/>
              </w:rPr>
            </w:pPr>
          </w:p>
        </w:tc>
        <w:tc>
          <w:tcPr>
            <w:tcW w:w="714" w:type="dxa"/>
            <w:vAlign w:val="center"/>
          </w:tcPr>
          <w:p w14:paraId="22980326">
            <w:pPr>
              <w:snapToGrid w:val="0"/>
              <w:ind w:firstLine="480"/>
              <w:jc w:val="center"/>
              <w:rPr>
                <w:rFonts w:hint="eastAsia" w:ascii="宋体" w:hAnsi="宋体" w:cs="宋体"/>
                <w:kern w:val="0"/>
                <w:sz w:val="24"/>
                <w:highlight w:val="none"/>
              </w:rPr>
            </w:pPr>
          </w:p>
        </w:tc>
        <w:tc>
          <w:tcPr>
            <w:tcW w:w="714" w:type="dxa"/>
            <w:vAlign w:val="center"/>
          </w:tcPr>
          <w:p w14:paraId="3CBD9502">
            <w:pPr>
              <w:snapToGrid w:val="0"/>
              <w:ind w:firstLine="480"/>
              <w:jc w:val="center"/>
              <w:rPr>
                <w:rFonts w:hint="eastAsia" w:ascii="宋体" w:hAnsi="宋体" w:cs="宋体"/>
                <w:kern w:val="0"/>
                <w:sz w:val="24"/>
                <w:highlight w:val="none"/>
              </w:rPr>
            </w:pPr>
          </w:p>
        </w:tc>
        <w:tc>
          <w:tcPr>
            <w:tcW w:w="714" w:type="dxa"/>
            <w:vAlign w:val="center"/>
          </w:tcPr>
          <w:p w14:paraId="500A3D26">
            <w:pPr>
              <w:snapToGrid w:val="0"/>
              <w:ind w:firstLine="480"/>
              <w:jc w:val="center"/>
              <w:rPr>
                <w:rFonts w:hint="eastAsia" w:ascii="宋体" w:hAnsi="宋体" w:cs="宋体"/>
                <w:kern w:val="0"/>
                <w:sz w:val="24"/>
                <w:highlight w:val="none"/>
              </w:rPr>
            </w:pPr>
          </w:p>
        </w:tc>
        <w:tc>
          <w:tcPr>
            <w:tcW w:w="714" w:type="dxa"/>
            <w:vAlign w:val="center"/>
          </w:tcPr>
          <w:p w14:paraId="33D8C953">
            <w:pPr>
              <w:snapToGrid w:val="0"/>
              <w:ind w:firstLine="480"/>
              <w:jc w:val="center"/>
              <w:rPr>
                <w:rFonts w:hint="eastAsia" w:ascii="宋体" w:hAnsi="宋体" w:cs="宋体"/>
                <w:kern w:val="0"/>
                <w:sz w:val="24"/>
                <w:highlight w:val="none"/>
              </w:rPr>
            </w:pPr>
          </w:p>
        </w:tc>
        <w:tc>
          <w:tcPr>
            <w:tcW w:w="714" w:type="dxa"/>
            <w:vAlign w:val="center"/>
          </w:tcPr>
          <w:p w14:paraId="1EB04BEC">
            <w:pPr>
              <w:snapToGrid w:val="0"/>
              <w:ind w:firstLine="480"/>
              <w:jc w:val="center"/>
              <w:rPr>
                <w:rFonts w:hint="eastAsia" w:ascii="宋体" w:hAnsi="宋体" w:cs="宋体"/>
                <w:kern w:val="0"/>
                <w:sz w:val="24"/>
                <w:highlight w:val="none"/>
              </w:rPr>
            </w:pPr>
          </w:p>
        </w:tc>
      </w:tr>
      <w:tr w14:paraId="4C51F7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9" w:hRule="atLeast"/>
          <w:jc w:val="center"/>
        </w:trPr>
        <w:tc>
          <w:tcPr>
            <w:tcW w:w="825" w:type="dxa"/>
            <w:vAlign w:val="center"/>
          </w:tcPr>
          <w:p w14:paraId="54CF22C9">
            <w:pPr>
              <w:pStyle w:val="21"/>
              <w:snapToGrid w:val="0"/>
              <w:ind w:firstLine="0" w:firstLineChars="0"/>
              <w:jc w:val="center"/>
              <w:rPr>
                <w:rFonts w:hint="eastAsia" w:ascii="宋体" w:hAnsi="宋体" w:cs="宋体"/>
                <w:kern w:val="0"/>
                <w:sz w:val="24"/>
                <w:highlight w:val="none"/>
              </w:rPr>
            </w:pPr>
            <w:r>
              <w:rPr>
                <w:rFonts w:hint="eastAsia" w:ascii="宋体" w:hAnsi="宋体" w:cs="宋体"/>
                <w:kern w:val="0"/>
                <w:sz w:val="24"/>
                <w:highlight w:val="none"/>
              </w:rPr>
              <w:t>1</w:t>
            </w:r>
          </w:p>
        </w:tc>
        <w:tc>
          <w:tcPr>
            <w:tcW w:w="4863" w:type="dxa"/>
            <w:vAlign w:val="center"/>
          </w:tcPr>
          <w:p w14:paraId="29765E40">
            <w:pPr>
              <w:pStyle w:val="21"/>
              <w:snapToGrid w:val="0"/>
              <w:ind w:firstLine="0" w:firstLineChars="0"/>
              <w:jc w:val="left"/>
              <w:rPr>
                <w:rFonts w:hint="eastAsia" w:ascii="宋体" w:hAnsi="宋体" w:cs="宋体"/>
                <w:kern w:val="0"/>
                <w:sz w:val="24"/>
                <w:highlight w:val="none"/>
              </w:rPr>
            </w:pPr>
            <w:r>
              <w:rPr>
                <w:rFonts w:hint="eastAsia" w:ascii="宋体" w:hAnsi="宋体" w:cs="宋体"/>
                <w:kern w:val="0"/>
                <w:sz w:val="24"/>
                <w:highlight w:val="none"/>
              </w:rPr>
              <w:t>按招标文件要求</w:t>
            </w:r>
            <w:r>
              <w:rPr>
                <w:rFonts w:hint="eastAsia" w:ascii="宋体" w:hAnsi="宋体" w:cs="宋体"/>
                <w:kern w:val="0"/>
                <w:sz w:val="24"/>
                <w:highlight w:val="none"/>
                <w:lang w:eastAsia="zh-Hans"/>
              </w:rPr>
              <w:t>缴纳</w:t>
            </w:r>
            <w:r>
              <w:rPr>
                <w:rFonts w:ascii="宋体" w:hAnsi="宋体" w:cs="宋体"/>
                <w:kern w:val="0"/>
                <w:sz w:val="24"/>
                <w:highlight w:val="none"/>
              </w:rPr>
              <w:t>投标保证金</w:t>
            </w:r>
            <w:r>
              <w:rPr>
                <w:rFonts w:hint="eastAsia" w:ascii="宋体" w:hAnsi="宋体" w:cs="宋体"/>
                <w:kern w:val="0"/>
                <w:sz w:val="24"/>
                <w:highlight w:val="none"/>
              </w:rPr>
              <w:t>；</w:t>
            </w:r>
          </w:p>
        </w:tc>
        <w:tc>
          <w:tcPr>
            <w:tcW w:w="714" w:type="dxa"/>
            <w:vAlign w:val="center"/>
          </w:tcPr>
          <w:p w14:paraId="3D0A7FF0">
            <w:pPr>
              <w:pStyle w:val="21"/>
              <w:snapToGrid w:val="0"/>
              <w:ind w:firstLine="480"/>
              <w:jc w:val="left"/>
              <w:rPr>
                <w:rFonts w:hint="eastAsia" w:ascii="宋体" w:hAnsi="宋体" w:cs="宋体"/>
                <w:kern w:val="0"/>
                <w:sz w:val="24"/>
                <w:highlight w:val="none"/>
              </w:rPr>
            </w:pPr>
          </w:p>
        </w:tc>
        <w:tc>
          <w:tcPr>
            <w:tcW w:w="714" w:type="dxa"/>
            <w:vAlign w:val="center"/>
          </w:tcPr>
          <w:p w14:paraId="56DAE6FD">
            <w:pPr>
              <w:pStyle w:val="21"/>
              <w:snapToGrid w:val="0"/>
              <w:ind w:firstLine="480"/>
              <w:jc w:val="left"/>
              <w:rPr>
                <w:rFonts w:hint="eastAsia" w:ascii="宋体" w:hAnsi="宋体" w:cs="宋体"/>
                <w:kern w:val="0"/>
                <w:sz w:val="24"/>
                <w:highlight w:val="none"/>
              </w:rPr>
            </w:pPr>
          </w:p>
        </w:tc>
        <w:tc>
          <w:tcPr>
            <w:tcW w:w="714" w:type="dxa"/>
            <w:vAlign w:val="center"/>
          </w:tcPr>
          <w:p w14:paraId="26DC58B8">
            <w:pPr>
              <w:pStyle w:val="21"/>
              <w:snapToGrid w:val="0"/>
              <w:ind w:firstLine="480"/>
              <w:jc w:val="left"/>
              <w:rPr>
                <w:rFonts w:hint="eastAsia" w:ascii="宋体" w:hAnsi="宋体" w:cs="宋体"/>
                <w:kern w:val="0"/>
                <w:sz w:val="24"/>
                <w:highlight w:val="none"/>
              </w:rPr>
            </w:pPr>
          </w:p>
        </w:tc>
        <w:tc>
          <w:tcPr>
            <w:tcW w:w="714" w:type="dxa"/>
            <w:vAlign w:val="center"/>
          </w:tcPr>
          <w:p w14:paraId="6E445864">
            <w:pPr>
              <w:pStyle w:val="21"/>
              <w:snapToGrid w:val="0"/>
              <w:ind w:firstLine="480"/>
              <w:jc w:val="left"/>
              <w:rPr>
                <w:rFonts w:hint="eastAsia" w:ascii="宋体" w:hAnsi="宋体" w:cs="宋体"/>
                <w:kern w:val="0"/>
                <w:sz w:val="24"/>
                <w:highlight w:val="none"/>
              </w:rPr>
            </w:pPr>
          </w:p>
        </w:tc>
        <w:tc>
          <w:tcPr>
            <w:tcW w:w="714" w:type="dxa"/>
            <w:vAlign w:val="center"/>
          </w:tcPr>
          <w:p w14:paraId="4EFFF474">
            <w:pPr>
              <w:pStyle w:val="21"/>
              <w:snapToGrid w:val="0"/>
              <w:ind w:firstLine="480"/>
              <w:jc w:val="left"/>
              <w:rPr>
                <w:rFonts w:hint="eastAsia" w:ascii="宋体" w:hAnsi="宋体" w:cs="宋体"/>
                <w:kern w:val="0"/>
                <w:sz w:val="24"/>
                <w:highlight w:val="none"/>
              </w:rPr>
            </w:pPr>
          </w:p>
        </w:tc>
      </w:tr>
      <w:tr w14:paraId="2DAC27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4" w:hRule="atLeast"/>
          <w:jc w:val="center"/>
        </w:trPr>
        <w:tc>
          <w:tcPr>
            <w:tcW w:w="825" w:type="dxa"/>
            <w:vAlign w:val="center"/>
          </w:tcPr>
          <w:p w14:paraId="7F8B4981">
            <w:pPr>
              <w:pStyle w:val="21"/>
              <w:snapToGrid w:val="0"/>
              <w:ind w:firstLine="0" w:firstLineChars="0"/>
              <w:jc w:val="center"/>
              <w:rPr>
                <w:rFonts w:hint="eastAsia" w:ascii="宋体" w:hAnsi="宋体" w:cs="宋体"/>
                <w:kern w:val="0"/>
                <w:sz w:val="24"/>
                <w:highlight w:val="none"/>
              </w:rPr>
            </w:pPr>
            <w:r>
              <w:rPr>
                <w:rFonts w:hint="eastAsia" w:ascii="宋体" w:hAnsi="宋体" w:cs="宋体"/>
                <w:kern w:val="0"/>
                <w:sz w:val="24"/>
                <w:highlight w:val="none"/>
              </w:rPr>
              <w:t>2</w:t>
            </w:r>
          </w:p>
        </w:tc>
        <w:tc>
          <w:tcPr>
            <w:tcW w:w="4863" w:type="dxa"/>
            <w:vAlign w:val="center"/>
          </w:tcPr>
          <w:p w14:paraId="1D8FC5D6">
            <w:pPr>
              <w:pStyle w:val="21"/>
              <w:snapToGrid w:val="0"/>
              <w:ind w:firstLine="0" w:firstLineChars="0"/>
              <w:rPr>
                <w:rFonts w:hint="eastAsia" w:ascii="宋体" w:hAnsi="宋体" w:cs="宋体"/>
                <w:kern w:val="0"/>
                <w:sz w:val="24"/>
                <w:highlight w:val="none"/>
              </w:rPr>
            </w:pPr>
            <w:r>
              <w:rPr>
                <w:rFonts w:hint="eastAsia" w:ascii="宋体" w:hAnsi="宋体" w:cs="宋体"/>
                <w:kern w:val="0"/>
                <w:sz w:val="24"/>
                <w:highlight w:val="none"/>
              </w:rPr>
              <w:t>投标文件中的投标函加盖投标人公章，法定代表人（或委托代理人）印章（或签字），投标函件内容齐全；</w:t>
            </w:r>
          </w:p>
        </w:tc>
        <w:tc>
          <w:tcPr>
            <w:tcW w:w="714" w:type="dxa"/>
            <w:vAlign w:val="center"/>
          </w:tcPr>
          <w:p w14:paraId="2FA572D8">
            <w:pPr>
              <w:pStyle w:val="21"/>
              <w:snapToGrid w:val="0"/>
              <w:ind w:firstLine="480"/>
              <w:jc w:val="left"/>
              <w:rPr>
                <w:rFonts w:hint="eastAsia" w:ascii="宋体" w:hAnsi="宋体" w:cs="宋体"/>
                <w:kern w:val="0"/>
                <w:sz w:val="24"/>
                <w:highlight w:val="none"/>
              </w:rPr>
            </w:pPr>
          </w:p>
        </w:tc>
        <w:tc>
          <w:tcPr>
            <w:tcW w:w="714" w:type="dxa"/>
            <w:vAlign w:val="center"/>
          </w:tcPr>
          <w:p w14:paraId="7933829C">
            <w:pPr>
              <w:pStyle w:val="21"/>
              <w:snapToGrid w:val="0"/>
              <w:ind w:firstLine="480"/>
              <w:jc w:val="left"/>
              <w:rPr>
                <w:rFonts w:hint="eastAsia" w:ascii="宋体" w:hAnsi="宋体" w:cs="宋体"/>
                <w:kern w:val="0"/>
                <w:sz w:val="24"/>
                <w:highlight w:val="none"/>
              </w:rPr>
            </w:pPr>
          </w:p>
        </w:tc>
        <w:tc>
          <w:tcPr>
            <w:tcW w:w="714" w:type="dxa"/>
            <w:vAlign w:val="center"/>
          </w:tcPr>
          <w:p w14:paraId="48269913">
            <w:pPr>
              <w:pStyle w:val="21"/>
              <w:snapToGrid w:val="0"/>
              <w:ind w:firstLine="480"/>
              <w:jc w:val="left"/>
              <w:rPr>
                <w:rFonts w:hint="eastAsia" w:ascii="宋体" w:hAnsi="宋体" w:cs="宋体"/>
                <w:kern w:val="0"/>
                <w:sz w:val="24"/>
                <w:highlight w:val="none"/>
              </w:rPr>
            </w:pPr>
          </w:p>
        </w:tc>
        <w:tc>
          <w:tcPr>
            <w:tcW w:w="714" w:type="dxa"/>
            <w:vAlign w:val="center"/>
          </w:tcPr>
          <w:p w14:paraId="0BCB583B">
            <w:pPr>
              <w:pStyle w:val="21"/>
              <w:snapToGrid w:val="0"/>
              <w:ind w:firstLine="480"/>
              <w:jc w:val="left"/>
              <w:rPr>
                <w:rFonts w:hint="eastAsia" w:ascii="宋体" w:hAnsi="宋体" w:cs="宋体"/>
                <w:kern w:val="0"/>
                <w:sz w:val="24"/>
                <w:highlight w:val="none"/>
              </w:rPr>
            </w:pPr>
          </w:p>
        </w:tc>
        <w:tc>
          <w:tcPr>
            <w:tcW w:w="714" w:type="dxa"/>
            <w:vAlign w:val="center"/>
          </w:tcPr>
          <w:p w14:paraId="1304793F">
            <w:pPr>
              <w:pStyle w:val="21"/>
              <w:snapToGrid w:val="0"/>
              <w:ind w:firstLine="480"/>
              <w:jc w:val="left"/>
              <w:rPr>
                <w:rFonts w:hint="eastAsia" w:ascii="宋体" w:hAnsi="宋体" w:cs="宋体"/>
                <w:kern w:val="0"/>
                <w:sz w:val="24"/>
                <w:highlight w:val="none"/>
              </w:rPr>
            </w:pPr>
          </w:p>
        </w:tc>
      </w:tr>
      <w:tr w14:paraId="430D8F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825" w:type="dxa"/>
            <w:vAlign w:val="center"/>
          </w:tcPr>
          <w:p w14:paraId="4060FEEC">
            <w:pPr>
              <w:pStyle w:val="21"/>
              <w:snapToGrid w:val="0"/>
              <w:ind w:firstLine="0" w:firstLineChars="0"/>
              <w:jc w:val="center"/>
              <w:rPr>
                <w:rFonts w:hint="eastAsia" w:ascii="宋体" w:hAnsi="宋体" w:cs="宋体"/>
                <w:kern w:val="0"/>
                <w:sz w:val="24"/>
                <w:highlight w:val="none"/>
              </w:rPr>
            </w:pPr>
            <w:r>
              <w:rPr>
                <w:rFonts w:hint="eastAsia" w:ascii="宋体" w:hAnsi="宋体" w:cs="宋体"/>
                <w:kern w:val="0"/>
                <w:sz w:val="24"/>
                <w:highlight w:val="none"/>
              </w:rPr>
              <w:t>3</w:t>
            </w:r>
          </w:p>
        </w:tc>
        <w:tc>
          <w:tcPr>
            <w:tcW w:w="4863" w:type="dxa"/>
            <w:vAlign w:val="center"/>
          </w:tcPr>
          <w:p w14:paraId="642067FE">
            <w:pPr>
              <w:pStyle w:val="21"/>
              <w:snapToGrid w:val="0"/>
              <w:ind w:firstLine="0" w:firstLineChars="0"/>
              <w:rPr>
                <w:rFonts w:hint="eastAsia" w:ascii="宋体" w:hAnsi="宋体" w:cs="宋体"/>
                <w:kern w:val="0"/>
                <w:sz w:val="24"/>
                <w:highlight w:val="none"/>
              </w:rPr>
            </w:pPr>
            <w:r>
              <w:rPr>
                <w:rFonts w:hint="eastAsia" w:ascii="宋体" w:hAnsi="宋体" w:cs="宋体"/>
                <w:kern w:val="0"/>
                <w:sz w:val="24"/>
                <w:highlight w:val="none"/>
              </w:rPr>
              <w:t>法定代表人委托代理人具有合法、有效的委托书原件；</w:t>
            </w:r>
          </w:p>
        </w:tc>
        <w:tc>
          <w:tcPr>
            <w:tcW w:w="714" w:type="dxa"/>
            <w:vAlign w:val="center"/>
          </w:tcPr>
          <w:p w14:paraId="4A426752">
            <w:pPr>
              <w:pStyle w:val="21"/>
              <w:snapToGrid w:val="0"/>
              <w:ind w:firstLine="480"/>
              <w:jc w:val="left"/>
              <w:rPr>
                <w:rFonts w:hint="eastAsia" w:ascii="宋体" w:hAnsi="宋体" w:cs="宋体"/>
                <w:kern w:val="0"/>
                <w:sz w:val="24"/>
                <w:highlight w:val="none"/>
              </w:rPr>
            </w:pPr>
          </w:p>
        </w:tc>
        <w:tc>
          <w:tcPr>
            <w:tcW w:w="714" w:type="dxa"/>
            <w:vAlign w:val="center"/>
          </w:tcPr>
          <w:p w14:paraId="70828BC7">
            <w:pPr>
              <w:pStyle w:val="21"/>
              <w:snapToGrid w:val="0"/>
              <w:ind w:firstLine="480"/>
              <w:jc w:val="left"/>
              <w:rPr>
                <w:rFonts w:hint="eastAsia" w:ascii="宋体" w:hAnsi="宋体" w:cs="宋体"/>
                <w:kern w:val="0"/>
                <w:sz w:val="24"/>
                <w:highlight w:val="none"/>
              </w:rPr>
            </w:pPr>
          </w:p>
        </w:tc>
        <w:tc>
          <w:tcPr>
            <w:tcW w:w="714" w:type="dxa"/>
            <w:vAlign w:val="center"/>
          </w:tcPr>
          <w:p w14:paraId="5B394D13">
            <w:pPr>
              <w:pStyle w:val="21"/>
              <w:snapToGrid w:val="0"/>
              <w:ind w:firstLine="480"/>
              <w:jc w:val="left"/>
              <w:rPr>
                <w:rFonts w:hint="eastAsia" w:ascii="宋体" w:hAnsi="宋体" w:cs="宋体"/>
                <w:kern w:val="0"/>
                <w:sz w:val="24"/>
                <w:highlight w:val="none"/>
              </w:rPr>
            </w:pPr>
          </w:p>
        </w:tc>
        <w:tc>
          <w:tcPr>
            <w:tcW w:w="714" w:type="dxa"/>
            <w:vAlign w:val="center"/>
          </w:tcPr>
          <w:p w14:paraId="404EAE70">
            <w:pPr>
              <w:pStyle w:val="21"/>
              <w:snapToGrid w:val="0"/>
              <w:ind w:firstLine="480"/>
              <w:jc w:val="left"/>
              <w:rPr>
                <w:rFonts w:hint="eastAsia" w:ascii="宋体" w:hAnsi="宋体" w:cs="宋体"/>
                <w:kern w:val="0"/>
                <w:sz w:val="24"/>
                <w:highlight w:val="none"/>
              </w:rPr>
            </w:pPr>
          </w:p>
        </w:tc>
        <w:tc>
          <w:tcPr>
            <w:tcW w:w="714" w:type="dxa"/>
            <w:vAlign w:val="center"/>
          </w:tcPr>
          <w:p w14:paraId="2586E50B">
            <w:pPr>
              <w:pStyle w:val="21"/>
              <w:snapToGrid w:val="0"/>
              <w:ind w:firstLine="480"/>
              <w:jc w:val="left"/>
              <w:rPr>
                <w:rFonts w:hint="eastAsia" w:ascii="宋体" w:hAnsi="宋体" w:cs="宋体"/>
                <w:kern w:val="0"/>
                <w:sz w:val="24"/>
                <w:highlight w:val="none"/>
              </w:rPr>
            </w:pPr>
          </w:p>
        </w:tc>
      </w:tr>
      <w:tr w14:paraId="005BDC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2" w:hRule="atLeast"/>
          <w:jc w:val="center"/>
        </w:trPr>
        <w:tc>
          <w:tcPr>
            <w:tcW w:w="825" w:type="dxa"/>
            <w:vAlign w:val="center"/>
          </w:tcPr>
          <w:p w14:paraId="7A384D9C">
            <w:pPr>
              <w:pStyle w:val="21"/>
              <w:snapToGrid w:val="0"/>
              <w:ind w:firstLine="0" w:firstLineChars="0"/>
              <w:jc w:val="center"/>
              <w:rPr>
                <w:rFonts w:hint="eastAsia" w:ascii="宋体" w:hAnsi="宋体" w:cs="宋体"/>
                <w:kern w:val="0"/>
                <w:sz w:val="24"/>
                <w:highlight w:val="none"/>
              </w:rPr>
            </w:pPr>
            <w:r>
              <w:rPr>
                <w:rFonts w:hint="eastAsia" w:ascii="宋体" w:hAnsi="宋体" w:cs="宋体"/>
                <w:kern w:val="0"/>
                <w:sz w:val="24"/>
                <w:highlight w:val="none"/>
              </w:rPr>
              <w:t>4</w:t>
            </w:r>
          </w:p>
        </w:tc>
        <w:tc>
          <w:tcPr>
            <w:tcW w:w="4863" w:type="dxa"/>
            <w:vAlign w:val="center"/>
          </w:tcPr>
          <w:p w14:paraId="5D064019">
            <w:pPr>
              <w:pStyle w:val="21"/>
              <w:snapToGrid w:val="0"/>
              <w:ind w:firstLine="0" w:firstLineChars="0"/>
              <w:rPr>
                <w:rFonts w:hint="eastAsia" w:ascii="宋体" w:hAnsi="宋体" w:cs="宋体"/>
                <w:kern w:val="0"/>
                <w:sz w:val="24"/>
                <w:highlight w:val="none"/>
              </w:rPr>
            </w:pPr>
            <w:r>
              <w:rPr>
                <w:rFonts w:hint="eastAsia" w:ascii="宋体" w:hAnsi="宋体" w:cs="宋体"/>
                <w:kern w:val="0"/>
                <w:sz w:val="24"/>
                <w:highlight w:val="none"/>
              </w:rPr>
              <w:t>投标文件按规定格式填写，内容齐全、关键字迹清晰，投标文件正、副本数量符合招标文件要求；</w:t>
            </w:r>
          </w:p>
        </w:tc>
        <w:tc>
          <w:tcPr>
            <w:tcW w:w="714" w:type="dxa"/>
            <w:vAlign w:val="center"/>
          </w:tcPr>
          <w:p w14:paraId="53D5E49C">
            <w:pPr>
              <w:pStyle w:val="21"/>
              <w:snapToGrid w:val="0"/>
              <w:ind w:firstLine="480"/>
              <w:jc w:val="left"/>
              <w:rPr>
                <w:rFonts w:hint="eastAsia" w:ascii="宋体" w:hAnsi="宋体" w:cs="宋体"/>
                <w:kern w:val="0"/>
                <w:sz w:val="24"/>
                <w:highlight w:val="none"/>
              </w:rPr>
            </w:pPr>
          </w:p>
        </w:tc>
        <w:tc>
          <w:tcPr>
            <w:tcW w:w="714" w:type="dxa"/>
            <w:vAlign w:val="center"/>
          </w:tcPr>
          <w:p w14:paraId="4FB0133B">
            <w:pPr>
              <w:pStyle w:val="21"/>
              <w:snapToGrid w:val="0"/>
              <w:ind w:firstLine="480"/>
              <w:jc w:val="left"/>
              <w:rPr>
                <w:rFonts w:hint="eastAsia" w:ascii="宋体" w:hAnsi="宋体" w:cs="宋体"/>
                <w:kern w:val="0"/>
                <w:sz w:val="24"/>
                <w:highlight w:val="none"/>
              </w:rPr>
            </w:pPr>
          </w:p>
        </w:tc>
        <w:tc>
          <w:tcPr>
            <w:tcW w:w="714" w:type="dxa"/>
            <w:vAlign w:val="center"/>
          </w:tcPr>
          <w:p w14:paraId="30DEA11E">
            <w:pPr>
              <w:pStyle w:val="21"/>
              <w:snapToGrid w:val="0"/>
              <w:ind w:firstLine="480"/>
              <w:jc w:val="left"/>
              <w:rPr>
                <w:rFonts w:hint="eastAsia" w:ascii="宋体" w:hAnsi="宋体" w:cs="宋体"/>
                <w:kern w:val="0"/>
                <w:sz w:val="24"/>
                <w:highlight w:val="none"/>
              </w:rPr>
            </w:pPr>
          </w:p>
        </w:tc>
        <w:tc>
          <w:tcPr>
            <w:tcW w:w="714" w:type="dxa"/>
            <w:vAlign w:val="center"/>
          </w:tcPr>
          <w:p w14:paraId="67D7B7D7">
            <w:pPr>
              <w:pStyle w:val="21"/>
              <w:snapToGrid w:val="0"/>
              <w:ind w:firstLine="480"/>
              <w:jc w:val="left"/>
              <w:rPr>
                <w:rFonts w:hint="eastAsia" w:ascii="宋体" w:hAnsi="宋体" w:cs="宋体"/>
                <w:kern w:val="0"/>
                <w:sz w:val="24"/>
                <w:highlight w:val="none"/>
              </w:rPr>
            </w:pPr>
          </w:p>
        </w:tc>
        <w:tc>
          <w:tcPr>
            <w:tcW w:w="714" w:type="dxa"/>
            <w:vAlign w:val="center"/>
          </w:tcPr>
          <w:p w14:paraId="59B498EF">
            <w:pPr>
              <w:pStyle w:val="21"/>
              <w:snapToGrid w:val="0"/>
              <w:ind w:firstLine="480"/>
              <w:jc w:val="left"/>
              <w:rPr>
                <w:rFonts w:hint="eastAsia" w:ascii="宋体" w:hAnsi="宋体" w:cs="宋体"/>
                <w:kern w:val="0"/>
                <w:sz w:val="24"/>
                <w:highlight w:val="none"/>
              </w:rPr>
            </w:pPr>
          </w:p>
        </w:tc>
      </w:tr>
      <w:tr w14:paraId="133F3D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6" w:hRule="atLeast"/>
          <w:jc w:val="center"/>
        </w:trPr>
        <w:tc>
          <w:tcPr>
            <w:tcW w:w="825" w:type="dxa"/>
            <w:vAlign w:val="center"/>
          </w:tcPr>
          <w:p w14:paraId="5F360F63">
            <w:pPr>
              <w:pStyle w:val="21"/>
              <w:snapToGrid w:val="0"/>
              <w:ind w:firstLine="0" w:firstLineChars="0"/>
              <w:jc w:val="center"/>
              <w:rPr>
                <w:rFonts w:hint="eastAsia" w:ascii="宋体" w:hAnsi="宋体" w:cs="宋体"/>
                <w:kern w:val="0"/>
                <w:sz w:val="24"/>
                <w:highlight w:val="none"/>
              </w:rPr>
            </w:pPr>
            <w:r>
              <w:rPr>
                <w:rFonts w:hint="eastAsia" w:ascii="宋体" w:hAnsi="宋体" w:cs="宋体"/>
                <w:kern w:val="0"/>
                <w:sz w:val="24"/>
                <w:highlight w:val="none"/>
              </w:rPr>
              <w:t>5</w:t>
            </w:r>
          </w:p>
        </w:tc>
        <w:tc>
          <w:tcPr>
            <w:tcW w:w="4863" w:type="dxa"/>
            <w:vAlign w:val="center"/>
          </w:tcPr>
          <w:p w14:paraId="37F92CC6">
            <w:pPr>
              <w:pStyle w:val="21"/>
              <w:snapToGrid w:val="0"/>
              <w:ind w:firstLine="0" w:firstLineChars="0"/>
              <w:rPr>
                <w:rFonts w:hint="eastAsia" w:ascii="宋体" w:hAnsi="宋体" w:cs="宋体"/>
                <w:kern w:val="0"/>
                <w:sz w:val="24"/>
                <w:highlight w:val="none"/>
              </w:rPr>
            </w:pPr>
            <w:r>
              <w:rPr>
                <w:rFonts w:hint="eastAsia" w:ascii="宋体" w:hAnsi="宋体" w:cs="宋体"/>
                <w:kern w:val="0"/>
                <w:sz w:val="24"/>
                <w:highlight w:val="none"/>
              </w:rPr>
              <w:t>投标人未递交两份或多份内容不同的投标文件，在一份投标文件中对同一项有且只有一个报价，有两个或多个报价时声明了哪一个有效（按招标文件规定提交备选方案的除外）；</w:t>
            </w:r>
          </w:p>
        </w:tc>
        <w:tc>
          <w:tcPr>
            <w:tcW w:w="714" w:type="dxa"/>
            <w:vAlign w:val="center"/>
          </w:tcPr>
          <w:p w14:paraId="6D3767B1">
            <w:pPr>
              <w:pStyle w:val="21"/>
              <w:snapToGrid w:val="0"/>
              <w:ind w:firstLine="480"/>
              <w:jc w:val="left"/>
              <w:rPr>
                <w:rFonts w:hint="eastAsia" w:ascii="宋体" w:hAnsi="宋体" w:cs="宋体"/>
                <w:kern w:val="0"/>
                <w:sz w:val="24"/>
                <w:highlight w:val="none"/>
              </w:rPr>
            </w:pPr>
          </w:p>
        </w:tc>
        <w:tc>
          <w:tcPr>
            <w:tcW w:w="714" w:type="dxa"/>
            <w:vAlign w:val="center"/>
          </w:tcPr>
          <w:p w14:paraId="0191E13F">
            <w:pPr>
              <w:pStyle w:val="21"/>
              <w:snapToGrid w:val="0"/>
              <w:ind w:firstLine="480"/>
              <w:jc w:val="left"/>
              <w:rPr>
                <w:rFonts w:hint="eastAsia" w:ascii="宋体" w:hAnsi="宋体" w:cs="宋体"/>
                <w:kern w:val="0"/>
                <w:sz w:val="24"/>
                <w:highlight w:val="none"/>
              </w:rPr>
            </w:pPr>
          </w:p>
        </w:tc>
        <w:tc>
          <w:tcPr>
            <w:tcW w:w="714" w:type="dxa"/>
            <w:vAlign w:val="center"/>
          </w:tcPr>
          <w:p w14:paraId="547AEFBF">
            <w:pPr>
              <w:pStyle w:val="21"/>
              <w:snapToGrid w:val="0"/>
              <w:ind w:firstLine="480"/>
              <w:jc w:val="left"/>
              <w:rPr>
                <w:rFonts w:hint="eastAsia" w:ascii="宋体" w:hAnsi="宋体" w:cs="宋体"/>
                <w:kern w:val="0"/>
                <w:sz w:val="24"/>
                <w:highlight w:val="none"/>
              </w:rPr>
            </w:pPr>
          </w:p>
        </w:tc>
        <w:tc>
          <w:tcPr>
            <w:tcW w:w="714" w:type="dxa"/>
            <w:vAlign w:val="center"/>
          </w:tcPr>
          <w:p w14:paraId="0B4C65A2">
            <w:pPr>
              <w:pStyle w:val="21"/>
              <w:snapToGrid w:val="0"/>
              <w:ind w:firstLine="480"/>
              <w:jc w:val="left"/>
              <w:rPr>
                <w:rFonts w:hint="eastAsia" w:ascii="宋体" w:hAnsi="宋体" w:cs="宋体"/>
                <w:kern w:val="0"/>
                <w:sz w:val="24"/>
                <w:highlight w:val="none"/>
              </w:rPr>
            </w:pPr>
          </w:p>
        </w:tc>
        <w:tc>
          <w:tcPr>
            <w:tcW w:w="714" w:type="dxa"/>
            <w:vAlign w:val="center"/>
          </w:tcPr>
          <w:p w14:paraId="0CE39E5E">
            <w:pPr>
              <w:pStyle w:val="21"/>
              <w:snapToGrid w:val="0"/>
              <w:ind w:firstLine="480"/>
              <w:jc w:val="left"/>
              <w:rPr>
                <w:rFonts w:hint="eastAsia" w:ascii="宋体" w:hAnsi="宋体" w:cs="宋体"/>
                <w:kern w:val="0"/>
                <w:sz w:val="24"/>
                <w:highlight w:val="none"/>
              </w:rPr>
            </w:pPr>
          </w:p>
        </w:tc>
      </w:tr>
      <w:tr w14:paraId="437BF1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6" w:hRule="atLeast"/>
          <w:jc w:val="center"/>
        </w:trPr>
        <w:tc>
          <w:tcPr>
            <w:tcW w:w="825" w:type="dxa"/>
            <w:vAlign w:val="center"/>
          </w:tcPr>
          <w:p w14:paraId="7C2986BD">
            <w:pPr>
              <w:pStyle w:val="21"/>
              <w:snapToGrid w:val="0"/>
              <w:ind w:firstLine="0" w:firstLineChars="0"/>
              <w:jc w:val="center"/>
              <w:rPr>
                <w:rFonts w:hint="eastAsia" w:ascii="宋体" w:hAnsi="宋体" w:cs="宋体"/>
                <w:kern w:val="0"/>
                <w:sz w:val="24"/>
                <w:highlight w:val="none"/>
              </w:rPr>
            </w:pPr>
            <w:r>
              <w:rPr>
                <w:rFonts w:hint="eastAsia" w:ascii="宋体" w:hAnsi="宋体" w:cs="宋体"/>
                <w:kern w:val="0"/>
                <w:sz w:val="24"/>
                <w:highlight w:val="none"/>
              </w:rPr>
              <w:t>6</w:t>
            </w:r>
          </w:p>
        </w:tc>
        <w:tc>
          <w:tcPr>
            <w:tcW w:w="4863" w:type="dxa"/>
            <w:vAlign w:val="center"/>
          </w:tcPr>
          <w:p w14:paraId="60230129">
            <w:pPr>
              <w:pStyle w:val="21"/>
              <w:snapToGrid w:val="0"/>
              <w:ind w:firstLine="0" w:firstLineChars="0"/>
              <w:rPr>
                <w:rFonts w:hint="eastAsia" w:ascii="宋体" w:hAnsi="宋体" w:cs="宋体"/>
                <w:kern w:val="0"/>
                <w:sz w:val="24"/>
                <w:highlight w:val="none"/>
              </w:rPr>
            </w:pPr>
            <w:r>
              <w:rPr>
                <w:rFonts w:hint="eastAsia" w:ascii="宋体" w:hAnsi="宋体" w:cs="宋体"/>
                <w:kern w:val="0"/>
                <w:sz w:val="24"/>
                <w:highlight w:val="none"/>
              </w:rPr>
              <w:t>投标报价未超出项目预算或最高限价；</w:t>
            </w:r>
          </w:p>
        </w:tc>
        <w:tc>
          <w:tcPr>
            <w:tcW w:w="714" w:type="dxa"/>
            <w:vAlign w:val="center"/>
          </w:tcPr>
          <w:p w14:paraId="39F06F84">
            <w:pPr>
              <w:pStyle w:val="21"/>
              <w:snapToGrid w:val="0"/>
              <w:ind w:firstLine="480"/>
              <w:jc w:val="left"/>
              <w:rPr>
                <w:rFonts w:hint="eastAsia" w:ascii="宋体" w:hAnsi="宋体" w:cs="宋体"/>
                <w:kern w:val="0"/>
                <w:sz w:val="24"/>
                <w:highlight w:val="none"/>
              </w:rPr>
            </w:pPr>
          </w:p>
        </w:tc>
        <w:tc>
          <w:tcPr>
            <w:tcW w:w="714" w:type="dxa"/>
            <w:vAlign w:val="center"/>
          </w:tcPr>
          <w:p w14:paraId="57F2EAD3">
            <w:pPr>
              <w:pStyle w:val="21"/>
              <w:snapToGrid w:val="0"/>
              <w:ind w:firstLine="480"/>
              <w:jc w:val="left"/>
              <w:rPr>
                <w:rFonts w:hint="eastAsia" w:ascii="宋体" w:hAnsi="宋体" w:cs="宋体"/>
                <w:kern w:val="0"/>
                <w:sz w:val="24"/>
                <w:highlight w:val="none"/>
              </w:rPr>
            </w:pPr>
          </w:p>
        </w:tc>
        <w:tc>
          <w:tcPr>
            <w:tcW w:w="714" w:type="dxa"/>
            <w:vAlign w:val="center"/>
          </w:tcPr>
          <w:p w14:paraId="1D27929F">
            <w:pPr>
              <w:pStyle w:val="21"/>
              <w:snapToGrid w:val="0"/>
              <w:ind w:firstLine="480"/>
              <w:jc w:val="left"/>
              <w:rPr>
                <w:rFonts w:hint="eastAsia" w:ascii="宋体" w:hAnsi="宋体" w:cs="宋体"/>
                <w:kern w:val="0"/>
                <w:sz w:val="24"/>
                <w:highlight w:val="none"/>
              </w:rPr>
            </w:pPr>
          </w:p>
        </w:tc>
        <w:tc>
          <w:tcPr>
            <w:tcW w:w="714" w:type="dxa"/>
            <w:vAlign w:val="center"/>
          </w:tcPr>
          <w:p w14:paraId="12309BCE">
            <w:pPr>
              <w:pStyle w:val="21"/>
              <w:snapToGrid w:val="0"/>
              <w:ind w:firstLine="480"/>
              <w:jc w:val="left"/>
              <w:rPr>
                <w:rFonts w:hint="eastAsia" w:ascii="宋体" w:hAnsi="宋体" w:cs="宋体"/>
                <w:kern w:val="0"/>
                <w:sz w:val="24"/>
                <w:highlight w:val="none"/>
              </w:rPr>
            </w:pPr>
          </w:p>
        </w:tc>
        <w:tc>
          <w:tcPr>
            <w:tcW w:w="714" w:type="dxa"/>
            <w:vAlign w:val="center"/>
          </w:tcPr>
          <w:p w14:paraId="6DD5F098">
            <w:pPr>
              <w:pStyle w:val="21"/>
              <w:snapToGrid w:val="0"/>
              <w:ind w:firstLine="480"/>
              <w:jc w:val="left"/>
              <w:rPr>
                <w:rFonts w:hint="eastAsia" w:ascii="宋体" w:hAnsi="宋体" w:cs="宋体"/>
                <w:kern w:val="0"/>
                <w:sz w:val="24"/>
                <w:highlight w:val="none"/>
              </w:rPr>
            </w:pPr>
          </w:p>
        </w:tc>
      </w:tr>
      <w:tr w14:paraId="710B23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6" w:hRule="atLeast"/>
          <w:jc w:val="center"/>
        </w:trPr>
        <w:tc>
          <w:tcPr>
            <w:tcW w:w="825" w:type="dxa"/>
            <w:vAlign w:val="center"/>
          </w:tcPr>
          <w:p w14:paraId="04E6E689">
            <w:pPr>
              <w:pStyle w:val="21"/>
              <w:snapToGrid w:val="0"/>
              <w:ind w:firstLine="0" w:firstLineChars="0"/>
              <w:jc w:val="center"/>
              <w:rPr>
                <w:rFonts w:hint="eastAsia" w:ascii="宋体" w:hAnsi="宋体" w:cs="宋体"/>
                <w:kern w:val="0"/>
                <w:sz w:val="24"/>
                <w:highlight w:val="none"/>
              </w:rPr>
            </w:pPr>
            <w:r>
              <w:rPr>
                <w:rFonts w:hint="eastAsia" w:ascii="宋体" w:hAnsi="宋体" w:cs="宋体"/>
                <w:kern w:val="0"/>
                <w:sz w:val="24"/>
                <w:highlight w:val="none"/>
              </w:rPr>
              <w:t>7</w:t>
            </w:r>
          </w:p>
        </w:tc>
        <w:tc>
          <w:tcPr>
            <w:tcW w:w="4863" w:type="dxa"/>
            <w:vAlign w:val="center"/>
          </w:tcPr>
          <w:p w14:paraId="2926CB45">
            <w:pPr>
              <w:pStyle w:val="21"/>
              <w:snapToGrid w:val="0"/>
              <w:ind w:firstLine="0" w:firstLineChars="0"/>
              <w:jc w:val="left"/>
              <w:rPr>
                <w:rFonts w:hint="eastAsia" w:ascii="宋体" w:hAnsi="宋体" w:cs="宋体"/>
                <w:kern w:val="0"/>
                <w:sz w:val="24"/>
                <w:highlight w:val="none"/>
              </w:rPr>
            </w:pPr>
            <w:r>
              <w:rPr>
                <w:rFonts w:hint="eastAsia" w:ascii="宋体" w:hAnsi="宋体" w:cs="宋体"/>
                <w:kern w:val="0"/>
                <w:sz w:val="24"/>
                <w:highlight w:val="none"/>
              </w:rPr>
              <w:t>投标文件中“★”条款全部响应且未出现负偏离，完全满足采购人技术要求；</w:t>
            </w:r>
          </w:p>
        </w:tc>
        <w:tc>
          <w:tcPr>
            <w:tcW w:w="714" w:type="dxa"/>
            <w:vAlign w:val="center"/>
          </w:tcPr>
          <w:p w14:paraId="5050E411">
            <w:pPr>
              <w:pStyle w:val="21"/>
              <w:snapToGrid w:val="0"/>
              <w:ind w:firstLine="480"/>
              <w:jc w:val="left"/>
              <w:rPr>
                <w:rFonts w:hint="eastAsia" w:ascii="宋体" w:hAnsi="宋体" w:cs="宋体"/>
                <w:kern w:val="0"/>
                <w:sz w:val="24"/>
                <w:highlight w:val="none"/>
              </w:rPr>
            </w:pPr>
          </w:p>
        </w:tc>
        <w:tc>
          <w:tcPr>
            <w:tcW w:w="714" w:type="dxa"/>
            <w:vAlign w:val="center"/>
          </w:tcPr>
          <w:p w14:paraId="4A4A3D63">
            <w:pPr>
              <w:pStyle w:val="21"/>
              <w:snapToGrid w:val="0"/>
              <w:ind w:firstLine="480"/>
              <w:jc w:val="left"/>
              <w:rPr>
                <w:rFonts w:hint="eastAsia" w:ascii="宋体" w:hAnsi="宋体" w:cs="宋体"/>
                <w:kern w:val="0"/>
                <w:sz w:val="24"/>
                <w:highlight w:val="none"/>
              </w:rPr>
            </w:pPr>
          </w:p>
        </w:tc>
        <w:tc>
          <w:tcPr>
            <w:tcW w:w="714" w:type="dxa"/>
            <w:vAlign w:val="center"/>
          </w:tcPr>
          <w:p w14:paraId="1D21D74F">
            <w:pPr>
              <w:pStyle w:val="21"/>
              <w:snapToGrid w:val="0"/>
              <w:ind w:firstLine="480"/>
              <w:jc w:val="left"/>
              <w:rPr>
                <w:rFonts w:hint="eastAsia" w:ascii="宋体" w:hAnsi="宋体" w:cs="宋体"/>
                <w:kern w:val="0"/>
                <w:sz w:val="24"/>
                <w:highlight w:val="none"/>
              </w:rPr>
            </w:pPr>
          </w:p>
        </w:tc>
        <w:tc>
          <w:tcPr>
            <w:tcW w:w="714" w:type="dxa"/>
            <w:vAlign w:val="center"/>
          </w:tcPr>
          <w:p w14:paraId="364DAB18">
            <w:pPr>
              <w:pStyle w:val="21"/>
              <w:snapToGrid w:val="0"/>
              <w:ind w:firstLine="480"/>
              <w:jc w:val="left"/>
              <w:rPr>
                <w:rFonts w:hint="eastAsia" w:ascii="宋体" w:hAnsi="宋体" w:cs="宋体"/>
                <w:kern w:val="0"/>
                <w:sz w:val="24"/>
                <w:highlight w:val="none"/>
              </w:rPr>
            </w:pPr>
          </w:p>
        </w:tc>
        <w:tc>
          <w:tcPr>
            <w:tcW w:w="714" w:type="dxa"/>
            <w:vAlign w:val="center"/>
          </w:tcPr>
          <w:p w14:paraId="5CA996CD">
            <w:pPr>
              <w:pStyle w:val="21"/>
              <w:snapToGrid w:val="0"/>
              <w:ind w:firstLine="480"/>
              <w:jc w:val="left"/>
              <w:rPr>
                <w:rFonts w:hint="eastAsia" w:ascii="宋体" w:hAnsi="宋体" w:cs="宋体"/>
                <w:kern w:val="0"/>
                <w:sz w:val="24"/>
                <w:highlight w:val="none"/>
              </w:rPr>
            </w:pPr>
          </w:p>
        </w:tc>
      </w:tr>
      <w:tr w14:paraId="27EAF8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6" w:hRule="atLeast"/>
          <w:jc w:val="center"/>
        </w:trPr>
        <w:tc>
          <w:tcPr>
            <w:tcW w:w="825" w:type="dxa"/>
            <w:vAlign w:val="center"/>
          </w:tcPr>
          <w:p w14:paraId="53605D7F">
            <w:pPr>
              <w:pStyle w:val="21"/>
              <w:snapToGrid w:val="0"/>
              <w:ind w:firstLine="0" w:firstLineChars="0"/>
              <w:jc w:val="center"/>
              <w:rPr>
                <w:rFonts w:hint="eastAsia" w:ascii="宋体" w:hAnsi="宋体" w:cs="宋体"/>
                <w:kern w:val="0"/>
                <w:sz w:val="24"/>
                <w:highlight w:val="none"/>
              </w:rPr>
            </w:pPr>
            <w:r>
              <w:rPr>
                <w:rFonts w:hint="eastAsia" w:ascii="宋体" w:hAnsi="宋体" w:cs="宋体"/>
                <w:kern w:val="0"/>
                <w:sz w:val="24"/>
                <w:highlight w:val="none"/>
              </w:rPr>
              <w:t>8</w:t>
            </w:r>
          </w:p>
        </w:tc>
        <w:tc>
          <w:tcPr>
            <w:tcW w:w="4863" w:type="dxa"/>
            <w:vAlign w:val="center"/>
          </w:tcPr>
          <w:p w14:paraId="32EFB9AA">
            <w:pPr>
              <w:pStyle w:val="21"/>
              <w:snapToGrid w:val="0"/>
              <w:ind w:firstLine="0" w:firstLineChars="0"/>
              <w:rPr>
                <w:rFonts w:hint="eastAsia" w:ascii="宋体" w:hAnsi="宋体" w:cs="宋体"/>
                <w:kern w:val="0"/>
                <w:sz w:val="24"/>
                <w:highlight w:val="none"/>
              </w:rPr>
            </w:pPr>
            <w:r>
              <w:rPr>
                <w:rFonts w:hint="eastAsia" w:ascii="宋体" w:hAnsi="宋体" w:cs="宋体"/>
                <w:kern w:val="0"/>
                <w:sz w:val="24"/>
                <w:highlight w:val="none"/>
              </w:rPr>
              <w:t>投标有效期满足招标文件要求；</w:t>
            </w:r>
          </w:p>
        </w:tc>
        <w:tc>
          <w:tcPr>
            <w:tcW w:w="714" w:type="dxa"/>
            <w:vAlign w:val="center"/>
          </w:tcPr>
          <w:p w14:paraId="31B27125">
            <w:pPr>
              <w:pStyle w:val="21"/>
              <w:snapToGrid w:val="0"/>
              <w:ind w:firstLine="480"/>
              <w:jc w:val="left"/>
              <w:rPr>
                <w:rFonts w:hint="eastAsia" w:ascii="宋体" w:hAnsi="宋体" w:cs="宋体"/>
                <w:kern w:val="0"/>
                <w:sz w:val="24"/>
                <w:highlight w:val="none"/>
              </w:rPr>
            </w:pPr>
          </w:p>
        </w:tc>
        <w:tc>
          <w:tcPr>
            <w:tcW w:w="714" w:type="dxa"/>
            <w:vAlign w:val="center"/>
          </w:tcPr>
          <w:p w14:paraId="25AB6FBC">
            <w:pPr>
              <w:pStyle w:val="21"/>
              <w:snapToGrid w:val="0"/>
              <w:ind w:firstLine="480"/>
              <w:jc w:val="left"/>
              <w:rPr>
                <w:rFonts w:hint="eastAsia" w:ascii="宋体" w:hAnsi="宋体" w:cs="宋体"/>
                <w:kern w:val="0"/>
                <w:sz w:val="24"/>
                <w:highlight w:val="none"/>
              </w:rPr>
            </w:pPr>
          </w:p>
        </w:tc>
        <w:tc>
          <w:tcPr>
            <w:tcW w:w="714" w:type="dxa"/>
            <w:vAlign w:val="center"/>
          </w:tcPr>
          <w:p w14:paraId="3CEA4A3A">
            <w:pPr>
              <w:pStyle w:val="21"/>
              <w:snapToGrid w:val="0"/>
              <w:ind w:firstLine="480"/>
              <w:jc w:val="left"/>
              <w:rPr>
                <w:rFonts w:hint="eastAsia" w:ascii="宋体" w:hAnsi="宋体" w:cs="宋体"/>
                <w:kern w:val="0"/>
                <w:sz w:val="24"/>
                <w:highlight w:val="none"/>
              </w:rPr>
            </w:pPr>
          </w:p>
        </w:tc>
        <w:tc>
          <w:tcPr>
            <w:tcW w:w="714" w:type="dxa"/>
            <w:vAlign w:val="center"/>
          </w:tcPr>
          <w:p w14:paraId="032E5F20">
            <w:pPr>
              <w:pStyle w:val="21"/>
              <w:snapToGrid w:val="0"/>
              <w:ind w:firstLine="480"/>
              <w:jc w:val="left"/>
              <w:rPr>
                <w:rFonts w:hint="eastAsia" w:ascii="宋体" w:hAnsi="宋体" w:cs="宋体"/>
                <w:kern w:val="0"/>
                <w:sz w:val="24"/>
                <w:highlight w:val="none"/>
              </w:rPr>
            </w:pPr>
          </w:p>
        </w:tc>
        <w:tc>
          <w:tcPr>
            <w:tcW w:w="714" w:type="dxa"/>
            <w:vAlign w:val="center"/>
          </w:tcPr>
          <w:p w14:paraId="2504101D">
            <w:pPr>
              <w:pStyle w:val="21"/>
              <w:snapToGrid w:val="0"/>
              <w:ind w:firstLine="480"/>
              <w:jc w:val="left"/>
              <w:rPr>
                <w:rFonts w:hint="eastAsia" w:ascii="宋体" w:hAnsi="宋体" w:cs="宋体"/>
                <w:kern w:val="0"/>
                <w:sz w:val="24"/>
                <w:highlight w:val="none"/>
              </w:rPr>
            </w:pPr>
          </w:p>
        </w:tc>
      </w:tr>
      <w:tr w14:paraId="4B5E77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6" w:hRule="atLeast"/>
          <w:jc w:val="center"/>
        </w:trPr>
        <w:tc>
          <w:tcPr>
            <w:tcW w:w="825" w:type="dxa"/>
            <w:vAlign w:val="center"/>
          </w:tcPr>
          <w:p w14:paraId="7C5CD5D7">
            <w:pPr>
              <w:pStyle w:val="21"/>
              <w:snapToGrid w:val="0"/>
              <w:ind w:firstLine="0" w:firstLineChars="0"/>
              <w:jc w:val="center"/>
              <w:rPr>
                <w:rFonts w:hint="eastAsia" w:ascii="宋体" w:hAnsi="宋体" w:cs="宋体"/>
                <w:kern w:val="0"/>
                <w:sz w:val="24"/>
                <w:highlight w:val="none"/>
              </w:rPr>
            </w:pPr>
            <w:r>
              <w:rPr>
                <w:rFonts w:hint="eastAsia" w:ascii="宋体" w:hAnsi="宋体" w:cs="宋体"/>
                <w:kern w:val="0"/>
                <w:sz w:val="24"/>
                <w:highlight w:val="none"/>
              </w:rPr>
              <w:t>9</w:t>
            </w:r>
          </w:p>
        </w:tc>
        <w:tc>
          <w:tcPr>
            <w:tcW w:w="4863" w:type="dxa"/>
            <w:vAlign w:val="center"/>
          </w:tcPr>
          <w:p w14:paraId="1084A453">
            <w:pPr>
              <w:pStyle w:val="21"/>
              <w:snapToGrid w:val="0"/>
              <w:ind w:firstLine="0" w:firstLineChars="0"/>
              <w:rPr>
                <w:rFonts w:hint="eastAsia" w:ascii="宋体" w:hAnsi="宋体" w:cs="宋体"/>
                <w:kern w:val="0"/>
                <w:sz w:val="24"/>
                <w:highlight w:val="none"/>
              </w:rPr>
            </w:pPr>
            <w:r>
              <w:rPr>
                <w:rFonts w:hint="eastAsia" w:ascii="宋体" w:hAnsi="宋体" w:cs="宋体"/>
                <w:kern w:val="0"/>
                <w:sz w:val="24"/>
                <w:highlight w:val="none"/>
              </w:rPr>
              <w:t>投标文件未附有采购人不能接受的条件，对合同中约定的采购人的权利和投标人的义务方面未造成限制；</w:t>
            </w:r>
          </w:p>
        </w:tc>
        <w:tc>
          <w:tcPr>
            <w:tcW w:w="714" w:type="dxa"/>
            <w:vAlign w:val="center"/>
          </w:tcPr>
          <w:p w14:paraId="4BA0CA82">
            <w:pPr>
              <w:pStyle w:val="21"/>
              <w:snapToGrid w:val="0"/>
              <w:ind w:firstLine="480"/>
              <w:jc w:val="left"/>
              <w:rPr>
                <w:rFonts w:hint="eastAsia" w:ascii="宋体" w:hAnsi="宋体" w:cs="宋体"/>
                <w:kern w:val="0"/>
                <w:sz w:val="24"/>
                <w:highlight w:val="none"/>
              </w:rPr>
            </w:pPr>
          </w:p>
        </w:tc>
        <w:tc>
          <w:tcPr>
            <w:tcW w:w="714" w:type="dxa"/>
            <w:vAlign w:val="center"/>
          </w:tcPr>
          <w:p w14:paraId="7285CC91">
            <w:pPr>
              <w:pStyle w:val="21"/>
              <w:snapToGrid w:val="0"/>
              <w:ind w:firstLine="480"/>
              <w:jc w:val="left"/>
              <w:rPr>
                <w:rFonts w:hint="eastAsia" w:ascii="宋体" w:hAnsi="宋体" w:cs="宋体"/>
                <w:kern w:val="0"/>
                <w:sz w:val="24"/>
                <w:highlight w:val="none"/>
              </w:rPr>
            </w:pPr>
          </w:p>
        </w:tc>
        <w:tc>
          <w:tcPr>
            <w:tcW w:w="714" w:type="dxa"/>
            <w:vAlign w:val="center"/>
          </w:tcPr>
          <w:p w14:paraId="1205D3BC">
            <w:pPr>
              <w:pStyle w:val="21"/>
              <w:snapToGrid w:val="0"/>
              <w:ind w:firstLine="480"/>
              <w:jc w:val="left"/>
              <w:rPr>
                <w:rFonts w:hint="eastAsia" w:ascii="宋体" w:hAnsi="宋体" w:cs="宋体"/>
                <w:kern w:val="0"/>
                <w:sz w:val="24"/>
                <w:highlight w:val="none"/>
              </w:rPr>
            </w:pPr>
          </w:p>
        </w:tc>
        <w:tc>
          <w:tcPr>
            <w:tcW w:w="714" w:type="dxa"/>
            <w:vAlign w:val="center"/>
          </w:tcPr>
          <w:p w14:paraId="04988CEC">
            <w:pPr>
              <w:pStyle w:val="21"/>
              <w:snapToGrid w:val="0"/>
              <w:ind w:firstLine="480"/>
              <w:jc w:val="left"/>
              <w:rPr>
                <w:rFonts w:hint="eastAsia" w:ascii="宋体" w:hAnsi="宋体" w:cs="宋体"/>
                <w:kern w:val="0"/>
                <w:sz w:val="24"/>
                <w:highlight w:val="none"/>
              </w:rPr>
            </w:pPr>
          </w:p>
        </w:tc>
        <w:tc>
          <w:tcPr>
            <w:tcW w:w="714" w:type="dxa"/>
            <w:vAlign w:val="center"/>
          </w:tcPr>
          <w:p w14:paraId="6B62E0FF">
            <w:pPr>
              <w:pStyle w:val="21"/>
              <w:snapToGrid w:val="0"/>
              <w:ind w:firstLine="480"/>
              <w:jc w:val="left"/>
              <w:rPr>
                <w:rFonts w:hint="eastAsia" w:ascii="宋体" w:hAnsi="宋体" w:cs="宋体"/>
                <w:kern w:val="0"/>
                <w:sz w:val="24"/>
                <w:highlight w:val="none"/>
              </w:rPr>
            </w:pPr>
          </w:p>
        </w:tc>
      </w:tr>
      <w:tr w14:paraId="6317D9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6" w:hRule="atLeast"/>
          <w:jc w:val="center"/>
        </w:trPr>
        <w:tc>
          <w:tcPr>
            <w:tcW w:w="825" w:type="dxa"/>
            <w:vAlign w:val="center"/>
          </w:tcPr>
          <w:p w14:paraId="02163E2C">
            <w:pPr>
              <w:pStyle w:val="21"/>
              <w:snapToGrid w:val="0"/>
              <w:ind w:firstLine="0" w:firstLineChars="0"/>
              <w:jc w:val="center"/>
              <w:rPr>
                <w:rFonts w:hint="eastAsia" w:ascii="宋体" w:hAnsi="宋体" w:cs="宋体"/>
                <w:kern w:val="0"/>
                <w:sz w:val="24"/>
                <w:highlight w:val="none"/>
              </w:rPr>
            </w:pPr>
            <w:r>
              <w:rPr>
                <w:rFonts w:hint="eastAsia" w:ascii="宋体" w:hAnsi="宋体" w:cs="宋体"/>
                <w:kern w:val="0"/>
                <w:sz w:val="24"/>
                <w:highlight w:val="none"/>
              </w:rPr>
              <w:t>10</w:t>
            </w:r>
          </w:p>
        </w:tc>
        <w:tc>
          <w:tcPr>
            <w:tcW w:w="4863" w:type="dxa"/>
            <w:vAlign w:val="center"/>
          </w:tcPr>
          <w:p w14:paraId="2A5BDC7A">
            <w:pPr>
              <w:snapToGrid w:val="0"/>
              <w:rPr>
                <w:rFonts w:hint="eastAsia" w:ascii="宋体" w:hAnsi="宋体" w:cs="宋体"/>
                <w:kern w:val="0"/>
                <w:sz w:val="24"/>
                <w:highlight w:val="none"/>
              </w:rPr>
            </w:pPr>
            <w:r>
              <w:rPr>
                <w:rFonts w:hint="eastAsia" w:ascii="宋体" w:hAnsi="宋体" w:cs="宋体"/>
                <w:kern w:val="0"/>
                <w:sz w:val="24"/>
                <w:highlight w:val="none"/>
              </w:rPr>
              <w:t>投标人投标文件中供货期、质保期满足招标文件要求，偏离表内容齐全；</w:t>
            </w:r>
          </w:p>
        </w:tc>
        <w:tc>
          <w:tcPr>
            <w:tcW w:w="714" w:type="dxa"/>
            <w:vAlign w:val="center"/>
          </w:tcPr>
          <w:p w14:paraId="2125FA88">
            <w:pPr>
              <w:pStyle w:val="21"/>
              <w:snapToGrid w:val="0"/>
              <w:ind w:firstLine="480"/>
              <w:jc w:val="left"/>
              <w:rPr>
                <w:rFonts w:hint="eastAsia" w:ascii="宋体" w:hAnsi="宋体" w:cs="宋体"/>
                <w:kern w:val="0"/>
                <w:sz w:val="24"/>
                <w:highlight w:val="none"/>
              </w:rPr>
            </w:pPr>
          </w:p>
        </w:tc>
        <w:tc>
          <w:tcPr>
            <w:tcW w:w="714" w:type="dxa"/>
            <w:vAlign w:val="center"/>
          </w:tcPr>
          <w:p w14:paraId="49090574">
            <w:pPr>
              <w:pStyle w:val="21"/>
              <w:snapToGrid w:val="0"/>
              <w:ind w:firstLine="480"/>
              <w:jc w:val="left"/>
              <w:rPr>
                <w:rFonts w:hint="eastAsia" w:ascii="宋体" w:hAnsi="宋体" w:cs="宋体"/>
                <w:kern w:val="0"/>
                <w:sz w:val="24"/>
                <w:highlight w:val="none"/>
              </w:rPr>
            </w:pPr>
          </w:p>
        </w:tc>
        <w:tc>
          <w:tcPr>
            <w:tcW w:w="714" w:type="dxa"/>
            <w:vAlign w:val="center"/>
          </w:tcPr>
          <w:p w14:paraId="7A230901">
            <w:pPr>
              <w:pStyle w:val="21"/>
              <w:snapToGrid w:val="0"/>
              <w:ind w:firstLine="480"/>
              <w:jc w:val="left"/>
              <w:rPr>
                <w:rFonts w:hint="eastAsia" w:ascii="宋体" w:hAnsi="宋体" w:cs="宋体"/>
                <w:kern w:val="0"/>
                <w:sz w:val="24"/>
                <w:highlight w:val="none"/>
              </w:rPr>
            </w:pPr>
          </w:p>
        </w:tc>
        <w:tc>
          <w:tcPr>
            <w:tcW w:w="714" w:type="dxa"/>
            <w:vAlign w:val="center"/>
          </w:tcPr>
          <w:p w14:paraId="2D1D71B6">
            <w:pPr>
              <w:pStyle w:val="21"/>
              <w:snapToGrid w:val="0"/>
              <w:ind w:firstLine="480"/>
              <w:jc w:val="left"/>
              <w:rPr>
                <w:rFonts w:hint="eastAsia" w:ascii="宋体" w:hAnsi="宋体" w:cs="宋体"/>
                <w:kern w:val="0"/>
                <w:sz w:val="24"/>
                <w:highlight w:val="none"/>
              </w:rPr>
            </w:pPr>
          </w:p>
        </w:tc>
        <w:tc>
          <w:tcPr>
            <w:tcW w:w="714" w:type="dxa"/>
            <w:vAlign w:val="center"/>
          </w:tcPr>
          <w:p w14:paraId="5DA020D1">
            <w:pPr>
              <w:pStyle w:val="21"/>
              <w:snapToGrid w:val="0"/>
              <w:ind w:firstLine="480"/>
              <w:jc w:val="left"/>
              <w:rPr>
                <w:rFonts w:hint="eastAsia" w:ascii="宋体" w:hAnsi="宋体" w:cs="宋体"/>
                <w:kern w:val="0"/>
                <w:sz w:val="24"/>
                <w:highlight w:val="none"/>
              </w:rPr>
            </w:pPr>
          </w:p>
        </w:tc>
      </w:tr>
      <w:tr w14:paraId="02355B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4" w:hRule="atLeast"/>
          <w:jc w:val="center"/>
        </w:trPr>
        <w:tc>
          <w:tcPr>
            <w:tcW w:w="825" w:type="dxa"/>
            <w:vAlign w:val="center"/>
          </w:tcPr>
          <w:p w14:paraId="2504B7F4">
            <w:pPr>
              <w:pStyle w:val="21"/>
              <w:snapToGrid w:val="0"/>
              <w:ind w:firstLine="0" w:firstLineChars="0"/>
              <w:jc w:val="center"/>
              <w:rPr>
                <w:rFonts w:hint="eastAsia" w:ascii="宋体" w:hAnsi="宋体" w:cs="宋体"/>
                <w:kern w:val="0"/>
                <w:sz w:val="24"/>
                <w:highlight w:val="none"/>
              </w:rPr>
            </w:pPr>
            <w:r>
              <w:rPr>
                <w:rFonts w:hint="eastAsia" w:ascii="宋体" w:hAnsi="宋体" w:cs="宋体"/>
                <w:kern w:val="0"/>
                <w:sz w:val="24"/>
                <w:highlight w:val="none"/>
              </w:rPr>
              <w:t>11</w:t>
            </w:r>
          </w:p>
        </w:tc>
        <w:tc>
          <w:tcPr>
            <w:tcW w:w="4863" w:type="dxa"/>
            <w:vAlign w:val="center"/>
          </w:tcPr>
          <w:p w14:paraId="4111C38A">
            <w:pPr>
              <w:pStyle w:val="21"/>
              <w:snapToGrid w:val="0"/>
              <w:ind w:firstLine="0" w:firstLineChars="0"/>
              <w:jc w:val="left"/>
              <w:rPr>
                <w:rFonts w:hint="eastAsia" w:ascii="宋体" w:hAnsi="宋体" w:cs="宋体"/>
                <w:kern w:val="0"/>
                <w:sz w:val="24"/>
                <w:highlight w:val="none"/>
              </w:rPr>
            </w:pPr>
            <w:r>
              <w:rPr>
                <w:rFonts w:hint="eastAsia" w:ascii="宋体" w:hAnsi="宋体" w:cs="宋体"/>
                <w:kern w:val="0"/>
                <w:sz w:val="24"/>
                <w:highlight w:val="none"/>
              </w:rPr>
              <w:t>符合法律、法规和招标文件规定的其他实质性要求。</w:t>
            </w:r>
          </w:p>
        </w:tc>
        <w:tc>
          <w:tcPr>
            <w:tcW w:w="714" w:type="dxa"/>
            <w:vAlign w:val="center"/>
          </w:tcPr>
          <w:p w14:paraId="61874BF0">
            <w:pPr>
              <w:pStyle w:val="21"/>
              <w:snapToGrid w:val="0"/>
              <w:ind w:firstLine="480"/>
              <w:jc w:val="left"/>
              <w:rPr>
                <w:rFonts w:hint="eastAsia" w:ascii="宋体" w:hAnsi="宋体" w:cs="宋体"/>
                <w:kern w:val="0"/>
                <w:sz w:val="24"/>
                <w:highlight w:val="none"/>
              </w:rPr>
            </w:pPr>
          </w:p>
        </w:tc>
        <w:tc>
          <w:tcPr>
            <w:tcW w:w="714" w:type="dxa"/>
            <w:vAlign w:val="center"/>
          </w:tcPr>
          <w:p w14:paraId="1E7928FB">
            <w:pPr>
              <w:pStyle w:val="21"/>
              <w:snapToGrid w:val="0"/>
              <w:ind w:firstLine="480"/>
              <w:jc w:val="left"/>
              <w:rPr>
                <w:rFonts w:hint="eastAsia" w:ascii="宋体" w:hAnsi="宋体" w:cs="宋体"/>
                <w:kern w:val="0"/>
                <w:sz w:val="24"/>
                <w:highlight w:val="none"/>
              </w:rPr>
            </w:pPr>
          </w:p>
        </w:tc>
        <w:tc>
          <w:tcPr>
            <w:tcW w:w="714" w:type="dxa"/>
            <w:vAlign w:val="center"/>
          </w:tcPr>
          <w:p w14:paraId="2925E327">
            <w:pPr>
              <w:pStyle w:val="21"/>
              <w:snapToGrid w:val="0"/>
              <w:ind w:firstLine="480"/>
              <w:jc w:val="left"/>
              <w:rPr>
                <w:rFonts w:hint="eastAsia" w:ascii="宋体" w:hAnsi="宋体" w:cs="宋体"/>
                <w:kern w:val="0"/>
                <w:sz w:val="24"/>
                <w:highlight w:val="none"/>
              </w:rPr>
            </w:pPr>
          </w:p>
        </w:tc>
        <w:tc>
          <w:tcPr>
            <w:tcW w:w="714" w:type="dxa"/>
            <w:vAlign w:val="center"/>
          </w:tcPr>
          <w:p w14:paraId="2D880AF6">
            <w:pPr>
              <w:pStyle w:val="21"/>
              <w:snapToGrid w:val="0"/>
              <w:ind w:firstLine="480"/>
              <w:jc w:val="left"/>
              <w:rPr>
                <w:rFonts w:hint="eastAsia" w:ascii="宋体" w:hAnsi="宋体" w:cs="宋体"/>
                <w:kern w:val="0"/>
                <w:sz w:val="24"/>
                <w:highlight w:val="none"/>
              </w:rPr>
            </w:pPr>
          </w:p>
        </w:tc>
        <w:tc>
          <w:tcPr>
            <w:tcW w:w="714" w:type="dxa"/>
            <w:vAlign w:val="center"/>
          </w:tcPr>
          <w:p w14:paraId="57195742">
            <w:pPr>
              <w:pStyle w:val="21"/>
              <w:snapToGrid w:val="0"/>
              <w:ind w:firstLine="480"/>
              <w:jc w:val="left"/>
              <w:rPr>
                <w:rFonts w:hint="eastAsia" w:ascii="宋体" w:hAnsi="宋体" w:cs="宋体"/>
                <w:kern w:val="0"/>
                <w:sz w:val="24"/>
                <w:highlight w:val="none"/>
              </w:rPr>
            </w:pPr>
          </w:p>
        </w:tc>
      </w:tr>
      <w:tr w14:paraId="6E66F0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2" w:hRule="atLeast"/>
          <w:jc w:val="center"/>
        </w:trPr>
        <w:tc>
          <w:tcPr>
            <w:tcW w:w="5688" w:type="dxa"/>
            <w:gridSpan w:val="2"/>
            <w:vAlign w:val="center"/>
          </w:tcPr>
          <w:p w14:paraId="53FBF754">
            <w:pPr>
              <w:pStyle w:val="21"/>
              <w:snapToGrid w:val="0"/>
              <w:ind w:firstLine="480"/>
              <w:jc w:val="center"/>
              <w:rPr>
                <w:rFonts w:hint="eastAsia" w:ascii="宋体" w:hAnsi="宋体" w:cs="宋体"/>
                <w:kern w:val="0"/>
                <w:sz w:val="24"/>
                <w:highlight w:val="none"/>
              </w:rPr>
            </w:pPr>
            <w:r>
              <w:rPr>
                <w:rFonts w:hint="eastAsia" w:ascii="宋体" w:hAnsi="宋体" w:cs="宋体"/>
                <w:kern w:val="0"/>
                <w:sz w:val="24"/>
                <w:highlight w:val="none"/>
              </w:rPr>
              <w:t>审查结论</w:t>
            </w:r>
          </w:p>
        </w:tc>
        <w:tc>
          <w:tcPr>
            <w:tcW w:w="714" w:type="dxa"/>
            <w:vAlign w:val="center"/>
          </w:tcPr>
          <w:p w14:paraId="044C3C5F">
            <w:pPr>
              <w:pStyle w:val="21"/>
              <w:snapToGrid w:val="0"/>
              <w:ind w:firstLine="480"/>
              <w:jc w:val="center"/>
              <w:rPr>
                <w:rFonts w:hint="eastAsia" w:ascii="宋体" w:hAnsi="宋体" w:cs="宋体"/>
                <w:kern w:val="0"/>
                <w:sz w:val="24"/>
                <w:highlight w:val="none"/>
              </w:rPr>
            </w:pPr>
          </w:p>
        </w:tc>
        <w:tc>
          <w:tcPr>
            <w:tcW w:w="714" w:type="dxa"/>
            <w:vAlign w:val="center"/>
          </w:tcPr>
          <w:p w14:paraId="7BB4AD60">
            <w:pPr>
              <w:pStyle w:val="21"/>
              <w:snapToGrid w:val="0"/>
              <w:ind w:firstLine="480"/>
              <w:jc w:val="center"/>
              <w:rPr>
                <w:rFonts w:hint="eastAsia" w:ascii="宋体" w:hAnsi="宋体" w:cs="宋体"/>
                <w:kern w:val="0"/>
                <w:sz w:val="24"/>
                <w:highlight w:val="none"/>
              </w:rPr>
            </w:pPr>
          </w:p>
        </w:tc>
        <w:tc>
          <w:tcPr>
            <w:tcW w:w="714" w:type="dxa"/>
            <w:vAlign w:val="center"/>
          </w:tcPr>
          <w:p w14:paraId="5D6C23CD">
            <w:pPr>
              <w:pStyle w:val="21"/>
              <w:snapToGrid w:val="0"/>
              <w:ind w:firstLine="480"/>
              <w:jc w:val="center"/>
              <w:rPr>
                <w:rFonts w:hint="eastAsia" w:ascii="宋体" w:hAnsi="宋体" w:cs="宋体"/>
                <w:kern w:val="0"/>
                <w:sz w:val="24"/>
                <w:highlight w:val="none"/>
              </w:rPr>
            </w:pPr>
          </w:p>
        </w:tc>
        <w:tc>
          <w:tcPr>
            <w:tcW w:w="714" w:type="dxa"/>
            <w:vAlign w:val="center"/>
          </w:tcPr>
          <w:p w14:paraId="18A646EB">
            <w:pPr>
              <w:pStyle w:val="21"/>
              <w:snapToGrid w:val="0"/>
              <w:ind w:firstLine="480"/>
              <w:jc w:val="center"/>
              <w:rPr>
                <w:rFonts w:hint="eastAsia" w:ascii="宋体" w:hAnsi="宋体" w:cs="宋体"/>
                <w:kern w:val="0"/>
                <w:sz w:val="24"/>
                <w:highlight w:val="none"/>
              </w:rPr>
            </w:pPr>
          </w:p>
        </w:tc>
        <w:tc>
          <w:tcPr>
            <w:tcW w:w="714" w:type="dxa"/>
            <w:vAlign w:val="center"/>
          </w:tcPr>
          <w:p w14:paraId="3DFB57E0">
            <w:pPr>
              <w:pStyle w:val="21"/>
              <w:snapToGrid w:val="0"/>
              <w:ind w:firstLine="480"/>
              <w:jc w:val="center"/>
              <w:rPr>
                <w:rFonts w:hint="eastAsia" w:ascii="宋体" w:hAnsi="宋体" w:cs="宋体"/>
                <w:kern w:val="0"/>
                <w:sz w:val="24"/>
                <w:highlight w:val="none"/>
              </w:rPr>
            </w:pPr>
          </w:p>
        </w:tc>
      </w:tr>
      <w:tr w14:paraId="257A6D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7" w:hRule="atLeast"/>
          <w:jc w:val="center"/>
        </w:trPr>
        <w:tc>
          <w:tcPr>
            <w:tcW w:w="9258" w:type="dxa"/>
            <w:gridSpan w:val="7"/>
            <w:vAlign w:val="center"/>
          </w:tcPr>
          <w:p w14:paraId="7E1923AC">
            <w:pPr>
              <w:pStyle w:val="21"/>
              <w:snapToGrid w:val="0"/>
              <w:ind w:firstLine="0" w:firstLineChars="0"/>
              <w:rPr>
                <w:rFonts w:hint="eastAsia" w:ascii="宋体" w:hAnsi="宋体" w:cs="宋体"/>
                <w:kern w:val="0"/>
                <w:sz w:val="24"/>
                <w:highlight w:val="none"/>
              </w:rPr>
            </w:pPr>
            <w:r>
              <w:rPr>
                <w:rFonts w:hint="eastAsia" w:ascii="宋体" w:hAnsi="宋体" w:cs="宋体"/>
                <w:kern w:val="0"/>
                <w:sz w:val="24"/>
                <w:highlight w:val="none"/>
              </w:rPr>
              <w:t xml:space="preserve">评委签字： </w:t>
            </w:r>
            <w:r>
              <w:rPr>
                <w:rFonts w:ascii="宋体" w:hAnsi="宋体" w:cs="宋体"/>
                <w:kern w:val="0"/>
                <w:sz w:val="24"/>
                <w:highlight w:val="none"/>
              </w:rPr>
              <w:t xml:space="preserve">                                         </w:t>
            </w:r>
            <w:r>
              <w:rPr>
                <w:rFonts w:hint="eastAsia" w:ascii="宋体" w:hAnsi="宋体" w:cs="宋体"/>
                <w:kern w:val="0"/>
                <w:sz w:val="24"/>
                <w:highlight w:val="none"/>
              </w:rPr>
              <w:t xml:space="preserve">年 </w:t>
            </w:r>
            <w:r>
              <w:rPr>
                <w:rFonts w:ascii="宋体" w:hAnsi="宋体" w:cs="宋体"/>
                <w:kern w:val="0"/>
                <w:sz w:val="24"/>
                <w:highlight w:val="none"/>
              </w:rPr>
              <w:t xml:space="preserve">  </w:t>
            </w:r>
            <w:r>
              <w:rPr>
                <w:rFonts w:hint="eastAsia" w:ascii="宋体" w:hAnsi="宋体" w:cs="宋体"/>
                <w:kern w:val="0"/>
                <w:sz w:val="24"/>
                <w:highlight w:val="none"/>
              </w:rPr>
              <w:t xml:space="preserve">月 </w:t>
            </w:r>
            <w:r>
              <w:rPr>
                <w:rFonts w:ascii="宋体" w:hAnsi="宋体" w:cs="宋体"/>
                <w:kern w:val="0"/>
                <w:sz w:val="24"/>
                <w:highlight w:val="none"/>
              </w:rPr>
              <w:t xml:space="preserve">  </w:t>
            </w:r>
            <w:r>
              <w:rPr>
                <w:rFonts w:hint="eastAsia" w:ascii="宋体" w:hAnsi="宋体" w:cs="宋体"/>
                <w:kern w:val="0"/>
                <w:sz w:val="24"/>
                <w:highlight w:val="none"/>
              </w:rPr>
              <w:t>日</w:t>
            </w:r>
          </w:p>
        </w:tc>
      </w:tr>
    </w:tbl>
    <w:p w14:paraId="64BC3722">
      <w:pPr>
        <w:snapToGrid w:val="0"/>
        <w:spacing w:line="360" w:lineRule="auto"/>
        <w:ind w:firstLine="480"/>
        <w:rPr>
          <w:rFonts w:hint="eastAsia" w:ascii="宋体" w:hAnsi="宋体" w:cs="宋体"/>
          <w:kern w:val="0"/>
          <w:sz w:val="24"/>
          <w:highlight w:val="none"/>
        </w:rPr>
      </w:pPr>
      <w:r>
        <w:rPr>
          <w:rFonts w:hint="eastAsia" w:ascii="宋体" w:hAnsi="宋体" w:cs="宋体"/>
          <w:kern w:val="0"/>
          <w:sz w:val="24"/>
          <w:highlight w:val="none"/>
        </w:rPr>
        <w:t xml:space="preserve">注：1.合格项打√，不合格项打×，不合格原因请在备注栏内注明。 </w:t>
      </w:r>
    </w:p>
    <w:p w14:paraId="239C0BFD">
      <w:pPr>
        <w:widowControl/>
        <w:jc w:val="left"/>
        <w:rPr>
          <w:rFonts w:hint="eastAsia" w:ascii="宋体" w:hAnsi="宋体" w:cs="宋体"/>
          <w:b/>
          <w:kern w:val="0"/>
          <w:szCs w:val="21"/>
          <w:highlight w:val="none"/>
        </w:rPr>
      </w:pPr>
      <w:r>
        <w:rPr>
          <w:rFonts w:ascii="宋体" w:hAnsi="宋体" w:cs="宋体"/>
          <w:b/>
          <w:kern w:val="0"/>
          <w:szCs w:val="21"/>
          <w:highlight w:val="none"/>
        </w:rPr>
        <w:br w:type="page"/>
      </w:r>
    </w:p>
    <w:p w14:paraId="3484AD52">
      <w:pPr>
        <w:snapToGrid w:val="0"/>
        <w:spacing w:line="360" w:lineRule="auto"/>
        <w:jc w:val="left"/>
        <w:outlineLvl w:val="0"/>
        <w:rPr>
          <w:rFonts w:hint="eastAsia" w:ascii="宋体" w:hAnsi="宋体" w:cs="宋体"/>
          <w:b/>
          <w:kern w:val="0"/>
          <w:sz w:val="32"/>
          <w:szCs w:val="32"/>
          <w:highlight w:val="none"/>
        </w:rPr>
      </w:pPr>
      <w:bookmarkStart w:id="234" w:name="_Toc10364"/>
      <w:bookmarkStart w:id="235" w:name="_Toc23969_WPSOffice_Level1"/>
      <w:bookmarkStart w:id="236" w:name="_Toc2838"/>
      <w:bookmarkStart w:id="237" w:name="_Toc2147_WPSOffice_Level1"/>
      <w:r>
        <w:rPr>
          <w:rFonts w:hint="eastAsia" w:ascii="宋体" w:hAnsi="宋体" w:cs="宋体"/>
          <w:b/>
          <w:kern w:val="0"/>
          <w:sz w:val="32"/>
          <w:szCs w:val="32"/>
          <w:highlight w:val="none"/>
        </w:rPr>
        <w:t>附件一：评分标准</w:t>
      </w:r>
      <w:bookmarkEnd w:id="234"/>
      <w:bookmarkEnd w:id="235"/>
      <w:bookmarkEnd w:id="236"/>
      <w:bookmarkEnd w:id="237"/>
    </w:p>
    <w:p w14:paraId="60F9F668">
      <w:pPr>
        <w:pStyle w:val="98"/>
        <w:numPr>
          <w:ilvl w:val="0"/>
          <w:numId w:val="0"/>
        </w:numPr>
        <w:ind w:left="432" w:hanging="432"/>
        <w:rPr>
          <w:highlight w:val="none"/>
        </w:rPr>
      </w:pPr>
    </w:p>
    <w:tbl>
      <w:tblPr>
        <w:tblStyle w:val="88"/>
        <w:tblW w:w="918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46"/>
        <w:gridCol w:w="850"/>
        <w:gridCol w:w="709"/>
        <w:gridCol w:w="6778"/>
      </w:tblGrid>
      <w:tr w14:paraId="342434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2" w:hRule="atLeast"/>
          <w:jc w:val="center"/>
        </w:trPr>
        <w:tc>
          <w:tcPr>
            <w:tcW w:w="846" w:type="dxa"/>
            <w:vAlign w:val="center"/>
          </w:tcPr>
          <w:p w14:paraId="706EE8E4">
            <w:pPr>
              <w:adjustRightInd w:val="0"/>
              <w:snapToGrid w:val="0"/>
              <w:jc w:val="center"/>
              <w:rPr>
                <w:rFonts w:hint="eastAsia" w:ascii="宋体" w:hAnsi="宋体" w:cs="宋体"/>
                <w:b/>
                <w:sz w:val="24"/>
                <w:highlight w:val="none"/>
              </w:rPr>
            </w:pPr>
            <w:r>
              <w:rPr>
                <w:rFonts w:hint="eastAsia" w:ascii="宋体" w:hAnsi="宋体" w:cs="宋体"/>
                <w:b/>
                <w:sz w:val="24"/>
                <w:highlight w:val="none"/>
              </w:rPr>
              <w:t>项目</w:t>
            </w:r>
          </w:p>
        </w:tc>
        <w:tc>
          <w:tcPr>
            <w:tcW w:w="850" w:type="dxa"/>
            <w:vAlign w:val="center"/>
          </w:tcPr>
          <w:p w14:paraId="69E96F5B">
            <w:pPr>
              <w:adjustRightInd w:val="0"/>
              <w:snapToGrid w:val="0"/>
              <w:jc w:val="center"/>
              <w:rPr>
                <w:rFonts w:hint="eastAsia" w:ascii="宋体" w:hAnsi="宋体" w:cs="宋体"/>
                <w:b/>
                <w:sz w:val="24"/>
                <w:highlight w:val="none"/>
              </w:rPr>
            </w:pPr>
            <w:r>
              <w:rPr>
                <w:rFonts w:hint="eastAsia" w:ascii="宋体" w:hAnsi="宋体" w:cs="宋体"/>
                <w:b/>
                <w:sz w:val="24"/>
                <w:highlight w:val="none"/>
              </w:rPr>
              <w:t>分项名称</w:t>
            </w:r>
          </w:p>
        </w:tc>
        <w:tc>
          <w:tcPr>
            <w:tcW w:w="709" w:type="dxa"/>
            <w:vAlign w:val="center"/>
          </w:tcPr>
          <w:p w14:paraId="3B61F211">
            <w:pPr>
              <w:adjustRightInd w:val="0"/>
              <w:snapToGrid w:val="0"/>
              <w:rPr>
                <w:rFonts w:hint="eastAsia" w:ascii="宋体" w:hAnsi="宋体" w:cs="宋体"/>
                <w:b/>
                <w:sz w:val="24"/>
                <w:highlight w:val="none"/>
              </w:rPr>
            </w:pPr>
            <w:r>
              <w:rPr>
                <w:rFonts w:hint="eastAsia" w:ascii="宋体" w:hAnsi="宋体" w:cs="宋体"/>
                <w:b/>
                <w:sz w:val="24"/>
                <w:highlight w:val="none"/>
              </w:rPr>
              <w:t>满分分值</w:t>
            </w:r>
          </w:p>
        </w:tc>
        <w:tc>
          <w:tcPr>
            <w:tcW w:w="6778" w:type="dxa"/>
            <w:vAlign w:val="center"/>
          </w:tcPr>
          <w:p w14:paraId="37904141">
            <w:pPr>
              <w:adjustRightInd w:val="0"/>
              <w:snapToGrid w:val="0"/>
              <w:jc w:val="center"/>
              <w:rPr>
                <w:rFonts w:hint="eastAsia" w:ascii="宋体" w:hAnsi="宋体" w:cs="宋体"/>
                <w:b/>
                <w:sz w:val="24"/>
                <w:highlight w:val="none"/>
              </w:rPr>
            </w:pPr>
            <w:r>
              <w:rPr>
                <w:rFonts w:hint="eastAsia" w:ascii="宋体" w:hAnsi="宋体" w:cs="宋体"/>
                <w:b/>
                <w:sz w:val="24"/>
                <w:highlight w:val="none"/>
              </w:rPr>
              <w:t>评分标准</w:t>
            </w:r>
          </w:p>
        </w:tc>
      </w:tr>
      <w:tr w14:paraId="57B438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67" w:hRule="atLeast"/>
          <w:jc w:val="center"/>
        </w:trPr>
        <w:tc>
          <w:tcPr>
            <w:tcW w:w="846" w:type="dxa"/>
            <w:vAlign w:val="center"/>
          </w:tcPr>
          <w:p w14:paraId="6C02D78D">
            <w:pPr>
              <w:adjustRightInd w:val="0"/>
              <w:snapToGrid w:val="0"/>
              <w:jc w:val="center"/>
              <w:rPr>
                <w:rFonts w:hint="eastAsia" w:ascii="宋体" w:hAnsi="宋体" w:cs="宋体"/>
                <w:sz w:val="24"/>
                <w:highlight w:val="none"/>
              </w:rPr>
            </w:pPr>
            <w:r>
              <w:rPr>
                <w:rFonts w:hint="eastAsia" w:ascii="宋体" w:hAnsi="宋体" w:cs="宋体"/>
                <w:sz w:val="24"/>
                <w:highlight w:val="none"/>
              </w:rPr>
              <w:t>价格部分</w:t>
            </w:r>
          </w:p>
        </w:tc>
        <w:tc>
          <w:tcPr>
            <w:tcW w:w="850" w:type="dxa"/>
            <w:vAlign w:val="center"/>
          </w:tcPr>
          <w:p w14:paraId="441433BC">
            <w:pPr>
              <w:adjustRightInd w:val="0"/>
              <w:snapToGrid w:val="0"/>
              <w:jc w:val="center"/>
              <w:rPr>
                <w:rFonts w:hint="eastAsia" w:ascii="宋体" w:hAnsi="宋体" w:cs="宋体"/>
                <w:sz w:val="24"/>
                <w:highlight w:val="none"/>
              </w:rPr>
            </w:pPr>
            <w:r>
              <w:rPr>
                <w:rFonts w:hint="eastAsia" w:ascii="宋体" w:hAnsi="宋体" w:cs="宋体"/>
                <w:sz w:val="24"/>
                <w:highlight w:val="none"/>
              </w:rPr>
              <w:t>报价</w:t>
            </w:r>
          </w:p>
          <w:p w14:paraId="56118258">
            <w:pPr>
              <w:adjustRightInd w:val="0"/>
              <w:snapToGrid w:val="0"/>
              <w:jc w:val="center"/>
              <w:rPr>
                <w:rFonts w:hint="eastAsia" w:ascii="宋体" w:hAnsi="宋体" w:cs="宋体"/>
                <w:sz w:val="24"/>
                <w:highlight w:val="none"/>
              </w:rPr>
            </w:pPr>
            <w:r>
              <w:rPr>
                <w:rFonts w:hint="eastAsia" w:ascii="宋体" w:hAnsi="宋体" w:cs="宋体"/>
                <w:sz w:val="24"/>
                <w:highlight w:val="none"/>
              </w:rPr>
              <w:t>得分</w:t>
            </w:r>
          </w:p>
        </w:tc>
        <w:tc>
          <w:tcPr>
            <w:tcW w:w="709" w:type="dxa"/>
            <w:vAlign w:val="center"/>
          </w:tcPr>
          <w:p w14:paraId="78C25C02">
            <w:pPr>
              <w:adjustRightInd w:val="0"/>
              <w:snapToGrid w:val="0"/>
              <w:jc w:val="center"/>
              <w:rPr>
                <w:rFonts w:hint="eastAsia" w:ascii="宋体" w:hAnsi="宋体" w:cs="宋体"/>
                <w:sz w:val="24"/>
                <w:highlight w:val="none"/>
              </w:rPr>
            </w:pPr>
            <w:r>
              <w:rPr>
                <w:rFonts w:hint="eastAsia" w:ascii="宋体" w:hAnsi="宋体" w:cs="宋体"/>
                <w:sz w:val="24"/>
                <w:highlight w:val="none"/>
                <w:lang w:val="en-US" w:eastAsia="zh-CN"/>
              </w:rPr>
              <w:t>4</w:t>
            </w:r>
            <w:r>
              <w:rPr>
                <w:rFonts w:hint="eastAsia" w:ascii="宋体" w:hAnsi="宋体" w:cs="宋体"/>
                <w:sz w:val="24"/>
                <w:highlight w:val="none"/>
              </w:rPr>
              <w:t>0</w:t>
            </w:r>
          </w:p>
        </w:tc>
        <w:tc>
          <w:tcPr>
            <w:tcW w:w="6778" w:type="dxa"/>
            <w:vAlign w:val="center"/>
          </w:tcPr>
          <w:p w14:paraId="5350A419">
            <w:pPr>
              <w:adjustRightInd w:val="0"/>
              <w:snapToGrid w:val="0"/>
              <w:jc w:val="left"/>
              <w:rPr>
                <w:rFonts w:hint="eastAsia" w:ascii="宋体" w:hAnsi="宋体" w:cs="宋体"/>
                <w:sz w:val="24"/>
                <w:highlight w:val="none"/>
              </w:rPr>
            </w:pPr>
            <w:r>
              <w:rPr>
                <w:rFonts w:hint="eastAsia" w:ascii="宋体" w:hAnsi="宋体" w:cs="宋体"/>
                <w:kern w:val="0"/>
                <w:sz w:val="24"/>
                <w:highlight w:val="none"/>
              </w:rPr>
              <w:t>1</w:t>
            </w:r>
            <w:r>
              <w:rPr>
                <w:rFonts w:hint="eastAsia" w:ascii="宋体" w:hAnsi="宋体" w:cs="宋体"/>
                <w:sz w:val="24"/>
                <w:highlight w:val="none"/>
              </w:rPr>
              <w:t>.</w:t>
            </w:r>
            <w:r>
              <w:rPr>
                <w:rFonts w:hint="eastAsia" w:ascii="宋体" w:hAnsi="宋体" w:cs="宋体"/>
                <w:kern w:val="0"/>
                <w:sz w:val="24"/>
                <w:highlight w:val="none"/>
              </w:rPr>
              <w:t>满足招标文件要求且投标价格最低的投标人的投标报价为评标基准价，其价格分为满分</w:t>
            </w:r>
            <w:r>
              <w:rPr>
                <w:rFonts w:hint="eastAsia" w:ascii="宋体" w:hAnsi="宋体" w:cs="宋体"/>
                <w:sz w:val="24"/>
                <w:highlight w:val="none"/>
              </w:rPr>
              <w:t>。其他投标人价格得分=评标基准价/投标报价*</w:t>
            </w:r>
            <w:r>
              <w:rPr>
                <w:rFonts w:hint="eastAsia" w:ascii="宋体" w:hAnsi="宋体" w:cs="宋体"/>
                <w:sz w:val="24"/>
                <w:highlight w:val="none"/>
                <w:lang w:val="en-US" w:eastAsia="zh-CN"/>
              </w:rPr>
              <w:t>4</w:t>
            </w:r>
            <w:r>
              <w:rPr>
                <w:rFonts w:hint="eastAsia" w:ascii="宋体" w:hAnsi="宋体" w:cs="宋体"/>
                <w:sz w:val="24"/>
                <w:highlight w:val="none"/>
              </w:rPr>
              <w:t>0。</w:t>
            </w:r>
          </w:p>
        </w:tc>
      </w:tr>
      <w:tr w14:paraId="3A7ED0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846" w:type="dxa"/>
            <w:vMerge w:val="restart"/>
            <w:vAlign w:val="center"/>
          </w:tcPr>
          <w:p w14:paraId="37DB5802">
            <w:pPr>
              <w:adjustRightInd w:val="0"/>
              <w:snapToGrid w:val="0"/>
              <w:jc w:val="center"/>
              <w:rPr>
                <w:rFonts w:hint="eastAsia" w:ascii="宋体" w:hAnsi="宋体" w:cs="宋体"/>
                <w:sz w:val="24"/>
                <w:highlight w:val="none"/>
              </w:rPr>
            </w:pPr>
            <w:r>
              <w:rPr>
                <w:rFonts w:hint="eastAsia" w:ascii="宋体" w:hAnsi="宋体" w:cs="宋体"/>
                <w:sz w:val="24"/>
                <w:highlight w:val="none"/>
              </w:rPr>
              <w:t>技术部分</w:t>
            </w:r>
          </w:p>
        </w:tc>
        <w:tc>
          <w:tcPr>
            <w:tcW w:w="850" w:type="dxa"/>
            <w:vAlign w:val="center"/>
          </w:tcPr>
          <w:p w14:paraId="74CC19C4">
            <w:pPr>
              <w:adjustRightInd w:val="0"/>
              <w:snapToGrid w:val="0"/>
              <w:jc w:val="center"/>
              <w:rPr>
                <w:rFonts w:hint="eastAsia" w:ascii="宋体" w:hAnsi="宋体" w:cs="宋体"/>
                <w:sz w:val="24"/>
                <w:highlight w:val="none"/>
              </w:rPr>
            </w:pPr>
            <w:r>
              <w:rPr>
                <w:rFonts w:hint="eastAsia" w:ascii="宋体" w:hAnsi="宋体" w:cs="宋体"/>
                <w:sz w:val="24"/>
                <w:highlight w:val="none"/>
              </w:rPr>
              <w:t>主要产品</w:t>
            </w:r>
          </w:p>
        </w:tc>
        <w:tc>
          <w:tcPr>
            <w:tcW w:w="709" w:type="dxa"/>
            <w:vAlign w:val="center"/>
          </w:tcPr>
          <w:p w14:paraId="55057AA0">
            <w:pPr>
              <w:adjustRightInd w:val="0"/>
              <w:snapToGrid w:val="0"/>
              <w:jc w:val="center"/>
              <w:rPr>
                <w:rFonts w:hint="default" w:ascii="宋体" w:hAnsi="宋体" w:eastAsia="宋体" w:cs="宋体"/>
                <w:sz w:val="24"/>
                <w:highlight w:val="none"/>
                <w:lang w:val="en-US" w:eastAsia="zh-CN"/>
              </w:rPr>
            </w:pPr>
            <w:r>
              <w:rPr>
                <w:rFonts w:hint="eastAsia" w:ascii="宋体" w:hAnsi="宋体" w:cs="宋体"/>
                <w:sz w:val="24"/>
                <w:highlight w:val="none"/>
                <w:lang w:val="en-US" w:eastAsia="zh-CN"/>
              </w:rPr>
              <w:t>25</w:t>
            </w:r>
          </w:p>
        </w:tc>
        <w:tc>
          <w:tcPr>
            <w:tcW w:w="6778" w:type="dxa"/>
            <w:vAlign w:val="center"/>
          </w:tcPr>
          <w:p w14:paraId="4E3E20DE">
            <w:pPr>
              <w:rPr>
                <w:rFonts w:hint="eastAsia" w:ascii="宋体" w:hAnsi="宋体"/>
                <w:sz w:val="24"/>
                <w:highlight w:val="none"/>
              </w:rPr>
            </w:pPr>
            <w:r>
              <w:rPr>
                <w:rFonts w:hint="eastAsia" w:ascii="宋体" w:hAnsi="宋体"/>
                <w:sz w:val="24"/>
                <w:highlight w:val="none"/>
              </w:rPr>
              <w:t>满足产品技术参数要求的情况：</w:t>
            </w:r>
          </w:p>
          <w:p w14:paraId="407FCF32">
            <w:pPr>
              <w:rPr>
                <w:rFonts w:hint="eastAsia" w:ascii="宋体" w:hAnsi="宋体"/>
                <w:sz w:val="24"/>
                <w:highlight w:val="none"/>
              </w:rPr>
            </w:pPr>
            <w:r>
              <w:rPr>
                <w:rFonts w:hint="eastAsia" w:ascii="宋体" w:hAnsi="宋体"/>
                <w:sz w:val="24"/>
                <w:highlight w:val="none"/>
              </w:rPr>
              <w:t>评标委员会依据投标人提供的产品的技术条款响应“第三章用户需求书 三、技术参数”的符合程度，确定产品的技术规格满足情况：</w:t>
            </w:r>
          </w:p>
          <w:p w14:paraId="695CA3A2">
            <w:pPr>
              <w:rPr>
                <w:rFonts w:hint="eastAsia" w:ascii="宋体" w:hAnsi="宋体"/>
                <w:sz w:val="24"/>
                <w:highlight w:val="none"/>
              </w:rPr>
            </w:pPr>
            <w:r>
              <w:rPr>
                <w:rFonts w:hint="eastAsia" w:ascii="宋体" w:hAnsi="宋体"/>
                <w:sz w:val="24"/>
                <w:highlight w:val="none"/>
              </w:rPr>
              <w:t>每有一项</w:t>
            </w:r>
            <w:r>
              <w:rPr>
                <w:rFonts w:hint="eastAsia" w:ascii="宋体" w:hAnsi="宋体"/>
                <w:sz w:val="24"/>
                <w:highlight w:val="none"/>
                <w:lang w:val="en-US" w:eastAsia="zh-CN"/>
              </w:rPr>
              <w:t>非</w:t>
            </w:r>
            <w:r>
              <w:rPr>
                <w:rFonts w:hint="eastAsia" w:ascii="宋体" w:hAnsi="宋体"/>
                <w:sz w:val="24"/>
                <w:highlight w:val="none"/>
              </w:rPr>
              <w:t>“★”参数完全满足要求或正偏离得</w:t>
            </w:r>
            <w:r>
              <w:rPr>
                <w:rFonts w:hint="eastAsia" w:ascii="宋体" w:hAnsi="宋体"/>
                <w:sz w:val="24"/>
                <w:highlight w:val="none"/>
                <w:lang w:val="en-US" w:eastAsia="zh-CN"/>
              </w:rPr>
              <w:t>5</w:t>
            </w:r>
            <w:r>
              <w:rPr>
                <w:rFonts w:hint="eastAsia" w:ascii="宋体" w:hAnsi="宋体"/>
                <w:sz w:val="24"/>
                <w:highlight w:val="none"/>
              </w:rPr>
              <w:t>分（部分满足的不得分，共5</w:t>
            </w:r>
            <w:r>
              <w:rPr>
                <w:rFonts w:ascii="宋体" w:hAnsi="宋体"/>
                <w:sz w:val="24"/>
                <w:highlight w:val="none"/>
              </w:rPr>
              <w:t>项</w:t>
            </w:r>
            <w:r>
              <w:rPr>
                <w:rFonts w:hint="eastAsia" w:ascii="宋体" w:hAnsi="宋体"/>
                <w:sz w:val="24"/>
                <w:highlight w:val="none"/>
              </w:rPr>
              <w:t>），满分</w:t>
            </w:r>
            <w:r>
              <w:rPr>
                <w:rFonts w:hint="eastAsia" w:ascii="宋体" w:hAnsi="宋体"/>
                <w:sz w:val="24"/>
                <w:highlight w:val="none"/>
                <w:lang w:val="en-US" w:eastAsia="zh-CN"/>
              </w:rPr>
              <w:t>25</w:t>
            </w:r>
            <w:r>
              <w:rPr>
                <w:rFonts w:hint="eastAsia" w:ascii="宋体" w:hAnsi="宋体"/>
                <w:sz w:val="24"/>
                <w:highlight w:val="none"/>
              </w:rPr>
              <w:t>分。</w:t>
            </w:r>
          </w:p>
          <w:p w14:paraId="21FE7943">
            <w:pPr>
              <w:adjustRightInd w:val="0"/>
              <w:snapToGrid w:val="0"/>
              <w:rPr>
                <w:rFonts w:hint="eastAsia" w:ascii="宋体" w:hAnsi="宋体" w:cs="宋体"/>
                <w:sz w:val="24"/>
                <w:highlight w:val="none"/>
              </w:rPr>
            </w:pPr>
            <w:r>
              <w:rPr>
                <w:rFonts w:hint="eastAsia" w:ascii="宋体" w:hAnsi="宋体"/>
                <w:sz w:val="24"/>
                <w:highlight w:val="none"/>
              </w:rPr>
              <w:t>注：技术参数中“★”不参与技术评分，不接受负偏离，如未响应或负偏离视为未实质性响应招标文件要求。</w:t>
            </w:r>
          </w:p>
        </w:tc>
      </w:tr>
      <w:tr w14:paraId="4034F7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846" w:type="dxa"/>
            <w:vMerge w:val="continue"/>
            <w:vAlign w:val="center"/>
          </w:tcPr>
          <w:p w14:paraId="27B530C4">
            <w:pPr>
              <w:adjustRightInd w:val="0"/>
              <w:snapToGrid w:val="0"/>
              <w:jc w:val="center"/>
              <w:rPr>
                <w:rFonts w:hint="eastAsia" w:ascii="宋体" w:hAnsi="宋体" w:cs="宋体"/>
                <w:sz w:val="24"/>
                <w:highlight w:val="none"/>
              </w:rPr>
            </w:pPr>
          </w:p>
        </w:tc>
        <w:tc>
          <w:tcPr>
            <w:tcW w:w="850" w:type="dxa"/>
            <w:vAlign w:val="center"/>
          </w:tcPr>
          <w:p w14:paraId="42F7EEB9">
            <w:pPr>
              <w:jc w:val="center"/>
              <w:rPr>
                <w:rFonts w:hint="eastAsia" w:ascii="宋体" w:hAnsi="宋体" w:cs="宋体"/>
                <w:sz w:val="24"/>
                <w:highlight w:val="none"/>
              </w:rPr>
            </w:pPr>
            <w:r>
              <w:rPr>
                <w:rFonts w:hint="eastAsia" w:ascii="宋体" w:hAnsi="宋体" w:cs="宋体"/>
                <w:color w:val="auto"/>
                <w:sz w:val="24"/>
                <w:highlight w:val="none"/>
                <w:lang w:val="en-US" w:eastAsia="zh-CN"/>
              </w:rPr>
              <w:t>总体方案</w:t>
            </w:r>
          </w:p>
        </w:tc>
        <w:tc>
          <w:tcPr>
            <w:tcW w:w="709" w:type="dxa"/>
            <w:vAlign w:val="center"/>
          </w:tcPr>
          <w:p w14:paraId="615DA9D1">
            <w:pPr>
              <w:jc w:val="center"/>
              <w:rPr>
                <w:rFonts w:hint="eastAsia" w:ascii="宋体" w:hAnsi="宋体" w:cs="宋体"/>
                <w:sz w:val="24"/>
                <w:highlight w:val="none"/>
                <w:lang w:val="en-US" w:eastAsia="zh-CN"/>
              </w:rPr>
            </w:pPr>
            <w:r>
              <w:rPr>
                <w:rFonts w:hint="eastAsia" w:ascii="宋体" w:hAnsi="宋体" w:cs="宋体"/>
                <w:color w:val="auto"/>
                <w:sz w:val="24"/>
                <w:highlight w:val="none"/>
                <w:lang w:val="en-US" w:eastAsia="zh-CN"/>
              </w:rPr>
              <w:t>10</w:t>
            </w:r>
          </w:p>
        </w:tc>
        <w:tc>
          <w:tcPr>
            <w:tcW w:w="6778" w:type="dxa"/>
            <w:vAlign w:val="center"/>
          </w:tcPr>
          <w:p w14:paraId="3F980951">
            <w:pPr>
              <w:rPr>
                <w:rFonts w:hint="eastAsia" w:ascii="宋体" w:hAnsi="宋体" w:cs="宋体"/>
                <w:b/>
                <w:bCs/>
                <w:sz w:val="24"/>
                <w:highlight w:val="none"/>
              </w:rPr>
            </w:pPr>
            <w:r>
              <w:rPr>
                <w:rFonts w:hint="eastAsia" w:ascii="宋体" w:hAnsi="宋体" w:cs="宋体"/>
                <w:b/>
                <w:bCs/>
                <w:sz w:val="24"/>
                <w:highlight w:val="none"/>
                <w:lang w:val="en-US" w:eastAsia="zh-CN"/>
              </w:rPr>
              <w:t>总体方</w:t>
            </w:r>
            <w:r>
              <w:rPr>
                <w:rFonts w:hint="eastAsia" w:ascii="宋体" w:hAnsi="宋体" w:cs="宋体"/>
                <w:b/>
                <w:bCs/>
                <w:sz w:val="24"/>
                <w:highlight w:val="none"/>
              </w:rPr>
              <w:t>案（</w:t>
            </w:r>
            <w:r>
              <w:rPr>
                <w:rFonts w:hint="eastAsia" w:ascii="宋体" w:hAnsi="宋体" w:cs="宋体"/>
                <w:b/>
                <w:bCs/>
                <w:sz w:val="24"/>
                <w:highlight w:val="none"/>
                <w:lang w:val="en-US" w:eastAsia="zh-CN"/>
              </w:rPr>
              <w:t>10</w:t>
            </w:r>
            <w:r>
              <w:rPr>
                <w:rFonts w:hint="eastAsia" w:ascii="宋体" w:hAnsi="宋体" w:cs="宋体"/>
                <w:b/>
                <w:bCs/>
                <w:sz w:val="24"/>
                <w:highlight w:val="none"/>
              </w:rPr>
              <w:t>分）：</w:t>
            </w:r>
          </w:p>
          <w:p w14:paraId="69449EF2">
            <w:pPr>
              <w:rPr>
                <w:rFonts w:hint="eastAsia" w:ascii="宋体" w:hAnsi="宋体" w:cs="宋体"/>
                <w:b w:val="0"/>
                <w:bCs w:val="0"/>
                <w:sz w:val="24"/>
                <w:highlight w:val="none"/>
              </w:rPr>
            </w:pPr>
            <w:r>
              <w:rPr>
                <w:rFonts w:hint="eastAsia" w:ascii="宋体" w:hAnsi="宋体" w:cs="宋体"/>
                <w:b w:val="0"/>
                <w:bCs w:val="0"/>
                <w:sz w:val="24"/>
                <w:highlight w:val="none"/>
              </w:rPr>
              <w:t>投标人应根据项目需求，结合项目实际，提供总体方案。</w:t>
            </w:r>
            <w:r>
              <w:rPr>
                <w:rFonts w:hint="eastAsia" w:ascii="宋体" w:hAnsi="宋体" w:cs="宋体"/>
                <w:b w:val="0"/>
                <w:bCs w:val="0"/>
                <w:sz w:val="24"/>
                <w:highlight w:val="none"/>
                <w:lang w:val="en-US" w:eastAsia="zh-CN"/>
              </w:rPr>
              <w:t>总体</w:t>
            </w:r>
            <w:r>
              <w:rPr>
                <w:rFonts w:hint="eastAsia" w:ascii="宋体" w:hAnsi="宋体" w:cs="宋体"/>
                <w:b w:val="0"/>
                <w:bCs w:val="0"/>
                <w:sz w:val="24"/>
                <w:highlight w:val="none"/>
              </w:rPr>
              <w:t>方案至少应包括以下分项内容：1.</w:t>
            </w:r>
            <w:r>
              <w:rPr>
                <w:rFonts w:hint="eastAsia" w:ascii="宋体" w:hAnsi="宋体" w:cs="宋体"/>
                <w:b w:val="0"/>
                <w:bCs w:val="0"/>
                <w:sz w:val="24"/>
                <w:highlight w:val="none"/>
                <w:lang w:val="en-US" w:eastAsia="zh-CN"/>
              </w:rPr>
              <w:t>总体</w:t>
            </w:r>
            <w:r>
              <w:rPr>
                <w:rFonts w:hint="eastAsia" w:ascii="宋体" w:hAnsi="宋体" w:cs="宋体"/>
                <w:b w:val="0"/>
                <w:bCs w:val="0"/>
                <w:sz w:val="24"/>
                <w:highlight w:val="none"/>
              </w:rPr>
              <w:t>技术方案；2.关键设备及技术实施方案。</w:t>
            </w:r>
          </w:p>
          <w:p w14:paraId="2D282D39">
            <w:pPr>
              <w:rPr>
                <w:rFonts w:hint="eastAsia" w:ascii="宋体" w:hAnsi="宋体" w:cs="宋体"/>
                <w:b w:val="0"/>
                <w:bCs w:val="0"/>
                <w:sz w:val="24"/>
                <w:highlight w:val="none"/>
              </w:rPr>
            </w:pPr>
            <w:r>
              <w:rPr>
                <w:rFonts w:hint="eastAsia" w:ascii="宋体" w:hAnsi="宋体" w:cs="宋体"/>
                <w:b w:val="0"/>
                <w:bCs w:val="0"/>
                <w:sz w:val="24"/>
                <w:highlight w:val="none"/>
              </w:rPr>
              <w:t>（1）技术方案涵盖上述全部2项分项内容且无缺陷，得10分；每缺少1项分项内容扣5分，最低得0分；</w:t>
            </w:r>
          </w:p>
          <w:p w14:paraId="1F0234DC">
            <w:pPr>
              <w:rPr>
                <w:rFonts w:hint="eastAsia" w:ascii="宋体" w:hAnsi="宋体" w:cs="宋体"/>
                <w:b w:val="0"/>
                <w:bCs w:val="0"/>
                <w:sz w:val="24"/>
                <w:highlight w:val="none"/>
              </w:rPr>
            </w:pPr>
            <w:r>
              <w:rPr>
                <w:rFonts w:hint="eastAsia" w:ascii="宋体" w:hAnsi="宋体" w:cs="宋体"/>
                <w:b w:val="0"/>
                <w:bCs w:val="0"/>
                <w:sz w:val="24"/>
                <w:highlight w:val="none"/>
              </w:rPr>
              <w:t>（2）上述2项分项内容，每个分项内容中存在一种缺陷扣1分，最低得0分；</w:t>
            </w:r>
          </w:p>
          <w:p w14:paraId="672A8DA0">
            <w:pPr>
              <w:rPr>
                <w:rFonts w:hint="default" w:ascii="宋体" w:hAnsi="宋体" w:eastAsia="宋体" w:cs="宋体"/>
                <w:b w:val="0"/>
                <w:bCs w:val="0"/>
                <w:sz w:val="24"/>
                <w:highlight w:val="none"/>
                <w:lang w:val="en-US" w:eastAsia="zh-CN"/>
              </w:rPr>
            </w:pPr>
            <w:r>
              <w:rPr>
                <w:rFonts w:hint="eastAsia" w:ascii="宋体" w:hAnsi="宋体" w:cs="宋体"/>
                <w:b w:val="0"/>
                <w:bCs w:val="0"/>
                <w:sz w:val="24"/>
                <w:highlight w:val="none"/>
                <w:lang w:eastAsia="zh-CN"/>
              </w:rPr>
              <w:t>（</w:t>
            </w:r>
            <w:r>
              <w:rPr>
                <w:rFonts w:hint="eastAsia" w:ascii="宋体" w:hAnsi="宋体" w:cs="宋体"/>
                <w:b w:val="0"/>
                <w:bCs w:val="0"/>
                <w:sz w:val="24"/>
                <w:highlight w:val="none"/>
                <w:lang w:val="en-US" w:eastAsia="zh-CN"/>
              </w:rPr>
              <w:t>3</w:t>
            </w:r>
            <w:r>
              <w:rPr>
                <w:rFonts w:hint="eastAsia" w:ascii="宋体" w:hAnsi="宋体" w:cs="宋体"/>
                <w:b w:val="0"/>
                <w:bCs w:val="0"/>
                <w:sz w:val="24"/>
                <w:highlight w:val="none"/>
                <w:lang w:eastAsia="zh-CN"/>
              </w:rPr>
              <w:t>）未提供</w:t>
            </w:r>
            <w:r>
              <w:rPr>
                <w:rFonts w:hint="eastAsia" w:ascii="宋体" w:hAnsi="宋体" w:cs="宋体"/>
                <w:b w:val="0"/>
                <w:bCs w:val="0"/>
                <w:sz w:val="24"/>
                <w:highlight w:val="none"/>
                <w:lang w:val="en-US" w:eastAsia="zh-CN"/>
              </w:rPr>
              <w:t>本项得0分。</w:t>
            </w:r>
          </w:p>
          <w:p w14:paraId="05F336CB">
            <w:pPr>
              <w:rPr>
                <w:rFonts w:hint="eastAsia" w:ascii="宋体" w:hAnsi="宋体"/>
                <w:sz w:val="24"/>
                <w:highlight w:val="none"/>
              </w:rPr>
            </w:pPr>
            <w:r>
              <w:rPr>
                <w:rFonts w:hint="eastAsia" w:ascii="宋体" w:hAnsi="宋体" w:cs="宋体"/>
                <w:b/>
                <w:bCs/>
                <w:sz w:val="24"/>
                <w:highlight w:val="none"/>
              </w:rPr>
              <w:t>注：缺陷是指：凭空编造、内容前后不一致、前后逻辑错误、不符合采购需求、内容</w:t>
            </w:r>
            <w:r>
              <w:rPr>
                <w:rFonts w:hint="eastAsia" w:ascii="宋体" w:hAnsi="宋体" w:cs="宋体"/>
                <w:b/>
                <w:bCs/>
                <w:sz w:val="24"/>
                <w:highlight w:val="none"/>
                <w:lang w:eastAsia="zh-CN"/>
              </w:rPr>
              <w:t>有</w:t>
            </w:r>
            <w:r>
              <w:rPr>
                <w:rFonts w:hint="eastAsia" w:ascii="宋体" w:hAnsi="宋体" w:cs="宋体"/>
                <w:b/>
                <w:bCs/>
                <w:sz w:val="24"/>
                <w:highlight w:val="none"/>
              </w:rPr>
              <w:t>缺失五种情况。</w:t>
            </w:r>
          </w:p>
        </w:tc>
      </w:tr>
      <w:tr w14:paraId="5A8901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56" w:hRule="atLeast"/>
          <w:jc w:val="center"/>
        </w:trPr>
        <w:tc>
          <w:tcPr>
            <w:tcW w:w="846" w:type="dxa"/>
            <w:vMerge w:val="restart"/>
            <w:vAlign w:val="center"/>
          </w:tcPr>
          <w:p w14:paraId="2DFFDB29">
            <w:pPr>
              <w:adjustRightInd w:val="0"/>
              <w:snapToGrid w:val="0"/>
              <w:jc w:val="center"/>
              <w:rPr>
                <w:rFonts w:hint="eastAsia" w:ascii="宋体" w:hAnsi="宋体" w:cs="宋体"/>
                <w:sz w:val="24"/>
                <w:highlight w:val="none"/>
              </w:rPr>
            </w:pPr>
            <w:r>
              <w:rPr>
                <w:rFonts w:hint="eastAsia" w:ascii="宋体" w:hAnsi="宋体" w:cs="宋体"/>
                <w:sz w:val="24"/>
                <w:highlight w:val="none"/>
              </w:rPr>
              <w:t>商务部分</w:t>
            </w:r>
          </w:p>
        </w:tc>
        <w:tc>
          <w:tcPr>
            <w:tcW w:w="850" w:type="dxa"/>
            <w:vAlign w:val="center"/>
          </w:tcPr>
          <w:p w14:paraId="4B879154">
            <w:pPr>
              <w:jc w:val="center"/>
              <w:rPr>
                <w:rFonts w:hint="eastAsia" w:ascii="宋体" w:hAnsi="宋体" w:cs="宋体"/>
                <w:sz w:val="24"/>
                <w:highlight w:val="none"/>
              </w:rPr>
            </w:pPr>
            <w:r>
              <w:rPr>
                <w:rFonts w:hint="eastAsia"/>
                <w:sz w:val="24"/>
                <w:highlight w:val="none"/>
                <w:lang w:bidi="en-US"/>
              </w:rPr>
              <w:t>供货安装方案</w:t>
            </w:r>
          </w:p>
        </w:tc>
        <w:tc>
          <w:tcPr>
            <w:tcW w:w="709" w:type="dxa"/>
            <w:vAlign w:val="center"/>
          </w:tcPr>
          <w:p w14:paraId="2ADF30C3">
            <w:pPr>
              <w:jc w:val="center"/>
              <w:rPr>
                <w:rFonts w:hint="eastAsia" w:ascii="宋体" w:hAnsi="宋体" w:cs="宋体"/>
                <w:sz w:val="24"/>
                <w:highlight w:val="none"/>
              </w:rPr>
            </w:pPr>
            <w:r>
              <w:rPr>
                <w:rFonts w:hint="eastAsia" w:ascii="宋体" w:hAnsi="宋体" w:cs="宋体"/>
                <w:sz w:val="24"/>
                <w:highlight w:val="none"/>
              </w:rPr>
              <w:t>8</w:t>
            </w:r>
          </w:p>
        </w:tc>
        <w:tc>
          <w:tcPr>
            <w:tcW w:w="6778" w:type="dxa"/>
            <w:vAlign w:val="center"/>
          </w:tcPr>
          <w:p w14:paraId="4F5E7C3C">
            <w:pPr>
              <w:rPr>
                <w:rFonts w:hint="eastAsia" w:ascii="宋体" w:hAnsi="宋体" w:cs="宋体"/>
                <w:b/>
                <w:bCs/>
                <w:sz w:val="24"/>
                <w:highlight w:val="none"/>
              </w:rPr>
            </w:pPr>
            <w:r>
              <w:rPr>
                <w:rFonts w:hint="eastAsia" w:ascii="宋体" w:hAnsi="宋体" w:cs="宋体"/>
                <w:b/>
                <w:bCs/>
                <w:sz w:val="24"/>
                <w:highlight w:val="none"/>
              </w:rPr>
              <w:t>1.供货</w:t>
            </w:r>
            <w:r>
              <w:rPr>
                <w:rFonts w:ascii="宋体" w:hAnsi="宋体" w:cs="宋体"/>
                <w:b/>
                <w:bCs/>
                <w:sz w:val="24"/>
                <w:highlight w:val="none"/>
                <w:lang w:eastAsia="zh-Hans"/>
              </w:rPr>
              <w:t>安装</w:t>
            </w:r>
            <w:r>
              <w:rPr>
                <w:rFonts w:ascii="宋体" w:hAnsi="宋体" w:cs="宋体"/>
                <w:b/>
                <w:bCs/>
                <w:sz w:val="24"/>
                <w:highlight w:val="none"/>
              </w:rPr>
              <w:t>方案（满分</w:t>
            </w:r>
            <w:r>
              <w:rPr>
                <w:rFonts w:hint="eastAsia" w:ascii="宋体" w:hAnsi="宋体" w:cs="宋体"/>
                <w:b/>
                <w:bCs/>
                <w:sz w:val="24"/>
                <w:highlight w:val="none"/>
              </w:rPr>
              <w:t>4</w:t>
            </w:r>
            <w:r>
              <w:rPr>
                <w:rFonts w:ascii="宋体" w:hAnsi="宋体" w:cs="宋体"/>
                <w:b/>
                <w:bCs/>
                <w:sz w:val="24"/>
                <w:highlight w:val="none"/>
              </w:rPr>
              <w:t>分）：</w:t>
            </w:r>
          </w:p>
          <w:p w14:paraId="76D0EA00">
            <w:pPr>
              <w:rPr>
                <w:rFonts w:hint="eastAsia" w:ascii="宋体" w:hAnsi="宋体"/>
                <w:sz w:val="24"/>
                <w:highlight w:val="none"/>
              </w:rPr>
            </w:pPr>
            <w:r>
              <w:rPr>
                <w:rFonts w:hint="eastAsia" w:ascii="宋体" w:hAnsi="宋体"/>
                <w:sz w:val="24"/>
                <w:highlight w:val="none"/>
              </w:rPr>
              <w:t>根据投标人提供的供货安装方案</w:t>
            </w:r>
            <w:r>
              <w:rPr>
                <w:rFonts w:ascii="宋体" w:hAnsi="宋体"/>
                <w:sz w:val="24"/>
                <w:highlight w:val="none"/>
              </w:rPr>
              <w:t>进行综合评审</w:t>
            </w:r>
            <w:r>
              <w:rPr>
                <w:rFonts w:hint="eastAsia" w:ascii="宋体" w:hAnsi="宋体"/>
                <w:sz w:val="24"/>
                <w:highlight w:val="none"/>
              </w:rPr>
              <w:t>：</w:t>
            </w:r>
          </w:p>
          <w:p w14:paraId="47AE0AE5">
            <w:pPr>
              <w:rPr>
                <w:rFonts w:hint="eastAsia" w:ascii="宋体" w:hAnsi="宋体" w:cs="宋体"/>
                <w:sz w:val="24"/>
                <w:highlight w:val="none"/>
                <w:lang w:eastAsia="zh-Hans"/>
              </w:rPr>
            </w:pPr>
            <w:r>
              <w:rPr>
                <w:rFonts w:ascii="宋体" w:hAnsi="宋体" w:cs="宋体"/>
                <w:sz w:val="24"/>
                <w:highlight w:val="none"/>
                <w:lang w:eastAsia="zh-Hans"/>
              </w:rPr>
              <w:t>1</w:t>
            </w:r>
            <w:r>
              <w:rPr>
                <w:rFonts w:hint="eastAsia" w:ascii="宋体" w:hAnsi="宋体" w:cs="宋体"/>
                <w:sz w:val="24"/>
                <w:highlight w:val="none"/>
              </w:rPr>
              <w:t>）</w:t>
            </w:r>
            <w:r>
              <w:rPr>
                <w:rFonts w:hint="eastAsia"/>
                <w:sz w:val="24"/>
                <w:highlight w:val="none"/>
                <w:lang w:bidi="en-US"/>
              </w:rPr>
              <w:t>供货安装方案</w:t>
            </w:r>
            <w:r>
              <w:rPr>
                <w:rFonts w:hint="eastAsia" w:ascii="宋体" w:hAnsi="宋体" w:cs="宋体"/>
                <w:sz w:val="24"/>
                <w:highlight w:val="none"/>
              </w:rPr>
              <w:t>内容</w:t>
            </w:r>
            <w:r>
              <w:rPr>
                <w:rFonts w:ascii="宋体" w:hAnsi="宋体" w:cs="宋体"/>
                <w:sz w:val="24"/>
                <w:highlight w:val="none"/>
                <w:lang w:eastAsia="zh-Hans"/>
              </w:rPr>
              <w:t>全面合理、</w:t>
            </w:r>
            <w:r>
              <w:rPr>
                <w:rFonts w:hint="eastAsia" w:ascii="宋体" w:hAnsi="宋体" w:cs="宋体"/>
                <w:sz w:val="24"/>
                <w:highlight w:val="none"/>
                <w:lang w:val="en-US" w:eastAsia="zh-CN"/>
              </w:rPr>
              <w:t>内容描述具有针对性</w:t>
            </w:r>
            <w:r>
              <w:rPr>
                <w:rFonts w:ascii="宋体" w:hAnsi="宋体" w:cs="宋体"/>
                <w:sz w:val="24"/>
                <w:highlight w:val="none"/>
                <w:lang w:eastAsia="zh-Hans"/>
              </w:rPr>
              <w:t>，能够充分满足</w:t>
            </w:r>
            <w:r>
              <w:rPr>
                <w:rFonts w:hint="eastAsia" w:ascii="宋体" w:hAnsi="宋体" w:cs="宋体"/>
                <w:sz w:val="24"/>
                <w:highlight w:val="none"/>
              </w:rPr>
              <w:t>项目</w:t>
            </w:r>
            <w:r>
              <w:rPr>
                <w:rFonts w:ascii="宋体" w:hAnsi="宋体" w:cs="宋体"/>
                <w:sz w:val="24"/>
                <w:highlight w:val="none"/>
                <w:lang w:eastAsia="zh-Hans"/>
              </w:rPr>
              <w:t>需求(得</w:t>
            </w:r>
            <w:r>
              <w:rPr>
                <w:rFonts w:hint="eastAsia" w:ascii="宋体" w:hAnsi="宋体" w:cs="宋体"/>
                <w:sz w:val="24"/>
                <w:highlight w:val="none"/>
              </w:rPr>
              <w:t>4</w:t>
            </w:r>
            <w:r>
              <w:rPr>
                <w:rFonts w:ascii="宋体" w:hAnsi="宋体" w:cs="宋体"/>
                <w:sz w:val="24"/>
                <w:highlight w:val="none"/>
                <w:lang w:eastAsia="zh-Hans"/>
              </w:rPr>
              <w:t>分)；</w:t>
            </w:r>
          </w:p>
          <w:p w14:paraId="7AE4C7A2">
            <w:pPr>
              <w:rPr>
                <w:rFonts w:hint="eastAsia" w:ascii="宋体" w:hAnsi="宋体" w:cs="宋体"/>
                <w:sz w:val="24"/>
                <w:highlight w:val="none"/>
                <w:lang w:eastAsia="zh-Hans"/>
              </w:rPr>
            </w:pPr>
            <w:r>
              <w:rPr>
                <w:rFonts w:ascii="宋体" w:hAnsi="宋体" w:cs="宋体"/>
                <w:sz w:val="24"/>
                <w:highlight w:val="none"/>
                <w:lang w:eastAsia="zh-Hans"/>
              </w:rPr>
              <w:t>2</w:t>
            </w:r>
            <w:r>
              <w:rPr>
                <w:rFonts w:hint="eastAsia" w:ascii="宋体" w:hAnsi="宋体" w:cs="宋体"/>
                <w:sz w:val="24"/>
                <w:highlight w:val="none"/>
              </w:rPr>
              <w:t>）</w:t>
            </w:r>
            <w:r>
              <w:rPr>
                <w:rFonts w:hint="eastAsia"/>
                <w:sz w:val="24"/>
                <w:highlight w:val="none"/>
                <w:lang w:bidi="en-US"/>
              </w:rPr>
              <w:t>供货安装方案</w:t>
            </w:r>
            <w:r>
              <w:rPr>
                <w:rFonts w:hint="eastAsia" w:ascii="宋体" w:hAnsi="宋体" w:cs="宋体"/>
                <w:sz w:val="24"/>
                <w:highlight w:val="none"/>
              </w:rPr>
              <w:t>内容完整</w:t>
            </w:r>
            <w:r>
              <w:rPr>
                <w:rFonts w:ascii="宋体" w:hAnsi="宋体" w:cs="宋体"/>
                <w:sz w:val="24"/>
                <w:highlight w:val="none"/>
                <w:lang w:eastAsia="zh-Hans"/>
              </w:rPr>
              <w:t>，</w:t>
            </w:r>
            <w:r>
              <w:rPr>
                <w:rFonts w:hint="eastAsia" w:ascii="宋体" w:hAnsi="宋体" w:cs="宋体"/>
                <w:sz w:val="24"/>
                <w:highlight w:val="none"/>
                <w:lang w:eastAsia="zh-Hans"/>
              </w:rPr>
              <w:t>但方案内容存在缺陷的</w:t>
            </w:r>
            <w:r>
              <w:rPr>
                <w:rFonts w:ascii="宋体" w:hAnsi="宋体" w:cs="宋体"/>
                <w:sz w:val="24"/>
                <w:highlight w:val="none"/>
                <w:lang w:eastAsia="zh-Hans"/>
              </w:rPr>
              <w:t xml:space="preserve"> (得</w:t>
            </w:r>
            <w:r>
              <w:rPr>
                <w:rFonts w:hint="eastAsia" w:ascii="宋体" w:hAnsi="宋体" w:cs="宋体"/>
                <w:sz w:val="24"/>
                <w:highlight w:val="none"/>
              </w:rPr>
              <w:t>2</w:t>
            </w:r>
            <w:r>
              <w:rPr>
                <w:rFonts w:ascii="宋体" w:hAnsi="宋体" w:cs="宋体"/>
                <w:sz w:val="24"/>
                <w:highlight w:val="none"/>
                <w:lang w:eastAsia="zh-Hans"/>
              </w:rPr>
              <w:t>分)。</w:t>
            </w:r>
          </w:p>
          <w:p w14:paraId="35CB86E4">
            <w:pPr>
              <w:rPr>
                <w:rFonts w:hint="eastAsia" w:ascii="宋体" w:hAnsi="宋体" w:cs="宋体"/>
                <w:sz w:val="24"/>
                <w:highlight w:val="none"/>
                <w:lang w:eastAsia="zh-Hans"/>
              </w:rPr>
            </w:pPr>
            <w:r>
              <w:rPr>
                <w:rFonts w:ascii="宋体" w:hAnsi="宋体" w:cs="宋体"/>
                <w:sz w:val="24"/>
                <w:highlight w:val="none"/>
                <w:lang w:eastAsia="zh-Hans"/>
              </w:rPr>
              <w:t>3</w:t>
            </w:r>
            <w:r>
              <w:rPr>
                <w:rFonts w:hint="eastAsia" w:ascii="宋体" w:hAnsi="宋体" w:cs="宋体"/>
                <w:sz w:val="24"/>
                <w:highlight w:val="none"/>
              </w:rPr>
              <w:t>）方案内容存在不符合项目需求的</w:t>
            </w:r>
            <w:r>
              <w:rPr>
                <w:rFonts w:ascii="宋体" w:hAnsi="宋体" w:cs="宋体"/>
                <w:sz w:val="24"/>
                <w:highlight w:val="none"/>
                <w:lang w:eastAsia="zh-Hans"/>
              </w:rPr>
              <w:t xml:space="preserve"> (得1分)。</w:t>
            </w:r>
          </w:p>
          <w:p w14:paraId="5C02A82D">
            <w:pPr>
              <w:rPr>
                <w:rFonts w:hint="eastAsia" w:ascii="宋体" w:hAnsi="宋体" w:cs="宋体"/>
                <w:b/>
                <w:bCs/>
                <w:sz w:val="24"/>
                <w:highlight w:val="none"/>
                <w:lang w:eastAsia="zh-Hans"/>
              </w:rPr>
            </w:pPr>
            <w:r>
              <w:rPr>
                <w:rFonts w:hint="eastAsia" w:ascii="宋体" w:hAnsi="宋体" w:cs="宋体"/>
                <w:b/>
                <w:bCs/>
                <w:sz w:val="24"/>
                <w:highlight w:val="none"/>
                <w:lang w:eastAsia="zh-Hans"/>
              </w:rPr>
              <w:t>2</w:t>
            </w:r>
            <w:r>
              <w:rPr>
                <w:rFonts w:ascii="宋体" w:hAnsi="宋体" w:cs="宋体"/>
                <w:b/>
                <w:bCs/>
                <w:sz w:val="24"/>
                <w:highlight w:val="none"/>
                <w:lang w:eastAsia="zh-Hans"/>
              </w:rPr>
              <w:t>.提供安装</w:t>
            </w:r>
            <w:r>
              <w:rPr>
                <w:rFonts w:hint="eastAsia" w:ascii="宋体" w:hAnsi="宋体" w:cs="宋体"/>
                <w:b/>
                <w:bCs/>
                <w:sz w:val="24"/>
                <w:highlight w:val="none"/>
              </w:rPr>
              <w:t>调试验收</w:t>
            </w:r>
            <w:r>
              <w:rPr>
                <w:rFonts w:ascii="宋体" w:hAnsi="宋体" w:cs="宋体"/>
                <w:b/>
                <w:bCs/>
                <w:sz w:val="24"/>
                <w:highlight w:val="none"/>
                <w:lang w:eastAsia="zh-Hans"/>
              </w:rPr>
              <w:t>服务保证措施</w:t>
            </w:r>
            <w:r>
              <w:rPr>
                <w:rFonts w:hint="eastAsia" w:ascii="宋体" w:hAnsi="宋体" w:cs="宋体"/>
                <w:b/>
                <w:bCs/>
                <w:sz w:val="24"/>
                <w:highlight w:val="none"/>
                <w:lang w:eastAsia="zh-Hans"/>
              </w:rPr>
              <w:t>（满分</w:t>
            </w:r>
            <w:r>
              <w:rPr>
                <w:rFonts w:hint="eastAsia" w:ascii="宋体" w:hAnsi="宋体" w:cs="宋体"/>
                <w:b/>
                <w:bCs/>
                <w:sz w:val="24"/>
                <w:highlight w:val="none"/>
              </w:rPr>
              <w:t>4</w:t>
            </w:r>
            <w:r>
              <w:rPr>
                <w:rFonts w:hint="eastAsia" w:ascii="宋体" w:hAnsi="宋体" w:cs="宋体"/>
                <w:b/>
                <w:bCs/>
                <w:sz w:val="24"/>
                <w:highlight w:val="none"/>
                <w:lang w:eastAsia="zh-Hans"/>
              </w:rPr>
              <w:t>分）：</w:t>
            </w:r>
          </w:p>
          <w:p w14:paraId="6CFAADE5">
            <w:pPr>
              <w:rPr>
                <w:rFonts w:hint="eastAsia" w:ascii="宋体" w:hAnsi="宋体"/>
                <w:sz w:val="24"/>
                <w:highlight w:val="none"/>
              </w:rPr>
            </w:pPr>
            <w:r>
              <w:rPr>
                <w:rFonts w:hint="eastAsia" w:ascii="宋体" w:hAnsi="宋体"/>
                <w:sz w:val="24"/>
                <w:highlight w:val="none"/>
              </w:rPr>
              <w:t>根据投标人提供的安装调试验收服务保证措施</w:t>
            </w:r>
            <w:r>
              <w:rPr>
                <w:rFonts w:ascii="宋体" w:hAnsi="宋体"/>
                <w:sz w:val="24"/>
                <w:highlight w:val="none"/>
              </w:rPr>
              <w:t>进行综合评审</w:t>
            </w:r>
            <w:r>
              <w:rPr>
                <w:rFonts w:hint="eastAsia" w:ascii="宋体" w:hAnsi="宋体"/>
                <w:sz w:val="24"/>
                <w:highlight w:val="none"/>
              </w:rPr>
              <w:t>：</w:t>
            </w:r>
          </w:p>
          <w:p w14:paraId="67EE2B71">
            <w:pPr>
              <w:rPr>
                <w:rFonts w:hint="eastAsia" w:ascii="宋体" w:hAnsi="宋体" w:cs="宋体"/>
                <w:sz w:val="24"/>
                <w:highlight w:val="none"/>
                <w:lang w:eastAsia="zh-Hans"/>
              </w:rPr>
            </w:pPr>
            <w:r>
              <w:rPr>
                <w:rFonts w:ascii="宋体" w:hAnsi="宋体" w:cs="宋体"/>
                <w:sz w:val="24"/>
                <w:highlight w:val="none"/>
                <w:lang w:eastAsia="zh-Hans"/>
              </w:rPr>
              <w:t>1</w:t>
            </w:r>
            <w:r>
              <w:rPr>
                <w:rFonts w:hint="eastAsia" w:ascii="宋体" w:hAnsi="宋体" w:cs="宋体"/>
                <w:sz w:val="24"/>
                <w:highlight w:val="none"/>
              </w:rPr>
              <w:t>）安装调试验收服务保证措施内容</w:t>
            </w:r>
            <w:r>
              <w:rPr>
                <w:rFonts w:ascii="宋体" w:hAnsi="宋体" w:cs="宋体"/>
                <w:sz w:val="24"/>
                <w:highlight w:val="none"/>
                <w:lang w:eastAsia="zh-Hans"/>
              </w:rPr>
              <w:t>全面合理、</w:t>
            </w:r>
            <w:r>
              <w:rPr>
                <w:rFonts w:hint="eastAsia" w:ascii="宋体" w:hAnsi="宋体" w:cs="宋体"/>
                <w:sz w:val="24"/>
                <w:highlight w:val="none"/>
                <w:lang w:val="en-US" w:eastAsia="zh-CN"/>
              </w:rPr>
              <w:t>内容描述具有针对性</w:t>
            </w:r>
            <w:r>
              <w:rPr>
                <w:rFonts w:ascii="宋体" w:hAnsi="宋体" w:cs="宋体"/>
                <w:sz w:val="24"/>
                <w:highlight w:val="none"/>
                <w:lang w:eastAsia="zh-Hans"/>
              </w:rPr>
              <w:t>，能够充分满足</w:t>
            </w:r>
            <w:r>
              <w:rPr>
                <w:rFonts w:hint="eastAsia" w:ascii="宋体" w:hAnsi="宋体" w:cs="宋体"/>
                <w:sz w:val="24"/>
                <w:highlight w:val="none"/>
              </w:rPr>
              <w:t>项目</w:t>
            </w:r>
            <w:r>
              <w:rPr>
                <w:rFonts w:ascii="宋体" w:hAnsi="宋体" w:cs="宋体"/>
                <w:sz w:val="24"/>
                <w:highlight w:val="none"/>
                <w:lang w:eastAsia="zh-Hans"/>
              </w:rPr>
              <w:t>需求(得</w:t>
            </w:r>
            <w:r>
              <w:rPr>
                <w:rFonts w:hint="eastAsia" w:ascii="宋体" w:hAnsi="宋体" w:cs="宋体"/>
                <w:sz w:val="24"/>
                <w:highlight w:val="none"/>
              </w:rPr>
              <w:t>4</w:t>
            </w:r>
            <w:r>
              <w:rPr>
                <w:rFonts w:ascii="宋体" w:hAnsi="宋体" w:cs="宋体"/>
                <w:sz w:val="24"/>
                <w:highlight w:val="none"/>
                <w:lang w:eastAsia="zh-Hans"/>
              </w:rPr>
              <w:t>分)；</w:t>
            </w:r>
          </w:p>
          <w:p w14:paraId="370574A1">
            <w:pPr>
              <w:rPr>
                <w:rFonts w:hint="eastAsia" w:ascii="宋体" w:hAnsi="宋体" w:cs="宋体"/>
                <w:sz w:val="24"/>
                <w:highlight w:val="none"/>
                <w:lang w:eastAsia="zh-Hans"/>
              </w:rPr>
            </w:pPr>
            <w:r>
              <w:rPr>
                <w:rFonts w:ascii="宋体" w:hAnsi="宋体" w:cs="宋体"/>
                <w:sz w:val="24"/>
                <w:highlight w:val="none"/>
                <w:lang w:eastAsia="zh-Hans"/>
              </w:rPr>
              <w:t>2</w:t>
            </w:r>
            <w:r>
              <w:rPr>
                <w:rFonts w:hint="eastAsia" w:ascii="宋体" w:hAnsi="宋体" w:cs="宋体"/>
                <w:sz w:val="24"/>
                <w:highlight w:val="none"/>
              </w:rPr>
              <w:t>）安装调试验收服务保证措施内容完整</w:t>
            </w:r>
            <w:r>
              <w:rPr>
                <w:rFonts w:ascii="宋体" w:hAnsi="宋体" w:cs="宋体"/>
                <w:sz w:val="24"/>
                <w:highlight w:val="none"/>
                <w:lang w:eastAsia="zh-Hans"/>
              </w:rPr>
              <w:t>，</w:t>
            </w:r>
            <w:r>
              <w:rPr>
                <w:rFonts w:hint="eastAsia" w:ascii="宋体" w:hAnsi="宋体" w:cs="宋体"/>
                <w:sz w:val="24"/>
                <w:highlight w:val="none"/>
                <w:lang w:eastAsia="zh-Hans"/>
              </w:rPr>
              <w:t>但方案内容存在缺陷的</w:t>
            </w:r>
            <w:r>
              <w:rPr>
                <w:rFonts w:ascii="宋体" w:hAnsi="宋体" w:cs="宋体"/>
                <w:sz w:val="24"/>
                <w:highlight w:val="none"/>
                <w:lang w:eastAsia="zh-Hans"/>
              </w:rPr>
              <w:t xml:space="preserve"> (得</w:t>
            </w:r>
            <w:r>
              <w:rPr>
                <w:rFonts w:hint="eastAsia" w:ascii="宋体" w:hAnsi="宋体" w:cs="宋体"/>
                <w:sz w:val="24"/>
                <w:highlight w:val="none"/>
              </w:rPr>
              <w:t>2</w:t>
            </w:r>
            <w:r>
              <w:rPr>
                <w:rFonts w:ascii="宋体" w:hAnsi="宋体" w:cs="宋体"/>
                <w:sz w:val="24"/>
                <w:highlight w:val="none"/>
                <w:lang w:eastAsia="zh-Hans"/>
              </w:rPr>
              <w:t>分)。</w:t>
            </w:r>
          </w:p>
          <w:p w14:paraId="67581183">
            <w:pPr>
              <w:rPr>
                <w:rFonts w:hint="eastAsia" w:ascii="宋体" w:hAnsi="宋体" w:cs="宋体"/>
                <w:sz w:val="24"/>
                <w:highlight w:val="none"/>
                <w:lang w:eastAsia="zh-Hans"/>
              </w:rPr>
            </w:pPr>
            <w:r>
              <w:rPr>
                <w:rFonts w:ascii="宋体" w:hAnsi="宋体" w:cs="宋体"/>
                <w:sz w:val="24"/>
                <w:highlight w:val="none"/>
                <w:lang w:eastAsia="zh-Hans"/>
              </w:rPr>
              <w:t>3</w:t>
            </w:r>
            <w:r>
              <w:rPr>
                <w:rFonts w:hint="eastAsia" w:ascii="宋体" w:hAnsi="宋体" w:cs="宋体"/>
                <w:sz w:val="24"/>
                <w:highlight w:val="none"/>
              </w:rPr>
              <w:t>）安装调试验收服务保证措施内容存在不符合项目需求的</w:t>
            </w:r>
            <w:r>
              <w:rPr>
                <w:rFonts w:ascii="宋体" w:hAnsi="宋体" w:cs="宋体"/>
                <w:sz w:val="24"/>
                <w:highlight w:val="none"/>
                <w:lang w:eastAsia="zh-Hans"/>
              </w:rPr>
              <w:t xml:space="preserve"> (得1分)。</w:t>
            </w:r>
          </w:p>
          <w:p w14:paraId="38A4C44E">
            <w:pPr>
              <w:rPr>
                <w:sz w:val="24"/>
                <w:highlight w:val="none"/>
                <w:lang w:eastAsia="zh-Hans" w:bidi="en-US"/>
              </w:rPr>
            </w:pPr>
            <w:r>
              <w:rPr>
                <w:rFonts w:hint="eastAsia"/>
                <w:sz w:val="24"/>
                <w:highlight w:val="none"/>
                <w:lang w:bidi="en-US"/>
              </w:rPr>
              <w:t>注：</w:t>
            </w:r>
            <w:r>
              <w:rPr>
                <w:rFonts w:hint="eastAsia"/>
                <w:sz w:val="24"/>
                <w:highlight w:val="none"/>
                <w:lang w:eastAsia="zh-Hans" w:bidi="en-US"/>
              </w:rPr>
              <w:t>未提供不得分。</w:t>
            </w:r>
          </w:p>
          <w:p w14:paraId="240BA587">
            <w:pPr>
              <w:rPr>
                <w:sz w:val="24"/>
                <w:highlight w:val="none"/>
                <w:lang w:eastAsia="zh-Hans" w:bidi="en-US"/>
              </w:rPr>
            </w:pPr>
            <w:r>
              <w:rPr>
                <w:rFonts w:hint="eastAsia"/>
                <w:sz w:val="24"/>
                <w:highlight w:val="none"/>
                <w:lang w:eastAsia="zh-Hans" w:bidi="en-US"/>
              </w:rPr>
              <w:t>缺陷是指方案内容与项目需求不完全一致、存在相互矛盾内容以及未针对本项目编写的任意一种情形。</w:t>
            </w:r>
          </w:p>
          <w:p w14:paraId="6DD9E091">
            <w:pPr>
              <w:rPr>
                <w:rFonts w:hint="eastAsia" w:ascii="宋体" w:hAnsi="宋体" w:cs="宋体"/>
                <w:sz w:val="24"/>
                <w:highlight w:val="none"/>
              </w:rPr>
            </w:pPr>
            <w:r>
              <w:rPr>
                <w:rFonts w:hint="eastAsia"/>
                <w:sz w:val="24"/>
                <w:highlight w:val="none"/>
                <w:lang w:eastAsia="zh-Hans" w:bidi="en-US"/>
              </w:rPr>
              <w:t>不符合项目需求是指存在与本项目执行无关的内容、存在相关内容在实际操作中不能运用的任意一种情形。</w:t>
            </w:r>
          </w:p>
        </w:tc>
      </w:tr>
      <w:tr w14:paraId="727BCE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81" w:hRule="atLeast"/>
          <w:jc w:val="center"/>
        </w:trPr>
        <w:tc>
          <w:tcPr>
            <w:tcW w:w="846" w:type="dxa"/>
            <w:vMerge w:val="continue"/>
            <w:vAlign w:val="center"/>
          </w:tcPr>
          <w:p w14:paraId="54FF07C5">
            <w:pPr>
              <w:adjustRightInd w:val="0"/>
              <w:snapToGrid w:val="0"/>
              <w:jc w:val="left"/>
              <w:rPr>
                <w:rFonts w:hint="eastAsia" w:ascii="宋体" w:hAnsi="宋体" w:cs="宋体"/>
                <w:sz w:val="24"/>
                <w:highlight w:val="none"/>
              </w:rPr>
            </w:pPr>
          </w:p>
        </w:tc>
        <w:tc>
          <w:tcPr>
            <w:tcW w:w="850" w:type="dxa"/>
            <w:vAlign w:val="center"/>
          </w:tcPr>
          <w:p w14:paraId="56D9E409">
            <w:pPr>
              <w:jc w:val="center"/>
              <w:rPr>
                <w:rFonts w:hint="eastAsia" w:ascii="宋体" w:hAnsi="宋体" w:cs="宋体"/>
                <w:sz w:val="24"/>
                <w:highlight w:val="none"/>
              </w:rPr>
            </w:pPr>
            <w:r>
              <w:rPr>
                <w:rFonts w:hint="eastAsia" w:ascii="宋体" w:hAnsi="宋体" w:cs="宋体"/>
                <w:sz w:val="24"/>
                <w:highlight w:val="none"/>
              </w:rPr>
              <w:t>培训方案</w:t>
            </w:r>
          </w:p>
        </w:tc>
        <w:tc>
          <w:tcPr>
            <w:tcW w:w="709" w:type="dxa"/>
            <w:vAlign w:val="center"/>
          </w:tcPr>
          <w:p w14:paraId="000E1473">
            <w:pPr>
              <w:jc w:val="center"/>
              <w:rPr>
                <w:rFonts w:hint="eastAsia" w:ascii="宋体" w:hAnsi="宋体" w:cs="宋体"/>
                <w:sz w:val="24"/>
                <w:highlight w:val="none"/>
              </w:rPr>
            </w:pPr>
            <w:r>
              <w:rPr>
                <w:rFonts w:hint="eastAsia" w:ascii="宋体" w:hAnsi="宋体" w:cs="宋体"/>
                <w:sz w:val="24"/>
                <w:highlight w:val="none"/>
              </w:rPr>
              <w:t>4</w:t>
            </w:r>
          </w:p>
        </w:tc>
        <w:tc>
          <w:tcPr>
            <w:tcW w:w="6778" w:type="dxa"/>
            <w:vAlign w:val="center"/>
          </w:tcPr>
          <w:p w14:paraId="373337D3">
            <w:pPr>
              <w:rPr>
                <w:rFonts w:hint="eastAsia" w:ascii="宋体" w:hAnsi="宋体" w:cs="宋体"/>
                <w:b/>
                <w:bCs/>
                <w:sz w:val="24"/>
                <w:highlight w:val="none"/>
              </w:rPr>
            </w:pPr>
            <w:r>
              <w:rPr>
                <w:rFonts w:hint="eastAsia" w:ascii="宋体" w:hAnsi="宋体" w:cs="宋体"/>
                <w:b/>
                <w:bCs/>
                <w:sz w:val="24"/>
                <w:highlight w:val="none"/>
              </w:rPr>
              <w:t>培训方案</w:t>
            </w:r>
            <w:r>
              <w:rPr>
                <w:rFonts w:ascii="宋体" w:hAnsi="宋体" w:cs="宋体"/>
                <w:b/>
                <w:bCs/>
                <w:sz w:val="24"/>
                <w:highlight w:val="none"/>
              </w:rPr>
              <w:t>（满分</w:t>
            </w:r>
            <w:r>
              <w:rPr>
                <w:rFonts w:hint="eastAsia" w:ascii="宋体" w:hAnsi="宋体" w:cs="宋体"/>
                <w:b/>
                <w:bCs/>
                <w:sz w:val="24"/>
                <w:highlight w:val="none"/>
              </w:rPr>
              <w:t>4</w:t>
            </w:r>
            <w:r>
              <w:rPr>
                <w:rFonts w:ascii="宋体" w:hAnsi="宋体" w:cs="宋体"/>
                <w:b/>
                <w:bCs/>
                <w:sz w:val="24"/>
                <w:highlight w:val="none"/>
              </w:rPr>
              <w:t>分）：</w:t>
            </w:r>
          </w:p>
          <w:p w14:paraId="42F16E66">
            <w:pPr>
              <w:rPr>
                <w:rFonts w:hint="eastAsia" w:ascii="宋体" w:hAnsi="宋体" w:cs="宋体"/>
                <w:b/>
                <w:bCs/>
                <w:sz w:val="24"/>
                <w:highlight w:val="none"/>
              </w:rPr>
            </w:pPr>
            <w:r>
              <w:rPr>
                <w:rFonts w:hint="eastAsia" w:ascii="宋体" w:hAnsi="宋体"/>
                <w:sz w:val="24"/>
                <w:highlight w:val="none"/>
              </w:rPr>
              <w:t>根据</w:t>
            </w:r>
            <w:r>
              <w:rPr>
                <w:rFonts w:ascii="宋体" w:hAnsi="宋体"/>
                <w:sz w:val="24"/>
                <w:highlight w:val="none"/>
              </w:rPr>
              <w:t>投标人的</w:t>
            </w:r>
            <w:r>
              <w:rPr>
                <w:rFonts w:hint="eastAsia" w:ascii="宋体" w:hAnsi="宋体"/>
                <w:sz w:val="24"/>
                <w:highlight w:val="none"/>
              </w:rPr>
              <w:t>培训</w:t>
            </w:r>
            <w:r>
              <w:rPr>
                <w:rFonts w:ascii="宋体" w:hAnsi="宋体"/>
                <w:sz w:val="24"/>
                <w:highlight w:val="none"/>
              </w:rPr>
              <w:t>方案（包括但不限于</w:t>
            </w:r>
            <w:r>
              <w:rPr>
                <w:rFonts w:hint="eastAsia" w:ascii="宋体" w:hAnsi="宋体"/>
                <w:sz w:val="24"/>
                <w:highlight w:val="none"/>
              </w:rPr>
              <w:t>培训师资、培训内容、培训时间和进度安排等</w:t>
            </w:r>
            <w:r>
              <w:rPr>
                <w:rFonts w:ascii="宋体" w:hAnsi="宋体"/>
                <w:sz w:val="24"/>
                <w:highlight w:val="none"/>
              </w:rPr>
              <w:t>等）进行综合评审：</w:t>
            </w:r>
          </w:p>
          <w:p w14:paraId="432510E0">
            <w:pPr>
              <w:rPr>
                <w:rFonts w:hint="eastAsia" w:ascii="宋体" w:hAnsi="宋体" w:cs="宋体"/>
                <w:sz w:val="24"/>
                <w:highlight w:val="none"/>
                <w:lang w:eastAsia="zh-Hans"/>
              </w:rPr>
            </w:pPr>
            <w:r>
              <w:rPr>
                <w:rFonts w:ascii="宋体" w:hAnsi="宋体" w:cs="宋体"/>
                <w:sz w:val="24"/>
                <w:highlight w:val="none"/>
                <w:lang w:eastAsia="zh-Hans"/>
              </w:rPr>
              <w:t>1</w:t>
            </w:r>
            <w:r>
              <w:rPr>
                <w:rFonts w:hint="eastAsia" w:ascii="宋体" w:hAnsi="宋体" w:cs="宋体"/>
                <w:sz w:val="24"/>
                <w:highlight w:val="none"/>
              </w:rPr>
              <w:t>.</w:t>
            </w:r>
            <w:r>
              <w:rPr>
                <w:rFonts w:ascii="宋体" w:hAnsi="宋体" w:cs="宋体"/>
                <w:sz w:val="24"/>
                <w:highlight w:val="none"/>
                <w:lang w:eastAsia="zh-Hans"/>
              </w:rPr>
              <w:t>培训方案</w:t>
            </w:r>
            <w:r>
              <w:rPr>
                <w:rFonts w:hint="eastAsia" w:ascii="宋体" w:hAnsi="宋体" w:cs="宋体"/>
                <w:sz w:val="24"/>
                <w:highlight w:val="none"/>
              </w:rPr>
              <w:t>内容</w:t>
            </w:r>
            <w:r>
              <w:rPr>
                <w:rFonts w:ascii="宋体" w:hAnsi="宋体" w:cs="宋体"/>
                <w:sz w:val="24"/>
                <w:highlight w:val="none"/>
                <w:lang w:eastAsia="zh-Hans"/>
              </w:rPr>
              <w:t>全面合理、</w:t>
            </w:r>
            <w:r>
              <w:rPr>
                <w:rFonts w:hint="eastAsia" w:ascii="宋体" w:hAnsi="宋体" w:cs="宋体"/>
                <w:sz w:val="24"/>
                <w:highlight w:val="none"/>
                <w:lang w:val="en-US" w:eastAsia="zh-CN"/>
              </w:rPr>
              <w:t>内容描述具有针对性</w:t>
            </w:r>
            <w:r>
              <w:rPr>
                <w:rFonts w:ascii="宋体" w:hAnsi="宋体" w:cs="宋体"/>
                <w:sz w:val="24"/>
                <w:highlight w:val="none"/>
                <w:lang w:eastAsia="zh-Hans"/>
              </w:rPr>
              <w:t>，能够充分满足</w:t>
            </w:r>
            <w:r>
              <w:rPr>
                <w:rFonts w:hint="eastAsia" w:ascii="宋体" w:hAnsi="宋体" w:cs="宋体"/>
                <w:sz w:val="24"/>
                <w:highlight w:val="none"/>
              </w:rPr>
              <w:t>项目</w:t>
            </w:r>
            <w:r>
              <w:rPr>
                <w:rFonts w:ascii="宋体" w:hAnsi="宋体" w:cs="宋体"/>
                <w:sz w:val="24"/>
                <w:highlight w:val="none"/>
                <w:lang w:eastAsia="zh-Hans"/>
              </w:rPr>
              <w:t>需求(得</w:t>
            </w:r>
            <w:r>
              <w:rPr>
                <w:rFonts w:hint="eastAsia" w:ascii="宋体" w:hAnsi="宋体" w:cs="宋体"/>
                <w:sz w:val="24"/>
                <w:highlight w:val="none"/>
              </w:rPr>
              <w:t>4</w:t>
            </w:r>
            <w:r>
              <w:rPr>
                <w:rFonts w:ascii="宋体" w:hAnsi="宋体" w:cs="宋体"/>
                <w:sz w:val="24"/>
                <w:highlight w:val="none"/>
                <w:lang w:eastAsia="zh-Hans"/>
              </w:rPr>
              <w:t>分)；</w:t>
            </w:r>
          </w:p>
          <w:p w14:paraId="65C2E75F">
            <w:pPr>
              <w:rPr>
                <w:rFonts w:hint="eastAsia" w:ascii="宋体" w:hAnsi="宋体" w:cs="宋体"/>
                <w:sz w:val="24"/>
                <w:highlight w:val="none"/>
                <w:lang w:eastAsia="zh-Hans"/>
              </w:rPr>
            </w:pPr>
            <w:r>
              <w:rPr>
                <w:rFonts w:hint="eastAsia" w:ascii="宋体" w:hAnsi="宋体" w:cs="宋体"/>
                <w:sz w:val="24"/>
                <w:highlight w:val="none"/>
              </w:rPr>
              <w:t>2.</w:t>
            </w:r>
            <w:r>
              <w:rPr>
                <w:rFonts w:ascii="宋体" w:hAnsi="宋体" w:cs="宋体"/>
                <w:sz w:val="24"/>
                <w:highlight w:val="none"/>
                <w:lang w:eastAsia="zh-Hans"/>
              </w:rPr>
              <w:t>培训方案</w:t>
            </w:r>
            <w:r>
              <w:rPr>
                <w:rFonts w:hint="eastAsia" w:ascii="宋体" w:hAnsi="宋体" w:cs="宋体"/>
                <w:sz w:val="24"/>
                <w:highlight w:val="none"/>
              </w:rPr>
              <w:t>内容完整</w:t>
            </w:r>
            <w:r>
              <w:rPr>
                <w:rFonts w:ascii="宋体" w:hAnsi="宋体" w:cs="宋体"/>
                <w:sz w:val="24"/>
                <w:highlight w:val="none"/>
                <w:lang w:eastAsia="zh-Hans"/>
              </w:rPr>
              <w:t>，</w:t>
            </w:r>
            <w:r>
              <w:rPr>
                <w:rFonts w:hint="eastAsia" w:ascii="宋体" w:hAnsi="宋体" w:cs="宋体"/>
                <w:sz w:val="24"/>
                <w:highlight w:val="none"/>
                <w:lang w:eastAsia="zh-Hans"/>
              </w:rPr>
              <w:t>但方案内容存在缺陷的</w:t>
            </w:r>
            <w:r>
              <w:rPr>
                <w:rFonts w:ascii="宋体" w:hAnsi="宋体" w:cs="宋体"/>
                <w:sz w:val="24"/>
                <w:highlight w:val="none"/>
                <w:lang w:eastAsia="zh-Hans"/>
              </w:rPr>
              <w:t xml:space="preserve"> (得</w:t>
            </w:r>
            <w:r>
              <w:rPr>
                <w:rFonts w:hint="eastAsia" w:ascii="宋体" w:hAnsi="宋体" w:cs="宋体"/>
                <w:sz w:val="24"/>
                <w:highlight w:val="none"/>
              </w:rPr>
              <w:t>2</w:t>
            </w:r>
            <w:r>
              <w:rPr>
                <w:rFonts w:ascii="宋体" w:hAnsi="宋体" w:cs="宋体"/>
                <w:sz w:val="24"/>
                <w:highlight w:val="none"/>
                <w:lang w:eastAsia="zh-Hans"/>
              </w:rPr>
              <w:t>分)。</w:t>
            </w:r>
          </w:p>
          <w:p w14:paraId="01331A62">
            <w:pPr>
              <w:rPr>
                <w:rFonts w:hint="eastAsia" w:ascii="宋体" w:hAnsi="宋体" w:cs="宋体"/>
                <w:sz w:val="24"/>
                <w:highlight w:val="none"/>
                <w:lang w:eastAsia="zh-Hans"/>
              </w:rPr>
            </w:pPr>
            <w:r>
              <w:rPr>
                <w:rFonts w:hint="eastAsia" w:ascii="宋体" w:hAnsi="宋体" w:cs="宋体"/>
                <w:sz w:val="24"/>
                <w:highlight w:val="none"/>
              </w:rPr>
              <w:t>3.方案内容存在不符合项目需求的，或方案中缺少上述应包括内容任意一项内容的</w:t>
            </w:r>
            <w:r>
              <w:rPr>
                <w:rFonts w:ascii="宋体" w:hAnsi="宋体" w:cs="宋体"/>
                <w:sz w:val="24"/>
                <w:highlight w:val="none"/>
                <w:lang w:eastAsia="zh-Hans"/>
              </w:rPr>
              <w:t xml:space="preserve"> (得1分)。</w:t>
            </w:r>
          </w:p>
          <w:p w14:paraId="2087CE09">
            <w:pPr>
              <w:ind w:right="42" w:rightChars="20"/>
              <w:rPr>
                <w:rFonts w:hint="eastAsia" w:ascii="宋体" w:hAnsi="宋体" w:cs="宋体"/>
                <w:sz w:val="24"/>
                <w:highlight w:val="none"/>
                <w:lang w:eastAsia="zh-Hans"/>
              </w:rPr>
            </w:pPr>
            <w:r>
              <w:rPr>
                <w:rFonts w:hint="eastAsia" w:ascii="宋体" w:hAnsi="宋体" w:cs="宋体"/>
                <w:sz w:val="24"/>
                <w:highlight w:val="none"/>
              </w:rPr>
              <w:t>4.</w:t>
            </w:r>
            <w:r>
              <w:rPr>
                <w:rFonts w:ascii="宋体" w:hAnsi="宋体" w:cs="宋体"/>
                <w:sz w:val="24"/>
                <w:highlight w:val="none"/>
                <w:lang w:eastAsia="zh-Hans"/>
              </w:rPr>
              <w:t>未提供不得分。</w:t>
            </w:r>
          </w:p>
          <w:p w14:paraId="14F7FE19">
            <w:pPr>
              <w:ind w:right="42" w:rightChars="20"/>
              <w:rPr>
                <w:rFonts w:hint="eastAsia" w:ascii="宋体" w:hAnsi="宋体" w:cs="宋体"/>
                <w:sz w:val="24"/>
                <w:highlight w:val="none"/>
                <w:lang w:eastAsia="zh-Hans"/>
              </w:rPr>
            </w:pPr>
            <w:r>
              <w:rPr>
                <w:rFonts w:hint="eastAsia" w:ascii="宋体" w:hAnsi="宋体" w:cs="宋体"/>
                <w:sz w:val="24"/>
                <w:highlight w:val="none"/>
              </w:rPr>
              <w:t>注：</w:t>
            </w:r>
            <w:r>
              <w:rPr>
                <w:rFonts w:hint="eastAsia" w:ascii="宋体" w:hAnsi="宋体" w:cs="宋体"/>
                <w:sz w:val="24"/>
                <w:highlight w:val="none"/>
                <w:lang w:eastAsia="zh-Hans"/>
              </w:rPr>
              <w:t>缺陷是指方案内容与项目需求不完全一致、存在相互矛盾内容以及未针对本项目编写的任意一种情形。</w:t>
            </w:r>
          </w:p>
          <w:p w14:paraId="08DBC75C">
            <w:pPr>
              <w:ind w:right="42" w:rightChars="20"/>
              <w:rPr>
                <w:rFonts w:hint="eastAsia" w:ascii="宋体" w:hAnsi="宋体" w:cs="宋体"/>
                <w:sz w:val="24"/>
                <w:highlight w:val="none"/>
              </w:rPr>
            </w:pPr>
            <w:r>
              <w:rPr>
                <w:rFonts w:hint="eastAsia" w:ascii="宋体" w:hAnsi="宋体" w:cs="宋体"/>
                <w:sz w:val="24"/>
                <w:highlight w:val="none"/>
                <w:lang w:eastAsia="zh-Hans"/>
              </w:rPr>
              <w:t>不符合项目需求是指存在与本项目执行无关的内容、存在相关内容在实际操作中不能运用的任意一种情形。</w:t>
            </w:r>
          </w:p>
        </w:tc>
      </w:tr>
      <w:tr w14:paraId="4BBA67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84" w:hRule="atLeast"/>
          <w:jc w:val="center"/>
        </w:trPr>
        <w:tc>
          <w:tcPr>
            <w:tcW w:w="846" w:type="dxa"/>
            <w:vMerge w:val="continue"/>
            <w:vAlign w:val="center"/>
          </w:tcPr>
          <w:p w14:paraId="129DB98F">
            <w:pPr>
              <w:adjustRightInd w:val="0"/>
              <w:snapToGrid w:val="0"/>
              <w:jc w:val="left"/>
              <w:rPr>
                <w:rFonts w:hint="eastAsia" w:ascii="宋体" w:hAnsi="宋体" w:cs="宋体"/>
                <w:sz w:val="24"/>
                <w:highlight w:val="none"/>
              </w:rPr>
            </w:pPr>
          </w:p>
        </w:tc>
        <w:tc>
          <w:tcPr>
            <w:tcW w:w="850" w:type="dxa"/>
            <w:vAlign w:val="center"/>
          </w:tcPr>
          <w:p w14:paraId="47E46E8D">
            <w:pPr>
              <w:jc w:val="center"/>
              <w:rPr>
                <w:rFonts w:hint="eastAsia" w:ascii="宋体" w:hAnsi="宋体" w:cs="宋体"/>
                <w:sz w:val="24"/>
                <w:highlight w:val="none"/>
              </w:rPr>
            </w:pPr>
            <w:r>
              <w:rPr>
                <w:rFonts w:hint="eastAsia"/>
                <w:sz w:val="24"/>
                <w:highlight w:val="none"/>
                <w:lang w:bidi="en-US"/>
              </w:rPr>
              <w:t>售后服务方案</w:t>
            </w:r>
          </w:p>
        </w:tc>
        <w:tc>
          <w:tcPr>
            <w:tcW w:w="709" w:type="dxa"/>
            <w:vAlign w:val="center"/>
          </w:tcPr>
          <w:p w14:paraId="2171FBA1">
            <w:pPr>
              <w:jc w:val="center"/>
              <w:rPr>
                <w:rFonts w:hint="eastAsia" w:ascii="宋体" w:hAnsi="宋体" w:cs="宋体"/>
                <w:sz w:val="24"/>
                <w:highlight w:val="none"/>
              </w:rPr>
            </w:pPr>
            <w:r>
              <w:rPr>
                <w:rFonts w:hint="eastAsia" w:ascii="宋体" w:hAnsi="宋体" w:cs="宋体"/>
                <w:sz w:val="24"/>
                <w:highlight w:val="none"/>
              </w:rPr>
              <w:t>8</w:t>
            </w:r>
          </w:p>
        </w:tc>
        <w:tc>
          <w:tcPr>
            <w:tcW w:w="6778" w:type="dxa"/>
            <w:vAlign w:val="center"/>
          </w:tcPr>
          <w:p w14:paraId="2CCF1240">
            <w:pPr>
              <w:jc w:val="left"/>
              <w:rPr>
                <w:rFonts w:hint="eastAsia" w:ascii="宋体" w:hAnsi="宋体" w:cs="宋体"/>
                <w:b/>
                <w:bCs/>
                <w:sz w:val="24"/>
                <w:highlight w:val="none"/>
                <w:lang w:eastAsia="zh-Hans"/>
              </w:rPr>
            </w:pPr>
            <w:r>
              <w:rPr>
                <w:rFonts w:hint="eastAsia" w:ascii="宋体" w:hAnsi="宋体" w:cs="宋体"/>
                <w:b/>
                <w:bCs/>
                <w:sz w:val="24"/>
                <w:highlight w:val="none"/>
              </w:rPr>
              <w:t>1.</w:t>
            </w:r>
            <w:r>
              <w:rPr>
                <w:rFonts w:ascii="宋体" w:hAnsi="宋体" w:cs="宋体"/>
                <w:b/>
                <w:bCs/>
                <w:sz w:val="24"/>
                <w:highlight w:val="none"/>
                <w:lang w:eastAsia="zh-Hans"/>
              </w:rPr>
              <w:t>售后服务</w:t>
            </w:r>
            <w:r>
              <w:rPr>
                <w:rFonts w:ascii="宋体" w:hAnsi="宋体" w:cs="宋体"/>
                <w:b/>
                <w:bCs/>
                <w:sz w:val="24"/>
                <w:highlight w:val="none"/>
              </w:rPr>
              <w:t>方案</w:t>
            </w:r>
            <w:r>
              <w:rPr>
                <w:rFonts w:ascii="宋体" w:hAnsi="宋体" w:cs="宋体"/>
                <w:b/>
                <w:bCs/>
                <w:sz w:val="24"/>
                <w:highlight w:val="none"/>
                <w:lang w:eastAsia="zh-Hans"/>
              </w:rPr>
              <w:t>（满分</w:t>
            </w:r>
            <w:r>
              <w:rPr>
                <w:rFonts w:hint="eastAsia" w:ascii="宋体" w:hAnsi="宋体" w:cs="宋体"/>
                <w:b/>
                <w:bCs/>
                <w:sz w:val="24"/>
                <w:highlight w:val="none"/>
              </w:rPr>
              <w:t>4</w:t>
            </w:r>
            <w:r>
              <w:rPr>
                <w:rFonts w:ascii="宋体" w:hAnsi="宋体" w:cs="宋体"/>
                <w:b/>
                <w:bCs/>
                <w:sz w:val="24"/>
                <w:highlight w:val="none"/>
                <w:lang w:eastAsia="zh-Hans"/>
              </w:rPr>
              <w:t>分）</w:t>
            </w:r>
          </w:p>
          <w:p w14:paraId="1EFBF506">
            <w:pPr>
              <w:jc w:val="left"/>
              <w:rPr>
                <w:rFonts w:hint="eastAsia" w:ascii="宋体" w:hAnsi="宋体" w:cs="宋体"/>
                <w:b/>
                <w:bCs/>
                <w:sz w:val="24"/>
                <w:highlight w:val="none"/>
              </w:rPr>
            </w:pPr>
            <w:r>
              <w:rPr>
                <w:rFonts w:ascii="宋体" w:hAnsi="宋体"/>
                <w:sz w:val="24"/>
                <w:highlight w:val="none"/>
              </w:rPr>
              <w:t>根据投标人提供的售后服务方案（包括但不限于</w:t>
            </w:r>
            <w:r>
              <w:rPr>
                <w:rFonts w:ascii="宋体" w:hAnsi="宋体" w:cs="宋体"/>
                <w:sz w:val="24"/>
                <w:highlight w:val="none"/>
                <w:lang w:eastAsia="zh-Hans"/>
              </w:rPr>
              <w:t>售后响应时间</w:t>
            </w:r>
            <w:r>
              <w:rPr>
                <w:rFonts w:ascii="宋体" w:hAnsi="宋体"/>
                <w:sz w:val="24"/>
                <w:highlight w:val="none"/>
              </w:rPr>
              <w:t>、</w:t>
            </w:r>
            <w:r>
              <w:rPr>
                <w:rFonts w:ascii="宋体" w:hAnsi="宋体" w:cs="宋体"/>
                <w:sz w:val="24"/>
                <w:highlight w:val="none"/>
                <w:lang w:eastAsia="zh-Hans"/>
              </w:rPr>
              <w:t>维修方案</w:t>
            </w:r>
            <w:r>
              <w:rPr>
                <w:rFonts w:ascii="宋体" w:hAnsi="宋体"/>
                <w:sz w:val="24"/>
                <w:highlight w:val="none"/>
              </w:rPr>
              <w:t>、</w:t>
            </w:r>
            <w:r>
              <w:rPr>
                <w:rFonts w:hint="eastAsia" w:ascii="宋体" w:hAnsi="宋体"/>
                <w:sz w:val="24"/>
                <w:highlight w:val="none"/>
              </w:rPr>
              <w:t>质保期承诺、质保期内质量保证措施、</w:t>
            </w:r>
            <w:r>
              <w:rPr>
                <w:rFonts w:ascii="宋体" w:hAnsi="宋体"/>
                <w:sz w:val="24"/>
                <w:highlight w:val="none"/>
              </w:rPr>
              <w:t>应急措施等）进行综合评审</w:t>
            </w:r>
            <w:r>
              <w:rPr>
                <w:rFonts w:hint="eastAsia" w:ascii="宋体" w:hAnsi="宋体"/>
                <w:sz w:val="24"/>
                <w:highlight w:val="none"/>
              </w:rPr>
              <w:t>：</w:t>
            </w:r>
          </w:p>
          <w:p w14:paraId="42F39D81">
            <w:pPr>
              <w:rPr>
                <w:rFonts w:hint="eastAsia" w:ascii="宋体" w:hAnsi="宋体" w:cs="宋体"/>
                <w:sz w:val="24"/>
                <w:highlight w:val="none"/>
                <w:lang w:eastAsia="zh-Hans"/>
              </w:rPr>
            </w:pPr>
            <w:r>
              <w:rPr>
                <w:rFonts w:ascii="宋体" w:hAnsi="宋体" w:cs="宋体"/>
                <w:sz w:val="24"/>
                <w:highlight w:val="none"/>
                <w:lang w:eastAsia="zh-Hans"/>
              </w:rPr>
              <w:t>1</w:t>
            </w:r>
            <w:r>
              <w:rPr>
                <w:rFonts w:hint="eastAsia" w:ascii="宋体" w:hAnsi="宋体" w:cs="宋体"/>
                <w:sz w:val="24"/>
                <w:highlight w:val="none"/>
              </w:rPr>
              <w:t>）</w:t>
            </w:r>
            <w:r>
              <w:rPr>
                <w:rFonts w:hint="eastAsia"/>
                <w:sz w:val="24"/>
                <w:highlight w:val="none"/>
                <w:lang w:bidi="en-US"/>
              </w:rPr>
              <w:t>售后服务方案</w:t>
            </w:r>
            <w:r>
              <w:rPr>
                <w:rFonts w:hint="eastAsia" w:ascii="宋体" w:hAnsi="宋体" w:cs="宋体"/>
                <w:sz w:val="24"/>
                <w:highlight w:val="none"/>
              </w:rPr>
              <w:t>内容</w:t>
            </w:r>
            <w:r>
              <w:rPr>
                <w:rFonts w:ascii="宋体" w:hAnsi="宋体" w:cs="宋体"/>
                <w:sz w:val="24"/>
                <w:highlight w:val="none"/>
                <w:lang w:eastAsia="zh-Hans"/>
              </w:rPr>
              <w:t>全面合理、</w:t>
            </w:r>
            <w:r>
              <w:rPr>
                <w:rFonts w:hint="eastAsia" w:ascii="宋体" w:hAnsi="宋体" w:cs="宋体"/>
                <w:sz w:val="24"/>
                <w:highlight w:val="none"/>
                <w:lang w:val="en-US" w:eastAsia="zh-CN"/>
              </w:rPr>
              <w:t>内容描述具有针对性</w:t>
            </w:r>
            <w:r>
              <w:rPr>
                <w:rFonts w:ascii="宋体" w:hAnsi="宋体" w:cs="宋体"/>
                <w:sz w:val="24"/>
                <w:highlight w:val="none"/>
                <w:lang w:eastAsia="zh-Hans"/>
              </w:rPr>
              <w:t>，能够充分满足</w:t>
            </w:r>
            <w:r>
              <w:rPr>
                <w:rFonts w:hint="eastAsia" w:ascii="宋体" w:hAnsi="宋体" w:cs="宋体"/>
                <w:sz w:val="24"/>
                <w:highlight w:val="none"/>
              </w:rPr>
              <w:t>项目</w:t>
            </w:r>
            <w:r>
              <w:rPr>
                <w:rFonts w:ascii="宋体" w:hAnsi="宋体" w:cs="宋体"/>
                <w:sz w:val="24"/>
                <w:highlight w:val="none"/>
                <w:lang w:eastAsia="zh-Hans"/>
              </w:rPr>
              <w:t>需求(得</w:t>
            </w:r>
            <w:r>
              <w:rPr>
                <w:rFonts w:hint="eastAsia" w:ascii="宋体" w:hAnsi="宋体" w:cs="宋体"/>
                <w:sz w:val="24"/>
                <w:highlight w:val="none"/>
              </w:rPr>
              <w:t>4</w:t>
            </w:r>
            <w:r>
              <w:rPr>
                <w:rFonts w:ascii="宋体" w:hAnsi="宋体" w:cs="宋体"/>
                <w:sz w:val="24"/>
                <w:highlight w:val="none"/>
                <w:lang w:eastAsia="zh-Hans"/>
              </w:rPr>
              <w:t>分)；</w:t>
            </w:r>
          </w:p>
          <w:p w14:paraId="16EE2BCB">
            <w:pPr>
              <w:rPr>
                <w:rFonts w:hint="eastAsia" w:ascii="宋体" w:hAnsi="宋体" w:cs="宋体"/>
                <w:sz w:val="24"/>
                <w:highlight w:val="none"/>
                <w:lang w:eastAsia="zh-Hans"/>
              </w:rPr>
            </w:pPr>
            <w:r>
              <w:rPr>
                <w:rFonts w:ascii="宋体" w:hAnsi="宋体" w:cs="宋体"/>
                <w:sz w:val="24"/>
                <w:highlight w:val="none"/>
                <w:lang w:eastAsia="zh-Hans"/>
              </w:rPr>
              <w:t>2</w:t>
            </w:r>
            <w:r>
              <w:rPr>
                <w:rFonts w:hint="eastAsia" w:ascii="宋体" w:hAnsi="宋体" w:cs="宋体"/>
                <w:sz w:val="24"/>
                <w:highlight w:val="none"/>
              </w:rPr>
              <w:t>）</w:t>
            </w:r>
            <w:r>
              <w:rPr>
                <w:rFonts w:hint="eastAsia"/>
                <w:sz w:val="24"/>
                <w:highlight w:val="none"/>
                <w:lang w:bidi="en-US"/>
              </w:rPr>
              <w:t>售后服务方案</w:t>
            </w:r>
            <w:r>
              <w:rPr>
                <w:rFonts w:hint="eastAsia" w:ascii="宋体" w:hAnsi="宋体" w:cs="宋体"/>
                <w:sz w:val="24"/>
                <w:highlight w:val="none"/>
              </w:rPr>
              <w:t>内容完整</w:t>
            </w:r>
            <w:r>
              <w:rPr>
                <w:rFonts w:ascii="宋体" w:hAnsi="宋体" w:cs="宋体"/>
                <w:sz w:val="24"/>
                <w:highlight w:val="none"/>
                <w:lang w:eastAsia="zh-Hans"/>
              </w:rPr>
              <w:t>，</w:t>
            </w:r>
            <w:r>
              <w:rPr>
                <w:rFonts w:hint="eastAsia" w:ascii="宋体" w:hAnsi="宋体" w:cs="宋体"/>
                <w:sz w:val="24"/>
                <w:highlight w:val="none"/>
                <w:lang w:eastAsia="zh-Hans"/>
              </w:rPr>
              <w:t>但方案内容存在缺陷的</w:t>
            </w:r>
            <w:r>
              <w:rPr>
                <w:rFonts w:ascii="宋体" w:hAnsi="宋体" w:cs="宋体"/>
                <w:sz w:val="24"/>
                <w:highlight w:val="none"/>
                <w:lang w:eastAsia="zh-Hans"/>
              </w:rPr>
              <w:t xml:space="preserve"> (得</w:t>
            </w:r>
            <w:r>
              <w:rPr>
                <w:rFonts w:hint="eastAsia" w:ascii="宋体" w:hAnsi="宋体" w:cs="宋体"/>
                <w:sz w:val="24"/>
                <w:highlight w:val="none"/>
              </w:rPr>
              <w:t>2</w:t>
            </w:r>
            <w:r>
              <w:rPr>
                <w:rFonts w:ascii="宋体" w:hAnsi="宋体" w:cs="宋体"/>
                <w:sz w:val="24"/>
                <w:highlight w:val="none"/>
                <w:lang w:eastAsia="zh-Hans"/>
              </w:rPr>
              <w:t>分)。</w:t>
            </w:r>
          </w:p>
          <w:p w14:paraId="4A12BAA0">
            <w:pPr>
              <w:rPr>
                <w:rFonts w:hint="eastAsia" w:ascii="宋体" w:hAnsi="宋体" w:cs="宋体"/>
                <w:sz w:val="24"/>
                <w:highlight w:val="none"/>
                <w:lang w:eastAsia="zh-Hans"/>
              </w:rPr>
            </w:pPr>
            <w:r>
              <w:rPr>
                <w:rFonts w:hint="eastAsia" w:ascii="宋体" w:hAnsi="宋体" w:cs="宋体"/>
                <w:sz w:val="24"/>
                <w:highlight w:val="none"/>
              </w:rPr>
              <w:t>3）方案内容存在不符合项目需求的，或方案中缺少上述应包括内容任意一项内容的</w:t>
            </w:r>
            <w:r>
              <w:rPr>
                <w:rFonts w:ascii="宋体" w:hAnsi="宋体" w:cs="宋体"/>
                <w:sz w:val="24"/>
                <w:highlight w:val="none"/>
                <w:lang w:eastAsia="zh-Hans"/>
              </w:rPr>
              <w:t xml:space="preserve"> (得1分)。</w:t>
            </w:r>
          </w:p>
          <w:p w14:paraId="4B8E6896">
            <w:pPr>
              <w:jc w:val="left"/>
              <w:rPr>
                <w:rFonts w:hint="eastAsia" w:ascii="宋体" w:hAnsi="宋体" w:cs="宋体"/>
                <w:b/>
                <w:bCs/>
                <w:sz w:val="24"/>
                <w:highlight w:val="none"/>
                <w:lang w:eastAsia="zh-Hans"/>
              </w:rPr>
            </w:pPr>
            <w:r>
              <w:rPr>
                <w:rFonts w:hint="eastAsia" w:ascii="宋体" w:hAnsi="宋体" w:cs="宋体"/>
                <w:b/>
                <w:bCs/>
                <w:sz w:val="24"/>
                <w:highlight w:val="none"/>
              </w:rPr>
              <w:t>2.</w:t>
            </w:r>
            <w:r>
              <w:rPr>
                <w:rFonts w:hint="eastAsia" w:ascii="宋体" w:hAnsi="宋体" w:cs="宋体"/>
                <w:b/>
                <w:bCs/>
                <w:sz w:val="24"/>
                <w:highlight w:val="none"/>
                <w:lang w:eastAsia="zh-Hans"/>
              </w:rPr>
              <w:t>技术支持承诺（满分</w:t>
            </w:r>
            <w:r>
              <w:rPr>
                <w:rFonts w:hint="eastAsia" w:ascii="宋体" w:hAnsi="宋体" w:cs="宋体"/>
                <w:b/>
                <w:bCs/>
                <w:sz w:val="24"/>
                <w:highlight w:val="none"/>
              </w:rPr>
              <w:t>4</w:t>
            </w:r>
            <w:r>
              <w:rPr>
                <w:rFonts w:hint="eastAsia" w:ascii="宋体" w:hAnsi="宋体" w:cs="宋体"/>
                <w:b/>
                <w:bCs/>
                <w:sz w:val="24"/>
                <w:highlight w:val="none"/>
                <w:lang w:eastAsia="zh-Hans"/>
              </w:rPr>
              <w:t>分）</w:t>
            </w:r>
          </w:p>
          <w:p w14:paraId="314F21E1">
            <w:pPr>
              <w:jc w:val="left"/>
              <w:rPr>
                <w:rFonts w:hint="eastAsia" w:ascii="宋体" w:hAnsi="宋体" w:cs="宋体"/>
                <w:sz w:val="24"/>
                <w:highlight w:val="none"/>
                <w:lang w:eastAsia="zh-Hans"/>
              </w:rPr>
            </w:pPr>
            <w:r>
              <w:rPr>
                <w:rFonts w:hint="eastAsia" w:ascii="宋体" w:hAnsi="宋体" w:cs="宋体"/>
                <w:sz w:val="24"/>
                <w:highlight w:val="none"/>
              </w:rPr>
              <w:t>1）</w:t>
            </w:r>
            <w:r>
              <w:rPr>
                <w:rFonts w:hint="eastAsia" w:ascii="宋体" w:hAnsi="宋体" w:cs="宋体"/>
                <w:sz w:val="24"/>
                <w:highlight w:val="none"/>
                <w:lang w:eastAsia="zh-Hans"/>
              </w:rPr>
              <w:t>投标人技术支持承诺内容</w:t>
            </w:r>
            <w:r>
              <w:rPr>
                <w:rFonts w:hint="eastAsia" w:ascii="宋体" w:hAnsi="宋体" w:cs="宋体"/>
                <w:sz w:val="24"/>
                <w:highlight w:val="none"/>
              </w:rPr>
              <w:t>完全满足</w:t>
            </w:r>
            <w:r>
              <w:rPr>
                <w:rFonts w:hint="eastAsia" w:ascii="宋体" w:hAnsi="宋体" w:cs="宋体"/>
                <w:sz w:val="24"/>
                <w:highlight w:val="none"/>
                <w:lang w:eastAsia="zh-Hans"/>
              </w:rPr>
              <w:t>招标要求，售后响应时间</w:t>
            </w:r>
            <w:r>
              <w:rPr>
                <w:rFonts w:hint="eastAsia" w:ascii="宋体" w:hAnsi="宋体" w:cs="宋体"/>
                <w:sz w:val="24"/>
                <w:highlight w:val="none"/>
              </w:rPr>
              <w:t>完全满足</w:t>
            </w:r>
            <w:r>
              <w:rPr>
                <w:rFonts w:hint="eastAsia" w:ascii="宋体" w:hAnsi="宋体" w:cs="宋体"/>
                <w:sz w:val="24"/>
                <w:highlight w:val="none"/>
                <w:lang w:eastAsia="zh-Hans"/>
              </w:rPr>
              <w:t>采购人要求的(得</w:t>
            </w:r>
            <w:r>
              <w:rPr>
                <w:rFonts w:hint="eastAsia" w:ascii="宋体" w:hAnsi="宋体" w:cs="宋体"/>
                <w:sz w:val="24"/>
                <w:highlight w:val="none"/>
              </w:rPr>
              <w:t>4</w:t>
            </w:r>
            <w:r>
              <w:rPr>
                <w:rFonts w:hint="eastAsia" w:ascii="宋体" w:hAnsi="宋体" w:cs="宋体"/>
                <w:sz w:val="24"/>
                <w:highlight w:val="none"/>
                <w:lang w:eastAsia="zh-Hans"/>
              </w:rPr>
              <w:t>分)；</w:t>
            </w:r>
          </w:p>
          <w:p w14:paraId="43D370FB">
            <w:pPr>
              <w:jc w:val="left"/>
              <w:rPr>
                <w:rFonts w:hint="eastAsia" w:ascii="宋体" w:hAnsi="宋体" w:cs="宋体"/>
                <w:sz w:val="24"/>
                <w:highlight w:val="none"/>
                <w:lang w:eastAsia="zh-Hans"/>
              </w:rPr>
            </w:pPr>
            <w:r>
              <w:rPr>
                <w:rFonts w:hint="eastAsia" w:ascii="宋体" w:hAnsi="宋体" w:cs="宋体"/>
                <w:sz w:val="24"/>
                <w:highlight w:val="none"/>
              </w:rPr>
              <w:t>2）</w:t>
            </w:r>
            <w:r>
              <w:rPr>
                <w:rFonts w:hint="eastAsia" w:ascii="宋体" w:hAnsi="宋体" w:cs="宋体"/>
                <w:sz w:val="24"/>
                <w:highlight w:val="none"/>
                <w:lang w:eastAsia="zh-Hans"/>
              </w:rPr>
              <w:t>投标人技术支持承诺内容</w:t>
            </w:r>
            <w:r>
              <w:rPr>
                <w:rFonts w:hint="eastAsia" w:ascii="宋体" w:hAnsi="宋体" w:cs="宋体"/>
                <w:sz w:val="24"/>
                <w:highlight w:val="none"/>
              </w:rPr>
              <w:t>满足</w:t>
            </w:r>
            <w:r>
              <w:rPr>
                <w:rFonts w:hint="eastAsia" w:ascii="宋体" w:hAnsi="宋体" w:cs="宋体"/>
                <w:sz w:val="24"/>
                <w:highlight w:val="none"/>
                <w:lang w:eastAsia="zh-Hans"/>
              </w:rPr>
              <w:t>招标要求，但内容存在缺陷的</w:t>
            </w:r>
            <w:r>
              <w:rPr>
                <w:rFonts w:hint="eastAsia" w:ascii="宋体" w:hAnsi="宋体" w:cs="宋体"/>
                <w:sz w:val="24"/>
                <w:highlight w:val="none"/>
              </w:rPr>
              <w:t>，</w:t>
            </w:r>
            <w:r>
              <w:rPr>
                <w:rFonts w:hint="eastAsia" w:ascii="宋体" w:hAnsi="宋体" w:cs="宋体"/>
                <w:sz w:val="24"/>
                <w:highlight w:val="none"/>
                <w:lang w:eastAsia="zh-Hans"/>
              </w:rPr>
              <w:t>售后响应时间满足采购人要求的(得</w:t>
            </w:r>
            <w:r>
              <w:rPr>
                <w:rFonts w:hint="eastAsia" w:ascii="宋体" w:hAnsi="宋体" w:cs="宋体"/>
                <w:sz w:val="24"/>
                <w:highlight w:val="none"/>
              </w:rPr>
              <w:t>2</w:t>
            </w:r>
            <w:r>
              <w:rPr>
                <w:rFonts w:hint="eastAsia" w:ascii="宋体" w:hAnsi="宋体" w:cs="宋体"/>
                <w:sz w:val="24"/>
                <w:highlight w:val="none"/>
                <w:lang w:eastAsia="zh-Hans"/>
              </w:rPr>
              <w:t>分)；</w:t>
            </w:r>
          </w:p>
          <w:p w14:paraId="21A22886">
            <w:pPr>
              <w:jc w:val="left"/>
              <w:rPr>
                <w:rFonts w:hint="eastAsia" w:ascii="宋体" w:hAnsi="宋体" w:cs="宋体"/>
                <w:sz w:val="24"/>
                <w:highlight w:val="none"/>
                <w:lang w:eastAsia="zh-Hans"/>
              </w:rPr>
            </w:pPr>
            <w:r>
              <w:rPr>
                <w:rFonts w:hint="eastAsia" w:ascii="宋体" w:hAnsi="宋体" w:cs="宋体"/>
                <w:sz w:val="24"/>
                <w:highlight w:val="none"/>
              </w:rPr>
              <w:t>3）</w:t>
            </w:r>
            <w:r>
              <w:rPr>
                <w:rFonts w:hint="eastAsia" w:ascii="宋体" w:hAnsi="宋体" w:cs="宋体"/>
                <w:sz w:val="24"/>
                <w:highlight w:val="none"/>
                <w:lang w:eastAsia="zh-Hans"/>
              </w:rPr>
              <w:t>投标人技术支持承诺内容</w:t>
            </w:r>
            <w:r>
              <w:rPr>
                <w:rFonts w:hint="eastAsia" w:ascii="宋体" w:hAnsi="宋体" w:cs="宋体"/>
                <w:sz w:val="24"/>
                <w:highlight w:val="none"/>
              </w:rPr>
              <w:t>存在不符合项目需求的</w:t>
            </w:r>
            <w:r>
              <w:rPr>
                <w:rFonts w:hint="eastAsia" w:ascii="宋体" w:hAnsi="宋体" w:cs="宋体"/>
                <w:sz w:val="24"/>
                <w:highlight w:val="none"/>
                <w:lang w:eastAsia="zh-Hans"/>
              </w:rPr>
              <w:t>，</w:t>
            </w:r>
            <w:r>
              <w:rPr>
                <w:rFonts w:hint="eastAsia" w:ascii="宋体" w:hAnsi="宋体" w:cs="宋体"/>
                <w:sz w:val="24"/>
                <w:highlight w:val="none"/>
              </w:rPr>
              <w:t>或</w:t>
            </w:r>
            <w:r>
              <w:rPr>
                <w:rFonts w:hint="eastAsia" w:ascii="宋体" w:hAnsi="宋体" w:cs="宋体"/>
                <w:sz w:val="24"/>
                <w:highlight w:val="none"/>
                <w:lang w:eastAsia="zh-Hans"/>
              </w:rPr>
              <w:t>售后响应时间</w:t>
            </w:r>
            <w:r>
              <w:rPr>
                <w:rFonts w:hint="eastAsia" w:ascii="宋体" w:hAnsi="宋体" w:cs="宋体"/>
                <w:sz w:val="24"/>
                <w:highlight w:val="none"/>
              </w:rPr>
              <w:t>不明确</w:t>
            </w:r>
            <w:r>
              <w:rPr>
                <w:rFonts w:hint="eastAsia" w:ascii="宋体" w:hAnsi="宋体" w:cs="宋体"/>
                <w:sz w:val="24"/>
                <w:highlight w:val="none"/>
                <w:lang w:eastAsia="zh-Hans"/>
              </w:rPr>
              <w:t>(得1分)。</w:t>
            </w:r>
          </w:p>
          <w:p w14:paraId="64F96043">
            <w:pPr>
              <w:jc w:val="left"/>
              <w:rPr>
                <w:rFonts w:hint="eastAsia" w:ascii="宋体" w:hAnsi="宋体" w:cs="宋体"/>
                <w:sz w:val="24"/>
                <w:highlight w:val="none"/>
                <w:lang w:eastAsia="zh-Hans"/>
              </w:rPr>
            </w:pPr>
            <w:r>
              <w:rPr>
                <w:rFonts w:hint="eastAsia" w:ascii="宋体" w:hAnsi="宋体" w:cs="宋体"/>
                <w:sz w:val="24"/>
                <w:highlight w:val="none"/>
                <w:lang w:eastAsia="zh-Hans"/>
              </w:rPr>
              <w:t>注：未提供不得分。</w:t>
            </w:r>
          </w:p>
          <w:p w14:paraId="4DEEE466">
            <w:pPr>
              <w:jc w:val="left"/>
              <w:rPr>
                <w:rFonts w:hint="eastAsia" w:ascii="宋体" w:hAnsi="宋体" w:cs="宋体"/>
                <w:sz w:val="24"/>
                <w:highlight w:val="none"/>
                <w:lang w:eastAsia="zh-Hans"/>
              </w:rPr>
            </w:pPr>
            <w:r>
              <w:rPr>
                <w:rFonts w:hint="eastAsia" w:ascii="宋体" w:hAnsi="宋体" w:cs="宋体"/>
                <w:sz w:val="24"/>
                <w:highlight w:val="none"/>
                <w:lang w:eastAsia="zh-Hans"/>
              </w:rPr>
              <w:t>缺陷是指方案内容与项目需求不完全一致、存在相互矛盾内容以及未针对本项目编写的任意一种情形。</w:t>
            </w:r>
          </w:p>
          <w:p w14:paraId="60BCF2C5">
            <w:pPr>
              <w:jc w:val="left"/>
              <w:rPr>
                <w:rFonts w:hint="eastAsia" w:ascii="宋体" w:hAnsi="宋体" w:cs="宋体"/>
                <w:b/>
                <w:sz w:val="24"/>
                <w:highlight w:val="none"/>
              </w:rPr>
            </w:pPr>
            <w:r>
              <w:rPr>
                <w:rFonts w:hint="eastAsia" w:ascii="宋体" w:hAnsi="宋体" w:cs="宋体"/>
                <w:sz w:val="24"/>
                <w:highlight w:val="none"/>
                <w:lang w:eastAsia="zh-Hans"/>
              </w:rPr>
              <w:t>不符合项目需求是指存在与本项目执行无关的内容、存在相关内容在实际操作中不能运用的任意一种情形。</w:t>
            </w:r>
          </w:p>
        </w:tc>
      </w:tr>
      <w:tr w14:paraId="78214D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3" w:hRule="atLeast"/>
          <w:jc w:val="center"/>
        </w:trPr>
        <w:tc>
          <w:tcPr>
            <w:tcW w:w="846" w:type="dxa"/>
            <w:vMerge w:val="continue"/>
            <w:vAlign w:val="center"/>
          </w:tcPr>
          <w:p w14:paraId="4933B7B0">
            <w:pPr>
              <w:adjustRightInd w:val="0"/>
              <w:snapToGrid w:val="0"/>
              <w:jc w:val="left"/>
              <w:rPr>
                <w:rFonts w:hint="eastAsia" w:ascii="宋体" w:hAnsi="宋体" w:cs="宋体"/>
                <w:sz w:val="24"/>
                <w:highlight w:val="none"/>
              </w:rPr>
            </w:pPr>
          </w:p>
        </w:tc>
        <w:tc>
          <w:tcPr>
            <w:tcW w:w="850" w:type="dxa"/>
            <w:vAlign w:val="center"/>
          </w:tcPr>
          <w:p w14:paraId="601ABAEB">
            <w:pPr>
              <w:adjustRightInd w:val="0"/>
              <w:snapToGrid w:val="0"/>
              <w:jc w:val="center"/>
              <w:rPr>
                <w:rFonts w:hint="eastAsia" w:ascii="宋体" w:hAnsi="宋体" w:cs="宋体"/>
                <w:sz w:val="24"/>
                <w:highlight w:val="none"/>
                <w:lang w:bidi="en-US"/>
              </w:rPr>
            </w:pPr>
            <w:r>
              <w:rPr>
                <w:rFonts w:hint="eastAsia" w:ascii="宋体" w:hAnsi="宋体" w:cs="宋体"/>
                <w:sz w:val="24"/>
                <w:highlight w:val="none"/>
              </w:rPr>
              <w:t>业绩</w:t>
            </w:r>
          </w:p>
        </w:tc>
        <w:tc>
          <w:tcPr>
            <w:tcW w:w="709" w:type="dxa"/>
            <w:vAlign w:val="center"/>
          </w:tcPr>
          <w:p w14:paraId="7C81BD5B">
            <w:pPr>
              <w:adjustRightInd w:val="0"/>
              <w:snapToGrid w:val="0"/>
              <w:jc w:val="center"/>
              <w:rPr>
                <w:rFonts w:hint="eastAsia" w:ascii="宋体" w:hAnsi="宋体" w:cs="宋体"/>
                <w:sz w:val="24"/>
                <w:highlight w:val="none"/>
              </w:rPr>
            </w:pPr>
            <w:r>
              <w:rPr>
                <w:rFonts w:hint="eastAsia" w:ascii="宋体" w:hAnsi="宋体" w:cs="宋体"/>
                <w:sz w:val="24"/>
                <w:highlight w:val="none"/>
              </w:rPr>
              <w:t>5</w:t>
            </w:r>
          </w:p>
        </w:tc>
        <w:tc>
          <w:tcPr>
            <w:tcW w:w="6778" w:type="dxa"/>
            <w:vAlign w:val="center"/>
          </w:tcPr>
          <w:p w14:paraId="184A5328">
            <w:pPr>
              <w:adjustRightInd w:val="0"/>
              <w:snapToGrid w:val="0"/>
              <w:jc w:val="left"/>
              <w:rPr>
                <w:rFonts w:hint="eastAsia" w:ascii="宋体" w:hAnsi="宋体" w:cs="宋体"/>
                <w:sz w:val="24"/>
                <w:highlight w:val="none"/>
              </w:rPr>
            </w:pPr>
            <w:r>
              <w:rPr>
                <w:rFonts w:hint="eastAsia" w:ascii="宋体" w:hAnsi="宋体" w:cs="宋体"/>
                <w:sz w:val="24"/>
                <w:highlight w:val="none"/>
              </w:rPr>
              <w:t>自2022年1月1日至投标文件递交截止时间投标人或设备制造商完成的与本项目相类似的项目业绩（至少包含：PEM/AEM水电解制氢实验教学系统），</w:t>
            </w:r>
            <w:r>
              <w:rPr>
                <w:rFonts w:hint="eastAsia" w:ascii="宋体" w:hAnsi="宋体" w:cs="宋体"/>
                <w:bCs/>
                <w:sz w:val="24"/>
                <w:highlight w:val="none"/>
              </w:rPr>
              <w:t>每提供一项合格的业绩得1分，满分5分</w:t>
            </w:r>
            <w:r>
              <w:rPr>
                <w:rFonts w:hint="eastAsia" w:ascii="宋体" w:hAnsi="宋体" w:cs="宋体"/>
                <w:sz w:val="24"/>
                <w:highlight w:val="none"/>
              </w:rPr>
              <w:t>。</w:t>
            </w:r>
          </w:p>
          <w:p w14:paraId="7664EC30">
            <w:pPr>
              <w:pStyle w:val="98"/>
              <w:numPr>
                <w:ilvl w:val="0"/>
                <w:numId w:val="0"/>
              </w:numPr>
              <w:spacing w:line="240" w:lineRule="auto"/>
              <w:rPr>
                <w:rFonts w:hint="eastAsia" w:ascii="宋体" w:hAnsi="宋体" w:cs="宋体"/>
                <w:highlight w:val="none"/>
              </w:rPr>
            </w:pPr>
            <w:r>
              <w:rPr>
                <w:rFonts w:hint="eastAsia" w:ascii="宋体" w:hAnsi="宋体" w:cs="宋体"/>
                <w:highlight w:val="none"/>
              </w:rPr>
              <w:t>注：1.业绩以投标文件中所附合同复印件、验收证明或用户报告（加盖公章）为准，两者缺一不可。提供的证明材料均不得遮挡涂黑，否则不予认定加分。</w:t>
            </w:r>
          </w:p>
          <w:p w14:paraId="18C5D24B">
            <w:pPr>
              <w:pStyle w:val="98"/>
              <w:numPr>
                <w:ilvl w:val="0"/>
                <w:numId w:val="0"/>
              </w:numPr>
              <w:adjustRightInd w:val="0"/>
              <w:snapToGrid w:val="0"/>
              <w:spacing w:line="240" w:lineRule="auto"/>
              <w:rPr>
                <w:rFonts w:hint="eastAsia" w:ascii="宋体" w:hAnsi="宋体" w:cs="宋体"/>
                <w:b/>
                <w:highlight w:val="none"/>
              </w:rPr>
            </w:pPr>
            <w:r>
              <w:rPr>
                <w:rFonts w:hint="eastAsia" w:ascii="宋体" w:hAnsi="宋体" w:cs="宋体"/>
                <w:highlight w:val="none"/>
              </w:rPr>
              <w:t>2.业绩须提供相关的合同关键页(含签订合同双方的单位名称、合同项目名称、合同金额、签订合同双方的落款盖章、签订日期的关键页、合同清单)复印件加盖公章，业绩时间以合同签订时间为准），验收证明或用户报告需包含设备名称、验收时间及用户盖章</w:t>
            </w:r>
            <w:r>
              <w:rPr>
                <w:rFonts w:hint="eastAsia" w:hAnsi="宋体" w:cs="宋体"/>
                <w:kern w:val="0"/>
                <w:highlight w:val="none"/>
              </w:rPr>
              <w:t>。</w:t>
            </w:r>
          </w:p>
        </w:tc>
      </w:tr>
      <w:tr w14:paraId="2A9D79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3" w:hRule="atLeast"/>
          <w:jc w:val="center"/>
        </w:trPr>
        <w:tc>
          <w:tcPr>
            <w:tcW w:w="9183" w:type="dxa"/>
            <w:gridSpan w:val="4"/>
            <w:vAlign w:val="center"/>
          </w:tcPr>
          <w:p w14:paraId="30AAFC4A">
            <w:pPr>
              <w:adjustRightInd w:val="0"/>
              <w:snapToGrid w:val="0"/>
              <w:jc w:val="center"/>
              <w:rPr>
                <w:rFonts w:hint="eastAsia" w:ascii="宋体" w:hAnsi="宋体" w:cs="宋体"/>
                <w:b/>
                <w:sz w:val="24"/>
                <w:highlight w:val="none"/>
              </w:rPr>
            </w:pPr>
            <w:r>
              <w:rPr>
                <w:rFonts w:hint="eastAsia" w:ascii="宋体" w:hAnsi="宋体" w:cs="宋体"/>
                <w:b/>
                <w:sz w:val="24"/>
                <w:highlight w:val="none"/>
              </w:rPr>
              <w:t>总分 100</w:t>
            </w:r>
          </w:p>
        </w:tc>
      </w:tr>
    </w:tbl>
    <w:p w14:paraId="034F35FC">
      <w:pPr>
        <w:pStyle w:val="98"/>
        <w:numPr>
          <w:ilvl w:val="0"/>
          <w:numId w:val="0"/>
        </w:numPr>
        <w:ind w:left="432" w:hanging="432"/>
        <w:rPr>
          <w:sz w:val="32"/>
          <w:szCs w:val="32"/>
          <w:highlight w:val="none"/>
        </w:rPr>
      </w:pPr>
    </w:p>
    <w:p w14:paraId="00968381">
      <w:pPr>
        <w:pStyle w:val="98"/>
        <w:numPr>
          <w:ilvl w:val="0"/>
          <w:numId w:val="0"/>
        </w:numPr>
        <w:ind w:left="432" w:hanging="432"/>
        <w:rPr>
          <w:sz w:val="32"/>
          <w:szCs w:val="32"/>
          <w:highlight w:val="none"/>
        </w:rPr>
      </w:pPr>
    </w:p>
    <w:p w14:paraId="293FAB2E">
      <w:pPr>
        <w:snapToGrid w:val="0"/>
        <w:spacing w:line="360" w:lineRule="auto"/>
        <w:ind w:firstLine="643" w:firstLineChars="200"/>
        <w:jc w:val="left"/>
        <w:rPr>
          <w:rFonts w:hint="eastAsia" w:ascii="宋体" w:hAnsi="宋体" w:cs="宋体"/>
          <w:b/>
          <w:kern w:val="0"/>
          <w:sz w:val="32"/>
          <w:szCs w:val="32"/>
          <w:highlight w:val="none"/>
        </w:rPr>
      </w:pPr>
      <w:r>
        <w:rPr>
          <w:rFonts w:hint="eastAsia" w:ascii="宋体" w:hAnsi="宋体" w:cs="宋体"/>
          <w:b/>
          <w:kern w:val="0"/>
          <w:sz w:val="32"/>
          <w:szCs w:val="32"/>
          <w:highlight w:val="none"/>
        </w:rPr>
        <w:t>加分项评分标准</w:t>
      </w:r>
    </w:p>
    <w:tbl>
      <w:tblPr>
        <w:tblStyle w:val="88"/>
        <w:tblW w:w="914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18"/>
        <w:gridCol w:w="7725"/>
      </w:tblGrid>
      <w:tr w14:paraId="5B3ED0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63" w:hRule="atLeast"/>
          <w:jc w:val="center"/>
        </w:trPr>
        <w:tc>
          <w:tcPr>
            <w:tcW w:w="1418" w:type="dxa"/>
            <w:vAlign w:val="center"/>
          </w:tcPr>
          <w:p w14:paraId="0A96C9D9">
            <w:pPr>
              <w:snapToGrid w:val="0"/>
              <w:spacing w:line="360" w:lineRule="auto"/>
              <w:ind w:firstLine="480"/>
              <w:jc w:val="center"/>
              <w:rPr>
                <w:rFonts w:hint="eastAsia" w:ascii="宋体" w:hAnsi="宋体" w:cs="宋体"/>
                <w:kern w:val="0"/>
                <w:sz w:val="24"/>
                <w:highlight w:val="none"/>
              </w:rPr>
            </w:pPr>
            <w:r>
              <w:rPr>
                <w:rFonts w:hint="eastAsia" w:ascii="宋体" w:hAnsi="宋体" w:cs="宋体"/>
                <w:kern w:val="0"/>
                <w:sz w:val="24"/>
                <w:highlight w:val="none"/>
              </w:rPr>
              <w:t>加分</w:t>
            </w:r>
          </w:p>
          <w:p w14:paraId="55CA4968">
            <w:pPr>
              <w:snapToGrid w:val="0"/>
              <w:spacing w:line="360" w:lineRule="auto"/>
              <w:ind w:firstLine="480"/>
              <w:jc w:val="center"/>
              <w:rPr>
                <w:rFonts w:hint="eastAsia" w:ascii="宋体" w:hAnsi="宋体" w:cs="宋体"/>
                <w:kern w:val="0"/>
                <w:sz w:val="24"/>
                <w:highlight w:val="none"/>
              </w:rPr>
            </w:pPr>
            <w:r>
              <w:rPr>
                <w:rFonts w:hint="eastAsia" w:ascii="宋体" w:hAnsi="宋体" w:cs="宋体"/>
                <w:kern w:val="0"/>
                <w:sz w:val="24"/>
                <w:highlight w:val="none"/>
              </w:rPr>
              <w:t>因素</w:t>
            </w:r>
          </w:p>
        </w:tc>
        <w:tc>
          <w:tcPr>
            <w:tcW w:w="7725" w:type="dxa"/>
            <w:vAlign w:val="center"/>
          </w:tcPr>
          <w:p w14:paraId="4C6F0C7C">
            <w:pPr>
              <w:snapToGrid w:val="0"/>
              <w:spacing w:line="360" w:lineRule="auto"/>
              <w:ind w:firstLine="480"/>
              <w:jc w:val="center"/>
              <w:rPr>
                <w:rFonts w:hint="eastAsia" w:ascii="宋体" w:hAnsi="宋体" w:cs="宋体"/>
                <w:kern w:val="0"/>
                <w:sz w:val="24"/>
                <w:highlight w:val="none"/>
              </w:rPr>
            </w:pPr>
            <w:r>
              <w:rPr>
                <w:rFonts w:hint="eastAsia" w:ascii="宋体" w:hAnsi="宋体" w:cs="宋体"/>
                <w:kern w:val="0"/>
                <w:sz w:val="24"/>
                <w:highlight w:val="none"/>
              </w:rPr>
              <w:t>说明</w:t>
            </w:r>
          </w:p>
        </w:tc>
      </w:tr>
      <w:tr w14:paraId="088353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865" w:hRule="atLeast"/>
          <w:jc w:val="center"/>
        </w:trPr>
        <w:tc>
          <w:tcPr>
            <w:tcW w:w="1418" w:type="dxa"/>
            <w:vAlign w:val="center"/>
          </w:tcPr>
          <w:p w14:paraId="13C64EF5">
            <w:pPr>
              <w:snapToGrid w:val="0"/>
              <w:spacing w:line="360" w:lineRule="auto"/>
              <w:ind w:firstLine="480"/>
              <w:jc w:val="center"/>
              <w:rPr>
                <w:rFonts w:hint="eastAsia" w:ascii="宋体" w:hAnsi="宋体" w:cs="宋体"/>
                <w:kern w:val="0"/>
                <w:sz w:val="24"/>
                <w:highlight w:val="none"/>
              </w:rPr>
            </w:pPr>
            <w:r>
              <w:rPr>
                <w:rFonts w:hint="eastAsia" w:ascii="宋体" w:hAnsi="宋体" w:cs="宋体"/>
                <w:kern w:val="0"/>
                <w:sz w:val="24"/>
                <w:highlight w:val="none"/>
              </w:rPr>
              <w:t>节能</w:t>
            </w:r>
          </w:p>
          <w:p w14:paraId="39CFCE58">
            <w:pPr>
              <w:snapToGrid w:val="0"/>
              <w:spacing w:line="360" w:lineRule="auto"/>
              <w:ind w:firstLine="480"/>
              <w:jc w:val="center"/>
              <w:rPr>
                <w:rFonts w:hint="eastAsia" w:ascii="宋体" w:hAnsi="宋体" w:cs="宋体"/>
                <w:kern w:val="0"/>
                <w:sz w:val="24"/>
                <w:highlight w:val="none"/>
              </w:rPr>
            </w:pPr>
            <w:r>
              <w:rPr>
                <w:rFonts w:hint="eastAsia" w:ascii="宋体" w:hAnsi="宋体" w:cs="宋体"/>
                <w:kern w:val="0"/>
                <w:sz w:val="24"/>
                <w:highlight w:val="none"/>
              </w:rPr>
              <w:t>产品</w:t>
            </w:r>
          </w:p>
        </w:tc>
        <w:tc>
          <w:tcPr>
            <w:tcW w:w="7725" w:type="dxa"/>
            <w:vAlign w:val="center"/>
          </w:tcPr>
          <w:p w14:paraId="742BC86D">
            <w:pPr>
              <w:snapToGrid w:val="0"/>
              <w:spacing w:line="360" w:lineRule="auto"/>
              <w:ind w:firstLine="240" w:firstLineChars="100"/>
              <w:rPr>
                <w:rFonts w:hint="eastAsia" w:ascii="宋体" w:hAnsi="宋体" w:cs="宋体"/>
                <w:kern w:val="0"/>
                <w:sz w:val="24"/>
                <w:highlight w:val="none"/>
              </w:rPr>
            </w:pPr>
            <w:r>
              <w:rPr>
                <w:rFonts w:hint="eastAsia" w:ascii="宋体" w:hAnsi="宋体" w:cs="宋体"/>
                <w:kern w:val="0"/>
                <w:sz w:val="24"/>
                <w:highlight w:val="none"/>
              </w:rPr>
              <w:t>对于清单中的投标产品，对技术和价格项目分别给予相应评分总分值2%的加分，计算公式如下：</w:t>
            </w:r>
          </w:p>
          <w:p w14:paraId="4EB50238">
            <w:pPr>
              <w:snapToGrid w:val="0"/>
              <w:spacing w:line="360" w:lineRule="auto"/>
              <w:ind w:firstLine="240" w:firstLineChars="100"/>
              <w:rPr>
                <w:rFonts w:hint="eastAsia" w:ascii="宋体" w:hAnsi="宋体" w:cs="宋体"/>
                <w:kern w:val="0"/>
                <w:sz w:val="24"/>
                <w:highlight w:val="none"/>
              </w:rPr>
            </w:pPr>
            <w:r>
              <w:rPr>
                <w:rFonts w:hint="eastAsia" w:ascii="宋体" w:hAnsi="宋体" w:cs="宋体"/>
                <w:kern w:val="0"/>
                <w:sz w:val="24"/>
                <w:highlight w:val="none"/>
              </w:rPr>
              <w:t>节能产品加分＝技术加分+价格加分＝（节能产品投标报价之和/投标总价）×技术部分总分值×2% +（节能产品投标报价之和/投标总价）×价格部分总分值×2%。</w:t>
            </w:r>
          </w:p>
          <w:p w14:paraId="11230BAB">
            <w:pPr>
              <w:snapToGrid w:val="0"/>
              <w:spacing w:line="360" w:lineRule="auto"/>
              <w:ind w:firstLine="241" w:firstLineChars="100"/>
              <w:rPr>
                <w:rFonts w:hint="eastAsia" w:ascii="宋体" w:hAnsi="宋体" w:cs="宋体"/>
                <w:kern w:val="0"/>
                <w:sz w:val="24"/>
                <w:highlight w:val="none"/>
              </w:rPr>
            </w:pPr>
            <w:r>
              <w:rPr>
                <w:rFonts w:hint="eastAsia" w:ascii="宋体" w:hAnsi="宋体" w:cs="宋体"/>
                <w:b/>
                <w:kern w:val="0"/>
                <w:sz w:val="24"/>
                <w:highlight w:val="none"/>
              </w:rPr>
              <w:t>注：强制节能产品清单内的产品除外。</w:t>
            </w:r>
          </w:p>
        </w:tc>
      </w:tr>
      <w:tr w14:paraId="27619D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861" w:hRule="atLeast"/>
          <w:jc w:val="center"/>
        </w:trPr>
        <w:tc>
          <w:tcPr>
            <w:tcW w:w="1418" w:type="dxa"/>
            <w:vAlign w:val="center"/>
          </w:tcPr>
          <w:p w14:paraId="3118A85A">
            <w:pPr>
              <w:snapToGrid w:val="0"/>
              <w:spacing w:line="360" w:lineRule="auto"/>
              <w:ind w:firstLine="480"/>
              <w:jc w:val="center"/>
              <w:rPr>
                <w:rFonts w:hint="eastAsia" w:ascii="宋体" w:hAnsi="宋体" w:cs="宋体"/>
                <w:kern w:val="0"/>
                <w:sz w:val="24"/>
                <w:highlight w:val="none"/>
              </w:rPr>
            </w:pPr>
            <w:r>
              <w:rPr>
                <w:rFonts w:hint="eastAsia" w:ascii="宋体" w:hAnsi="宋体" w:cs="宋体"/>
                <w:kern w:val="0"/>
                <w:sz w:val="24"/>
                <w:highlight w:val="none"/>
              </w:rPr>
              <w:t>环保</w:t>
            </w:r>
          </w:p>
          <w:p w14:paraId="19FF413D">
            <w:pPr>
              <w:snapToGrid w:val="0"/>
              <w:spacing w:line="360" w:lineRule="auto"/>
              <w:ind w:firstLine="480"/>
              <w:jc w:val="center"/>
              <w:rPr>
                <w:rFonts w:hint="eastAsia" w:ascii="宋体" w:hAnsi="宋体" w:cs="宋体"/>
                <w:kern w:val="0"/>
                <w:sz w:val="24"/>
                <w:highlight w:val="none"/>
              </w:rPr>
            </w:pPr>
            <w:r>
              <w:rPr>
                <w:rFonts w:hint="eastAsia" w:ascii="宋体" w:hAnsi="宋体" w:cs="宋体"/>
                <w:kern w:val="0"/>
                <w:sz w:val="24"/>
                <w:highlight w:val="none"/>
              </w:rPr>
              <w:t>产品</w:t>
            </w:r>
          </w:p>
        </w:tc>
        <w:tc>
          <w:tcPr>
            <w:tcW w:w="7725" w:type="dxa"/>
            <w:vAlign w:val="center"/>
          </w:tcPr>
          <w:p w14:paraId="70769201">
            <w:pPr>
              <w:snapToGrid w:val="0"/>
              <w:spacing w:line="360" w:lineRule="auto"/>
              <w:ind w:firstLine="240" w:firstLineChars="100"/>
              <w:rPr>
                <w:rFonts w:hint="eastAsia" w:ascii="宋体" w:hAnsi="宋体" w:cs="宋体"/>
                <w:kern w:val="0"/>
                <w:sz w:val="24"/>
                <w:highlight w:val="none"/>
              </w:rPr>
            </w:pPr>
            <w:r>
              <w:rPr>
                <w:rFonts w:hint="eastAsia" w:ascii="宋体" w:hAnsi="宋体" w:cs="宋体"/>
                <w:kern w:val="0"/>
                <w:sz w:val="24"/>
                <w:highlight w:val="none"/>
              </w:rPr>
              <w:t>对于清单中的投标产品，对技术和价格项目分别给予相应评分总分值2%的加分，计算公式如下：</w:t>
            </w:r>
          </w:p>
          <w:p w14:paraId="0FCC3032">
            <w:pPr>
              <w:snapToGrid w:val="0"/>
              <w:spacing w:line="360" w:lineRule="auto"/>
              <w:ind w:firstLine="240" w:firstLineChars="100"/>
              <w:rPr>
                <w:rFonts w:hint="eastAsia" w:ascii="宋体" w:hAnsi="宋体" w:cs="宋体"/>
                <w:kern w:val="0"/>
                <w:sz w:val="24"/>
                <w:highlight w:val="none"/>
              </w:rPr>
            </w:pPr>
            <w:r>
              <w:rPr>
                <w:rFonts w:hint="eastAsia" w:ascii="宋体" w:hAnsi="宋体" w:cs="宋体"/>
                <w:kern w:val="0"/>
                <w:sz w:val="24"/>
                <w:highlight w:val="none"/>
              </w:rPr>
              <w:t>环保产品加分＝技术加分+价格加分＝（环保产品投标报价之和/投标总价）×技术部分总分值×2% +（环保产品投标报价之和/投标总价）×价格部分总分值×2%。</w:t>
            </w:r>
          </w:p>
        </w:tc>
      </w:tr>
    </w:tbl>
    <w:p w14:paraId="66D66A02">
      <w:pPr>
        <w:tabs>
          <w:tab w:val="center" w:pos="4396"/>
        </w:tabs>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注：</w:t>
      </w:r>
      <w:r>
        <w:rPr>
          <w:rFonts w:hint="eastAsia" w:ascii="宋体" w:hAnsi="宋体" w:cs="宋体"/>
          <w:kern w:val="0"/>
          <w:sz w:val="24"/>
          <w:highlight w:val="none"/>
        </w:rPr>
        <w:tab/>
      </w:r>
    </w:p>
    <w:p w14:paraId="4AADB933">
      <w:pPr>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1.保留小数点后两位（按四舍五入原则）。</w:t>
      </w:r>
    </w:p>
    <w:p w14:paraId="05A6B7A4">
      <w:pPr>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2.获得最高评估分的投标人将被推荐为合格的中标候选人。</w:t>
      </w:r>
    </w:p>
    <w:p w14:paraId="67DFC772">
      <w:pPr>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3.如果投标人综合得分相同，按下列顺序排列以确定将被推荐为合格的中标候选人：</w:t>
      </w:r>
    </w:p>
    <w:p w14:paraId="0EF35B73">
      <w:pPr>
        <w:snapToGrid w:val="0"/>
        <w:spacing w:line="360" w:lineRule="auto"/>
        <w:ind w:firstLine="600" w:firstLineChars="250"/>
        <w:rPr>
          <w:rFonts w:hint="eastAsia" w:ascii="宋体" w:hAnsi="宋体" w:cs="宋体"/>
          <w:kern w:val="0"/>
          <w:sz w:val="24"/>
          <w:highlight w:val="none"/>
        </w:rPr>
      </w:pPr>
      <w:bookmarkStart w:id="238" w:name="_Toc7717_WPSOffice_Level2"/>
      <w:r>
        <w:rPr>
          <w:rFonts w:hint="eastAsia" w:ascii="宋体" w:hAnsi="宋体" w:cs="宋体"/>
          <w:kern w:val="0"/>
          <w:sz w:val="24"/>
          <w:highlight w:val="none"/>
        </w:rPr>
        <w:t>（1）投标报价低的；</w:t>
      </w:r>
      <w:bookmarkEnd w:id="238"/>
    </w:p>
    <w:p w14:paraId="290807FF">
      <w:pPr>
        <w:snapToGrid w:val="0"/>
        <w:spacing w:line="360" w:lineRule="auto"/>
        <w:ind w:firstLine="600" w:firstLineChars="250"/>
        <w:rPr>
          <w:rFonts w:hint="eastAsia" w:ascii="宋体" w:hAnsi="宋体" w:cs="宋体"/>
          <w:kern w:val="0"/>
          <w:sz w:val="24"/>
          <w:highlight w:val="none"/>
        </w:rPr>
      </w:pPr>
      <w:bookmarkStart w:id="239" w:name="_Toc11244_WPSOffice_Level2"/>
      <w:r>
        <w:rPr>
          <w:rFonts w:hint="eastAsia" w:ascii="宋体" w:hAnsi="宋体" w:cs="宋体"/>
          <w:kern w:val="0"/>
          <w:sz w:val="24"/>
          <w:highlight w:val="none"/>
        </w:rPr>
        <w:t>（2）技术部分得分高的</w:t>
      </w:r>
      <w:bookmarkEnd w:id="239"/>
      <w:bookmarkStart w:id="240" w:name="_Toc18958_WPSOffice_Level2"/>
      <w:r>
        <w:rPr>
          <w:rFonts w:hint="eastAsia" w:ascii="宋体" w:hAnsi="宋体" w:cs="宋体"/>
          <w:kern w:val="0"/>
          <w:sz w:val="24"/>
          <w:highlight w:val="none"/>
        </w:rPr>
        <w:t>；</w:t>
      </w:r>
    </w:p>
    <w:p w14:paraId="34278479">
      <w:pPr>
        <w:snapToGrid w:val="0"/>
        <w:spacing w:line="360" w:lineRule="auto"/>
        <w:ind w:firstLine="600" w:firstLineChars="250"/>
        <w:rPr>
          <w:rFonts w:hint="eastAsia" w:ascii="宋体" w:hAnsi="宋体" w:cs="宋体"/>
          <w:kern w:val="0"/>
          <w:sz w:val="24"/>
          <w:highlight w:val="none"/>
        </w:rPr>
      </w:pPr>
      <w:r>
        <w:rPr>
          <w:rFonts w:hint="eastAsia" w:ascii="宋体" w:hAnsi="宋体" w:cs="宋体"/>
          <w:kern w:val="0"/>
          <w:sz w:val="24"/>
          <w:highlight w:val="none"/>
        </w:rPr>
        <w:t>（3）售后服务方案得分高的</w:t>
      </w:r>
      <w:bookmarkEnd w:id="240"/>
      <w:r>
        <w:rPr>
          <w:rFonts w:hint="eastAsia" w:ascii="宋体" w:hAnsi="宋体" w:cs="宋体"/>
          <w:kern w:val="0"/>
          <w:sz w:val="24"/>
          <w:highlight w:val="none"/>
        </w:rPr>
        <w:t>。</w:t>
      </w:r>
    </w:p>
    <w:p w14:paraId="6B11F0B1">
      <w:pPr>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4.投标人加分项相应产品响应报价之和以评标委员会复核结果为准。</w:t>
      </w:r>
    </w:p>
    <w:p w14:paraId="2A4BB53B">
      <w:pPr>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5.投标人在响应时须提供与以上评分因素相关的材料。如果发现有弄虚作假的，将取消其响应资格。</w:t>
      </w:r>
    </w:p>
    <w:p w14:paraId="6D0B1474">
      <w:pPr>
        <w:snapToGrid w:val="0"/>
        <w:spacing w:line="360" w:lineRule="auto"/>
        <w:ind w:firstLine="480" w:firstLineChars="200"/>
        <w:rPr>
          <w:highlight w:val="none"/>
        </w:rPr>
      </w:pPr>
      <w:r>
        <w:rPr>
          <w:rFonts w:hint="eastAsia" w:ascii="宋体" w:hAnsi="宋体" w:cs="宋体"/>
          <w:kern w:val="0"/>
          <w:sz w:val="24"/>
          <w:highlight w:val="none"/>
        </w:rPr>
        <w:t>6.保密要求：从开标时起到中标公告发布时止，有关投标文件的审查、澄清、评估和比较以及有关授予合同的意向的一切情况都不得透露给投标人或与上述评审工作无关的人。</w:t>
      </w:r>
    </w:p>
    <w:sectPr>
      <w:pgSz w:w="11905" w:h="16838"/>
      <w:pgMar w:top="1984" w:right="1417" w:bottom="1417" w:left="1417" w:header="1417" w:footer="850" w:gutter="0"/>
      <w:cols w:space="720" w:num="1"/>
      <w:titlePg/>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_GB2312">
    <w:panose1 w:val="02010609030101010101"/>
    <w:charset w:val="86"/>
    <w:family w:val="modern"/>
    <w:pitch w:val="default"/>
    <w:sig w:usb0="00000001" w:usb1="080E0000" w:usb2="00000000" w:usb3="00000000" w:csb0="00040000" w:csb1="00000000"/>
  </w:font>
  <w:font w:name="楷体_GB2312">
    <w:panose1 w:val="02010609030101010101"/>
    <w:charset w:val="86"/>
    <w:family w:val="modern"/>
    <w:pitch w:val="default"/>
    <w:sig w:usb0="00000001" w:usb1="080E0000" w:usb2="00000000" w:usb3="00000000" w:csb0="00040000" w:csb1="00000000"/>
  </w:font>
  <w:font w:name="华文中宋">
    <w:panose1 w:val="02010600040101010101"/>
    <w:charset w:val="86"/>
    <w:family w:val="auto"/>
    <w:pitch w:val="default"/>
    <w:sig w:usb0="00000287" w:usb1="080F0000" w:usb2="00000000" w:usb3="00000000" w:csb0="0004009F" w:csb1="DFD70000"/>
  </w:font>
  <w:font w:name="Arial Unicode MS">
    <w:altName w:val="Malgun Gothic Semilight"/>
    <w:panose1 w:val="020B0604020202020204"/>
    <w:charset w:val="86"/>
    <w:family w:val="swiss"/>
    <w:pitch w:val="default"/>
    <w:sig w:usb0="00000000" w:usb1="00000000" w:usb2="0000007F" w:usb3="00000000" w:csb0="003F01FF" w:csb1="00000000"/>
  </w:font>
  <w:font w:name="Malgun Gothic Semilight">
    <w:panose1 w:val="020B0502040204020203"/>
    <w:charset w:val="86"/>
    <w:family w:val="auto"/>
    <w:pitch w:val="default"/>
    <w:sig w:usb0="900002AF" w:usb1="01D77CFB" w:usb2="00000012" w:usb3="00000000" w:csb0="203E01BD" w:csb1="D7FF0000"/>
  </w:font>
  <w:font w:name="微软雅黑">
    <w:panose1 w:val="020B0503020204020204"/>
    <w:charset w:val="86"/>
    <w:family w:val="swiss"/>
    <w:pitch w:val="default"/>
    <w:sig w:usb0="80000287" w:usb1="2ACF3C50" w:usb2="00000016" w:usb3="00000000" w:csb0="0004001F" w:csb1="00000000"/>
  </w:font>
  <w:font w:name="华文楷体">
    <w:panose1 w:val="02010600040101010101"/>
    <w:charset w:val="86"/>
    <w:family w:val="auto"/>
    <w:pitch w:val="default"/>
    <w:sig w:usb0="00000287" w:usb1="080F0000" w:usb2="00000000" w:usb3="00000000" w:csb0="0004009F" w:csb1="DFD70000"/>
  </w:font>
  <w:font w:name="Tahoma">
    <w:panose1 w:val="020B0604030504040204"/>
    <w:charset w:val="00"/>
    <w:family w:val="swiss"/>
    <w:pitch w:val="default"/>
    <w:sig w:usb0="E1002EFF" w:usb1="C000605B" w:usb2="00000029" w:usb3="00000000" w:csb0="200101FF" w:csb1="20280000"/>
  </w:font>
  <w:font w:name="新宋体">
    <w:panose1 w:val="02010609030101010101"/>
    <w:charset w:val="86"/>
    <w:family w:val="modern"/>
    <w:pitch w:val="default"/>
    <w:sig w:usb0="00000283" w:usb1="288F0000" w:usb2="00000006" w:usb3="00000000" w:csb0="00040001" w:csb1="00000000"/>
  </w:font>
  <w:font w:name="Verdana">
    <w:panose1 w:val="020B0604030504040204"/>
    <w:charset w:val="00"/>
    <w:family w:val="swiss"/>
    <w:pitch w:val="default"/>
    <w:sig w:usb0="A00006FF" w:usb1="4000205B" w:usb2="00000010" w:usb3="00000000" w:csb0="2000019F" w:csb1="00000000"/>
  </w:font>
  <w:font w:name="Microsoft YaHei UI">
    <w:panose1 w:val="020B0503020204020204"/>
    <w:charset w:val="86"/>
    <w:family w:val="swiss"/>
    <w:pitch w:val="default"/>
    <w:sig w:usb0="80000287" w:usb1="2ACF3C50" w:usb2="00000016" w:usb3="00000000" w:csb0="0004001F" w:csb1="00000000"/>
  </w:font>
  <w:font w:name="Wingdings 2">
    <w:panose1 w:val="05020102010507070707"/>
    <w:charset w:val="02"/>
    <w:family w:val="roman"/>
    <w:pitch w:val="default"/>
    <w:sig w:usb0="00000000" w:usb1="00000000" w:usb2="00000000" w:usb3="00000000" w:csb0="80000000" w:csb1="00000000"/>
  </w:font>
  <w:font w:name="等线">
    <w:panose1 w:val="02010600030101010101"/>
    <w:charset w:val="86"/>
    <w:family w:val="auto"/>
    <w:pitch w:val="default"/>
    <w:sig w:usb0="A00002BF" w:usb1="38CF7CFA" w:usb2="00000016" w:usb3="00000000" w:csb0="0004000F" w:csb1="00000000"/>
  </w:font>
  <w:font w:name="楷体">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12B24B">
    <w:pPr>
      <w:pStyle w:val="55"/>
      <w:ind w:firstLine="360"/>
      <w:jc w:val="cente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18415" b="1905"/>
              <wp:wrapNone/>
              <wp:docPr id="6" name="文本框 3"/>
              <wp:cNvGraphicFramePr/>
              <a:graphic xmlns:a="http://schemas.openxmlformats.org/drawingml/2006/main">
                <a:graphicData uri="http://schemas.microsoft.com/office/word/2010/wordprocessingShape">
                  <wps:wsp>
                    <wps:cNvSpPr txBox="1">
                      <a:spLocks noChangeArrowheads="1"/>
                    </wps:cNvSpPr>
                    <wps:spPr bwMode="auto">
                      <a:xfrm>
                        <a:off x="0" y="0"/>
                        <a:ext cx="1828800" cy="1828800"/>
                      </a:xfrm>
                      <a:prstGeom prst="rect">
                        <a:avLst/>
                      </a:prstGeom>
                      <a:noFill/>
                      <a:ln>
                        <a:noFill/>
                      </a:ln>
                    </wps:spPr>
                    <wps:txbx>
                      <w:txbxContent>
                        <w:p w14:paraId="2F871130">
                          <w:pPr>
                            <w:pStyle w:val="55"/>
                            <w:ind w:firstLine="360"/>
                          </w:pPr>
                          <w:r>
                            <w:t xml:space="preserve">— </w:t>
                          </w:r>
                          <w:r>
                            <w:fldChar w:fldCharType="begin"/>
                          </w:r>
                          <w:r>
                            <w:instrText xml:space="preserve"> PAGE  \* MERGEFORMAT </w:instrText>
                          </w:r>
                          <w:r>
                            <w:fldChar w:fldCharType="separate"/>
                          </w:r>
                          <w:r>
                            <w:t>44</w:t>
                          </w:r>
                          <w:r>
                            <w:fldChar w:fldCharType="end"/>
                          </w:r>
                          <w:r>
                            <w:t xml:space="preserve"> —</w:t>
                          </w:r>
                        </w:p>
                      </w:txbxContent>
                    </wps:txbx>
                    <wps:bodyPr rot="0" vert="horz" wrap="none" lIns="0" tIns="0" rIns="0" bIns="0" anchor="t" anchorCtr="0" upright="1">
                      <a:spAutoFit/>
                    </wps:bodyPr>
                  </wps:wsp>
                </a:graphicData>
              </a:graphic>
            </wp:anchor>
          </w:drawing>
        </mc:Choice>
        <mc:Fallback>
          <w:pict>
            <v:shape id="文本框 3"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">
              <v:fill on="f" focussize="0,0"/>
              <v:stroke on="f"/>
              <v:imagedata o:title=""/>
              <o:lock v:ext="edit" aspectratio="f"/>
              <v:textbox inset="0mm,0mm,0mm,0mm" style="mso-fit-shape-to-text:t;">
                <w:txbxContent>
                  <w:p w14:paraId="2F871130">
                    <w:pPr>
                      <w:pStyle w:val="55"/>
                      <w:ind w:firstLine="360"/>
                    </w:pPr>
                    <w:r>
                      <w:t xml:space="preserve">— </w:t>
                    </w:r>
                    <w:r>
                      <w:fldChar w:fldCharType="begin"/>
                    </w:r>
                    <w:r>
                      <w:instrText xml:space="preserve"> PAGE  \* MERGEFORMAT </w:instrText>
                    </w:r>
                    <w:r>
                      <w:fldChar w:fldCharType="separate"/>
                    </w:r>
                    <w:r>
                      <w:t>44</w:t>
                    </w:r>
                    <w:r>
                      <w:fldChar w:fldCharType="end"/>
                    </w:r>
                    <w:r>
                      <w:t xml:space="preserve"> —</w:t>
                    </w:r>
                  </w:p>
                </w:txbxContent>
              </v:textbox>
            </v:shape>
          </w:pict>
        </mc:Fallback>
      </mc:AlternateContent>
    </w:r>
  </w:p>
  <w:p w14:paraId="564ED1B8">
    <w:pPr>
      <w:pStyle w:val="55"/>
      <w:ind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CB138E0">
    <w:pPr>
      <w:pStyle w:val="55"/>
    </w:pPr>
  </w:p>
  <w:p w14:paraId="15DFBE0C">
    <w:pPr>
      <w:pStyle w:val="55"/>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219977576"/>
    </w:sdtPr>
    <w:sdtContent>
      <w:p w14:paraId="3044FDF6">
        <w:pPr>
          <w:pStyle w:val="55"/>
          <w:jc w:val="center"/>
        </w:pPr>
        <w:r>
          <w:fldChar w:fldCharType="begin"/>
        </w:r>
        <w:r>
          <w:instrText xml:space="preserve">PAGE   \* MERGEFORMAT</w:instrText>
        </w:r>
        <w:r>
          <w:fldChar w:fldCharType="separate"/>
        </w:r>
        <w:r>
          <w:rPr>
            <w:lang w:val="zh-CN"/>
          </w:rPr>
          <w:t>2</w:t>
        </w:r>
        <w:r>
          <w:fldChar w:fldCharType="end"/>
        </w:r>
      </w:p>
    </w:sdtContent>
  </w:sdt>
  <w:p w14:paraId="61CF8E39">
    <w:pPr>
      <w:pStyle w:val="55"/>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569151191"/>
    </w:sdtPr>
    <w:sdtContent>
      <w:p w14:paraId="19A831BB">
        <w:pPr>
          <w:pStyle w:val="55"/>
          <w:jc w:val="center"/>
        </w:pPr>
        <w:r>
          <w:fldChar w:fldCharType="begin"/>
        </w:r>
        <w:r>
          <w:instrText xml:space="preserve">PAGE   \* MERGEFORMAT</w:instrText>
        </w:r>
        <w:r>
          <w:fldChar w:fldCharType="separate"/>
        </w:r>
        <w:r>
          <w:rPr>
            <w:lang w:val="zh-CN"/>
          </w:rPr>
          <w:t>2</w:t>
        </w:r>
        <w:r>
          <w:fldChar w:fldCharType="end"/>
        </w:r>
      </w:p>
    </w:sdtContent>
  </w:sdt>
  <w:p w14:paraId="6488940B">
    <w:pPr>
      <w:pStyle w:val="55"/>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57A6B2">
    <w:pPr>
      <w:pStyle w:val="57"/>
      <w:ind w:firstLine="360"/>
      <w:jc w:val="both"/>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B2E39A">
    <w:pPr>
      <w:tabs>
        <w:tab w:val="center" w:pos="4819"/>
      </w:tabs>
      <w:spacing w:line="360" w:lineRule="auto"/>
      <w:jc w:val="center"/>
      <w:rPr>
        <w:rFonts w:hint="eastAsia" w:ascii="宋体" w:hAnsi="宋体" w:cs="宋体"/>
        <w:sz w:val="18"/>
        <w:szCs w:val="18"/>
      </w:rPr>
    </w:pPr>
    <w:r>
      <w:rPr>
        <w:rFonts w:hint="eastAsia" w:ascii="宋体" w:hAnsi="宋体" w:cs="宋体"/>
        <w:sz w:val="18"/>
        <w:szCs w:val="18"/>
        <w:u w:val="single"/>
      </w:rPr>
      <w:t xml:space="preserve">项目名称：大连理工大学PEM/AEM水电解制氢实验教学系统采购项目    </w:t>
    </w:r>
    <w:r>
      <w:rPr>
        <w:rFonts w:ascii="宋体" w:hAnsi="宋体" w:cs="宋体"/>
        <w:sz w:val="18"/>
        <w:szCs w:val="18"/>
        <w:u w:val="single"/>
      </w:rPr>
      <w:t xml:space="preserve">          </w:t>
    </w:r>
    <w:r>
      <w:rPr>
        <w:rFonts w:hint="eastAsia" w:ascii="宋体" w:hAnsi="宋体" w:cs="宋体"/>
        <w:sz w:val="18"/>
        <w:szCs w:val="18"/>
        <w:u w:val="single"/>
      </w:rPr>
      <w:t xml:space="preserve">  项目编号：DUTASZ-2025264</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93C323">
    <w:pPr>
      <w:tabs>
        <w:tab w:val="center" w:pos="4819"/>
      </w:tabs>
      <w:spacing w:line="360" w:lineRule="auto"/>
      <w:jc w:val="center"/>
      <w:rPr>
        <w:rFonts w:hint="eastAsia" w:ascii="宋体" w:hAnsi="宋体" w:cs="宋体"/>
        <w:sz w:val="18"/>
        <w:szCs w:val="18"/>
      </w:rPr>
    </w:pPr>
    <w:r>
      <w:rPr>
        <w:rFonts w:hint="eastAsia" w:ascii="宋体" w:hAnsi="宋体" w:cs="宋体"/>
        <w:sz w:val="18"/>
        <w:szCs w:val="18"/>
        <w:u w:val="single"/>
      </w:rPr>
      <w:t xml:space="preserve">项目名称：大连理工大学PEM/AEM水电解制氢实验教学系统采购项目    </w:t>
    </w:r>
    <w:r>
      <w:rPr>
        <w:rFonts w:ascii="宋体" w:hAnsi="宋体" w:cs="宋体"/>
        <w:sz w:val="18"/>
        <w:szCs w:val="18"/>
        <w:u w:val="single"/>
      </w:rPr>
      <w:t xml:space="preserve">       </w:t>
    </w:r>
    <w:r>
      <w:rPr>
        <w:rFonts w:hint="eastAsia" w:ascii="宋体" w:hAnsi="宋体" w:cs="宋体"/>
        <w:sz w:val="18"/>
        <w:szCs w:val="18"/>
        <w:u w:val="single"/>
      </w:rPr>
      <w:t xml:space="preserve">  项目编号：DUTASZ-2025264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E1F3D34"/>
    <w:multiLevelType w:val="singleLevel"/>
    <w:tmpl w:val="DE1F3D34"/>
    <w:lvl w:ilvl="0" w:tentative="0">
      <w:start w:val="13"/>
      <w:numFmt w:val="chineseCounting"/>
      <w:suff w:val="nothing"/>
      <w:lvlText w:val="%1、"/>
      <w:lvlJc w:val="left"/>
      <w:rPr>
        <w:rFonts w:hint="eastAsia"/>
      </w:rPr>
    </w:lvl>
  </w:abstractNum>
  <w:abstractNum w:abstractNumId="1">
    <w:nsid w:val="0000000E"/>
    <w:multiLevelType w:val="multilevel"/>
    <w:tmpl w:val="0000000E"/>
    <w:lvl w:ilvl="0" w:tentative="0">
      <w:start w:val="1"/>
      <w:numFmt w:val="none"/>
      <w:pStyle w:val="98"/>
      <w:lvlText w:val=""/>
      <w:lvlJc w:val="left"/>
      <w:pPr>
        <w:tabs>
          <w:tab w:val="left" w:pos="432"/>
        </w:tabs>
        <w:ind w:left="432" w:hanging="432"/>
      </w:pPr>
      <w:rPr>
        <w:rFonts w:hint="eastAsia"/>
      </w:rPr>
    </w:lvl>
    <w:lvl w:ilvl="1" w:tentative="0">
      <w:start w:val="1"/>
      <w:numFmt w:val="none"/>
      <w:lvlText w:val=" "/>
      <w:lvlJc w:val="left"/>
      <w:pPr>
        <w:tabs>
          <w:tab w:val="left" w:pos="576"/>
        </w:tabs>
        <w:ind w:left="576" w:hanging="576"/>
      </w:pPr>
      <w:rPr>
        <w:rFonts w:hint="eastAsia"/>
      </w:rPr>
    </w:lvl>
    <w:lvl w:ilvl="2" w:tentative="0">
      <w:start w:val="1"/>
      <w:numFmt w:val="none"/>
      <w:lvlText w:val=""/>
      <w:lvlJc w:val="left"/>
      <w:pPr>
        <w:tabs>
          <w:tab w:val="left" w:pos="720"/>
        </w:tabs>
        <w:ind w:left="720" w:hanging="720"/>
      </w:pPr>
      <w:rPr>
        <w:rFonts w:hint="eastAsia"/>
      </w:rPr>
    </w:lvl>
    <w:lvl w:ilvl="3" w:tentative="0">
      <w:start w:val="1"/>
      <w:numFmt w:val="none"/>
      <w:lvlText w:val="    "/>
      <w:lvlJc w:val="left"/>
      <w:pPr>
        <w:tabs>
          <w:tab w:val="left" w:pos="864"/>
        </w:tabs>
        <w:ind w:left="864" w:hanging="864"/>
      </w:pPr>
      <w:rPr>
        <w:rFonts w:hint="eastAsia"/>
      </w:rPr>
    </w:lvl>
    <w:lvl w:ilvl="4" w:tentative="0">
      <w:start w:val="1"/>
      <w:numFmt w:val="none"/>
      <w:lvlText w:val="      "/>
      <w:lvlJc w:val="left"/>
      <w:pPr>
        <w:tabs>
          <w:tab w:val="left" w:pos="1008"/>
        </w:tabs>
        <w:ind w:left="1008" w:hanging="1008"/>
      </w:pPr>
      <w:rPr>
        <w:rFonts w:hint="eastAsia"/>
      </w:rPr>
    </w:lvl>
    <w:lvl w:ilvl="5" w:tentative="0">
      <w:start w:val="1"/>
      <w:numFmt w:val="none"/>
      <w:lvlText w:val="           "/>
      <w:lvlJc w:val="left"/>
      <w:pPr>
        <w:tabs>
          <w:tab w:val="left" w:pos="1440"/>
        </w:tabs>
        <w:ind w:left="1152" w:hanging="1152"/>
      </w:pPr>
      <w:rPr>
        <w:rFonts w:hint="eastAsia"/>
      </w:rPr>
    </w:lvl>
    <w:lvl w:ilvl="6" w:tentative="0">
      <w:start w:val="1"/>
      <w:numFmt w:val="decimal"/>
      <w:lvlText w:val="%1.%2.%3.%4.%5.%6.%7"/>
      <w:lvlJc w:val="left"/>
      <w:pPr>
        <w:tabs>
          <w:tab w:val="left" w:pos="2520"/>
        </w:tabs>
        <w:ind w:left="1296" w:hanging="1296"/>
      </w:pPr>
      <w:rPr>
        <w:rFonts w:hint="eastAsia"/>
      </w:rPr>
    </w:lvl>
    <w:lvl w:ilvl="7" w:tentative="0">
      <w:start w:val="1"/>
      <w:numFmt w:val="decimal"/>
      <w:lvlText w:val="%1.%2.%3.%4.%5.%6.%7.%8"/>
      <w:lvlJc w:val="left"/>
      <w:pPr>
        <w:tabs>
          <w:tab w:val="left" w:pos="1440"/>
        </w:tabs>
        <w:ind w:left="1440" w:hanging="1440"/>
      </w:pPr>
      <w:rPr>
        <w:rFonts w:hint="eastAsia"/>
      </w:rPr>
    </w:lvl>
    <w:lvl w:ilvl="8" w:tentative="0">
      <w:start w:val="1"/>
      <w:numFmt w:val="decimal"/>
      <w:lvlText w:val="%1.%2.%3.%4.%5.%6.%7.%8.%9"/>
      <w:lvlJc w:val="left"/>
      <w:pPr>
        <w:tabs>
          <w:tab w:val="left" w:pos="1584"/>
        </w:tabs>
        <w:ind w:left="1584" w:hanging="1584"/>
      </w:pPr>
      <w:rPr>
        <w:rFonts w:hint="eastAsia"/>
      </w:rPr>
    </w:lvl>
  </w:abstractNum>
  <w:abstractNum w:abstractNumId="2">
    <w:nsid w:val="05B64677"/>
    <w:multiLevelType w:val="multilevel"/>
    <w:tmpl w:val="05B64677"/>
    <w:lvl w:ilvl="0" w:tentative="0">
      <w:start w:val="1"/>
      <w:numFmt w:val="chineseCountingThousand"/>
      <w:lvlText w:val="%1、"/>
      <w:lvlJc w:val="left"/>
      <w:pPr>
        <w:tabs>
          <w:tab w:val="left" w:pos="420"/>
        </w:tabs>
        <w:ind w:left="420" w:hanging="420"/>
      </w:pPr>
    </w:lvl>
    <w:lvl w:ilvl="1" w:tentative="0">
      <w:start w:val="1"/>
      <w:numFmt w:val="lowerLetter"/>
      <w:lvlText w:val="%2)"/>
      <w:lvlJc w:val="left"/>
      <w:pPr>
        <w:ind w:left="840" w:hanging="420"/>
      </w:pPr>
      <w:rPr>
        <w:rFonts w:cs="Times New Roman"/>
      </w:rPr>
    </w:lvl>
    <w:lvl w:ilvl="2" w:tentative="0">
      <w:start w:val="1"/>
      <w:numFmt w:val="lowerRoman"/>
      <w:lvlText w:val="%3."/>
      <w:lvlJc w:val="right"/>
      <w:pPr>
        <w:ind w:left="1260" w:hanging="420"/>
      </w:pPr>
      <w:rPr>
        <w:rFonts w:cs="Times New Roman"/>
      </w:rPr>
    </w:lvl>
    <w:lvl w:ilvl="3" w:tentative="0">
      <w:start w:val="1"/>
      <w:numFmt w:val="decimal"/>
      <w:lvlText w:val="%4."/>
      <w:lvlJc w:val="left"/>
      <w:pPr>
        <w:ind w:left="1680" w:hanging="420"/>
      </w:pPr>
      <w:rPr>
        <w:rFonts w:cs="Times New Roman"/>
      </w:rPr>
    </w:lvl>
    <w:lvl w:ilvl="4" w:tentative="0">
      <w:start w:val="1"/>
      <w:numFmt w:val="lowerLetter"/>
      <w:lvlText w:val="%5)"/>
      <w:lvlJc w:val="left"/>
      <w:pPr>
        <w:ind w:left="2100" w:hanging="420"/>
      </w:pPr>
      <w:rPr>
        <w:rFonts w:cs="Times New Roman"/>
      </w:rPr>
    </w:lvl>
    <w:lvl w:ilvl="5" w:tentative="0">
      <w:start w:val="1"/>
      <w:numFmt w:val="lowerRoman"/>
      <w:lvlText w:val="%6."/>
      <w:lvlJc w:val="right"/>
      <w:pPr>
        <w:ind w:left="2520" w:hanging="420"/>
      </w:pPr>
      <w:rPr>
        <w:rFonts w:cs="Times New Roman"/>
      </w:rPr>
    </w:lvl>
    <w:lvl w:ilvl="6" w:tentative="0">
      <w:start w:val="1"/>
      <w:numFmt w:val="decimal"/>
      <w:lvlText w:val="%7."/>
      <w:lvlJc w:val="left"/>
      <w:pPr>
        <w:ind w:left="2940" w:hanging="420"/>
      </w:pPr>
      <w:rPr>
        <w:rFonts w:cs="Times New Roman"/>
      </w:rPr>
    </w:lvl>
    <w:lvl w:ilvl="7" w:tentative="0">
      <w:start w:val="1"/>
      <w:numFmt w:val="lowerLetter"/>
      <w:lvlText w:val="%8)"/>
      <w:lvlJc w:val="left"/>
      <w:pPr>
        <w:ind w:left="3360" w:hanging="420"/>
      </w:pPr>
      <w:rPr>
        <w:rFonts w:cs="Times New Roman"/>
      </w:rPr>
    </w:lvl>
    <w:lvl w:ilvl="8" w:tentative="0">
      <w:start w:val="1"/>
      <w:numFmt w:val="lowerRoman"/>
      <w:lvlText w:val="%9."/>
      <w:lvlJc w:val="right"/>
      <w:pPr>
        <w:ind w:left="3780" w:hanging="420"/>
      </w:pPr>
      <w:rPr>
        <w:rFonts w:cs="Times New Roman"/>
      </w:rPr>
    </w:lvl>
  </w:abstractNum>
  <w:abstractNum w:abstractNumId="3">
    <w:nsid w:val="2AB37341"/>
    <w:multiLevelType w:val="singleLevel"/>
    <w:tmpl w:val="2AB37341"/>
    <w:lvl w:ilvl="0" w:tentative="0">
      <w:start w:val="2"/>
      <w:numFmt w:val="decimal"/>
      <w:suff w:val="nothing"/>
      <w:lvlText w:val="%1）"/>
      <w:lvlJc w:val="left"/>
    </w:lvl>
  </w:abstractNum>
  <w:abstractNum w:abstractNumId="4">
    <w:nsid w:val="67241660"/>
    <w:multiLevelType w:val="multilevel"/>
    <w:tmpl w:val="67241660"/>
    <w:lvl w:ilvl="0" w:tentative="0">
      <w:start w:val="4"/>
      <w:numFmt w:val="japaneseCounting"/>
      <w:lvlText w:val="%1、"/>
      <w:lvlJc w:val="left"/>
      <w:pPr>
        <w:ind w:left="500" w:hanging="50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5">
    <w:nsid w:val="77A13A18"/>
    <w:multiLevelType w:val="multilevel"/>
    <w:tmpl w:val="77A13A18"/>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1"/>
  </w:num>
  <w:num w:numId="2">
    <w:abstractNumId w:val="4"/>
  </w:num>
  <w:num w:numId="3">
    <w:abstractNumId w:val="3"/>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bordersDoNotSurroundHeader w:val="1"/>
  <w:bordersDoNotSurroundFooter w:val="1"/>
  <w:documentProtection w:enforcement="0"/>
  <w:defaultTabStop w:val="420"/>
  <w:drawingGridHorizontalSpacing w:val="105"/>
  <w:drawingGridVerticalSpacing w:val="-7946"/>
  <w:noPunctuationKerning w:val="1"/>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OWQ2ZWExMDIwMTAyNTlkY2I3MDQ0MGE2NzkwYzQ5NGQifQ=="/>
  </w:docVars>
  <w:rsids>
    <w:rsidRoot w:val="00172A27"/>
    <w:rsid w:val="00000035"/>
    <w:rsid w:val="00000DAB"/>
    <w:rsid w:val="00000FF8"/>
    <w:rsid w:val="000012F8"/>
    <w:rsid w:val="000016C4"/>
    <w:rsid w:val="000023E0"/>
    <w:rsid w:val="0000289C"/>
    <w:rsid w:val="00002987"/>
    <w:rsid w:val="00002C42"/>
    <w:rsid w:val="000030F9"/>
    <w:rsid w:val="00003159"/>
    <w:rsid w:val="000036C3"/>
    <w:rsid w:val="000037EA"/>
    <w:rsid w:val="00003B53"/>
    <w:rsid w:val="00004518"/>
    <w:rsid w:val="00004837"/>
    <w:rsid w:val="00004AA4"/>
    <w:rsid w:val="000052D3"/>
    <w:rsid w:val="00005387"/>
    <w:rsid w:val="00005D2C"/>
    <w:rsid w:val="0000619D"/>
    <w:rsid w:val="000061E8"/>
    <w:rsid w:val="00006641"/>
    <w:rsid w:val="0000669C"/>
    <w:rsid w:val="000068E2"/>
    <w:rsid w:val="00006C36"/>
    <w:rsid w:val="000071F8"/>
    <w:rsid w:val="000074A3"/>
    <w:rsid w:val="0001054C"/>
    <w:rsid w:val="00010835"/>
    <w:rsid w:val="00010D8C"/>
    <w:rsid w:val="00010DD0"/>
    <w:rsid w:val="00010DDD"/>
    <w:rsid w:val="00010E86"/>
    <w:rsid w:val="00010F17"/>
    <w:rsid w:val="00010F8E"/>
    <w:rsid w:val="0001159E"/>
    <w:rsid w:val="000115CB"/>
    <w:rsid w:val="00011622"/>
    <w:rsid w:val="00011782"/>
    <w:rsid w:val="00011B80"/>
    <w:rsid w:val="00012295"/>
    <w:rsid w:val="00012B9D"/>
    <w:rsid w:val="00013843"/>
    <w:rsid w:val="000139C2"/>
    <w:rsid w:val="000142D0"/>
    <w:rsid w:val="00014346"/>
    <w:rsid w:val="00014B46"/>
    <w:rsid w:val="00015B88"/>
    <w:rsid w:val="00015D8C"/>
    <w:rsid w:val="0001682D"/>
    <w:rsid w:val="000168B2"/>
    <w:rsid w:val="00016F95"/>
    <w:rsid w:val="00017558"/>
    <w:rsid w:val="00017886"/>
    <w:rsid w:val="000179DE"/>
    <w:rsid w:val="00020089"/>
    <w:rsid w:val="0002046A"/>
    <w:rsid w:val="00020B56"/>
    <w:rsid w:val="00020C77"/>
    <w:rsid w:val="00020EF5"/>
    <w:rsid w:val="00021067"/>
    <w:rsid w:val="000216F6"/>
    <w:rsid w:val="0002208C"/>
    <w:rsid w:val="000225EC"/>
    <w:rsid w:val="000228AE"/>
    <w:rsid w:val="00023658"/>
    <w:rsid w:val="00023924"/>
    <w:rsid w:val="00023D78"/>
    <w:rsid w:val="00023F7E"/>
    <w:rsid w:val="000240A6"/>
    <w:rsid w:val="000240F7"/>
    <w:rsid w:val="0002410F"/>
    <w:rsid w:val="00024158"/>
    <w:rsid w:val="000242A4"/>
    <w:rsid w:val="00024611"/>
    <w:rsid w:val="000253B7"/>
    <w:rsid w:val="000259FA"/>
    <w:rsid w:val="00025B84"/>
    <w:rsid w:val="00025DC7"/>
    <w:rsid w:val="0002662E"/>
    <w:rsid w:val="00026736"/>
    <w:rsid w:val="00026DDE"/>
    <w:rsid w:val="00027FEF"/>
    <w:rsid w:val="000302B7"/>
    <w:rsid w:val="00030587"/>
    <w:rsid w:val="000307E4"/>
    <w:rsid w:val="00030911"/>
    <w:rsid w:val="000309D3"/>
    <w:rsid w:val="00030D92"/>
    <w:rsid w:val="000310F5"/>
    <w:rsid w:val="00032146"/>
    <w:rsid w:val="00032356"/>
    <w:rsid w:val="000324B8"/>
    <w:rsid w:val="00032822"/>
    <w:rsid w:val="000328B4"/>
    <w:rsid w:val="00033176"/>
    <w:rsid w:val="00033364"/>
    <w:rsid w:val="0003346F"/>
    <w:rsid w:val="000335F1"/>
    <w:rsid w:val="000336D6"/>
    <w:rsid w:val="0003385B"/>
    <w:rsid w:val="00033C1D"/>
    <w:rsid w:val="00033D94"/>
    <w:rsid w:val="00034FAB"/>
    <w:rsid w:val="0003542A"/>
    <w:rsid w:val="00035623"/>
    <w:rsid w:val="0003581A"/>
    <w:rsid w:val="00035848"/>
    <w:rsid w:val="000364B6"/>
    <w:rsid w:val="00037EAB"/>
    <w:rsid w:val="00037FD1"/>
    <w:rsid w:val="00040147"/>
    <w:rsid w:val="00040A5F"/>
    <w:rsid w:val="00040EE2"/>
    <w:rsid w:val="00040F78"/>
    <w:rsid w:val="000412E8"/>
    <w:rsid w:val="0004172F"/>
    <w:rsid w:val="00041A77"/>
    <w:rsid w:val="00041BB2"/>
    <w:rsid w:val="00041C94"/>
    <w:rsid w:val="00042793"/>
    <w:rsid w:val="000429E8"/>
    <w:rsid w:val="00043148"/>
    <w:rsid w:val="0004387B"/>
    <w:rsid w:val="00043982"/>
    <w:rsid w:val="00043A7E"/>
    <w:rsid w:val="00043ED4"/>
    <w:rsid w:val="00043EEB"/>
    <w:rsid w:val="0004401E"/>
    <w:rsid w:val="000444E6"/>
    <w:rsid w:val="00044AB6"/>
    <w:rsid w:val="00044AFC"/>
    <w:rsid w:val="00044F2A"/>
    <w:rsid w:val="00045607"/>
    <w:rsid w:val="00045729"/>
    <w:rsid w:val="00045845"/>
    <w:rsid w:val="00047118"/>
    <w:rsid w:val="00047338"/>
    <w:rsid w:val="000476FB"/>
    <w:rsid w:val="00047706"/>
    <w:rsid w:val="00047946"/>
    <w:rsid w:val="00047E87"/>
    <w:rsid w:val="000502BC"/>
    <w:rsid w:val="00050A4D"/>
    <w:rsid w:val="00051313"/>
    <w:rsid w:val="0005150C"/>
    <w:rsid w:val="00051CBC"/>
    <w:rsid w:val="00052D9E"/>
    <w:rsid w:val="00052E0B"/>
    <w:rsid w:val="00053265"/>
    <w:rsid w:val="00053E19"/>
    <w:rsid w:val="00053F81"/>
    <w:rsid w:val="00053FAB"/>
    <w:rsid w:val="000552BD"/>
    <w:rsid w:val="000556D5"/>
    <w:rsid w:val="00055E16"/>
    <w:rsid w:val="00055FC2"/>
    <w:rsid w:val="00056376"/>
    <w:rsid w:val="000563D0"/>
    <w:rsid w:val="000565E9"/>
    <w:rsid w:val="0005691F"/>
    <w:rsid w:val="00056E7E"/>
    <w:rsid w:val="00057728"/>
    <w:rsid w:val="00060264"/>
    <w:rsid w:val="000609E6"/>
    <w:rsid w:val="00060E74"/>
    <w:rsid w:val="0006141A"/>
    <w:rsid w:val="00061591"/>
    <w:rsid w:val="000617F7"/>
    <w:rsid w:val="0006187F"/>
    <w:rsid w:val="00061C03"/>
    <w:rsid w:val="00061C23"/>
    <w:rsid w:val="00061C6A"/>
    <w:rsid w:val="00061CCC"/>
    <w:rsid w:val="0006268A"/>
    <w:rsid w:val="00062BE5"/>
    <w:rsid w:val="000633A1"/>
    <w:rsid w:val="00063427"/>
    <w:rsid w:val="0006444C"/>
    <w:rsid w:val="0006495B"/>
    <w:rsid w:val="00064A29"/>
    <w:rsid w:val="00064AD3"/>
    <w:rsid w:val="00064F38"/>
    <w:rsid w:val="00065178"/>
    <w:rsid w:val="0006522B"/>
    <w:rsid w:val="00065732"/>
    <w:rsid w:val="00065C13"/>
    <w:rsid w:val="00066006"/>
    <w:rsid w:val="00066A89"/>
    <w:rsid w:val="00067049"/>
    <w:rsid w:val="000674D5"/>
    <w:rsid w:val="00067682"/>
    <w:rsid w:val="00067EC1"/>
    <w:rsid w:val="0007019D"/>
    <w:rsid w:val="000704F2"/>
    <w:rsid w:val="0007078E"/>
    <w:rsid w:val="00070B1E"/>
    <w:rsid w:val="00070C35"/>
    <w:rsid w:val="00070CCA"/>
    <w:rsid w:val="00070DFE"/>
    <w:rsid w:val="0007179F"/>
    <w:rsid w:val="000722B9"/>
    <w:rsid w:val="000726DF"/>
    <w:rsid w:val="000727E9"/>
    <w:rsid w:val="00073035"/>
    <w:rsid w:val="000750CF"/>
    <w:rsid w:val="00075120"/>
    <w:rsid w:val="0007531A"/>
    <w:rsid w:val="000754BF"/>
    <w:rsid w:val="00075BF5"/>
    <w:rsid w:val="00075F7F"/>
    <w:rsid w:val="00076D82"/>
    <w:rsid w:val="000774B2"/>
    <w:rsid w:val="00077DC9"/>
    <w:rsid w:val="00077E5D"/>
    <w:rsid w:val="00080502"/>
    <w:rsid w:val="0008139D"/>
    <w:rsid w:val="0008160F"/>
    <w:rsid w:val="00081A4E"/>
    <w:rsid w:val="000822C4"/>
    <w:rsid w:val="00082694"/>
    <w:rsid w:val="000828CF"/>
    <w:rsid w:val="00082DCC"/>
    <w:rsid w:val="00083618"/>
    <w:rsid w:val="00083FA7"/>
    <w:rsid w:val="00084499"/>
    <w:rsid w:val="00085126"/>
    <w:rsid w:val="00085480"/>
    <w:rsid w:val="00085659"/>
    <w:rsid w:val="00085A7E"/>
    <w:rsid w:val="00085BB3"/>
    <w:rsid w:val="00086190"/>
    <w:rsid w:val="000862A6"/>
    <w:rsid w:val="00086978"/>
    <w:rsid w:val="00086C9E"/>
    <w:rsid w:val="00086CFB"/>
    <w:rsid w:val="00086F34"/>
    <w:rsid w:val="000870D7"/>
    <w:rsid w:val="00087864"/>
    <w:rsid w:val="00087C77"/>
    <w:rsid w:val="000908AD"/>
    <w:rsid w:val="00090967"/>
    <w:rsid w:val="00091319"/>
    <w:rsid w:val="000913B0"/>
    <w:rsid w:val="000913EC"/>
    <w:rsid w:val="00091A1E"/>
    <w:rsid w:val="00091AA8"/>
    <w:rsid w:val="00091C96"/>
    <w:rsid w:val="00091CD8"/>
    <w:rsid w:val="000922F9"/>
    <w:rsid w:val="00092BB0"/>
    <w:rsid w:val="00092FE4"/>
    <w:rsid w:val="0009320F"/>
    <w:rsid w:val="00094054"/>
    <w:rsid w:val="000942A9"/>
    <w:rsid w:val="000952CF"/>
    <w:rsid w:val="0009550A"/>
    <w:rsid w:val="0009557E"/>
    <w:rsid w:val="00095901"/>
    <w:rsid w:val="00095DD6"/>
    <w:rsid w:val="00095EE6"/>
    <w:rsid w:val="0009614A"/>
    <w:rsid w:val="000966BB"/>
    <w:rsid w:val="000968CC"/>
    <w:rsid w:val="0009690B"/>
    <w:rsid w:val="00097448"/>
    <w:rsid w:val="000974BC"/>
    <w:rsid w:val="000A07EB"/>
    <w:rsid w:val="000A0FBF"/>
    <w:rsid w:val="000A15F4"/>
    <w:rsid w:val="000A17CE"/>
    <w:rsid w:val="000A1B89"/>
    <w:rsid w:val="000A1BF7"/>
    <w:rsid w:val="000A2647"/>
    <w:rsid w:val="000A296E"/>
    <w:rsid w:val="000A2C51"/>
    <w:rsid w:val="000A31B5"/>
    <w:rsid w:val="000A33A8"/>
    <w:rsid w:val="000A36EA"/>
    <w:rsid w:val="000A3BDB"/>
    <w:rsid w:val="000A4021"/>
    <w:rsid w:val="000A4175"/>
    <w:rsid w:val="000A4557"/>
    <w:rsid w:val="000A4CA1"/>
    <w:rsid w:val="000A4D48"/>
    <w:rsid w:val="000A4E08"/>
    <w:rsid w:val="000A50AF"/>
    <w:rsid w:val="000A5442"/>
    <w:rsid w:val="000A5649"/>
    <w:rsid w:val="000A5D90"/>
    <w:rsid w:val="000A6F92"/>
    <w:rsid w:val="000A7507"/>
    <w:rsid w:val="000A7691"/>
    <w:rsid w:val="000B033C"/>
    <w:rsid w:val="000B04A5"/>
    <w:rsid w:val="000B0696"/>
    <w:rsid w:val="000B1274"/>
    <w:rsid w:val="000B15F7"/>
    <w:rsid w:val="000B1FC4"/>
    <w:rsid w:val="000B20E9"/>
    <w:rsid w:val="000B22FF"/>
    <w:rsid w:val="000B2632"/>
    <w:rsid w:val="000B2709"/>
    <w:rsid w:val="000B3098"/>
    <w:rsid w:val="000B344D"/>
    <w:rsid w:val="000B3657"/>
    <w:rsid w:val="000B3878"/>
    <w:rsid w:val="000B3931"/>
    <w:rsid w:val="000B4078"/>
    <w:rsid w:val="000B40C6"/>
    <w:rsid w:val="000B43C4"/>
    <w:rsid w:val="000B4723"/>
    <w:rsid w:val="000B48AF"/>
    <w:rsid w:val="000B49E7"/>
    <w:rsid w:val="000B4D57"/>
    <w:rsid w:val="000B4DD1"/>
    <w:rsid w:val="000B508E"/>
    <w:rsid w:val="000B5A1F"/>
    <w:rsid w:val="000B5CBE"/>
    <w:rsid w:val="000B5FC0"/>
    <w:rsid w:val="000B71EE"/>
    <w:rsid w:val="000B726A"/>
    <w:rsid w:val="000B747D"/>
    <w:rsid w:val="000B75C0"/>
    <w:rsid w:val="000B772C"/>
    <w:rsid w:val="000C0220"/>
    <w:rsid w:val="000C040D"/>
    <w:rsid w:val="000C04DD"/>
    <w:rsid w:val="000C083D"/>
    <w:rsid w:val="000C08EE"/>
    <w:rsid w:val="000C0A12"/>
    <w:rsid w:val="000C1492"/>
    <w:rsid w:val="000C174C"/>
    <w:rsid w:val="000C1A7D"/>
    <w:rsid w:val="000C1CF8"/>
    <w:rsid w:val="000C1FF5"/>
    <w:rsid w:val="000C25E4"/>
    <w:rsid w:val="000C35E2"/>
    <w:rsid w:val="000C3AB3"/>
    <w:rsid w:val="000C3D36"/>
    <w:rsid w:val="000C45A6"/>
    <w:rsid w:val="000C4881"/>
    <w:rsid w:val="000C51C0"/>
    <w:rsid w:val="000C559B"/>
    <w:rsid w:val="000C5AF9"/>
    <w:rsid w:val="000C5C01"/>
    <w:rsid w:val="000C5CFE"/>
    <w:rsid w:val="000C5DA4"/>
    <w:rsid w:val="000C60D9"/>
    <w:rsid w:val="000C6A63"/>
    <w:rsid w:val="000C6AB0"/>
    <w:rsid w:val="000C6D03"/>
    <w:rsid w:val="000C6D15"/>
    <w:rsid w:val="000C744A"/>
    <w:rsid w:val="000D120D"/>
    <w:rsid w:val="000D13C3"/>
    <w:rsid w:val="000D156C"/>
    <w:rsid w:val="000D15AF"/>
    <w:rsid w:val="000D1785"/>
    <w:rsid w:val="000D17C0"/>
    <w:rsid w:val="000D194A"/>
    <w:rsid w:val="000D1EE1"/>
    <w:rsid w:val="000D1F01"/>
    <w:rsid w:val="000D229D"/>
    <w:rsid w:val="000D2A79"/>
    <w:rsid w:val="000D3BFB"/>
    <w:rsid w:val="000D4B9D"/>
    <w:rsid w:val="000D5059"/>
    <w:rsid w:val="000D55E6"/>
    <w:rsid w:val="000D5759"/>
    <w:rsid w:val="000D58DF"/>
    <w:rsid w:val="000D7027"/>
    <w:rsid w:val="000D746D"/>
    <w:rsid w:val="000D7C0C"/>
    <w:rsid w:val="000D7E02"/>
    <w:rsid w:val="000E007B"/>
    <w:rsid w:val="000E06AB"/>
    <w:rsid w:val="000E0734"/>
    <w:rsid w:val="000E07A3"/>
    <w:rsid w:val="000E0802"/>
    <w:rsid w:val="000E0BB9"/>
    <w:rsid w:val="000E0E6F"/>
    <w:rsid w:val="000E129E"/>
    <w:rsid w:val="000E2E96"/>
    <w:rsid w:val="000E302E"/>
    <w:rsid w:val="000E350E"/>
    <w:rsid w:val="000E3603"/>
    <w:rsid w:val="000E365E"/>
    <w:rsid w:val="000E3818"/>
    <w:rsid w:val="000E3E05"/>
    <w:rsid w:val="000E4613"/>
    <w:rsid w:val="000E4BDE"/>
    <w:rsid w:val="000E4C5B"/>
    <w:rsid w:val="000E58BE"/>
    <w:rsid w:val="000E5D37"/>
    <w:rsid w:val="000E61B3"/>
    <w:rsid w:val="000E641E"/>
    <w:rsid w:val="000E6759"/>
    <w:rsid w:val="000E696E"/>
    <w:rsid w:val="000E69D0"/>
    <w:rsid w:val="000E723F"/>
    <w:rsid w:val="000E75EC"/>
    <w:rsid w:val="000F09E2"/>
    <w:rsid w:val="000F0ADD"/>
    <w:rsid w:val="000F10FF"/>
    <w:rsid w:val="000F126B"/>
    <w:rsid w:val="000F216A"/>
    <w:rsid w:val="000F33DB"/>
    <w:rsid w:val="000F382B"/>
    <w:rsid w:val="000F4363"/>
    <w:rsid w:val="000F45E9"/>
    <w:rsid w:val="000F4B3B"/>
    <w:rsid w:val="000F4B72"/>
    <w:rsid w:val="000F4D0D"/>
    <w:rsid w:val="000F52A9"/>
    <w:rsid w:val="000F550F"/>
    <w:rsid w:val="000F5C0E"/>
    <w:rsid w:val="000F5EC5"/>
    <w:rsid w:val="000F611B"/>
    <w:rsid w:val="000F6228"/>
    <w:rsid w:val="000F65A2"/>
    <w:rsid w:val="000F6C47"/>
    <w:rsid w:val="000F6D37"/>
    <w:rsid w:val="000F6E0B"/>
    <w:rsid w:val="000F705D"/>
    <w:rsid w:val="000F749C"/>
    <w:rsid w:val="000F7F5B"/>
    <w:rsid w:val="00101517"/>
    <w:rsid w:val="00101D83"/>
    <w:rsid w:val="001021F2"/>
    <w:rsid w:val="001022EB"/>
    <w:rsid w:val="00102DBE"/>
    <w:rsid w:val="001033FD"/>
    <w:rsid w:val="00103517"/>
    <w:rsid w:val="00103C0C"/>
    <w:rsid w:val="0010470B"/>
    <w:rsid w:val="001059CD"/>
    <w:rsid w:val="00105B95"/>
    <w:rsid w:val="00105F71"/>
    <w:rsid w:val="00105FE8"/>
    <w:rsid w:val="001064D2"/>
    <w:rsid w:val="001067E7"/>
    <w:rsid w:val="00106805"/>
    <w:rsid w:val="001074C9"/>
    <w:rsid w:val="00107D8D"/>
    <w:rsid w:val="00110667"/>
    <w:rsid w:val="00110C0F"/>
    <w:rsid w:val="0011158B"/>
    <w:rsid w:val="0011165E"/>
    <w:rsid w:val="00111BA7"/>
    <w:rsid w:val="00112061"/>
    <w:rsid w:val="00112A5E"/>
    <w:rsid w:val="00112B88"/>
    <w:rsid w:val="001135A5"/>
    <w:rsid w:val="00113AEB"/>
    <w:rsid w:val="00113D9E"/>
    <w:rsid w:val="00114100"/>
    <w:rsid w:val="001141CF"/>
    <w:rsid w:val="00114BB5"/>
    <w:rsid w:val="00115B2C"/>
    <w:rsid w:val="00115D1E"/>
    <w:rsid w:val="00115F16"/>
    <w:rsid w:val="00115FA0"/>
    <w:rsid w:val="00116660"/>
    <w:rsid w:val="00116945"/>
    <w:rsid w:val="00116E9D"/>
    <w:rsid w:val="00117334"/>
    <w:rsid w:val="00120249"/>
    <w:rsid w:val="00120282"/>
    <w:rsid w:val="001206E3"/>
    <w:rsid w:val="0012197C"/>
    <w:rsid w:val="00122A3A"/>
    <w:rsid w:val="0012329E"/>
    <w:rsid w:val="001237A8"/>
    <w:rsid w:val="00123E2D"/>
    <w:rsid w:val="00124AFB"/>
    <w:rsid w:val="00124B74"/>
    <w:rsid w:val="00125F21"/>
    <w:rsid w:val="00125FAF"/>
    <w:rsid w:val="00126220"/>
    <w:rsid w:val="0012624B"/>
    <w:rsid w:val="00127C7E"/>
    <w:rsid w:val="001301F3"/>
    <w:rsid w:val="00130666"/>
    <w:rsid w:val="00130A33"/>
    <w:rsid w:val="00130F6F"/>
    <w:rsid w:val="00131196"/>
    <w:rsid w:val="001312C6"/>
    <w:rsid w:val="0013171C"/>
    <w:rsid w:val="00131787"/>
    <w:rsid w:val="0013278C"/>
    <w:rsid w:val="001329E8"/>
    <w:rsid w:val="00133590"/>
    <w:rsid w:val="0013398D"/>
    <w:rsid w:val="001339D7"/>
    <w:rsid w:val="00133B28"/>
    <w:rsid w:val="00134942"/>
    <w:rsid w:val="00135417"/>
    <w:rsid w:val="001358D2"/>
    <w:rsid w:val="00135A0A"/>
    <w:rsid w:val="00135D73"/>
    <w:rsid w:val="00135FAE"/>
    <w:rsid w:val="0013601C"/>
    <w:rsid w:val="00136062"/>
    <w:rsid w:val="001360E4"/>
    <w:rsid w:val="001368FB"/>
    <w:rsid w:val="00136D9D"/>
    <w:rsid w:val="0014001D"/>
    <w:rsid w:val="00140270"/>
    <w:rsid w:val="001419C5"/>
    <w:rsid w:val="00141B42"/>
    <w:rsid w:val="00142228"/>
    <w:rsid w:val="00142559"/>
    <w:rsid w:val="001427CB"/>
    <w:rsid w:val="001434D5"/>
    <w:rsid w:val="00143540"/>
    <w:rsid w:val="00143620"/>
    <w:rsid w:val="00143A15"/>
    <w:rsid w:val="00143B0E"/>
    <w:rsid w:val="00143D26"/>
    <w:rsid w:val="00143F1A"/>
    <w:rsid w:val="001442EF"/>
    <w:rsid w:val="00144EA1"/>
    <w:rsid w:val="00145485"/>
    <w:rsid w:val="00145611"/>
    <w:rsid w:val="00145EA9"/>
    <w:rsid w:val="0014645E"/>
    <w:rsid w:val="001468B0"/>
    <w:rsid w:val="00146934"/>
    <w:rsid w:val="0014710C"/>
    <w:rsid w:val="00147451"/>
    <w:rsid w:val="00147B07"/>
    <w:rsid w:val="00147EEA"/>
    <w:rsid w:val="001500C5"/>
    <w:rsid w:val="00151436"/>
    <w:rsid w:val="001518A5"/>
    <w:rsid w:val="00152117"/>
    <w:rsid w:val="001522D9"/>
    <w:rsid w:val="0015237A"/>
    <w:rsid w:val="00152C5B"/>
    <w:rsid w:val="00153084"/>
    <w:rsid w:val="001533F1"/>
    <w:rsid w:val="001534CE"/>
    <w:rsid w:val="0015380B"/>
    <w:rsid w:val="00153AD3"/>
    <w:rsid w:val="00153EFD"/>
    <w:rsid w:val="00154867"/>
    <w:rsid w:val="00154934"/>
    <w:rsid w:val="00154A8B"/>
    <w:rsid w:val="0015531F"/>
    <w:rsid w:val="00155756"/>
    <w:rsid w:val="001566F5"/>
    <w:rsid w:val="001569E5"/>
    <w:rsid w:val="00156A2B"/>
    <w:rsid w:val="001570FA"/>
    <w:rsid w:val="00157184"/>
    <w:rsid w:val="00160372"/>
    <w:rsid w:val="00160700"/>
    <w:rsid w:val="00160E0F"/>
    <w:rsid w:val="001613FF"/>
    <w:rsid w:val="00161419"/>
    <w:rsid w:val="001617F9"/>
    <w:rsid w:val="001618EF"/>
    <w:rsid w:val="00162384"/>
    <w:rsid w:val="001626BC"/>
    <w:rsid w:val="00162950"/>
    <w:rsid w:val="00162DCB"/>
    <w:rsid w:val="00163EF5"/>
    <w:rsid w:val="00164393"/>
    <w:rsid w:val="00164874"/>
    <w:rsid w:val="00164C08"/>
    <w:rsid w:val="00164D76"/>
    <w:rsid w:val="00165000"/>
    <w:rsid w:val="00165188"/>
    <w:rsid w:val="00165555"/>
    <w:rsid w:val="0016642F"/>
    <w:rsid w:val="0016663A"/>
    <w:rsid w:val="0016668F"/>
    <w:rsid w:val="001666FB"/>
    <w:rsid w:val="001668D2"/>
    <w:rsid w:val="00166F96"/>
    <w:rsid w:val="00167409"/>
    <w:rsid w:val="0016740F"/>
    <w:rsid w:val="001674F5"/>
    <w:rsid w:val="00167906"/>
    <w:rsid w:val="00167C84"/>
    <w:rsid w:val="00167E1B"/>
    <w:rsid w:val="0017086E"/>
    <w:rsid w:val="00170FA2"/>
    <w:rsid w:val="00171350"/>
    <w:rsid w:val="00171594"/>
    <w:rsid w:val="00171E3A"/>
    <w:rsid w:val="00172230"/>
    <w:rsid w:val="00172248"/>
    <w:rsid w:val="001726E6"/>
    <w:rsid w:val="001728CB"/>
    <w:rsid w:val="00172A27"/>
    <w:rsid w:val="0017365A"/>
    <w:rsid w:val="00173A71"/>
    <w:rsid w:val="00173B60"/>
    <w:rsid w:val="00173E6A"/>
    <w:rsid w:val="00173F68"/>
    <w:rsid w:val="00174062"/>
    <w:rsid w:val="00174086"/>
    <w:rsid w:val="0017411E"/>
    <w:rsid w:val="001744ED"/>
    <w:rsid w:val="00175149"/>
    <w:rsid w:val="001754DF"/>
    <w:rsid w:val="001754E2"/>
    <w:rsid w:val="00175A5D"/>
    <w:rsid w:val="0017662C"/>
    <w:rsid w:val="001766CC"/>
    <w:rsid w:val="001766DD"/>
    <w:rsid w:val="00176CA5"/>
    <w:rsid w:val="00177944"/>
    <w:rsid w:val="001779D3"/>
    <w:rsid w:val="00177B10"/>
    <w:rsid w:val="00180298"/>
    <w:rsid w:val="00180FB6"/>
    <w:rsid w:val="00181392"/>
    <w:rsid w:val="00181D19"/>
    <w:rsid w:val="00182050"/>
    <w:rsid w:val="0018236F"/>
    <w:rsid w:val="001827F7"/>
    <w:rsid w:val="00182AEB"/>
    <w:rsid w:val="00182D90"/>
    <w:rsid w:val="00182E49"/>
    <w:rsid w:val="0018364A"/>
    <w:rsid w:val="0018368E"/>
    <w:rsid w:val="00184747"/>
    <w:rsid w:val="001851FE"/>
    <w:rsid w:val="001855FB"/>
    <w:rsid w:val="00185B2E"/>
    <w:rsid w:val="00185D3E"/>
    <w:rsid w:val="00185DE7"/>
    <w:rsid w:val="00185E10"/>
    <w:rsid w:val="00185FB0"/>
    <w:rsid w:val="0018651A"/>
    <w:rsid w:val="001869DF"/>
    <w:rsid w:val="00186BD7"/>
    <w:rsid w:val="00186C64"/>
    <w:rsid w:val="00187CE2"/>
    <w:rsid w:val="001902E5"/>
    <w:rsid w:val="00190370"/>
    <w:rsid w:val="0019082C"/>
    <w:rsid w:val="0019086C"/>
    <w:rsid w:val="00190A3C"/>
    <w:rsid w:val="00190FCD"/>
    <w:rsid w:val="0019138B"/>
    <w:rsid w:val="001914E4"/>
    <w:rsid w:val="00191788"/>
    <w:rsid w:val="00192103"/>
    <w:rsid w:val="00192273"/>
    <w:rsid w:val="001933ED"/>
    <w:rsid w:val="00193401"/>
    <w:rsid w:val="0019342A"/>
    <w:rsid w:val="00193616"/>
    <w:rsid w:val="00193A2A"/>
    <w:rsid w:val="00193EAC"/>
    <w:rsid w:val="0019425B"/>
    <w:rsid w:val="001942D2"/>
    <w:rsid w:val="00194A2B"/>
    <w:rsid w:val="001950FF"/>
    <w:rsid w:val="00195313"/>
    <w:rsid w:val="001953B7"/>
    <w:rsid w:val="0019551B"/>
    <w:rsid w:val="001959F0"/>
    <w:rsid w:val="0019614E"/>
    <w:rsid w:val="00196180"/>
    <w:rsid w:val="00196190"/>
    <w:rsid w:val="00196958"/>
    <w:rsid w:val="00197150"/>
    <w:rsid w:val="001971FF"/>
    <w:rsid w:val="001973A9"/>
    <w:rsid w:val="00197532"/>
    <w:rsid w:val="001A03A4"/>
    <w:rsid w:val="001A1047"/>
    <w:rsid w:val="001A1721"/>
    <w:rsid w:val="001A179A"/>
    <w:rsid w:val="001A2733"/>
    <w:rsid w:val="001A2EB4"/>
    <w:rsid w:val="001A38BD"/>
    <w:rsid w:val="001A3F1A"/>
    <w:rsid w:val="001A4385"/>
    <w:rsid w:val="001A43A3"/>
    <w:rsid w:val="001A4783"/>
    <w:rsid w:val="001A5282"/>
    <w:rsid w:val="001A5580"/>
    <w:rsid w:val="001A5B72"/>
    <w:rsid w:val="001A5CFF"/>
    <w:rsid w:val="001A6158"/>
    <w:rsid w:val="001A6CB5"/>
    <w:rsid w:val="001A6E59"/>
    <w:rsid w:val="001A709E"/>
    <w:rsid w:val="001A7607"/>
    <w:rsid w:val="001A7B17"/>
    <w:rsid w:val="001B066A"/>
    <w:rsid w:val="001B07DE"/>
    <w:rsid w:val="001B14F0"/>
    <w:rsid w:val="001B18A5"/>
    <w:rsid w:val="001B1C1D"/>
    <w:rsid w:val="001B33AF"/>
    <w:rsid w:val="001B346C"/>
    <w:rsid w:val="001B36BB"/>
    <w:rsid w:val="001B3891"/>
    <w:rsid w:val="001B3B24"/>
    <w:rsid w:val="001B5192"/>
    <w:rsid w:val="001B52A8"/>
    <w:rsid w:val="001B5F61"/>
    <w:rsid w:val="001B6051"/>
    <w:rsid w:val="001B6402"/>
    <w:rsid w:val="001B64CC"/>
    <w:rsid w:val="001B6AE0"/>
    <w:rsid w:val="001B6B3D"/>
    <w:rsid w:val="001B6E2A"/>
    <w:rsid w:val="001C0257"/>
    <w:rsid w:val="001C0393"/>
    <w:rsid w:val="001C045D"/>
    <w:rsid w:val="001C0771"/>
    <w:rsid w:val="001C0DBB"/>
    <w:rsid w:val="001C194B"/>
    <w:rsid w:val="001C1B8B"/>
    <w:rsid w:val="001C1D06"/>
    <w:rsid w:val="001C21D6"/>
    <w:rsid w:val="001C2594"/>
    <w:rsid w:val="001C27BC"/>
    <w:rsid w:val="001C2B3E"/>
    <w:rsid w:val="001C3286"/>
    <w:rsid w:val="001C34A5"/>
    <w:rsid w:val="001C35BC"/>
    <w:rsid w:val="001C3710"/>
    <w:rsid w:val="001C378A"/>
    <w:rsid w:val="001C3935"/>
    <w:rsid w:val="001C427F"/>
    <w:rsid w:val="001C46F2"/>
    <w:rsid w:val="001C543F"/>
    <w:rsid w:val="001C547A"/>
    <w:rsid w:val="001C5DAB"/>
    <w:rsid w:val="001C5DDB"/>
    <w:rsid w:val="001C5ED1"/>
    <w:rsid w:val="001C6460"/>
    <w:rsid w:val="001C65B6"/>
    <w:rsid w:val="001C697E"/>
    <w:rsid w:val="001C6BD2"/>
    <w:rsid w:val="001C6D59"/>
    <w:rsid w:val="001C6DD1"/>
    <w:rsid w:val="001C73CC"/>
    <w:rsid w:val="001C7E0F"/>
    <w:rsid w:val="001C7E22"/>
    <w:rsid w:val="001C7FA7"/>
    <w:rsid w:val="001D011B"/>
    <w:rsid w:val="001D0769"/>
    <w:rsid w:val="001D0D19"/>
    <w:rsid w:val="001D18F7"/>
    <w:rsid w:val="001D2372"/>
    <w:rsid w:val="001D25DC"/>
    <w:rsid w:val="001D411C"/>
    <w:rsid w:val="001D41C2"/>
    <w:rsid w:val="001D50C5"/>
    <w:rsid w:val="001D5726"/>
    <w:rsid w:val="001D57C9"/>
    <w:rsid w:val="001D6090"/>
    <w:rsid w:val="001D6A6B"/>
    <w:rsid w:val="001D6BC0"/>
    <w:rsid w:val="001D6EFE"/>
    <w:rsid w:val="001D6F78"/>
    <w:rsid w:val="001D7247"/>
    <w:rsid w:val="001D7C46"/>
    <w:rsid w:val="001D7E56"/>
    <w:rsid w:val="001E0277"/>
    <w:rsid w:val="001E04A6"/>
    <w:rsid w:val="001E0712"/>
    <w:rsid w:val="001E08F3"/>
    <w:rsid w:val="001E155E"/>
    <w:rsid w:val="001E19DD"/>
    <w:rsid w:val="001E1EA3"/>
    <w:rsid w:val="001E1F18"/>
    <w:rsid w:val="001E21C1"/>
    <w:rsid w:val="001E2A36"/>
    <w:rsid w:val="001E2C30"/>
    <w:rsid w:val="001E3917"/>
    <w:rsid w:val="001E3E55"/>
    <w:rsid w:val="001E416A"/>
    <w:rsid w:val="001E4350"/>
    <w:rsid w:val="001E500E"/>
    <w:rsid w:val="001E5026"/>
    <w:rsid w:val="001E548F"/>
    <w:rsid w:val="001E57C2"/>
    <w:rsid w:val="001E5A92"/>
    <w:rsid w:val="001E5E42"/>
    <w:rsid w:val="001E5EE9"/>
    <w:rsid w:val="001E62DC"/>
    <w:rsid w:val="001E65D0"/>
    <w:rsid w:val="001E6A5F"/>
    <w:rsid w:val="001E6F57"/>
    <w:rsid w:val="001E6FA8"/>
    <w:rsid w:val="001E71F0"/>
    <w:rsid w:val="001E78CE"/>
    <w:rsid w:val="001F01CF"/>
    <w:rsid w:val="001F0A83"/>
    <w:rsid w:val="001F0E6D"/>
    <w:rsid w:val="001F0FAB"/>
    <w:rsid w:val="001F104B"/>
    <w:rsid w:val="001F11FA"/>
    <w:rsid w:val="001F160E"/>
    <w:rsid w:val="001F1D95"/>
    <w:rsid w:val="001F238C"/>
    <w:rsid w:val="001F25B0"/>
    <w:rsid w:val="001F3B2D"/>
    <w:rsid w:val="001F42CE"/>
    <w:rsid w:val="001F4352"/>
    <w:rsid w:val="001F4E6F"/>
    <w:rsid w:val="001F51AB"/>
    <w:rsid w:val="001F55A3"/>
    <w:rsid w:val="001F5672"/>
    <w:rsid w:val="001F5742"/>
    <w:rsid w:val="001F5B6E"/>
    <w:rsid w:val="001F5BD4"/>
    <w:rsid w:val="001F6128"/>
    <w:rsid w:val="001F701D"/>
    <w:rsid w:val="001F7550"/>
    <w:rsid w:val="001F7683"/>
    <w:rsid w:val="001F768D"/>
    <w:rsid w:val="001F7DDA"/>
    <w:rsid w:val="00201012"/>
    <w:rsid w:val="00201E31"/>
    <w:rsid w:val="00202311"/>
    <w:rsid w:val="002024F6"/>
    <w:rsid w:val="002027D9"/>
    <w:rsid w:val="002029CD"/>
    <w:rsid w:val="00202AD2"/>
    <w:rsid w:val="00203049"/>
    <w:rsid w:val="00203BC6"/>
    <w:rsid w:val="00203E28"/>
    <w:rsid w:val="002050AB"/>
    <w:rsid w:val="002053B2"/>
    <w:rsid w:val="0020576E"/>
    <w:rsid w:val="00206254"/>
    <w:rsid w:val="002062B2"/>
    <w:rsid w:val="002064BC"/>
    <w:rsid w:val="00206BD8"/>
    <w:rsid w:val="00206EDA"/>
    <w:rsid w:val="002071A5"/>
    <w:rsid w:val="00207665"/>
    <w:rsid w:val="0020778B"/>
    <w:rsid w:val="002078FC"/>
    <w:rsid w:val="00207AC6"/>
    <w:rsid w:val="0021067D"/>
    <w:rsid w:val="0021091A"/>
    <w:rsid w:val="00211373"/>
    <w:rsid w:val="002115C2"/>
    <w:rsid w:val="002117B2"/>
    <w:rsid w:val="00212445"/>
    <w:rsid w:val="00212606"/>
    <w:rsid w:val="00212A45"/>
    <w:rsid w:val="00213E97"/>
    <w:rsid w:val="00214042"/>
    <w:rsid w:val="00214467"/>
    <w:rsid w:val="002147A9"/>
    <w:rsid w:val="002151C5"/>
    <w:rsid w:val="00215B6E"/>
    <w:rsid w:val="00216958"/>
    <w:rsid w:val="0021701A"/>
    <w:rsid w:val="0021768B"/>
    <w:rsid w:val="00217868"/>
    <w:rsid w:val="00217D74"/>
    <w:rsid w:val="00220377"/>
    <w:rsid w:val="00220F16"/>
    <w:rsid w:val="00220F2D"/>
    <w:rsid w:val="00221D34"/>
    <w:rsid w:val="00221F7D"/>
    <w:rsid w:val="002225B8"/>
    <w:rsid w:val="00223B8F"/>
    <w:rsid w:val="002243DE"/>
    <w:rsid w:val="00224458"/>
    <w:rsid w:val="002247DC"/>
    <w:rsid w:val="00224DBB"/>
    <w:rsid w:val="0022661A"/>
    <w:rsid w:val="0022676A"/>
    <w:rsid w:val="002269B4"/>
    <w:rsid w:val="00226A8E"/>
    <w:rsid w:val="00226C46"/>
    <w:rsid w:val="00226E55"/>
    <w:rsid w:val="00227690"/>
    <w:rsid w:val="00227D3B"/>
    <w:rsid w:val="002300B9"/>
    <w:rsid w:val="00230448"/>
    <w:rsid w:val="00230A07"/>
    <w:rsid w:val="00230B8B"/>
    <w:rsid w:val="00230F1B"/>
    <w:rsid w:val="0023160E"/>
    <w:rsid w:val="00231916"/>
    <w:rsid w:val="0023319C"/>
    <w:rsid w:val="002333F4"/>
    <w:rsid w:val="002334BE"/>
    <w:rsid w:val="00233DC5"/>
    <w:rsid w:val="00233E37"/>
    <w:rsid w:val="0023460A"/>
    <w:rsid w:val="0023508E"/>
    <w:rsid w:val="00235D64"/>
    <w:rsid w:val="00235FD4"/>
    <w:rsid w:val="00236026"/>
    <w:rsid w:val="0023643A"/>
    <w:rsid w:val="00236448"/>
    <w:rsid w:val="00236A30"/>
    <w:rsid w:val="00236FAD"/>
    <w:rsid w:val="00237323"/>
    <w:rsid w:val="00237D31"/>
    <w:rsid w:val="00237DAB"/>
    <w:rsid w:val="00240DFD"/>
    <w:rsid w:val="00241891"/>
    <w:rsid w:val="00242D37"/>
    <w:rsid w:val="002438DF"/>
    <w:rsid w:val="00243D3B"/>
    <w:rsid w:val="002443E4"/>
    <w:rsid w:val="00244AA7"/>
    <w:rsid w:val="00244F18"/>
    <w:rsid w:val="00245172"/>
    <w:rsid w:val="002456D5"/>
    <w:rsid w:val="00246007"/>
    <w:rsid w:val="002462FA"/>
    <w:rsid w:val="002468C4"/>
    <w:rsid w:val="00246C93"/>
    <w:rsid w:val="00246DD0"/>
    <w:rsid w:val="00246EAA"/>
    <w:rsid w:val="00246F65"/>
    <w:rsid w:val="0024700A"/>
    <w:rsid w:val="00247343"/>
    <w:rsid w:val="00247F76"/>
    <w:rsid w:val="0025039D"/>
    <w:rsid w:val="00250678"/>
    <w:rsid w:val="00251220"/>
    <w:rsid w:val="00251632"/>
    <w:rsid w:val="002520E9"/>
    <w:rsid w:val="002522F3"/>
    <w:rsid w:val="002525F0"/>
    <w:rsid w:val="002527AA"/>
    <w:rsid w:val="00252937"/>
    <w:rsid w:val="0025296A"/>
    <w:rsid w:val="00253D74"/>
    <w:rsid w:val="00253EBA"/>
    <w:rsid w:val="002540A8"/>
    <w:rsid w:val="002558D5"/>
    <w:rsid w:val="00255BA9"/>
    <w:rsid w:val="00255C9E"/>
    <w:rsid w:val="00255EDF"/>
    <w:rsid w:val="00256290"/>
    <w:rsid w:val="00257914"/>
    <w:rsid w:val="00257B55"/>
    <w:rsid w:val="00257CB3"/>
    <w:rsid w:val="00257D66"/>
    <w:rsid w:val="0026021C"/>
    <w:rsid w:val="00260B50"/>
    <w:rsid w:val="00260D30"/>
    <w:rsid w:val="00261B64"/>
    <w:rsid w:val="00261DFC"/>
    <w:rsid w:val="00261F90"/>
    <w:rsid w:val="002627A8"/>
    <w:rsid w:val="00262BBA"/>
    <w:rsid w:val="00262D7C"/>
    <w:rsid w:val="00262F0C"/>
    <w:rsid w:val="00263100"/>
    <w:rsid w:val="002634D8"/>
    <w:rsid w:val="002636E0"/>
    <w:rsid w:val="0026397D"/>
    <w:rsid w:val="00263989"/>
    <w:rsid w:val="00263BAC"/>
    <w:rsid w:val="00263C93"/>
    <w:rsid w:val="0026457F"/>
    <w:rsid w:val="00264A4F"/>
    <w:rsid w:val="00265D4A"/>
    <w:rsid w:val="00265F99"/>
    <w:rsid w:val="00266218"/>
    <w:rsid w:val="0026626A"/>
    <w:rsid w:val="00266363"/>
    <w:rsid w:val="00266763"/>
    <w:rsid w:val="00267A3F"/>
    <w:rsid w:val="00267B1E"/>
    <w:rsid w:val="00267C30"/>
    <w:rsid w:val="002709DE"/>
    <w:rsid w:val="00270B13"/>
    <w:rsid w:val="00271FD7"/>
    <w:rsid w:val="002724F1"/>
    <w:rsid w:val="0027289F"/>
    <w:rsid w:val="0027301F"/>
    <w:rsid w:val="00273209"/>
    <w:rsid w:val="0027325B"/>
    <w:rsid w:val="0027385E"/>
    <w:rsid w:val="00273ADF"/>
    <w:rsid w:val="00273FF3"/>
    <w:rsid w:val="00274641"/>
    <w:rsid w:val="00274830"/>
    <w:rsid w:val="00274A75"/>
    <w:rsid w:val="002755F8"/>
    <w:rsid w:val="002761EB"/>
    <w:rsid w:val="0027622D"/>
    <w:rsid w:val="002766F7"/>
    <w:rsid w:val="00276C7B"/>
    <w:rsid w:val="00277091"/>
    <w:rsid w:val="0028086B"/>
    <w:rsid w:val="00280FB5"/>
    <w:rsid w:val="00281F12"/>
    <w:rsid w:val="0028220C"/>
    <w:rsid w:val="002825D8"/>
    <w:rsid w:val="002837B1"/>
    <w:rsid w:val="00283935"/>
    <w:rsid w:val="00283945"/>
    <w:rsid w:val="0028487F"/>
    <w:rsid w:val="00284E87"/>
    <w:rsid w:val="0028505C"/>
    <w:rsid w:val="00285416"/>
    <w:rsid w:val="0028557C"/>
    <w:rsid w:val="00285798"/>
    <w:rsid w:val="00285FF8"/>
    <w:rsid w:val="002861F4"/>
    <w:rsid w:val="00286D4A"/>
    <w:rsid w:val="00286D51"/>
    <w:rsid w:val="00290EBD"/>
    <w:rsid w:val="00291127"/>
    <w:rsid w:val="0029190E"/>
    <w:rsid w:val="002919B6"/>
    <w:rsid w:val="00291CAE"/>
    <w:rsid w:val="00291F0A"/>
    <w:rsid w:val="00292B57"/>
    <w:rsid w:val="00293950"/>
    <w:rsid w:val="0029461F"/>
    <w:rsid w:val="002946A7"/>
    <w:rsid w:val="002947C0"/>
    <w:rsid w:val="002947D7"/>
    <w:rsid w:val="00294ED0"/>
    <w:rsid w:val="00294FCD"/>
    <w:rsid w:val="002955E0"/>
    <w:rsid w:val="00295C6D"/>
    <w:rsid w:val="00296BF9"/>
    <w:rsid w:val="0029732A"/>
    <w:rsid w:val="00297585"/>
    <w:rsid w:val="00297A6A"/>
    <w:rsid w:val="00297CBC"/>
    <w:rsid w:val="002A03AF"/>
    <w:rsid w:val="002A03BE"/>
    <w:rsid w:val="002A0F76"/>
    <w:rsid w:val="002A1526"/>
    <w:rsid w:val="002A1934"/>
    <w:rsid w:val="002A1B3C"/>
    <w:rsid w:val="002A1BBF"/>
    <w:rsid w:val="002A1C57"/>
    <w:rsid w:val="002A2867"/>
    <w:rsid w:val="002A384B"/>
    <w:rsid w:val="002A3B39"/>
    <w:rsid w:val="002A4959"/>
    <w:rsid w:val="002A4D9B"/>
    <w:rsid w:val="002A63BB"/>
    <w:rsid w:val="002A7E00"/>
    <w:rsid w:val="002B0337"/>
    <w:rsid w:val="002B09A0"/>
    <w:rsid w:val="002B0BD5"/>
    <w:rsid w:val="002B0FDC"/>
    <w:rsid w:val="002B16A3"/>
    <w:rsid w:val="002B18F1"/>
    <w:rsid w:val="002B36AB"/>
    <w:rsid w:val="002B3760"/>
    <w:rsid w:val="002B37CA"/>
    <w:rsid w:val="002B3B55"/>
    <w:rsid w:val="002B5CC0"/>
    <w:rsid w:val="002B6910"/>
    <w:rsid w:val="002B6B7E"/>
    <w:rsid w:val="002B6B93"/>
    <w:rsid w:val="002B757C"/>
    <w:rsid w:val="002B7E96"/>
    <w:rsid w:val="002C0D58"/>
    <w:rsid w:val="002C106F"/>
    <w:rsid w:val="002C132F"/>
    <w:rsid w:val="002C14FA"/>
    <w:rsid w:val="002C1F3F"/>
    <w:rsid w:val="002C21E4"/>
    <w:rsid w:val="002C2404"/>
    <w:rsid w:val="002C2515"/>
    <w:rsid w:val="002C26E2"/>
    <w:rsid w:val="002C272B"/>
    <w:rsid w:val="002C2A83"/>
    <w:rsid w:val="002C2D1F"/>
    <w:rsid w:val="002C3476"/>
    <w:rsid w:val="002C3D1B"/>
    <w:rsid w:val="002C4134"/>
    <w:rsid w:val="002C43D6"/>
    <w:rsid w:val="002C5A22"/>
    <w:rsid w:val="002C5AC1"/>
    <w:rsid w:val="002C6D3A"/>
    <w:rsid w:val="002C7476"/>
    <w:rsid w:val="002C7DF9"/>
    <w:rsid w:val="002D00A0"/>
    <w:rsid w:val="002D0C2A"/>
    <w:rsid w:val="002D0DE7"/>
    <w:rsid w:val="002D1080"/>
    <w:rsid w:val="002D128B"/>
    <w:rsid w:val="002D1C41"/>
    <w:rsid w:val="002D1CCA"/>
    <w:rsid w:val="002D2851"/>
    <w:rsid w:val="002D3A98"/>
    <w:rsid w:val="002D3DCD"/>
    <w:rsid w:val="002D499F"/>
    <w:rsid w:val="002D4F9B"/>
    <w:rsid w:val="002D5075"/>
    <w:rsid w:val="002D5680"/>
    <w:rsid w:val="002D5B21"/>
    <w:rsid w:val="002D69E6"/>
    <w:rsid w:val="002D716B"/>
    <w:rsid w:val="002D75FD"/>
    <w:rsid w:val="002E0077"/>
    <w:rsid w:val="002E0669"/>
    <w:rsid w:val="002E0D1E"/>
    <w:rsid w:val="002E10B7"/>
    <w:rsid w:val="002E17A0"/>
    <w:rsid w:val="002E234B"/>
    <w:rsid w:val="002E316D"/>
    <w:rsid w:val="002E334F"/>
    <w:rsid w:val="002E341B"/>
    <w:rsid w:val="002E35AE"/>
    <w:rsid w:val="002E36CB"/>
    <w:rsid w:val="002E44B6"/>
    <w:rsid w:val="002E45A1"/>
    <w:rsid w:val="002E52ED"/>
    <w:rsid w:val="002E544D"/>
    <w:rsid w:val="002E573C"/>
    <w:rsid w:val="002E5C40"/>
    <w:rsid w:val="002E5D12"/>
    <w:rsid w:val="002E633E"/>
    <w:rsid w:val="002E63D6"/>
    <w:rsid w:val="002E686F"/>
    <w:rsid w:val="002E6889"/>
    <w:rsid w:val="002E6E3B"/>
    <w:rsid w:val="002E72E8"/>
    <w:rsid w:val="002E74E0"/>
    <w:rsid w:val="002E77B6"/>
    <w:rsid w:val="002E7DA9"/>
    <w:rsid w:val="002F02DC"/>
    <w:rsid w:val="002F069D"/>
    <w:rsid w:val="002F0AB0"/>
    <w:rsid w:val="002F0ADA"/>
    <w:rsid w:val="002F1D05"/>
    <w:rsid w:val="002F1EA0"/>
    <w:rsid w:val="002F1F88"/>
    <w:rsid w:val="002F20D3"/>
    <w:rsid w:val="002F26DD"/>
    <w:rsid w:val="002F3570"/>
    <w:rsid w:val="002F358F"/>
    <w:rsid w:val="002F40C8"/>
    <w:rsid w:val="002F410F"/>
    <w:rsid w:val="002F4C5C"/>
    <w:rsid w:val="002F4E45"/>
    <w:rsid w:val="002F4EDF"/>
    <w:rsid w:val="002F4F6A"/>
    <w:rsid w:val="002F5077"/>
    <w:rsid w:val="002F5B0F"/>
    <w:rsid w:val="002F5D15"/>
    <w:rsid w:val="002F5F85"/>
    <w:rsid w:val="002F695C"/>
    <w:rsid w:val="002F6DDC"/>
    <w:rsid w:val="002F6E69"/>
    <w:rsid w:val="002F6EF8"/>
    <w:rsid w:val="002F737F"/>
    <w:rsid w:val="002F7627"/>
    <w:rsid w:val="002F7693"/>
    <w:rsid w:val="002F77C0"/>
    <w:rsid w:val="002F7B28"/>
    <w:rsid w:val="003000D1"/>
    <w:rsid w:val="00300496"/>
    <w:rsid w:val="00300C2C"/>
    <w:rsid w:val="00300D43"/>
    <w:rsid w:val="00300EA9"/>
    <w:rsid w:val="00301079"/>
    <w:rsid w:val="003010AF"/>
    <w:rsid w:val="003017A1"/>
    <w:rsid w:val="003018B7"/>
    <w:rsid w:val="00302757"/>
    <w:rsid w:val="003029BE"/>
    <w:rsid w:val="00303355"/>
    <w:rsid w:val="00303648"/>
    <w:rsid w:val="00303A4B"/>
    <w:rsid w:val="003041B6"/>
    <w:rsid w:val="00304241"/>
    <w:rsid w:val="003042BF"/>
    <w:rsid w:val="003054BC"/>
    <w:rsid w:val="00305610"/>
    <w:rsid w:val="003056EE"/>
    <w:rsid w:val="003063B6"/>
    <w:rsid w:val="0030690D"/>
    <w:rsid w:val="00306AEF"/>
    <w:rsid w:val="00306DF8"/>
    <w:rsid w:val="00307673"/>
    <w:rsid w:val="00307C25"/>
    <w:rsid w:val="00310563"/>
    <w:rsid w:val="00310A6B"/>
    <w:rsid w:val="00310CFB"/>
    <w:rsid w:val="00310DFC"/>
    <w:rsid w:val="00311731"/>
    <w:rsid w:val="00311F14"/>
    <w:rsid w:val="003120A7"/>
    <w:rsid w:val="0031212E"/>
    <w:rsid w:val="00312DB7"/>
    <w:rsid w:val="00312FE6"/>
    <w:rsid w:val="0031312B"/>
    <w:rsid w:val="00313563"/>
    <w:rsid w:val="0031384C"/>
    <w:rsid w:val="0031435B"/>
    <w:rsid w:val="00314DE1"/>
    <w:rsid w:val="00314F53"/>
    <w:rsid w:val="00314F5A"/>
    <w:rsid w:val="0031509A"/>
    <w:rsid w:val="003153CD"/>
    <w:rsid w:val="00315877"/>
    <w:rsid w:val="00315FD4"/>
    <w:rsid w:val="0031675F"/>
    <w:rsid w:val="0031682D"/>
    <w:rsid w:val="003174BE"/>
    <w:rsid w:val="0031768D"/>
    <w:rsid w:val="00317D1B"/>
    <w:rsid w:val="00317F28"/>
    <w:rsid w:val="00320A67"/>
    <w:rsid w:val="00320B71"/>
    <w:rsid w:val="003215F1"/>
    <w:rsid w:val="00321DDC"/>
    <w:rsid w:val="0032206B"/>
    <w:rsid w:val="003220C6"/>
    <w:rsid w:val="0032330B"/>
    <w:rsid w:val="00323477"/>
    <w:rsid w:val="00323ADC"/>
    <w:rsid w:val="003241AA"/>
    <w:rsid w:val="00324F69"/>
    <w:rsid w:val="0032525F"/>
    <w:rsid w:val="00325F4C"/>
    <w:rsid w:val="00326332"/>
    <w:rsid w:val="00326967"/>
    <w:rsid w:val="00326A9A"/>
    <w:rsid w:val="00327150"/>
    <w:rsid w:val="0032732E"/>
    <w:rsid w:val="00327736"/>
    <w:rsid w:val="00327A9C"/>
    <w:rsid w:val="00330A68"/>
    <w:rsid w:val="00330A81"/>
    <w:rsid w:val="00330A94"/>
    <w:rsid w:val="0033145C"/>
    <w:rsid w:val="00331CD1"/>
    <w:rsid w:val="00332BEB"/>
    <w:rsid w:val="00333230"/>
    <w:rsid w:val="00333368"/>
    <w:rsid w:val="0033345D"/>
    <w:rsid w:val="003335F5"/>
    <w:rsid w:val="00334001"/>
    <w:rsid w:val="00334180"/>
    <w:rsid w:val="0033453A"/>
    <w:rsid w:val="003346DF"/>
    <w:rsid w:val="00334C8E"/>
    <w:rsid w:val="003360E0"/>
    <w:rsid w:val="0033623F"/>
    <w:rsid w:val="003364E9"/>
    <w:rsid w:val="003369D9"/>
    <w:rsid w:val="003374D1"/>
    <w:rsid w:val="00337E85"/>
    <w:rsid w:val="00340139"/>
    <w:rsid w:val="00340EC8"/>
    <w:rsid w:val="003414FF"/>
    <w:rsid w:val="0034164A"/>
    <w:rsid w:val="00341843"/>
    <w:rsid w:val="00342592"/>
    <w:rsid w:val="00342682"/>
    <w:rsid w:val="003428EC"/>
    <w:rsid w:val="00342A27"/>
    <w:rsid w:val="00342CB4"/>
    <w:rsid w:val="00342D2E"/>
    <w:rsid w:val="003433DD"/>
    <w:rsid w:val="00343544"/>
    <w:rsid w:val="003438BD"/>
    <w:rsid w:val="003439E7"/>
    <w:rsid w:val="00343DE3"/>
    <w:rsid w:val="0034431D"/>
    <w:rsid w:val="003446E7"/>
    <w:rsid w:val="00344A0B"/>
    <w:rsid w:val="00344C22"/>
    <w:rsid w:val="0034519C"/>
    <w:rsid w:val="0034520D"/>
    <w:rsid w:val="00345473"/>
    <w:rsid w:val="00345E27"/>
    <w:rsid w:val="003464D4"/>
    <w:rsid w:val="003465BF"/>
    <w:rsid w:val="003468CF"/>
    <w:rsid w:val="00346B48"/>
    <w:rsid w:val="003474C5"/>
    <w:rsid w:val="00347AEF"/>
    <w:rsid w:val="00350573"/>
    <w:rsid w:val="00350EBF"/>
    <w:rsid w:val="00351A28"/>
    <w:rsid w:val="00351F27"/>
    <w:rsid w:val="0035242F"/>
    <w:rsid w:val="0035369A"/>
    <w:rsid w:val="00353A02"/>
    <w:rsid w:val="00354A58"/>
    <w:rsid w:val="00354D99"/>
    <w:rsid w:val="00354D9B"/>
    <w:rsid w:val="00355020"/>
    <w:rsid w:val="0035532F"/>
    <w:rsid w:val="00355FB0"/>
    <w:rsid w:val="0035616A"/>
    <w:rsid w:val="00356232"/>
    <w:rsid w:val="00356243"/>
    <w:rsid w:val="003564A8"/>
    <w:rsid w:val="0035650E"/>
    <w:rsid w:val="00356664"/>
    <w:rsid w:val="00356973"/>
    <w:rsid w:val="00357355"/>
    <w:rsid w:val="003575C5"/>
    <w:rsid w:val="00360AC8"/>
    <w:rsid w:val="00360BFE"/>
    <w:rsid w:val="0036173A"/>
    <w:rsid w:val="0036224B"/>
    <w:rsid w:val="0036299F"/>
    <w:rsid w:val="00362ADD"/>
    <w:rsid w:val="00363112"/>
    <w:rsid w:val="00363533"/>
    <w:rsid w:val="003637CD"/>
    <w:rsid w:val="00363A49"/>
    <w:rsid w:val="00363C3C"/>
    <w:rsid w:val="00363C8E"/>
    <w:rsid w:val="003640FB"/>
    <w:rsid w:val="00364164"/>
    <w:rsid w:val="00364406"/>
    <w:rsid w:val="00364611"/>
    <w:rsid w:val="00364DEF"/>
    <w:rsid w:val="003655CA"/>
    <w:rsid w:val="00365EFB"/>
    <w:rsid w:val="00366122"/>
    <w:rsid w:val="00366676"/>
    <w:rsid w:val="00366B62"/>
    <w:rsid w:val="00366EDE"/>
    <w:rsid w:val="003670C8"/>
    <w:rsid w:val="003674AE"/>
    <w:rsid w:val="0036760A"/>
    <w:rsid w:val="00370579"/>
    <w:rsid w:val="00370AF7"/>
    <w:rsid w:val="00370C48"/>
    <w:rsid w:val="00370F2A"/>
    <w:rsid w:val="00371EB3"/>
    <w:rsid w:val="003726F3"/>
    <w:rsid w:val="003729A1"/>
    <w:rsid w:val="00372A11"/>
    <w:rsid w:val="00372AA0"/>
    <w:rsid w:val="003732E4"/>
    <w:rsid w:val="00373F1E"/>
    <w:rsid w:val="00374DC9"/>
    <w:rsid w:val="00374F61"/>
    <w:rsid w:val="00375097"/>
    <w:rsid w:val="003753F8"/>
    <w:rsid w:val="00375F29"/>
    <w:rsid w:val="003761F5"/>
    <w:rsid w:val="00376482"/>
    <w:rsid w:val="00376DC6"/>
    <w:rsid w:val="0037748A"/>
    <w:rsid w:val="00380339"/>
    <w:rsid w:val="003803F6"/>
    <w:rsid w:val="0038071D"/>
    <w:rsid w:val="00380726"/>
    <w:rsid w:val="00380CC3"/>
    <w:rsid w:val="00380ECB"/>
    <w:rsid w:val="00381449"/>
    <w:rsid w:val="00381DC0"/>
    <w:rsid w:val="00381E59"/>
    <w:rsid w:val="0038243F"/>
    <w:rsid w:val="0038246F"/>
    <w:rsid w:val="0038275D"/>
    <w:rsid w:val="00383114"/>
    <w:rsid w:val="00383260"/>
    <w:rsid w:val="003835D9"/>
    <w:rsid w:val="00384DCC"/>
    <w:rsid w:val="00384FD8"/>
    <w:rsid w:val="0038553D"/>
    <w:rsid w:val="00385581"/>
    <w:rsid w:val="00385D6F"/>
    <w:rsid w:val="003865B9"/>
    <w:rsid w:val="003867C1"/>
    <w:rsid w:val="00386840"/>
    <w:rsid w:val="00386B17"/>
    <w:rsid w:val="00386C34"/>
    <w:rsid w:val="003872B9"/>
    <w:rsid w:val="003875AA"/>
    <w:rsid w:val="00387C5B"/>
    <w:rsid w:val="00387D85"/>
    <w:rsid w:val="00387DDF"/>
    <w:rsid w:val="003905CB"/>
    <w:rsid w:val="003906CF"/>
    <w:rsid w:val="00390CB0"/>
    <w:rsid w:val="0039184F"/>
    <w:rsid w:val="00391946"/>
    <w:rsid w:val="00391BC3"/>
    <w:rsid w:val="00392AD4"/>
    <w:rsid w:val="00392D75"/>
    <w:rsid w:val="003931C2"/>
    <w:rsid w:val="003938BB"/>
    <w:rsid w:val="00393956"/>
    <w:rsid w:val="00393E53"/>
    <w:rsid w:val="003940C5"/>
    <w:rsid w:val="00394ACE"/>
    <w:rsid w:val="00395592"/>
    <w:rsid w:val="00395A8B"/>
    <w:rsid w:val="00395B8B"/>
    <w:rsid w:val="00396189"/>
    <w:rsid w:val="00396824"/>
    <w:rsid w:val="00396DC0"/>
    <w:rsid w:val="003971A0"/>
    <w:rsid w:val="003977FB"/>
    <w:rsid w:val="00397C55"/>
    <w:rsid w:val="003A0009"/>
    <w:rsid w:val="003A0039"/>
    <w:rsid w:val="003A0221"/>
    <w:rsid w:val="003A04DF"/>
    <w:rsid w:val="003A06B4"/>
    <w:rsid w:val="003A06D0"/>
    <w:rsid w:val="003A1089"/>
    <w:rsid w:val="003A1A93"/>
    <w:rsid w:val="003A1E50"/>
    <w:rsid w:val="003A21E5"/>
    <w:rsid w:val="003A2755"/>
    <w:rsid w:val="003A28D5"/>
    <w:rsid w:val="003A2B03"/>
    <w:rsid w:val="003A30CC"/>
    <w:rsid w:val="003A3184"/>
    <w:rsid w:val="003A43AE"/>
    <w:rsid w:val="003A5647"/>
    <w:rsid w:val="003A5811"/>
    <w:rsid w:val="003A58FC"/>
    <w:rsid w:val="003A59D5"/>
    <w:rsid w:val="003A5D3E"/>
    <w:rsid w:val="003A5E56"/>
    <w:rsid w:val="003A62D7"/>
    <w:rsid w:val="003A6BE0"/>
    <w:rsid w:val="003A78C0"/>
    <w:rsid w:val="003A7D48"/>
    <w:rsid w:val="003B06A9"/>
    <w:rsid w:val="003B0AE4"/>
    <w:rsid w:val="003B0B54"/>
    <w:rsid w:val="003B0D67"/>
    <w:rsid w:val="003B1125"/>
    <w:rsid w:val="003B1275"/>
    <w:rsid w:val="003B1868"/>
    <w:rsid w:val="003B1AA9"/>
    <w:rsid w:val="003B1F0C"/>
    <w:rsid w:val="003B1F45"/>
    <w:rsid w:val="003B2FBD"/>
    <w:rsid w:val="003B316A"/>
    <w:rsid w:val="003B35BC"/>
    <w:rsid w:val="003B382C"/>
    <w:rsid w:val="003B3AA9"/>
    <w:rsid w:val="003B4E8C"/>
    <w:rsid w:val="003B58CA"/>
    <w:rsid w:val="003B5C41"/>
    <w:rsid w:val="003B5D47"/>
    <w:rsid w:val="003B66F9"/>
    <w:rsid w:val="003B67E0"/>
    <w:rsid w:val="003B6986"/>
    <w:rsid w:val="003B739D"/>
    <w:rsid w:val="003B7694"/>
    <w:rsid w:val="003C0243"/>
    <w:rsid w:val="003C05A7"/>
    <w:rsid w:val="003C078B"/>
    <w:rsid w:val="003C1973"/>
    <w:rsid w:val="003C1B84"/>
    <w:rsid w:val="003C2BAE"/>
    <w:rsid w:val="003C305E"/>
    <w:rsid w:val="003C3378"/>
    <w:rsid w:val="003C3404"/>
    <w:rsid w:val="003C56A1"/>
    <w:rsid w:val="003C5FE9"/>
    <w:rsid w:val="003C60A8"/>
    <w:rsid w:val="003C639F"/>
    <w:rsid w:val="003C6B41"/>
    <w:rsid w:val="003C72FD"/>
    <w:rsid w:val="003C7D26"/>
    <w:rsid w:val="003C7D58"/>
    <w:rsid w:val="003D03A2"/>
    <w:rsid w:val="003D0B77"/>
    <w:rsid w:val="003D1992"/>
    <w:rsid w:val="003D2018"/>
    <w:rsid w:val="003D2632"/>
    <w:rsid w:val="003D2981"/>
    <w:rsid w:val="003D2A46"/>
    <w:rsid w:val="003D2C0D"/>
    <w:rsid w:val="003D318F"/>
    <w:rsid w:val="003D3735"/>
    <w:rsid w:val="003D39E6"/>
    <w:rsid w:val="003D4955"/>
    <w:rsid w:val="003D4AEE"/>
    <w:rsid w:val="003D4CC9"/>
    <w:rsid w:val="003D56A4"/>
    <w:rsid w:val="003D59C6"/>
    <w:rsid w:val="003D65BC"/>
    <w:rsid w:val="003D6812"/>
    <w:rsid w:val="003D6D35"/>
    <w:rsid w:val="003D733B"/>
    <w:rsid w:val="003D735C"/>
    <w:rsid w:val="003D76D5"/>
    <w:rsid w:val="003D7C01"/>
    <w:rsid w:val="003D7CFC"/>
    <w:rsid w:val="003D7FED"/>
    <w:rsid w:val="003E0395"/>
    <w:rsid w:val="003E04B0"/>
    <w:rsid w:val="003E177E"/>
    <w:rsid w:val="003E1915"/>
    <w:rsid w:val="003E1991"/>
    <w:rsid w:val="003E1B99"/>
    <w:rsid w:val="003E2469"/>
    <w:rsid w:val="003E2635"/>
    <w:rsid w:val="003E265D"/>
    <w:rsid w:val="003E266A"/>
    <w:rsid w:val="003E2769"/>
    <w:rsid w:val="003E365F"/>
    <w:rsid w:val="003E3BC2"/>
    <w:rsid w:val="003E506B"/>
    <w:rsid w:val="003E5B1E"/>
    <w:rsid w:val="003E5C19"/>
    <w:rsid w:val="003E5F16"/>
    <w:rsid w:val="003E5FC7"/>
    <w:rsid w:val="003E61CD"/>
    <w:rsid w:val="003E6439"/>
    <w:rsid w:val="003E650D"/>
    <w:rsid w:val="003E70D2"/>
    <w:rsid w:val="003E75E2"/>
    <w:rsid w:val="003E7646"/>
    <w:rsid w:val="003E7704"/>
    <w:rsid w:val="003E7903"/>
    <w:rsid w:val="003E79FE"/>
    <w:rsid w:val="003F09AB"/>
    <w:rsid w:val="003F0C6E"/>
    <w:rsid w:val="003F0CDF"/>
    <w:rsid w:val="003F1555"/>
    <w:rsid w:val="003F1595"/>
    <w:rsid w:val="003F1B94"/>
    <w:rsid w:val="003F1D5E"/>
    <w:rsid w:val="003F1E71"/>
    <w:rsid w:val="003F2438"/>
    <w:rsid w:val="003F30B5"/>
    <w:rsid w:val="003F330C"/>
    <w:rsid w:val="003F3800"/>
    <w:rsid w:val="003F3B06"/>
    <w:rsid w:val="003F3BBA"/>
    <w:rsid w:val="003F3EDF"/>
    <w:rsid w:val="003F3FD8"/>
    <w:rsid w:val="003F40D1"/>
    <w:rsid w:val="003F4336"/>
    <w:rsid w:val="003F438F"/>
    <w:rsid w:val="003F5F6B"/>
    <w:rsid w:val="003F60C8"/>
    <w:rsid w:val="003F6364"/>
    <w:rsid w:val="003F6C90"/>
    <w:rsid w:val="003F6D00"/>
    <w:rsid w:val="003F6F1A"/>
    <w:rsid w:val="003F7827"/>
    <w:rsid w:val="0040017C"/>
    <w:rsid w:val="004004B1"/>
    <w:rsid w:val="0040077A"/>
    <w:rsid w:val="00401531"/>
    <w:rsid w:val="00401705"/>
    <w:rsid w:val="004024E0"/>
    <w:rsid w:val="00402CCC"/>
    <w:rsid w:val="00403219"/>
    <w:rsid w:val="00403BE1"/>
    <w:rsid w:val="00404149"/>
    <w:rsid w:val="00404281"/>
    <w:rsid w:val="004045F0"/>
    <w:rsid w:val="00404715"/>
    <w:rsid w:val="00404A38"/>
    <w:rsid w:val="00404BD5"/>
    <w:rsid w:val="00405198"/>
    <w:rsid w:val="004063D9"/>
    <w:rsid w:val="004065EE"/>
    <w:rsid w:val="00406634"/>
    <w:rsid w:val="004068A1"/>
    <w:rsid w:val="004068A9"/>
    <w:rsid w:val="00406C87"/>
    <w:rsid w:val="00407133"/>
    <w:rsid w:val="00407181"/>
    <w:rsid w:val="00407EC5"/>
    <w:rsid w:val="004103CB"/>
    <w:rsid w:val="004105F5"/>
    <w:rsid w:val="004108DA"/>
    <w:rsid w:val="00410C78"/>
    <w:rsid w:val="00411522"/>
    <w:rsid w:val="0041223E"/>
    <w:rsid w:val="00412242"/>
    <w:rsid w:val="004137F4"/>
    <w:rsid w:val="004138DA"/>
    <w:rsid w:val="00414264"/>
    <w:rsid w:val="00414566"/>
    <w:rsid w:val="00414E01"/>
    <w:rsid w:val="00414F66"/>
    <w:rsid w:val="00414FEF"/>
    <w:rsid w:val="00415369"/>
    <w:rsid w:val="00415E3A"/>
    <w:rsid w:val="00415F15"/>
    <w:rsid w:val="00415F44"/>
    <w:rsid w:val="00416063"/>
    <w:rsid w:val="00416256"/>
    <w:rsid w:val="00416347"/>
    <w:rsid w:val="0041637E"/>
    <w:rsid w:val="00416783"/>
    <w:rsid w:val="00416ABA"/>
    <w:rsid w:val="00416B3F"/>
    <w:rsid w:val="00417ACA"/>
    <w:rsid w:val="004203EC"/>
    <w:rsid w:val="00420858"/>
    <w:rsid w:val="00420D1E"/>
    <w:rsid w:val="00420D87"/>
    <w:rsid w:val="00421890"/>
    <w:rsid w:val="00421E77"/>
    <w:rsid w:val="004220F7"/>
    <w:rsid w:val="004221AA"/>
    <w:rsid w:val="0042285D"/>
    <w:rsid w:val="0042298E"/>
    <w:rsid w:val="00422A7A"/>
    <w:rsid w:val="00422C23"/>
    <w:rsid w:val="004233E6"/>
    <w:rsid w:val="00423603"/>
    <w:rsid w:val="00424169"/>
    <w:rsid w:val="004242DE"/>
    <w:rsid w:val="004248D3"/>
    <w:rsid w:val="00424914"/>
    <w:rsid w:val="00425187"/>
    <w:rsid w:val="004254DC"/>
    <w:rsid w:val="00425C3C"/>
    <w:rsid w:val="00425CC3"/>
    <w:rsid w:val="00426E4D"/>
    <w:rsid w:val="004272DE"/>
    <w:rsid w:val="004278EE"/>
    <w:rsid w:val="004279C5"/>
    <w:rsid w:val="004279DA"/>
    <w:rsid w:val="00427AEA"/>
    <w:rsid w:val="00427DCF"/>
    <w:rsid w:val="00427F7D"/>
    <w:rsid w:val="00427FB5"/>
    <w:rsid w:val="0043019F"/>
    <w:rsid w:val="004301F1"/>
    <w:rsid w:val="00430A13"/>
    <w:rsid w:val="00430FEA"/>
    <w:rsid w:val="00431720"/>
    <w:rsid w:val="004317D6"/>
    <w:rsid w:val="00431865"/>
    <w:rsid w:val="00431C45"/>
    <w:rsid w:val="004321CC"/>
    <w:rsid w:val="00432336"/>
    <w:rsid w:val="00433402"/>
    <w:rsid w:val="00433830"/>
    <w:rsid w:val="004349F7"/>
    <w:rsid w:val="00434FC5"/>
    <w:rsid w:val="00435255"/>
    <w:rsid w:val="00435380"/>
    <w:rsid w:val="00435C3A"/>
    <w:rsid w:val="00436343"/>
    <w:rsid w:val="00436A95"/>
    <w:rsid w:val="00437373"/>
    <w:rsid w:val="004378B9"/>
    <w:rsid w:val="00437A7F"/>
    <w:rsid w:val="00437E9C"/>
    <w:rsid w:val="00437F81"/>
    <w:rsid w:val="00440570"/>
    <w:rsid w:val="00440A40"/>
    <w:rsid w:val="00440B0A"/>
    <w:rsid w:val="00440DB4"/>
    <w:rsid w:val="00440F3C"/>
    <w:rsid w:val="004410BA"/>
    <w:rsid w:val="0044123D"/>
    <w:rsid w:val="0044140F"/>
    <w:rsid w:val="004414F0"/>
    <w:rsid w:val="00441A41"/>
    <w:rsid w:val="00441BB9"/>
    <w:rsid w:val="00441D5A"/>
    <w:rsid w:val="0044223C"/>
    <w:rsid w:val="00442B35"/>
    <w:rsid w:val="00442CEC"/>
    <w:rsid w:val="00442CF4"/>
    <w:rsid w:val="004432EC"/>
    <w:rsid w:val="00443928"/>
    <w:rsid w:val="00443BC6"/>
    <w:rsid w:val="00444723"/>
    <w:rsid w:val="00444B62"/>
    <w:rsid w:val="00444ED1"/>
    <w:rsid w:val="00445C25"/>
    <w:rsid w:val="00446213"/>
    <w:rsid w:val="0044683D"/>
    <w:rsid w:val="00446985"/>
    <w:rsid w:val="00447156"/>
    <w:rsid w:val="0044723F"/>
    <w:rsid w:val="004478A0"/>
    <w:rsid w:val="00450538"/>
    <w:rsid w:val="004506B9"/>
    <w:rsid w:val="00451BA2"/>
    <w:rsid w:val="00452548"/>
    <w:rsid w:val="004531CE"/>
    <w:rsid w:val="004539B7"/>
    <w:rsid w:val="00454480"/>
    <w:rsid w:val="004544CA"/>
    <w:rsid w:val="00455299"/>
    <w:rsid w:val="00455816"/>
    <w:rsid w:val="00455842"/>
    <w:rsid w:val="00456CB7"/>
    <w:rsid w:val="00456FAC"/>
    <w:rsid w:val="004571D5"/>
    <w:rsid w:val="00457318"/>
    <w:rsid w:val="0045774E"/>
    <w:rsid w:val="004577A8"/>
    <w:rsid w:val="00457FE3"/>
    <w:rsid w:val="0046154F"/>
    <w:rsid w:val="00461A90"/>
    <w:rsid w:val="00461B23"/>
    <w:rsid w:val="00461E57"/>
    <w:rsid w:val="00462536"/>
    <w:rsid w:val="004627AD"/>
    <w:rsid w:val="00463495"/>
    <w:rsid w:val="00463BE0"/>
    <w:rsid w:val="004640BC"/>
    <w:rsid w:val="004644C5"/>
    <w:rsid w:val="004648D9"/>
    <w:rsid w:val="00464AAA"/>
    <w:rsid w:val="00464D22"/>
    <w:rsid w:val="00465174"/>
    <w:rsid w:val="0046530F"/>
    <w:rsid w:val="004655C3"/>
    <w:rsid w:val="00465C9C"/>
    <w:rsid w:val="0046602D"/>
    <w:rsid w:val="0046651C"/>
    <w:rsid w:val="0046661D"/>
    <w:rsid w:val="00467916"/>
    <w:rsid w:val="004707D0"/>
    <w:rsid w:val="0047081B"/>
    <w:rsid w:val="0047087F"/>
    <w:rsid w:val="00470ADE"/>
    <w:rsid w:val="00470CD7"/>
    <w:rsid w:val="004712AF"/>
    <w:rsid w:val="004724E5"/>
    <w:rsid w:val="00472697"/>
    <w:rsid w:val="00472E17"/>
    <w:rsid w:val="00472F80"/>
    <w:rsid w:val="00473122"/>
    <w:rsid w:val="00473240"/>
    <w:rsid w:val="00473340"/>
    <w:rsid w:val="00473512"/>
    <w:rsid w:val="004748C3"/>
    <w:rsid w:val="00474AA1"/>
    <w:rsid w:val="00474C87"/>
    <w:rsid w:val="00475250"/>
    <w:rsid w:val="00475344"/>
    <w:rsid w:val="00475453"/>
    <w:rsid w:val="004754C3"/>
    <w:rsid w:val="00475EA3"/>
    <w:rsid w:val="0047614D"/>
    <w:rsid w:val="0047625D"/>
    <w:rsid w:val="00476548"/>
    <w:rsid w:val="00476C10"/>
    <w:rsid w:val="00476D9F"/>
    <w:rsid w:val="004771EE"/>
    <w:rsid w:val="0047751A"/>
    <w:rsid w:val="004779B2"/>
    <w:rsid w:val="00477E72"/>
    <w:rsid w:val="004803AB"/>
    <w:rsid w:val="00481CBF"/>
    <w:rsid w:val="0048217E"/>
    <w:rsid w:val="00482E44"/>
    <w:rsid w:val="00483B8B"/>
    <w:rsid w:val="00483EC7"/>
    <w:rsid w:val="004845A6"/>
    <w:rsid w:val="004849D9"/>
    <w:rsid w:val="00484A00"/>
    <w:rsid w:val="00484AD4"/>
    <w:rsid w:val="0048558F"/>
    <w:rsid w:val="00485FB3"/>
    <w:rsid w:val="0048618F"/>
    <w:rsid w:val="004862C1"/>
    <w:rsid w:val="00486C69"/>
    <w:rsid w:val="00486CDD"/>
    <w:rsid w:val="00486D03"/>
    <w:rsid w:val="00487506"/>
    <w:rsid w:val="00487528"/>
    <w:rsid w:val="00487A96"/>
    <w:rsid w:val="00487B7D"/>
    <w:rsid w:val="00487CA7"/>
    <w:rsid w:val="004905CF"/>
    <w:rsid w:val="00490E30"/>
    <w:rsid w:val="00491A81"/>
    <w:rsid w:val="0049237F"/>
    <w:rsid w:val="0049249D"/>
    <w:rsid w:val="004926EC"/>
    <w:rsid w:val="004927C0"/>
    <w:rsid w:val="00492D82"/>
    <w:rsid w:val="004931B9"/>
    <w:rsid w:val="00493382"/>
    <w:rsid w:val="00493DC1"/>
    <w:rsid w:val="00494FFB"/>
    <w:rsid w:val="004951F7"/>
    <w:rsid w:val="00495276"/>
    <w:rsid w:val="004953B3"/>
    <w:rsid w:val="00496B1F"/>
    <w:rsid w:val="00497117"/>
    <w:rsid w:val="00497998"/>
    <w:rsid w:val="004A0574"/>
    <w:rsid w:val="004A0AAF"/>
    <w:rsid w:val="004A0DDC"/>
    <w:rsid w:val="004A0EF2"/>
    <w:rsid w:val="004A1453"/>
    <w:rsid w:val="004A1840"/>
    <w:rsid w:val="004A250E"/>
    <w:rsid w:val="004A291C"/>
    <w:rsid w:val="004A3486"/>
    <w:rsid w:val="004A3520"/>
    <w:rsid w:val="004A3C88"/>
    <w:rsid w:val="004A3CEA"/>
    <w:rsid w:val="004A3F03"/>
    <w:rsid w:val="004A4322"/>
    <w:rsid w:val="004A5424"/>
    <w:rsid w:val="004A54E3"/>
    <w:rsid w:val="004A5640"/>
    <w:rsid w:val="004A5B5C"/>
    <w:rsid w:val="004A62FC"/>
    <w:rsid w:val="004A641C"/>
    <w:rsid w:val="004A6A8F"/>
    <w:rsid w:val="004A6E35"/>
    <w:rsid w:val="004A6F7B"/>
    <w:rsid w:val="004A72AC"/>
    <w:rsid w:val="004B0331"/>
    <w:rsid w:val="004B0CD8"/>
    <w:rsid w:val="004B162F"/>
    <w:rsid w:val="004B17EA"/>
    <w:rsid w:val="004B2499"/>
    <w:rsid w:val="004B2532"/>
    <w:rsid w:val="004B270C"/>
    <w:rsid w:val="004B2800"/>
    <w:rsid w:val="004B39E9"/>
    <w:rsid w:val="004B3A1B"/>
    <w:rsid w:val="004B3F43"/>
    <w:rsid w:val="004B41BB"/>
    <w:rsid w:val="004B41EB"/>
    <w:rsid w:val="004B426F"/>
    <w:rsid w:val="004B4785"/>
    <w:rsid w:val="004B47A6"/>
    <w:rsid w:val="004B4A64"/>
    <w:rsid w:val="004B4F32"/>
    <w:rsid w:val="004B5409"/>
    <w:rsid w:val="004B54D8"/>
    <w:rsid w:val="004B579D"/>
    <w:rsid w:val="004B5B0F"/>
    <w:rsid w:val="004B5F7F"/>
    <w:rsid w:val="004B65BA"/>
    <w:rsid w:val="004B66D6"/>
    <w:rsid w:val="004B68B7"/>
    <w:rsid w:val="004B697F"/>
    <w:rsid w:val="004B6A39"/>
    <w:rsid w:val="004B6DB1"/>
    <w:rsid w:val="004B6ED0"/>
    <w:rsid w:val="004B75DE"/>
    <w:rsid w:val="004B78CB"/>
    <w:rsid w:val="004B7AA5"/>
    <w:rsid w:val="004B7AEE"/>
    <w:rsid w:val="004B7B01"/>
    <w:rsid w:val="004B7DE9"/>
    <w:rsid w:val="004B7E3E"/>
    <w:rsid w:val="004B7F7D"/>
    <w:rsid w:val="004C036E"/>
    <w:rsid w:val="004C0433"/>
    <w:rsid w:val="004C0B4D"/>
    <w:rsid w:val="004C1221"/>
    <w:rsid w:val="004C16F7"/>
    <w:rsid w:val="004C1F36"/>
    <w:rsid w:val="004C22ED"/>
    <w:rsid w:val="004C23D7"/>
    <w:rsid w:val="004C290F"/>
    <w:rsid w:val="004C2F06"/>
    <w:rsid w:val="004C3D3C"/>
    <w:rsid w:val="004C5091"/>
    <w:rsid w:val="004C542D"/>
    <w:rsid w:val="004C591D"/>
    <w:rsid w:val="004C5BF2"/>
    <w:rsid w:val="004C6400"/>
    <w:rsid w:val="004C740A"/>
    <w:rsid w:val="004C7731"/>
    <w:rsid w:val="004C78CF"/>
    <w:rsid w:val="004C795F"/>
    <w:rsid w:val="004C7A9D"/>
    <w:rsid w:val="004C7C98"/>
    <w:rsid w:val="004C7DD4"/>
    <w:rsid w:val="004D0146"/>
    <w:rsid w:val="004D031D"/>
    <w:rsid w:val="004D0C42"/>
    <w:rsid w:val="004D0CA8"/>
    <w:rsid w:val="004D0F1B"/>
    <w:rsid w:val="004D1754"/>
    <w:rsid w:val="004D175C"/>
    <w:rsid w:val="004D18E1"/>
    <w:rsid w:val="004D24BE"/>
    <w:rsid w:val="004D3007"/>
    <w:rsid w:val="004D3300"/>
    <w:rsid w:val="004D35FB"/>
    <w:rsid w:val="004D3D8E"/>
    <w:rsid w:val="004D476D"/>
    <w:rsid w:val="004D4D3C"/>
    <w:rsid w:val="004D4DB9"/>
    <w:rsid w:val="004D4EF0"/>
    <w:rsid w:val="004D5D96"/>
    <w:rsid w:val="004D6675"/>
    <w:rsid w:val="004D6796"/>
    <w:rsid w:val="004D67FC"/>
    <w:rsid w:val="004D6B48"/>
    <w:rsid w:val="004D6BA3"/>
    <w:rsid w:val="004D6D30"/>
    <w:rsid w:val="004D7D3A"/>
    <w:rsid w:val="004E0BD1"/>
    <w:rsid w:val="004E10AA"/>
    <w:rsid w:val="004E1615"/>
    <w:rsid w:val="004E17FB"/>
    <w:rsid w:val="004E204A"/>
    <w:rsid w:val="004E20CA"/>
    <w:rsid w:val="004E25E8"/>
    <w:rsid w:val="004E2B7C"/>
    <w:rsid w:val="004E366D"/>
    <w:rsid w:val="004E3D7C"/>
    <w:rsid w:val="004E465D"/>
    <w:rsid w:val="004E4DEA"/>
    <w:rsid w:val="004E570B"/>
    <w:rsid w:val="004E5774"/>
    <w:rsid w:val="004E5DEB"/>
    <w:rsid w:val="004E66B2"/>
    <w:rsid w:val="004E76E2"/>
    <w:rsid w:val="004E77C5"/>
    <w:rsid w:val="004E7F55"/>
    <w:rsid w:val="004F002C"/>
    <w:rsid w:val="004F1174"/>
    <w:rsid w:val="004F14DF"/>
    <w:rsid w:val="004F1F91"/>
    <w:rsid w:val="004F23F3"/>
    <w:rsid w:val="004F253A"/>
    <w:rsid w:val="004F3423"/>
    <w:rsid w:val="004F360F"/>
    <w:rsid w:val="004F4954"/>
    <w:rsid w:val="004F4A47"/>
    <w:rsid w:val="004F4B09"/>
    <w:rsid w:val="004F4BD3"/>
    <w:rsid w:val="004F4F49"/>
    <w:rsid w:val="004F503E"/>
    <w:rsid w:val="004F5309"/>
    <w:rsid w:val="004F5748"/>
    <w:rsid w:val="004F5835"/>
    <w:rsid w:val="004F68F0"/>
    <w:rsid w:val="004F6F00"/>
    <w:rsid w:val="004F6F87"/>
    <w:rsid w:val="0050063C"/>
    <w:rsid w:val="00500836"/>
    <w:rsid w:val="00501543"/>
    <w:rsid w:val="005019F9"/>
    <w:rsid w:val="00501D60"/>
    <w:rsid w:val="00501DD7"/>
    <w:rsid w:val="00501F47"/>
    <w:rsid w:val="00502022"/>
    <w:rsid w:val="0050250D"/>
    <w:rsid w:val="005026B1"/>
    <w:rsid w:val="00502742"/>
    <w:rsid w:val="00503BA9"/>
    <w:rsid w:val="005040A4"/>
    <w:rsid w:val="005045A3"/>
    <w:rsid w:val="00504A7E"/>
    <w:rsid w:val="00504AD0"/>
    <w:rsid w:val="00504BAC"/>
    <w:rsid w:val="00504D5F"/>
    <w:rsid w:val="00505197"/>
    <w:rsid w:val="00505B1C"/>
    <w:rsid w:val="00506409"/>
    <w:rsid w:val="00506E33"/>
    <w:rsid w:val="0050705F"/>
    <w:rsid w:val="00507376"/>
    <w:rsid w:val="00507560"/>
    <w:rsid w:val="00507613"/>
    <w:rsid w:val="005078A2"/>
    <w:rsid w:val="005079A4"/>
    <w:rsid w:val="00507ED5"/>
    <w:rsid w:val="00510122"/>
    <w:rsid w:val="005113A0"/>
    <w:rsid w:val="00511CBC"/>
    <w:rsid w:val="0051262F"/>
    <w:rsid w:val="00512DEC"/>
    <w:rsid w:val="00513235"/>
    <w:rsid w:val="00513306"/>
    <w:rsid w:val="0051493E"/>
    <w:rsid w:val="00514FC5"/>
    <w:rsid w:val="00515531"/>
    <w:rsid w:val="00515612"/>
    <w:rsid w:val="00515BC8"/>
    <w:rsid w:val="00515DA2"/>
    <w:rsid w:val="00515DFD"/>
    <w:rsid w:val="0051620F"/>
    <w:rsid w:val="0051682B"/>
    <w:rsid w:val="00516B95"/>
    <w:rsid w:val="00517A34"/>
    <w:rsid w:val="00520411"/>
    <w:rsid w:val="005204EF"/>
    <w:rsid w:val="005204F4"/>
    <w:rsid w:val="0052133D"/>
    <w:rsid w:val="00521CBD"/>
    <w:rsid w:val="0052282A"/>
    <w:rsid w:val="005229E6"/>
    <w:rsid w:val="00522A75"/>
    <w:rsid w:val="00522C8D"/>
    <w:rsid w:val="00522DEC"/>
    <w:rsid w:val="0052324E"/>
    <w:rsid w:val="005233C6"/>
    <w:rsid w:val="00523B34"/>
    <w:rsid w:val="00523C39"/>
    <w:rsid w:val="00524140"/>
    <w:rsid w:val="00524593"/>
    <w:rsid w:val="0052479F"/>
    <w:rsid w:val="00525524"/>
    <w:rsid w:val="00525AC2"/>
    <w:rsid w:val="00526B98"/>
    <w:rsid w:val="00526BC3"/>
    <w:rsid w:val="00530598"/>
    <w:rsid w:val="005308ED"/>
    <w:rsid w:val="00530CF1"/>
    <w:rsid w:val="00530D57"/>
    <w:rsid w:val="00530EE2"/>
    <w:rsid w:val="00531436"/>
    <w:rsid w:val="0053194E"/>
    <w:rsid w:val="00531E0A"/>
    <w:rsid w:val="00532256"/>
    <w:rsid w:val="005328F9"/>
    <w:rsid w:val="00533E6B"/>
    <w:rsid w:val="005342B6"/>
    <w:rsid w:val="005347C5"/>
    <w:rsid w:val="00534C0A"/>
    <w:rsid w:val="005350D9"/>
    <w:rsid w:val="005357AF"/>
    <w:rsid w:val="00536BE3"/>
    <w:rsid w:val="00536DFA"/>
    <w:rsid w:val="00537384"/>
    <w:rsid w:val="005377BB"/>
    <w:rsid w:val="005405E2"/>
    <w:rsid w:val="0054061C"/>
    <w:rsid w:val="005408EA"/>
    <w:rsid w:val="00540980"/>
    <w:rsid w:val="00540B82"/>
    <w:rsid w:val="005414D6"/>
    <w:rsid w:val="005417DF"/>
    <w:rsid w:val="00541E30"/>
    <w:rsid w:val="00542057"/>
    <w:rsid w:val="005425DA"/>
    <w:rsid w:val="0054367E"/>
    <w:rsid w:val="00543CD8"/>
    <w:rsid w:val="00544310"/>
    <w:rsid w:val="00544555"/>
    <w:rsid w:val="0054489D"/>
    <w:rsid w:val="00544ADE"/>
    <w:rsid w:val="00544F74"/>
    <w:rsid w:val="00545425"/>
    <w:rsid w:val="00545956"/>
    <w:rsid w:val="00545975"/>
    <w:rsid w:val="005460A4"/>
    <w:rsid w:val="005460D3"/>
    <w:rsid w:val="005465BE"/>
    <w:rsid w:val="00546C1B"/>
    <w:rsid w:val="0054753B"/>
    <w:rsid w:val="00547797"/>
    <w:rsid w:val="0054792B"/>
    <w:rsid w:val="00550004"/>
    <w:rsid w:val="00550CEB"/>
    <w:rsid w:val="00551398"/>
    <w:rsid w:val="005513B5"/>
    <w:rsid w:val="00551464"/>
    <w:rsid w:val="00551E6F"/>
    <w:rsid w:val="0055219B"/>
    <w:rsid w:val="0055232E"/>
    <w:rsid w:val="005524CB"/>
    <w:rsid w:val="005526E1"/>
    <w:rsid w:val="00552EE2"/>
    <w:rsid w:val="00553275"/>
    <w:rsid w:val="00553652"/>
    <w:rsid w:val="00553756"/>
    <w:rsid w:val="0055378E"/>
    <w:rsid w:val="00553801"/>
    <w:rsid w:val="0055428B"/>
    <w:rsid w:val="00554557"/>
    <w:rsid w:val="00554880"/>
    <w:rsid w:val="00554897"/>
    <w:rsid w:val="00554C5E"/>
    <w:rsid w:val="00555291"/>
    <w:rsid w:val="005552C3"/>
    <w:rsid w:val="005554AA"/>
    <w:rsid w:val="00555DA0"/>
    <w:rsid w:val="00556D4E"/>
    <w:rsid w:val="00556FDE"/>
    <w:rsid w:val="005571DE"/>
    <w:rsid w:val="00557407"/>
    <w:rsid w:val="00557940"/>
    <w:rsid w:val="005600BA"/>
    <w:rsid w:val="00560AE4"/>
    <w:rsid w:val="00560AFF"/>
    <w:rsid w:val="00560BCF"/>
    <w:rsid w:val="00561542"/>
    <w:rsid w:val="00561A45"/>
    <w:rsid w:val="00561EFF"/>
    <w:rsid w:val="0056200D"/>
    <w:rsid w:val="005620D2"/>
    <w:rsid w:val="0056213E"/>
    <w:rsid w:val="00562892"/>
    <w:rsid w:val="0056289B"/>
    <w:rsid w:val="005628C9"/>
    <w:rsid w:val="00562952"/>
    <w:rsid w:val="00563412"/>
    <w:rsid w:val="00563896"/>
    <w:rsid w:val="00563A99"/>
    <w:rsid w:val="00563D75"/>
    <w:rsid w:val="00563E34"/>
    <w:rsid w:val="00564339"/>
    <w:rsid w:val="00564394"/>
    <w:rsid w:val="005643FF"/>
    <w:rsid w:val="0056485D"/>
    <w:rsid w:val="00564D05"/>
    <w:rsid w:val="00565992"/>
    <w:rsid w:val="00565D21"/>
    <w:rsid w:val="00565E46"/>
    <w:rsid w:val="00565FE6"/>
    <w:rsid w:val="0056650C"/>
    <w:rsid w:val="0056696D"/>
    <w:rsid w:val="0056724F"/>
    <w:rsid w:val="005675BC"/>
    <w:rsid w:val="00570EC8"/>
    <w:rsid w:val="005710B5"/>
    <w:rsid w:val="00572220"/>
    <w:rsid w:val="0057251C"/>
    <w:rsid w:val="00572817"/>
    <w:rsid w:val="00572967"/>
    <w:rsid w:val="00573079"/>
    <w:rsid w:val="0057383F"/>
    <w:rsid w:val="00573ED4"/>
    <w:rsid w:val="0057428B"/>
    <w:rsid w:val="005742E2"/>
    <w:rsid w:val="005743AD"/>
    <w:rsid w:val="00575111"/>
    <w:rsid w:val="00576201"/>
    <w:rsid w:val="005766A7"/>
    <w:rsid w:val="0057672D"/>
    <w:rsid w:val="005769F0"/>
    <w:rsid w:val="00576A63"/>
    <w:rsid w:val="00576AA7"/>
    <w:rsid w:val="00576B44"/>
    <w:rsid w:val="00576C6B"/>
    <w:rsid w:val="00576E0E"/>
    <w:rsid w:val="00577038"/>
    <w:rsid w:val="00577849"/>
    <w:rsid w:val="00577901"/>
    <w:rsid w:val="00580133"/>
    <w:rsid w:val="0058043E"/>
    <w:rsid w:val="00580CCE"/>
    <w:rsid w:val="005814D8"/>
    <w:rsid w:val="00581B3C"/>
    <w:rsid w:val="00581E8D"/>
    <w:rsid w:val="0058209F"/>
    <w:rsid w:val="00582530"/>
    <w:rsid w:val="00582962"/>
    <w:rsid w:val="00582B4F"/>
    <w:rsid w:val="00582F21"/>
    <w:rsid w:val="005830DF"/>
    <w:rsid w:val="00583399"/>
    <w:rsid w:val="005833D8"/>
    <w:rsid w:val="00583492"/>
    <w:rsid w:val="00583E26"/>
    <w:rsid w:val="00584411"/>
    <w:rsid w:val="005845D8"/>
    <w:rsid w:val="005846E0"/>
    <w:rsid w:val="00584B13"/>
    <w:rsid w:val="00584D21"/>
    <w:rsid w:val="00585079"/>
    <w:rsid w:val="0058558A"/>
    <w:rsid w:val="00585733"/>
    <w:rsid w:val="00585CDE"/>
    <w:rsid w:val="005864AD"/>
    <w:rsid w:val="00587BFF"/>
    <w:rsid w:val="00587CD5"/>
    <w:rsid w:val="0059019B"/>
    <w:rsid w:val="0059047A"/>
    <w:rsid w:val="005905A1"/>
    <w:rsid w:val="0059099C"/>
    <w:rsid w:val="00591934"/>
    <w:rsid w:val="00591A2B"/>
    <w:rsid w:val="00591C6B"/>
    <w:rsid w:val="00592A5A"/>
    <w:rsid w:val="00592AF3"/>
    <w:rsid w:val="00592AFA"/>
    <w:rsid w:val="00593217"/>
    <w:rsid w:val="005935A0"/>
    <w:rsid w:val="005941EA"/>
    <w:rsid w:val="005949EF"/>
    <w:rsid w:val="00594FD2"/>
    <w:rsid w:val="00595781"/>
    <w:rsid w:val="00595ACB"/>
    <w:rsid w:val="005965AF"/>
    <w:rsid w:val="00597632"/>
    <w:rsid w:val="00597950"/>
    <w:rsid w:val="00597D48"/>
    <w:rsid w:val="00597D62"/>
    <w:rsid w:val="00597FA8"/>
    <w:rsid w:val="005A039A"/>
    <w:rsid w:val="005A04A3"/>
    <w:rsid w:val="005A0775"/>
    <w:rsid w:val="005A0A70"/>
    <w:rsid w:val="005A0C19"/>
    <w:rsid w:val="005A12EE"/>
    <w:rsid w:val="005A164E"/>
    <w:rsid w:val="005A1C23"/>
    <w:rsid w:val="005A2684"/>
    <w:rsid w:val="005A2873"/>
    <w:rsid w:val="005A2880"/>
    <w:rsid w:val="005A3A79"/>
    <w:rsid w:val="005A4D3E"/>
    <w:rsid w:val="005A52DD"/>
    <w:rsid w:val="005A622F"/>
    <w:rsid w:val="005A678F"/>
    <w:rsid w:val="005A6BB7"/>
    <w:rsid w:val="005A7109"/>
    <w:rsid w:val="005A7120"/>
    <w:rsid w:val="005A7C90"/>
    <w:rsid w:val="005B02F8"/>
    <w:rsid w:val="005B09FD"/>
    <w:rsid w:val="005B0ADB"/>
    <w:rsid w:val="005B0E12"/>
    <w:rsid w:val="005B1024"/>
    <w:rsid w:val="005B1418"/>
    <w:rsid w:val="005B179F"/>
    <w:rsid w:val="005B1A76"/>
    <w:rsid w:val="005B1BF2"/>
    <w:rsid w:val="005B1CC5"/>
    <w:rsid w:val="005B2712"/>
    <w:rsid w:val="005B2769"/>
    <w:rsid w:val="005B2835"/>
    <w:rsid w:val="005B2D42"/>
    <w:rsid w:val="005B2E4A"/>
    <w:rsid w:val="005B32EE"/>
    <w:rsid w:val="005B3C2D"/>
    <w:rsid w:val="005B3CC5"/>
    <w:rsid w:val="005B4854"/>
    <w:rsid w:val="005B5977"/>
    <w:rsid w:val="005B5A64"/>
    <w:rsid w:val="005B6313"/>
    <w:rsid w:val="005B658C"/>
    <w:rsid w:val="005B6FAD"/>
    <w:rsid w:val="005B76C5"/>
    <w:rsid w:val="005B770F"/>
    <w:rsid w:val="005B791F"/>
    <w:rsid w:val="005C0953"/>
    <w:rsid w:val="005C0C5A"/>
    <w:rsid w:val="005C0D31"/>
    <w:rsid w:val="005C0DF3"/>
    <w:rsid w:val="005C1583"/>
    <w:rsid w:val="005C15C7"/>
    <w:rsid w:val="005C1D18"/>
    <w:rsid w:val="005C1D76"/>
    <w:rsid w:val="005C2662"/>
    <w:rsid w:val="005C2860"/>
    <w:rsid w:val="005C2F81"/>
    <w:rsid w:val="005C39C1"/>
    <w:rsid w:val="005C3AA0"/>
    <w:rsid w:val="005C3C7A"/>
    <w:rsid w:val="005C3EF7"/>
    <w:rsid w:val="005C423F"/>
    <w:rsid w:val="005C4369"/>
    <w:rsid w:val="005C4CF0"/>
    <w:rsid w:val="005C545C"/>
    <w:rsid w:val="005C546F"/>
    <w:rsid w:val="005C560F"/>
    <w:rsid w:val="005C5948"/>
    <w:rsid w:val="005C59E8"/>
    <w:rsid w:val="005C5C25"/>
    <w:rsid w:val="005C608F"/>
    <w:rsid w:val="005C6EE7"/>
    <w:rsid w:val="005C734C"/>
    <w:rsid w:val="005C7881"/>
    <w:rsid w:val="005C798B"/>
    <w:rsid w:val="005C7D69"/>
    <w:rsid w:val="005C7FAA"/>
    <w:rsid w:val="005D00AE"/>
    <w:rsid w:val="005D011C"/>
    <w:rsid w:val="005D0D1A"/>
    <w:rsid w:val="005D10F3"/>
    <w:rsid w:val="005D1DEC"/>
    <w:rsid w:val="005D2073"/>
    <w:rsid w:val="005D2165"/>
    <w:rsid w:val="005D226B"/>
    <w:rsid w:val="005D29A4"/>
    <w:rsid w:val="005D2B7F"/>
    <w:rsid w:val="005D336B"/>
    <w:rsid w:val="005D35FE"/>
    <w:rsid w:val="005D36C5"/>
    <w:rsid w:val="005D4186"/>
    <w:rsid w:val="005D420B"/>
    <w:rsid w:val="005D45A4"/>
    <w:rsid w:val="005D4AA9"/>
    <w:rsid w:val="005D4D35"/>
    <w:rsid w:val="005D5411"/>
    <w:rsid w:val="005D5D45"/>
    <w:rsid w:val="005D649D"/>
    <w:rsid w:val="005D6631"/>
    <w:rsid w:val="005D717F"/>
    <w:rsid w:val="005E056F"/>
    <w:rsid w:val="005E0668"/>
    <w:rsid w:val="005E0822"/>
    <w:rsid w:val="005E0857"/>
    <w:rsid w:val="005E0E6F"/>
    <w:rsid w:val="005E0FC2"/>
    <w:rsid w:val="005E1B49"/>
    <w:rsid w:val="005E2156"/>
    <w:rsid w:val="005E28C9"/>
    <w:rsid w:val="005E3188"/>
    <w:rsid w:val="005E3231"/>
    <w:rsid w:val="005E33C0"/>
    <w:rsid w:val="005E33D1"/>
    <w:rsid w:val="005E394C"/>
    <w:rsid w:val="005E5ADB"/>
    <w:rsid w:val="005E64AD"/>
    <w:rsid w:val="005E65E6"/>
    <w:rsid w:val="005E6C05"/>
    <w:rsid w:val="005E75DA"/>
    <w:rsid w:val="005F035E"/>
    <w:rsid w:val="005F03B3"/>
    <w:rsid w:val="005F081B"/>
    <w:rsid w:val="005F084C"/>
    <w:rsid w:val="005F08F6"/>
    <w:rsid w:val="005F0BB6"/>
    <w:rsid w:val="005F0D1A"/>
    <w:rsid w:val="005F0F0B"/>
    <w:rsid w:val="005F142F"/>
    <w:rsid w:val="005F1C1F"/>
    <w:rsid w:val="005F1C3D"/>
    <w:rsid w:val="005F1C9E"/>
    <w:rsid w:val="005F2111"/>
    <w:rsid w:val="005F32C5"/>
    <w:rsid w:val="005F4017"/>
    <w:rsid w:val="005F41C2"/>
    <w:rsid w:val="005F4EC5"/>
    <w:rsid w:val="005F51D1"/>
    <w:rsid w:val="005F5AD4"/>
    <w:rsid w:val="005F655A"/>
    <w:rsid w:val="005F6695"/>
    <w:rsid w:val="005F67AE"/>
    <w:rsid w:val="005F70DF"/>
    <w:rsid w:val="005F7528"/>
    <w:rsid w:val="005F7B2D"/>
    <w:rsid w:val="005F7DA3"/>
    <w:rsid w:val="005F7E51"/>
    <w:rsid w:val="006005C8"/>
    <w:rsid w:val="00600811"/>
    <w:rsid w:val="0060127D"/>
    <w:rsid w:val="00601FF4"/>
    <w:rsid w:val="00602743"/>
    <w:rsid w:val="00602C50"/>
    <w:rsid w:val="0060326A"/>
    <w:rsid w:val="00603391"/>
    <w:rsid w:val="00603475"/>
    <w:rsid w:val="006034DA"/>
    <w:rsid w:val="00603DAC"/>
    <w:rsid w:val="006043A2"/>
    <w:rsid w:val="006047C6"/>
    <w:rsid w:val="00604B3E"/>
    <w:rsid w:val="0060500B"/>
    <w:rsid w:val="00605157"/>
    <w:rsid w:val="00605D2D"/>
    <w:rsid w:val="00605DF4"/>
    <w:rsid w:val="00605E64"/>
    <w:rsid w:val="00606394"/>
    <w:rsid w:val="006065A3"/>
    <w:rsid w:val="00606730"/>
    <w:rsid w:val="006068B5"/>
    <w:rsid w:val="00607CCB"/>
    <w:rsid w:val="0061066E"/>
    <w:rsid w:val="00610885"/>
    <w:rsid w:val="00611597"/>
    <w:rsid w:val="0061194B"/>
    <w:rsid w:val="006122D0"/>
    <w:rsid w:val="00612390"/>
    <w:rsid w:val="0061254A"/>
    <w:rsid w:val="00612B65"/>
    <w:rsid w:val="00612D8F"/>
    <w:rsid w:val="00612D96"/>
    <w:rsid w:val="00613B83"/>
    <w:rsid w:val="00614358"/>
    <w:rsid w:val="006146D6"/>
    <w:rsid w:val="00614B33"/>
    <w:rsid w:val="00614D21"/>
    <w:rsid w:val="00614DF3"/>
    <w:rsid w:val="00615166"/>
    <w:rsid w:val="00615CCE"/>
    <w:rsid w:val="00615CF1"/>
    <w:rsid w:val="00615E03"/>
    <w:rsid w:val="00615F40"/>
    <w:rsid w:val="00616160"/>
    <w:rsid w:val="00616259"/>
    <w:rsid w:val="00616289"/>
    <w:rsid w:val="00616630"/>
    <w:rsid w:val="00616D10"/>
    <w:rsid w:val="00616E42"/>
    <w:rsid w:val="00616F88"/>
    <w:rsid w:val="0061778E"/>
    <w:rsid w:val="00617FD3"/>
    <w:rsid w:val="006206DA"/>
    <w:rsid w:val="006215D4"/>
    <w:rsid w:val="0062194D"/>
    <w:rsid w:val="00621ADC"/>
    <w:rsid w:val="00621CB5"/>
    <w:rsid w:val="006221F3"/>
    <w:rsid w:val="00622224"/>
    <w:rsid w:val="00622363"/>
    <w:rsid w:val="00622491"/>
    <w:rsid w:val="006226F6"/>
    <w:rsid w:val="00622911"/>
    <w:rsid w:val="00623957"/>
    <w:rsid w:val="00624045"/>
    <w:rsid w:val="00624673"/>
    <w:rsid w:val="00624C17"/>
    <w:rsid w:val="00625368"/>
    <w:rsid w:val="00625A5E"/>
    <w:rsid w:val="00625B3C"/>
    <w:rsid w:val="00625C83"/>
    <w:rsid w:val="00625E77"/>
    <w:rsid w:val="0062625A"/>
    <w:rsid w:val="006264F4"/>
    <w:rsid w:val="00626734"/>
    <w:rsid w:val="006267E5"/>
    <w:rsid w:val="00626C47"/>
    <w:rsid w:val="00627BB3"/>
    <w:rsid w:val="00627DF8"/>
    <w:rsid w:val="00630303"/>
    <w:rsid w:val="006303C2"/>
    <w:rsid w:val="00630474"/>
    <w:rsid w:val="006307C1"/>
    <w:rsid w:val="00630876"/>
    <w:rsid w:val="00630E2D"/>
    <w:rsid w:val="00630F99"/>
    <w:rsid w:val="00631799"/>
    <w:rsid w:val="00631F78"/>
    <w:rsid w:val="00631FEE"/>
    <w:rsid w:val="0063267E"/>
    <w:rsid w:val="006326E3"/>
    <w:rsid w:val="00632808"/>
    <w:rsid w:val="00632993"/>
    <w:rsid w:val="006331B5"/>
    <w:rsid w:val="006343E5"/>
    <w:rsid w:val="006344C4"/>
    <w:rsid w:val="00634940"/>
    <w:rsid w:val="00635265"/>
    <w:rsid w:val="00636685"/>
    <w:rsid w:val="00636EA5"/>
    <w:rsid w:val="00636F1D"/>
    <w:rsid w:val="00637692"/>
    <w:rsid w:val="00637853"/>
    <w:rsid w:val="006378E4"/>
    <w:rsid w:val="00637C01"/>
    <w:rsid w:val="0064066E"/>
    <w:rsid w:val="00640696"/>
    <w:rsid w:val="00640CCE"/>
    <w:rsid w:val="00640E53"/>
    <w:rsid w:val="00640E8D"/>
    <w:rsid w:val="006416E9"/>
    <w:rsid w:val="0064183C"/>
    <w:rsid w:val="006418A8"/>
    <w:rsid w:val="006424FC"/>
    <w:rsid w:val="00642917"/>
    <w:rsid w:val="00642D52"/>
    <w:rsid w:val="00642E84"/>
    <w:rsid w:val="006434E2"/>
    <w:rsid w:val="006435C2"/>
    <w:rsid w:val="00644052"/>
    <w:rsid w:val="0064454B"/>
    <w:rsid w:val="0064469B"/>
    <w:rsid w:val="00646AF4"/>
    <w:rsid w:val="006470A7"/>
    <w:rsid w:val="006477BE"/>
    <w:rsid w:val="0064788F"/>
    <w:rsid w:val="006504E4"/>
    <w:rsid w:val="006509D0"/>
    <w:rsid w:val="006511C1"/>
    <w:rsid w:val="006512A7"/>
    <w:rsid w:val="0065184B"/>
    <w:rsid w:val="00651E8F"/>
    <w:rsid w:val="00652CB8"/>
    <w:rsid w:val="00652D41"/>
    <w:rsid w:val="00652EB5"/>
    <w:rsid w:val="006530CA"/>
    <w:rsid w:val="006530D1"/>
    <w:rsid w:val="00653182"/>
    <w:rsid w:val="0065390C"/>
    <w:rsid w:val="00654195"/>
    <w:rsid w:val="00654689"/>
    <w:rsid w:val="00654A9F"/>
    <w:rsid w:val="00654DAB"/>
    <w:rsid w:val="0065502B"/>
    <w:rsid w:val="00655581"/>
    <w:rsid w:val="0065568D"/>
    <w:rsid w:val="00655F18"/>
    <w:rsid w:val="00656248"/>
    <w:rsid w:val="0065633C"/>
    <w:rsid w:val="00656B4F"/>
    <w:rsid w:val="00656DA4"/>
    <w:rsid w:val="0065793C"/>
    <w:rsid w:val="00657B31"/>
    <w:rsid w:val="006601CF"/>
    <w:rsid w:val="0066022D"/>
    <w:rsid w:val="00660EC7"/>
    <w:rsid w:val="00661234"/>
    <w:rsid w:val="00661BC6"/>
    <w:rsid w:val="0066213A"/>
    <w:rsid w:val="00662229"/>
    <w:rsid w:val="00662900"/>
    <w:rsid w:val="00662AAC"/>
    <w:rsid w:val="00663B15"/>
    <w:rsid w:val="00663CC9"/>
    <w:rsid w:val="00664644"/>
    <w:rsid w:val="00664DFE"/>
    <w:rsid w:val="006652AE"/>
    <w:rsid w:val="006652F4"/>
    <w:rsid w:val="00665BE7"/>
    <w:rsid w:val="006661B0"/>
    <w:rsid w:val="006663CB"/>
    <w:rsid w:val="006671A1"/>
    <w:rsid w:val="006671D7"/>
    <w:rsid w:val="006675A3"/>
    <w:rsid w:val="00667B94"/>
    <w:rsid w:val="00671225"/>
    <w:rsid w:val="0067186F"/>
    <w:rsid w:val="00671CFE"/>
    <w:rsid w:val="0067289B"/>
    <w:rsid w:val="00672B4D"/>
    <w:rsid w:val="006735B0"/>
    <w:rsid w:val="00673728"/>
    <w:rsid w:val="00673BC4"/>
    <w:rsid w:val="00674666"/>
    <w:rsid w:val="0067534E"/>
    <w:rsid w:val="00675B13"/>
    <w:rsid w:val="006760FA"/>
    <w:rsid w:val="006763A1"/>
    <w:rsid w:val="00676CBB"/>
    <w:rsid w:val="006773AF"/>
    <w:rsid w:val="00677F6E"/>
    <w:rsid w:val="00680C00"/>
    <w:rsid w:val="00680C42"/>
    <w:rsid w:val="00681836"/>
    <w:rsid w:val="00681DCB"/>
    <w:rsid w:val="00683007"/>
    <w:rsid w:val="006831C2"/>
    <w:rsid w:val="006836A6"/>
    <w:rsid w:val="00683F91"/>
    <w:rsid w:val="00684742"/>
    <w:rsid w:val="00684C0C"/>
    <w:rsid w:val="006857AF"/>
    <w:rsid w:val="006857EF"/>
    <w:rsid w:val="00685ED2"/>
    <w:rsid w:val="00686128"/>
    <w:rsid w:val="0068650A"/>
    <w:rsid w:val="00686569"/>
    <w:rsid w:val="00686E4E"/>
    <w:rsid w:val="0068715E"/>
    <w:rsid w:val="0068750E"/>
    <w:rsid w:val="00690295"/>
    <w:rsid w:val="00690566"/>
    <w:rsid w:val="00690C05"/>
    <w:rsid w:val="00690C42"/>
    <w:rsid w:val="00691079"/>
    <w:rsid w:val="006920DE"/>
    <w:rsid w:val="006927EB"/>
    <w:rsid w:val="00692E59"/>
    <w:rsid w:val="00692EE5"/>
    <w:rsid w:val="00692F1D"/>
    <w:rsid w:val="00693A30"/>
    <w:rsid w:val="00694194"/>
    <w:rsid w:val="006941DB"/>
    <w:rsid w:val="006946F8"/>
    <w:rsid w:val="0069497C"/>
    <w:rsid w:val="00694F32"/>
    <w:rsid w:val="006952F3"/>
    <w:rsid w:val="00695942"/>
    <w:rsid w:val="006962E4"/>
    <w:rsid w:val="006964D3"/>
    <w:rsid w:val="0069682E"/>
    <w:rsid w:val="00696A12"/>
    <w:rsid w:val="00696FD4"/>
    <w:rsid w:val="00697590"/>
    <w:rsid w:val="00697B3B"/>
    <w:rsid w:val="00697D3C"/>
    <w:rsid w:val="006A004C"/>
    <w:rsid w:val="006A07A0"/>
    <w:rsid w:val="006A09C8"/>
    <w:rsid w:val="006A0E27"/>
    <w:rsid w:val="006A10FF"/>
    <w:rsid w:val="006A1435"/>
    <w:rsid w:val="006A24F5"/>
    <w:rsid w:val="006A2AE5"/>
    <w:rsid w:val="006A2C92"/>
    <w:rsid w:val="006A3212"/>
    <w:rsid w:val="006A32DA"/>
    <w:rsid w:val="006A3976"/>
    <w:rsid w:val="006A3A57"/>
    <w:rsid w:val="006A3B14"/>
    <w:rsid w:val="006A4384"/>
    <w:rsid w:val="006A4F62"/>
    <w:rsid w:val="006A59F3"/>
    <w:rsid w:val="006A5A3E"/>
    <w:rsid w:val="006A5D2E"/>
    <w:rsid w:val="006A61FE"/>
    <w:rsid w:val="006A66F0"/>
    <w:rsid w:val="006A6E94"/>
    <w:rsid w:val="006A724D"/>
    <w:rsid w:val="006A78E3"/>
    <w:rsid w:val="006A7F9F"/>
    <w:rsid w:val="006B011D"/>
    <w:rsid w:val="006B0573"/>
    <w:rsid w:val="006B09A3"/>
    <w:rsid w:val="006B0BD1"/>
    <w:rsid w:val="006B1727"/>
    <w:rsid w:val="006B1783"/>
    <w:rsid w:val="006B1D3E"/>
    <w:rsid w:val="006B274B"/>
    <w:rsid w:val="006B3B84"/>
    <w:rsid w:val="006B3CAE"/>
    <w:rsid w:val="006B3DE0"/>
    <w:rsid w:val="006B3E4D"/>
    <w:rsid w:val="006B3F3D"/>
    <w:rsid w:val="006B4346"/>
    <w:rsid w:val="006B4433"/>
    <w:rsid w:val="006B4825"/>
    <w:rsid w:val="006B49A7"/>
    <w:rsid w:val="006B4BD2"/>
    <w:rsid w:val="006B5C8A"/>
    <w:rsid w:val="006B5D9C"/>
    <w:rsid w:val="006B675A"/>
    <w:rsid w:val="006B7923"/>
    <w:rsid w:val="006B7EAF"/>
    <w:rsid w:val="006B7F71"/>
    <w:rsid w:val="006C02D4"/>
    <w:rsid w:val="006C0FFC"/>
    <w:rsid w:val="006C1162"/>
    <w:rsid w:val="006C22B5"/>
    <w:rsid w:val="006C26AE"/>
    <w:rsid w:val="006C282E"/>
    <w:rsid w:val="006C2AF3"/>
    <w:rsid w:val="006C3F2C"/>
    <w:rsid w:val="006C3FFB"/>
    <w:rsid w:val="006C412D"/>
    <w:rsid w:val="006C471F"/>
    <w:rsid w:val="006C4918"/>
    <w:rsid w:val="006C4D28"/>
    <w:rsid w:val="006C4E97"/>
    <w:rsid w:val="006C5171"/>
    <w:rsid w:val="006C58E6"/>
    <w:rsid w:val="006C62E0"/>
    <w:rsid w:val="006C6392"/>
    <w:rsid w:val="006C6FF1"/>
    <w:rsid w:val="006C7901"/>
    <w:rsid w:val="006D0071"/>
    <w:rsid w:val="006D0085"/>
    <w:rsid w:val="006D0168"/>
    <w:rsid w:val="006D0459"/>
    <w:rsid w:val="006D0758"/>
    <w:rsid w:val="006D077D"/>
    <w:rsid w:val="006D09CE"/>
    <w:rsid w:val="006D22D6"/>
    <w:rsid w:val="006D24C3"/>
    <w:rsid w:val="006D24D2"/>
    <w:rsid w:val="006D25AA"/>
    <w:rsid w:val="006D3869"/>
    <w:rsid w:val="006D3CE6"/>
    <w:rsid w:val="006D3D4C"/>
    <w:rsid w:val="006D4183"/>
    <w:rsid w:val="006D49F1"/>
    <w:rsid w:val="006D4EEB"/>
    <w:rsid w:val="006D5017"/>
    <w:rsid w:val="006D512B"/>
    <w:rsid w:val="006D5341"/>
    <w:rsid w:val="006D5AE9"/>
    <w:rsid w:val="006D5DCE"/>
    <w:rsid w:val="006D6093"/>
    <w:rsid w:val="006D6E65"/>
    <w:rsid w:val="006D6E8B"/>
    <w:rsid w:val="006D71C2"/>
    <w:rsid w:val="006D78FE"/>
    <w:rsid w:val="006D79AB"/>
    <w:rsid w:val="006D7DFE"/>
    <w:rsid w:val="006E00B6"/>
    <w:rsid w:val="006E016D"/>
    <w:rsid w:val="006E0605"/>
    <w:rsid w:val="006E0635"/>
    <w:rsid w:val="006E0F4F"/>
    <w:rsid w:val="006E1CB0"/>
    <w:rsid w:val="006E284A"/>
    <w:rsid w:val="006E2D37"/>
    <w:rsid w:val="006E31B7"/>
    <w:rsid w:val="006E3304"/>
    <w:rsid w:val="006E37D7"/>
    <w:rsid w:val="006E47D7"/>
    <w:rsid w:val="006E494C"/>
    <w:rsid w:val="006E4AA9"/>
    <w:rsid w:val="006E4E9E"/>
    <w:rsid w:val="006E55B3"/>
    <w:rsid w:val="006E5B0E"/>
    <w:rsid w:val="006E61C1"/>
    <w:rsid w:val="006E6575"/>
    <w:rsid w:val="006E6833"/>
    <w:rsid w:val="006E6858"/>
    <w:rsid w:val="006E6CAC"/>
    <w:rsid w:val="006E7580"/>
    <w:rsid w:val="006E7887"/>
    <w:rsid w:val="006F099C"/>
    <w:rsid w:val="006F0AFF"/>
    <w:rsid w:val="006F10A8"/>
    <w:rsid w:val="006F179E"/>
    <w:rsid w:val="006F1937"/>
    <w:rsid w:val="006F2148"/>
    <w:rsid w:val="006F2570"/>
    <w:rsid w:val="006F276E"/>
    <w:rsid w:val="006F296B"/>
    <w:rsid w:val="006F35D0"/>
    <w:rsid w:val="006F36D5"/>
    <w:rsid w:val="006F3789"/>
    <w:rsid w:val="006F3C97"/>
    <w:rsid w:val="006F3D9A"/>
    <w:rsid w:val="006F46C4"/>
    <w:rsid w:val="006F472F"/>
    <w:rsid w:val="006F4A23"/>
    <w:rsid w:val="006F4EA7"/>
    <w:rsid w:val="006F5752"/>
    <w:rsid w:val="006F60B2"/>
    <w:rsid w:val="006F6177"/>
    <w:rsid w:val="006F6AC8"/>
    <w:rsid w:val="006F6BB1"/>
    <w:rsid w:val="006F6C1E"/>
    <w:rsid w:val="006F711B"/>
    <w:rsid w:val="006F7827"/>
    <w:rsid w:val="006F78E5"/>
    <w:rsid w:val="006F7DE4"/>
    <w:rsid w:val="006F7E2D"/>
    <w:rsid w:val="0070031F"/>
    <w:rsid w:val="00700567"/>
    <w:rsid w:val="00700EC6"/>
    <w:rsid w:val="00701517"/>
    <w:rsid w:val="007018A1"/>
    <w:rsid w:val="00701A56"/>
    <w:rsid w:val="00701CB1"/>
    <w:rsid w:val="007021B1"/>
    <w:rsid w:val="00702536"/>
    <w:rsid w:val="0070293C"/>
    <w:rsid w:val="00702D02"/>
    <w:rsid w:val="00702FC4"/>
    <w:rsid w:val="00703133"/>
    <w:rsid w:val="007045DA"/>
    <w:rsid w:val="00704E85"/>
    <w:rsid w:val="00705200"/>
    <w:rsid w:val="00705365"/>
    <w:rsid w:val="00705FCC"/>
    <w:rsid w:val="0070677D"/>
    <w:rsid w:val="00706F47"/>
    <w:rsid w:val="00706F7B"/>
    <w:rsid w:val="007070B1"/>
    <w:rsid w:val="007071A3"/>
    <w:rsid w:val="00707549"/>
    <w:rsid w:val="00707B17"/>
    <w:rsid w:val="00707B45"/>
    <w:rsid w:val="00707BDB"/>
    <w:rsid w:val="00707F7A"/>
    <w:rsid w:val="00710390"/>
    <w:rsid w:val="007108BC"/>
    <w:rsid w:val="00710EC4"/>
    <w:rsid w:val="0071134E"/>
    <w:rsid w:val="00711548"/>
    <w:rsid w:val="007117EA"/>
    <w:rsid w:val="00712286"/>
    <w:rsid w:val="007124A5"/>
    <w:rsid w:val="007129DC"/>
    <w:rsid w:val="007136E0"/>
    <w:rsid w:val="00713D5C"/>
    <w:rsid w:val="00713F09"/>
    <w:rsid w:val="0071408B"/>
    <w:rsid w:val="00714A64"/>
    <w:rsid w:val="0071513F"/>
    <w:rsid w:val="007157AF"/>
    <w:rsid w:val="00715B61"/>
    <w:rsid w:val="00715DE8"/>
    <w:rsid w:val="00717050"/>
    <w:rsid w:val="007174E6"/>
    <w:rsid w:val="00717A34"/>
    <w:rsid w:val="00720518"/>
    <w:rsid w:val="00720874"/>
    <w:rsid w:val="00720AE4"/>
    <w:rsid w:val="00720D8E"/>
    <w:rsid w:val="00721215"/>
    <w:rsid w:val="00721401"/>
    <w:rsid w:val="007216EC"/>
    <w:rsid w:val="00721949"/>
    <w:rsid w:val="00721ACF"/>
    <w:rsid w:val="00721DF2"/>
    <w:rsid w:val="00722031"/>
    <w:rsid w:val="007224FB"/>
    <w:rsid w:val="00722902"/>
    <w:rsid w:val="007229DE"/>
    <w:rsid w:val="00722D80"/>
    <w:rsid w:val="00723057"/>
    <w:rsid w:val="00723633"/>
    <w:rsid w:val="00723AAB"/>
    <w:rsid w:val="007246C3"/>
    <w:rsid w:val="00724A7E"/>
    <w:rsid w:val="00724FB1"/>
    <w:rsid w:val="00725699"/>
    <w:rsid w:val="00725978"/>
    <w:rsid w:val="007262CC"/>
    <w:rsid w:val="00726B09"/>
    <w:rsid w:val="00726F3F"/>
    <w:rsid w:val="00727423"/>
    <w:rsid w:val="00727D18"/>
    <w:rsid w:val="007304FE"/>
    <w:rsid w:val="00730FD1"/>
    <w:rsid w:val="00731042"/>
    <w:rsid w:val="007313F5"/>
    <w:rsid w:val="0073156E"/>
    <w:rsid w:val="00731787"/>
    <w:rsid w:val="0073191A"/>
    <w:rsid w:val="00731993"/>
    <w:rsid w:val="007326F9"/>
    <w:rsid w:val="007328D6"/>
    <w:rsid w:val="00733A48"/>
    <w:rsid w:val="00733DBD"/>
    <w:rsid w:val="00733FAB"/>
    <w:rsid w:val="00734484"/>
    <w:rsid w:val="0073519A"/>
    <w:rsid w:val="007357E3"/>
    <w:rsid w:val="00735BB7"/>
    <w:rsid w:val="0073600C"/>
    <w:rsid w:val="00737895"/>
    <w:rsid w:val="00737D93"/>
    <w:rsid w:val="00740940"/>
    <w:rsid w:val="00740BEA"/>
    <w:rsid w:val="0074124A"/>
    <w:rsid w:val="007413EA"/>
    <w:rsid w:val="0074149B"/>
    <w:rsid w:val="00741D65"/>
    <w:rsid w:val="007420CE"/>
    <w:rsid w:val="0074210F"/>
    <w:rsid w:val="00742342"/>
    <w:rsid w:val="007423C3"/>
    <w:rsid w:val="00743C16"/>
    <w:rsid w:val="007441AF"/>
    <w:rsid w:val="0074483D"/>
    <w:rsid w:val="007449EC"/>
    <w:rsid w:val="007451C4"/>
    <w:rsid w:val="00745738"/>
    <w:rsid w:val="00745A3C"/>
    <w:rsid w:val="00745B05"/>
    <w:rsid w:val="00745B0F"/>
    <w:rsid w:val="00745F2B"/>
    <w:rsid w:val="00746522"/>
    <w:rsid w:val="007468A9"/>
    <w:rsid w:val="00746BC5"/>
    <w:rsid w:val="00746E65"/>
    <w:rsid w:val="0074722A"/>
    <w:rsid w:val="00747784"/>
    <w:rsid w:val="0074781D"/>
    <w:rsid w:val="00747CDE"/>
    <w:rsid w:val="007503F0"/>
    <w:rsid w:val="0075095A"/>
    <w:rsid w:val="00750AAF"/>
    <w:rsid w:val="00751B99"/>
    <w:rsid w:val="00752283"/>
    <w:rsid w:val="0075242F"/>
    <w:rsid w:val="007528AB"/>
    <w:rsid w:val="00752F68"/>
    <w:rsid w:val="00753778"/>
    <w:rsid w:val="0075388F"/>
    <w:rsid w:val="00753ED0"/>
    <w:rsid w:val="00754C68"/>
    <w:rsid w:val="00755285"/>
    <w:rsid w:val="007555EF"/>
    <w:rsid w:val="00756DCD"/>
    <w:rsid w:val="00756F0F"/>
    <w:rsid w:val="007572A7"/>
    <w:rsid w:val="00757354"/>
    <w:rsid w:val="00757C1C"/>
    <w:rsid w:val="00757FA7"/>
    <w:rsid w:val="0076001C"/>
    <w:rsid w:val="00760443"/>
    <w:rsid w:val="00760A7D"/>
    <w:rsid w:val="00760D26"/>
    <w:rsid w:val="00760E5E"/>
    <w:rsid w:val="00760F38"/>
    <w:rsid w:val="0076126B"/>
    <w:rsid w:val="00761516"/>
    <w:rsid w:val="0076292B"/>
    <w:rsid w:val="00762EC2"/>
    <w:rsid w:val="0076303B"/>
    <w:rsid w:val="007632C7"/>
    <w:rsid w:val="007633B6"/>
    <w:rsid w:val="00763640"/>
    <w:rsid w:val="00763ACF"/>
    <w:rsid w:val="0076439F"/>
    <w:rsid w:val="007643A4"/>
    <w:rsid w:val="00765175"/>
    <w:rsid w:val="007659E3"/>
    <w:rsid w:val="00765E33"/>
    <w:rsid w:val="00765F3F"/>
    <w:rsid w:val="00765FB1"/>
    <w:rsid w:val="00766452"/>
    <w:rsid w:val="00766AF1"/>
    <w:rsid w:val="00766BD7"/>
    <w:rsid w:val="00766C57"/>
    <w:rsid w:val="00767866"/>
    <w:rsid w:val="0076797B"/>
    <w:rsid w:val="00767B22"/>
    <w:rsid w:val="00770040"/>
    <w:rsid w:val="007706FA"/>
    <w:rsid w:val="00770A75"/>
    <w:rsid w:val="00770A7A"/>
    <w:rsid w:val="0077105F"/>
    <w:rsid w:val="0077154D"/>
    <w:rsid w:val="007724EB"/>
    <w:rsid w:val="007724F3"/>
    <w:rsid w:val="007724F5"/>
    <w:rsid w:val="0077257D"/>
    <w:rsid w:val="00772812"/>
    <w:rsid w:val="00772EF6"/>
    <w:rsid w:val="00773678"/>
    <w:rsid w:val="00773FEA"/>
    <w:rsid w:val="007741C8"/>
    <w:rsid w:val="007741D2"/>
    <w:rsid w:val="0077459E"/>
    <w:rsid w:val="0077470D"/>
    <w:rsid w:val="00774910"/>
    <w:rsid w:val="00774CAE"/>
    <w:rsid w:val="00774EEF"/>
    <w:rsid w:val="00774F66"/>
    <w:rsid w:val="00775634"/>
    <w:rsid w:val="0077589D"/>
    <w:rsid w:val="00775CA2"/>
    <w:rsid w:val="00775D24"/>
    <w:rsid w:val="00776131"/>
    <w:rsid w:val="007762DC"/>
    <w:rsid w:val="00776B97"/>
    <w:rsid w:val="00776C06"/>
    <w:rsid w:val="00776C07"/>
    <w:rsid w:val="00776DEE"/>
    <w:rsid w:val="00777CF2"/>
    <w:rsid w:val="00777F14"/>
    <w:rsid w:val="00780A21"/>
    <w:rsid w:val="00780AB7"/>
    <w:rsid w:val="007816A8"/>
    <w:rsid w:val="0078187F"/>
    <w:rsid w:val="0078215E"/>
    <w:rsid w:val="007825AF"/>
    <w:rsid w:val="00782B22"/>
    <w:rsid w:val="00782E03"/>
    <w:rsid w:val="00782EB9"/>
    <w:rsid w:val="007835BF"/>
    <w:rsid w:val="007836B0"/>
    <w:rsid w:val="00783BB9"/>
    <w:rsid w:val="00783E77"/>
    <w:rsid w:val="007848AD"/>
    <w:rsid w:val="00785A88"/>
    <w:rsid w:val="00785D18"/>
    <w:rsid w:val="007862CC"/>
    <w:rsid w:val="00786A07"/>
    <w:rsid w:val="00786DB8"/>
    <w:rsid w:val="007875A5"/>
    <w:rsid w:val="0078761E"/>
    <w:rsid w:val="00787AAF"/>
    <w:rsid w:val="00787AEA"/>
    <w:rsid w:val="0079090E"/>
    <w:rsid w:val="00790A84"/>
    <w:rsid w:val="00790D6D"/>
    <w:rsid w:val="00790F33"/>
    <w:rsid w:val="0079150D"/>
    <w:rsid w:val="00791A82"/>
    <w:rsid w:val="00791CB0"/>
    <w:rsid w:val="0079312E"/>
    <w:rsid w:val="00793388"/>
    <w:rsid w:val="00794C35"/>
    <w:rsid w:val="0079521B"/>
    <w:rsid w:val="00795531"/>
    <w:rsid w:val="0079564E"/>
    <w:rsid w:val="00795B00"/>
    <w:rsid w:val="00795BD1"/>
    <w:rsid w:val="00795E96"/>
    <w:rsid w:val="0079624B"/>
    <w:rsid w:val="007962AC"/>
    <w:rsid w:val="0079679D"/>
    <w:rsid w:val="00796A1A"/>
    <w:rsid w:val="00796F3E"/>
    <w:rsid w:val="00797B86"/>
    <w:rsid w:val="007A0568"/>
    <w:rsid w:val="007A08D4"/>
    <w:rsid w:val="007A09ED"/>
    <w:rsid w:val="007A0E40"/>
    <w:rsid w:val="007A1131"/>
    <w:rsid w:val="007A13A6"/>
    <w:rsid w:val="007A1BE8"/>
    <w:rsid w:val="007A209E"/>
    <w:rsid w:val="007A298B"/>
    <w:rsid w:val="007A2CCB"/>
    <w:rsid w:val="007A3122"/>
    <w:rsid w:val="007A3618"/>
    <w:rsid w:val="007A37AC"/>
    <w:rsid w:val="007A3A17"/>
    <w:rsid w:val="007A3CB9"/>
    <w:rsid w:val="007A3FF3"/>
    <w:rsid w:val="007A4724"/>
    <w:rsid w:val="007A48AB"/>
    <w:rsid w:val="007A4BC1"/>
    <w:rsid w:val="007A4EFF"/>
    <w:rsid w:val="007A579C"/>
    <w:rsid w:val="007A5BE9"/>
    <w:rsid w:val="007A5F12"/>
    <w:rsid w:val="007B02D4"/>
    <w:rsid w:val="007B0737"/>
    <w:rsid w:val="007B0D4E"/>
    <w:rsid w:val="007B0E18"/>
    <w:rsid w:val="007B1543"/>
    <w:rsid w:val="007B19ED"/>
    <w:rsid w:val="007B1B15"/>
    <w:rsid w:val="007B30DF"/>
    <w:rsid w:val="007B3370"/>
    <w:rsid w:val="007B33BC"/>
    <w:rsid w:val="007B3997"/>
    <w:rsid w:val="007B4239"/>
    <w:rsid w:val="007B4824"/>
    <w:rsid w:val="007B4961"/>
    <w:rsid w:val="007B4BBB"/>
    <w:rsid w:val="007B5244"/>
    <w:rsid w:val="007B60CC"/>
    <w:rsid w:val="007B6EB8"/>
    <w:rsid w:val="007B7811"/>
    <w:rsid w:val="007B784B"/>
    <w:rsid w:val="007C07C8"/>
    <w:rsid w:val="007C0E42"/>
    <w:rsid w:val="007C19DD"/>
    <w:rsid w:val="007C1BE9"/>
    <w:rsid w:val="007C2272"/>
    <w:rsid w:val="007C228F"/>
    <w:rsid w:val="007C24C8"/>
    <w:rsid w:val="007C313A"/>
    <w:rsid w:val="007C3612"/>
    <w:rsid w:val="007C39D9"/>
    <w:rsid w:val="007C3C96"/>
    <w:rsid w:val="007C3D60"/>
    <w:rsid w:val="007C45E3"/>
    <w:rsid w:val="007C4627"/>
    <w:rsid w:val="007C4E08"/>
    <w:rsid w:val="007C5202"/>
    <w:rsid w:val="007C556C"/>
    <w:rsid w:val="007C5A41"/>
    <w:rsid w:val="007C676C"/>
    <w:rsid w:val="007C6A34"/>
    <w:rsid w:val="007C7D00"/>
    <w:rsid w:val="007D058C"/>
    <w:rsid w:val="007D05E0"/>
    <w:rsid w:val="007D090C"/>
    <w:rsid w:val="007D0EE3"/>
    <w:rsid w:val="007D0F49"/>
    <w:rsid w:val="007D1979"/>
    <w:rsid w:val="007D19AA"/>
    <w:rsid w:val="007D1AF3"/>
    <w:rsid w:val="007D1B62"/>
    <w:rsid w:val="007D1B6A"/>
    <w:rsid w:val="007D1E0D"/>
    <w:rsid w:val="007D22CE"/>
    <w:rsid w:val="007D25AC"/>
    <w:rsid w:val="007D263A"/>
    <w:rsid w:val="007D2D0D"/>
    <w:rsid w:val="007D33E8"/>
    <w:rsid w:val="007D348F"/>
    <w:rsid w:val="007D3808"/>
    <w:rsid w:val="007D3A64"/>
    <w:rsid w:val="007D3D5A"/>
    <w:rsid w:val="007D3D80"/>
    <w:rsid w:val="007D40B0"/>
    <w:rsid w:val="007D48FE"/>
    <w:rsid w:val="007D5667"/>
    <w:rsid w:val="007D6187"/>
    <w:rsid w:val="007D64A8"/>
    <w:rsid w:val="007D653B"/>
    <w:rsid w:val="007D6999"/>
    <w:rsid w:val="007D6FC2"/>
    <w:rsid w:val="007D7300"/>
    <w:rsid w:val="007D75EB"/>
    <w:rsid w:val="007D77D7"/>
    <w:rsid w:val="007D7A54"/>
    <w:rsid w:val="007E04B3"/>
    <w:rsid w:val="007E0886"/>
    <w:rsid w:val="007E0E1E"/>
    <w:rsid w:val="007E0ED6"/>
    <w:rsid w:val="007E0ED8"/>
    <w:rsid w:val="007E1668"/>
    <w:rsid w:val="007E16E3"/>
    <w:rsid w:val="007E1B3A"/>
    <w:rsid w:val="007E1F04"/>
    <w:rsid w:val="007E2CCC"/>
    <w:rsid w:val="007E2E92"/>
    <w:rsid w:val="007E3CE4"/>
    <w:rsid w:val="007E48E5"/>
    <w:rsid w:val="007E5758"/>
    <w:rsid w:val="007E5AAB"/>
    <w:rsid w:val="007E5D6C"/>
    <w:rsid w:val="007E659C"/>
    <w:rsid w:val="007E6C26"/>
    <w:rsid w:val="007E6D0A"/>
    <w:rsid w:val="007E7069"/>
    <w:rsid w:val="007F00B0"/>
    <w:rsid w:val="007F072A"/>
    <w:rsid w:val="007F0AC5"/>
    <w:rsid w:val="007F0DC4"/>
    <w:rsid w:val="007F123B"/>
    <w:rsid w:val="007F2484"/>
    <w:rsid w:val="007F282B"/>
    <w:rsid w:val="007F2B3E"/>
    <w:rsid w:val="007F31BD"/>
    <w:rsid w:val="007F38C5"/>
    <w:rsid w:val="007F3B8E"/>
    <w:rsid w:val="007F3E14"/>
    <w:rsid w:val="007F441F"/>
    <w:rsid w:val="007F4495"/>
    <w:rsid w:val="007F48C1"/>
    <w:rsid w:val="007F49A3"/>
    <w:rsid w:val="007F4C8E"/>
    <w:rsid w:val="007F5540"/>
    <w:rsid w:val="007F5CBF"/>
    <w:rsid w:val="007F6A1E"/>
    <w:rsid w:val="007F6A4A"/>
    <w:rsid w:val="007F6A98"/>
    <w:rsid w:val="007F6ABD"/>
    <w:rsid w:val="007F73BC"/>
    <w:rsid w:val="007F77A1"/>
    <w:rsid w:val="00800188"/>
    <w:rsid w:val="008001E0"/>
    <w:rsid w:val="0080038B"/>
    <w:rsid w:val="00800606"/>
    <w:rsid w:val="00800D64"/>
    <w:rsid w:val="00800FA8"/>
    <w:rsid w:val="00801220"/>
    <w:rsid w:val="0080166D"/>
    <w:rsid w:val="008017AE"/>
    <w:rsid w:val="00801B80"/>
    <w:rsid w:val="00803D21"/>
    <w:rsid w:val="00803EEF"/>
    <w:rsid w:val="0080411E"/>
    <w:rsid w:val="00804487"/>
    <w:rsid w:val="008052DF"/>
    <w:rsid w:val="00805328"/>
    <w:rsid w:val="008055F7"/>
    <w:rsid w:val="008058C7"/>
    <w:rsid w:val="00805A67"/>
    <w:rsid w:val="00805E50"/>
    <w:rsid w:val="00805F38"/>
    <w:rsid w:val="0080692D"/>
    <w:rsid w:val="00806C46"/>
    <w:rsid w:val="008076E3"/>
    <w:rsid w:val="008077E9"/>
    <w:rsid w:val="00810FC3"/>
    <w:rsid w:val="008115C0"/>
    <w:rsid w:val="008124DB"/>
    <w:rsid w:val="00813C61"/>
    <w:rsid w:val="00815E46"/>
    <w:rsid w:val="00815F65"/>
    <w:rsid w:val="00816152"/>
    <w:rsid w:val="00816283"/>
    <w:rsid w:val="00816B5D"/>
    <w:rsid w:val="00816B6C"/>
    <w:rsid w:val="00816EAC"/>
    <w:rsid w:val="0081706B"/>
    <w:rsid w:val="008173AF"/>
    <w:rsid w:val="00817D02"/>
    <w:rsid w:val="00817FC2"/>
    <w:rsid w:val="0082011B"/>
    <w:rsid w:val="008201B3"/>
    <w:rsid w:val="0082032C"/>
    <w:rsid w:val="008207AF"/>
    <w:rsid w:val="008209CE"/>
    <w:rsid w:val="00820B95"/>
    <w:rsid w:val="00821657"/>
    <w:rsid w:val="008217DB"/>
    <w:rsid w:val="00821F00"/>
    <w:rsid w:val="008224D0"/>
    <w:rsid w:val="00822AAF"/>
    <w:rsid w:val="00822F79"/>
    <w:rsid w:val="00823873"/>
    <w:rsid w:val="008247B8"/>
    <w:rsid w:val="008247E9"/>
    <w:rsid w:val="00825F49"/>
    <w:rsid w:val="00826354"/>
    <w:rsid w:val="00826803"/>
    <w:rsid w:val="00826AA9"/>
    <w:rsid w:val="00826DF5"/>
    <w:rsid w:val="008273E1"/>
    <w:rsid w:val="00827413"/>
    <w:rsid w:val="008278FD"/>
    <w:rsid w:val="0083061A"/>
    <w:rsid w:val="00830A13"/>
    <w:rsid w:val="00830B18"/>
    <w:rsid w:val="0083101E"/>
    <w:rsid w:val="008310E9"/>
    <w:rsid w:val="00831197"/>
    <w:rsid w:val="008327CF"/>
    <w:rsid w:val="00832935"/>
    <w:rsid w:val="00832BB8"/>
    <w:rsid w:val="00833849"/>
    <w:rsid w:val="00833A1C"/>
    <w:rsid w:val="00833F49"/>
    <w:rsid w:val="008348C4"/>
    <w:rsid w:val="008349A7"/>
    <w:rsid w:val="00835456"/>
    <w:rsid w:val="00835744"/>
    <w:rsid w:val="00836219"/>
    <w:rsid w:val="008363C9"/>
    <w:rsid w:val="00836BDD"/>
    <w:rsid w:val="00836F76"/>
    <w:rsid w:val="00837825"/>
    <w:rsid w:val="00837B5C"/>
    <w:rsid w:val="00837B9D"/>
    <w:rsid w:val="00837C7E"/>
    <w:rsid w:val="00837EFB"/>
    <w:rsid w:val="00840905"/>
    <w:rsid w:val="0084146B"/>
    <w:rsid w:val="0084174F"/>
    <w:rsid w:val="0084208E"/>
    <w:rsid w:val="00842453"/>
    <w:rsid w:val="008426A9"/>
    <w:rsid w:val="0084325F"/>
    <w:rsid w:val="008440D7"/>
    <w:rsid w:val="008454B5"/>
    <w:rsid w:val="0084577C"/>
    <w:rsid w:val="00845C5A"/>
    <w:rsid w:val="008468EA"/>
    <w:rsid w:val="0084705C"/>
    <w:rsid w:val="008470EE"/>
    <w:rsid w:val="0084739D"/>
    <w:rsid w:val="008479A7"/>
    <w:rsid w:val="00847B1A"/>
    <w:rsid w:val="00850C96"/>
    <w:rsid w:val="0085127C"/>
    <w:rsid w:val="00851288"/>
    <w:rsid w:val="00851D18"/>
    <w:rsid w:val="00851FE4"/>
    <w:rsid w:val="0085224C"/>
    <w:rsid w:val="00852280"/>
    <w:rsid w:val="0085231F"/>
    <w:rsid w:val="00852743"/>
    <w:rsid w:val="00852C7C"/>
    <w:rsid w:val="00852D78"/>
    <w:rsid w:val="00853292"/>
    <w:rsid w:val="00854233"/>
    <w:rsid w:val="008542F0"/>
    <w:rsid w:val="00854A27"/>
    <w:rsid w:val="00854DF6"/>
    <w:rsid w:val="00855201"/>
    <w:rsid w:val="0085536B"/>
    <w:rsid w:val="0085543C"/>
    <w:rsid w:val="0085553E"/>
    <w:rsid w:val="0085569B"/>
    <w:rsid w:val="00855CB7"/>
    <w:rsid w:val="00855E2E"/>
    <w:rsid w:val="00855F7E"/>
    <w:rsid w:val="0085609B"/>
    <w:rsid w:val="008560AC"/>
    <w:rsid w:val="00856EDD"/>
    <w:rsid w:val="00857073"/>
    <w:rsid w:val="008574E1"/>
    <w:rsid w:val="00857571"/>
    <w:rsid w:val="00857B49"/>
    <w:rsid w:val="00857BB6"/>
    <w:rsid w:val="0086079E"/>
    <w:rsid w:val="00860B05"/>
    <w:rsid w:val="00861226"/>
    <w:rsid w:val="00861228"/>
    <w:rsid w:val="0086211A"/>
    <w:rsid w:val="008625E0"/>
    <w:rsid w:val="00862EE0"/>
    <w:rsid w:val="00863A1E"/>
    <w:rsid w:val="00863D62"/>
    <w:rsid w:val="00864523"/>
    <w:rsid w:val="00864B83"/>
    <w:rsid w:val="00865310"/>
    <w:rsid w:val="00865538"/>
    <w:rsid w:val="00866224"/>
    <w:rsid w:val="00866279"/>
    <w:rsid w:val="00867211"/>
    <w:rsid w:val="00867294"/>
    <w:rsid w:val="00870177"/>
    <w:rsid w:val="00870185"/>
    <w:rsid w:val="008703F1"/>
    <w:rsid w:val="0087042C"/>
    <w:rsid w:val="00870520"/>
    <w:rsid w:val="00870D27"/>
    <w:rsid w:val="008717D1"/>
    <w:rsid w:val="00871967"/>
    <w:rsid w:val="00871E4F"/>
    <w:rsid w:val="0087268E"/>
    <w:rsid w:val="008726CB"/>
    <w:rsid w:val="00872FAB"/>
    <w:rsid w:val="00873A3C"/>
    <w:rsid w:val="00873BE3"/>
    <w:rsid w:val="0087442E"/>
    <w:rsid w:val="008746D0"/>
    <w:rsid w:val="00874877"/>
    <w:rsid w:val="00874ABA"/>
    <w:rsid w:val="00874DF5"/>
    <w:rsid w:val="00874EEA"/>
    <w:rsid w:val="00874F7A"/>
    <w:rsid w:val="00875165"/>
    <w:rsid w:val="00875479"/>
    <w:rsid w:val="00875871"/>
    <w:rsid w:val="00875AA1"/>
    <w:rsid w:val="00875B41"/>
    <w:rsid w:val="00875D83"/>
    <w:rsid w:val="00876087"/>
    <w:rsid w:val="008760A8"/>
    <w:rsid w:val="008760CE"/>
    <w:rsid w:val="0087610C"/>
    <w:rsid w:val="0087628A"/>
    <w:rsid w:val="00876E64"/>
    <w:rsid w:val="0088021F"/>
    <w:rsid w:val="008803E6"/>
    <w:rsid w:val="008804A8"/>
    <w:rsid w:val="00880763"/>
    <w:rsid w:val="00880F42"/>
    <w:rsid w:val="00881660"/>
    <w:rsid w:val="0088281C"/>
    <w:rsid w:val="00883353"/>
    <w:rsid w:val="00884C55"/>
    <w:rsid w:val="00884DF8"/>
    <w:rsid w:val="0088618A"/>
    <w:rsid w:val="008866B5"/>
    <w:rsid w:val="008873A1"/>
    <w:rsid w:val="008877D0"/>
    <w:rsid w:val="00887AD7"/>
    <w:rsid w:val="00890620"/>
    <w:rsid w:val="008921E5"/>
    <w:rsid w:val="008928C6"/>
    <w:rsid w:val="0089329B"/>
    <w:rsid w:val="008934FE"/>
    <w:rsid w:val="008939CF"/>
    <w:rsid w:val="008939E2"/>
    <w:rsid w:val="00893A17"/>
    <w:rsid w:val="00894142"/>
    <w:rsid w:val="008945D5"/>
    <w:rsid w:val="008946C0"/>
    <w:rsid w:val="008948B9"/>
    <w:rsid w:val="008948F7"/>
    <w:rsid w:val="00895469"/>
    <w:rsid w:val="00895AFD"/>
    <w:rsid w:val="00896147"/>
    <w:rsid w:val="00896A46"/>
    <w:rsid w:val="0089798A"/>
    <w:rsid w:val="008A03F9"/>
    <w:rsid w:val="008A06A1"/>
    <w:rsid w:val="008A0F08"/>
    <w:rsid w:val="008A1565"/>
    <w:rsid w:val="008A16F3"/>
    <w:rsid w:val="008A242C"/>
    <w:rsid w:val="008A25B0"/>
    <w:rsid w:val="008A2766"/>
    <w:rsid w:val="008A2FC5"/>
    <w:rsid w:val="008A35F6"/>
    <w:rsid w:val="008A3923"/>
    <w:rsid w:val="008A39C8"/>
    <w:rsid w:val="008A39D5"/>
    <w:rsid w:val="008A3DF7"/>
    <w:rsid w:val="008A40E4"/>
    <w:rsid w:val="008A44B1"/>
    <w:rsid w:val="008A49E9"/>
    <w:rsid w:val="008A4BF5"/>
    <w:rsid w:val="008A5A78"/>
    <w:rsid w:val="008A5B26"/>
    <w:rsid w:val="008A5EAC"/>
    <w:rsid w:val="008A6286"/>
    <w:rsid w:val="008A66ED"/>
    <w:rsid w:val="008A6CA9"/>
    <w:rsid w:val="008A7729"/>
    <w:rsid w:val="008A7891"/>
    <w:rsid w:val="008A7ACF"/>
    <w:rsid w:val="008A7FAB"/>
    <w:rsid w:val="008B0005"/>
    <w:rsid w:val="008B0723"/>
    <w:rsid w:val="008B0CAA"/>
    <w:rsid w:val="008B15EF"/>
    <w:rsid w:val="008B1E65"/>
    <w:rsid w:val="008B3179"/>
    <w:rsid w:val="008B335F"/>
    <w:rsid w:val="008B34AC"/>
    <w:rsid w:val="008B37AC"/>
    <w:rsid w:val="008B3D19"/>
    <w:rsid w:val="008B4526"/>
    <w:rsid w:val="008B4613"/>
    <w:rsid w:val="008B4E5D"/>
    <w:rsid w:val="008B5C1A"/>
    <w:rsid w:val="008B5C3D"/>
    <w:rsid w:val="008B5D37"/>
    <w:rsid w:val="008B6543"/>
    <w:rsid w:val="008B65BD"/>
    <w:rsid w:val="008B6F07"/>
    <w:rsid w:val="008B730B"/>
    <w:rsid w:val="008B754B"/>
    <w:rsid w:val="008B77B1"/>
    <w:rsid w:val="008B7AD8"/>
    <w:rsid w:val="008C00B7"/>
    <w:rsid w:val="008C07AE"/>
    <w:rsid w:val="008C08FB"/>
    <w:rsid w:val="008C0BF1"/>
    <w:rsid w:val="008C0BFB"/>
    <w:rsid w:val="008C1AAB"/>
    <w:rsid w:val="008C1D60"/>
    <w:rsid w:val="008C1F0B"/>
    <w:rsid w:val="008C2540"/>
    <w:rsid w:val="008C28C0"/>
    <w:rsid w:val="008C29F3"/>
    <w:rsid w:val="008C39A0"/>
    <w:rsid w:val="008C3BB9"/>
    <w:rsid w:val="008C3D78"/>
    <w:rsid w:val="008C4163"/>
    <w:rsid w:val="008C47FB"/>
    <w:rsid w:val="008C511D"/>
    <w:rsid w:val="008C51B8"/>
    <w:rsid w:val="008C58B7"/>
    <w:rsid w:val="008C5B04"/>
    <w:rsid w:val="008C5E3B"/>
    <w:rsid w:val="008C607A"/>
    <w:rsid w:val="008C60E2"/>
    <w:rsid w:val="008C65C0"/>
    <w:rsid w:val="008C6674"/>
    <w:rsid w:val="008C6886"/>
    <w:rsid w:val="008C6963"/>
    <w:rsid w:val="008C6F9C"/>
    <w:rsid w:val="008C717C"/>
    <w:rsid w:val="008C7541"/>
    <w:rsid w:val="008D01D1"/>
    <w:rsid w:val="008D03E1"/>
    <w:rsid w:val="008D0A03"/>
    <w:rsid w:val="008D1235"/>
    <w:rsid w:val="008D18D7"/>
    <w:rsid w:val="008D1A1F"/>
    <w:rsid w:val="008D1A84"/>
    <w:rsid w:val="008D26DC"/>
    <w:rsid w:val="008D26F0"/>
    <w:rsid w:val="008D281A"/>
    <w:rsid w:val="008D2AE7"/>
    <w:rsid w:val="008D32E8"/>
    <w:rsid w:val="008D3344"/>
    <w:rsid w:val="008D3734"/>
    <w:rsid w:val="008D3761"/>
    <w:rsid w:val="008D396C"/>
    <w:rsid w:val="008D3D44"/>
    <w:rsid w:val="008D45A6"/>
    <w:rsid w:val="008D467D"/>
    <w:rsid w:val="008D4820"/>
    <w:rsid w:val="008D48E4"/>
    <w:rsid w:val="008D496C"/>
    <w:rsid w:val="008D497C"/>
    <w:rsid w:val="008D4BC1"/>
    <w:rsid w:val="008D54EC"/>
    <w:rsid w:val="008D5B98"/>
    <w:rsid w:val="008D6409"/>
    <w:rsid w:val="008D692B"/>
    <w:rsid w:val="008D69A2"/>
    <w:rsid w:val="008D767C"/>
    <w:rsid w:val="008D7791"/>
    <w:rsid w:val="008D79E2"/>
    <w:rsid w:val="008E0773"/>
    <w:rsid w:val="008E1363"/>
    <w:rsid w:val="008E1583"/>
    <w:rsid w:val="008E1D37"/>
    <w:rsid w:val="008E1DC1"/>
    <w:rsid w:val="008E29FE"/>
    <w:rsid w:val="008E2A3E"/>
    <w:rsid w:val="008E33E6"/>
    <w:rsid w:val="008E390A"/>
    <w:rsid w:val="008E3956"/>
    <w:rsid w:val="008E3AEE"/>
    <w:rsid w:val="008E3B3A"/>
    <w:rsid w:val="008E3B82"/>
    <w:rsid w:val="008E4658"/>
    <w:rsid w:val="008E47D7"/>
    <w:rsid w:val="008E483C"/>
    <w:rsid w:val="008E4A66"/>
    <w:rsid w:val="008E4D1C"/>
    <w:rsid w:val="008E4D29"/>
    <w:rsid w:val="008E5110"/>
    <w:rsid w:val="008E552C"/>
    <w:rsid w:val="008E55B2"/>
    <w:rsid w:val="008E57ED"/>
    <w:rsid w:val="008E65E4"/>
    <w:rsid w:val="008E7AC3"/>
    <w:rsid w:val="008E7EA9"/>
    <w:rsid w:val="008E7EB8"/>
    <w:rsid w:val="008F0062"/>
    <w:rsid w:val="008F02B2"/>
    <w:rsid w:val="008F08E2"/>
    <w:rsid w:val="008F154B"/>
    <w:rsid w:val="008F249E"/>
    <w:rsid w:val="008F2B24"/>
    <w:rsid w:val="008F3099"/>
    <w:rsid w:val="008F3687"/>
    <w:rsid w:val="008F379A"/>
    <w:rsid w:val="008F3FFE"/>
    <w:rsid w:val="008F40BF"/>
    <w:rsid w:val="008F42B8"/>
    <w:rsid w:val="008F4A42"/>
    <w:rsid w:val="008F4B85"/>
    <w:rsid w:val="008F52E3"/>
    <w:rsid w:val="008F5521"/>
    <w:rsid w:val="008F569B"/>
    <w:rsid w:val="008F56F1"/>
    <w:rsid w:val="008F5AE1"/>
    <w:rsid w:val="008F6045"/>
    <w:rsid w:val="008F6573"/>
    <w:rsid w:val="008F6804"/>
    <w:rsid w:val="008F7298"/>
    <w:rsid w:val="008F73BD"/>
    <w:rsid w:val="008F76B5"/>
    <w:rsid w:val="008F7701"/>
    <w:rsid w:val="008F787B"/>
    <w:rsid w:val="008F7FC7"/>
    <w:rsid w:val="0090039F"/>
    <w:rsid w:val="009004CD"/>
    <w:rsid w:val="009007F7"/>
    <w:rsid w:val="00900952"/>
    <w:rsid w:val="00900955"/>
    <w:rsid w:val="00900A5B"/>
    <w:rsid w:val="00900B22"/>
    <w:rsid w:val="00900B99"/>
    <w:rsid w:val="00900F7F"/>
    <w:rsid w:val="009015F7"/>
    <w:rsid w:val="0090177A"/>
    <w:rsid w:val="00901800"/>
    <w:rsid w:val="00901ECE"/>
    <w:rsid w:val="00901F7E"/>
    <w:rsid w:val="0090247A"/>
    <w:rsid w:val="00902CCE"/>
    <w:rsid w:val="0090373B"/>
    <w:rsid w:val="00903995"/>
    <w:rsid w:val="009045CB"/>
    <w:rsid w:val="00904C96"/>
    <w:rsid w:val="00905038"/>
    <w:rsid w:val="00905545"/>
    <w:rsid w:val="00905E61"/>
    <w:rsid w:val="0090635B"/>
    <w:rsid w:val="009065FD"/>
    <w:rsid w:val="009074F3"/>
    <w:rsid w:val="00907542"/>
    <w:rsid w:val="009075E6"/>
    <w:rsid w:val="00907E6C"/>
    <w:rsid w:val="00910104"/>
    <w:rsid w:val="009104B4"/>
    <w:rsid w:val="009105C3"/>
    <w:rsid w:val="00910B6E"/>
    <w:rsid w:val="0091125C"/>
    <w:rsid w:val="00912C50"/>
    <w:rsid w:val="00912E26"/>
    <w:rsid w:val="00912E78"/>
    <w:rsid w:val="009131D9"/>
    <w:rsid w:val="00913703"/>
    <w:rsid w:val="00913962"/>
    <w:rsid w:val="00913987"/>
    <w:rsid w:val="00913FF2"/>
    <w:rsid w:val="00914146"/>
    <w:rsid w:val="0091456E"/>
    <w:rsid w:val="00914A80"/>
    <w:rsid w:val="00914F8A"/>
    <w:rsid w:val="00915B58"/>
    <w:rsid w:val="00915CF9"/>
    <w:rsid w:val="009160A6"/>
    <w:rsid w:val="00916774"/>
    <w:rsid w:val="00916A59"/>
    <w:rsid w:val="0091707A"/>
    <w:rsid w:val="00917673"/>
    <w:rsid w:val="0091775B"/>
    <w:rsid w:val="00917825"/>
    <w:rsid w:val="00917EFB"/>
    <w:rsid w:val="009206AD"/>
    <w:rsid w:val="00920966"/>
    <w:rsid w:val="00920A29"/>
    <w:rsid w:val="009210BD"/>
    <w:rsid w:val="00921444"/>
    <w:rsid w:val="00921749"/>
    <w:rsid w:val="0092279D"/>
    <w:rsid w:val="009229FE"/>
    <w:rsid w:val="00922A9E"/>
    <w:rsid w:val="00922E5F"/>
    <w:rsid w:val="009235B3"/>
    <w:rsid w:val="00923A05"/>
    <w:rsid w:val="00923B9A"/>
    <w:rsid w:val="0092418E"/>
    <w:rsid w:val="00924464"/>
    <w:rsid w:val="00924C77"/>
    <w:rsid w:val="009252CB"/>
    <w:rsid w:val="00926059"/>
    <w:rsid w:val="009263A4"/>
    <w:rsid w:val="009302F9"/>
    <w:rsid w:val="009303B2"/>
    <w:rsid w:val="009308BB"/>
    <w:rsid w:val="00930ED7"/>
    <w:rsid w:val="00931213"/>
    <w:rsid w:val="00931660"/>
    <w:rsid w:val="00931700"/>
    <w:rsid w:val="00931928"/>
    <w:rsid w:val="00932603"/>
    <w:rsid w:val="009327A8"/>
    <w:rsid w:val="00932810"/>
    <w:rsid w:val="009328E3"/>
    <w:rsid w:val="00932DDF"/>
    <w:rsid w:val="009338FC"/>
    <w:rsid w:val="00933EEC"/>
    <w:rsid w:val="0093412E"/>
    <w:rsid w:val="00934401"/>
    <w:rsid w:val="009346DF"/>
    <w:rsid w:val="0093560D"/>
    <w:rsid w:val="009359D4"/>
    <w:rsid w:val="009360A6"/>
    <w:rsid w:val="00936208"/>
    <w:rsid w:val="009366C2"/>
    <w:rsid w:val="009367F0"/>
    <w:rsid w:val="00936D66"/>
    <w:rsid w:val="00937E81"/>
    <w:rsid w:val="009400BC"/>
    <w:rsid w:val="00940A50"/>
    <w:rsid w:val="00940E1C"/>
    <w:rsid w:val="00940E26"/>
    <w:rsid w:val="00940EF6"/>
    <w:rsid w:val="00940F48"/>
    <w:rsid w:val="00941B33"/>
    <w:rsid w:val="00941B8E"/>
    <w:rsid w:val="00941BF4"/>
    <w:rsid w:val="00941EA7"/>
    <w:rsid w:val="009422B4"/>
    <w:rsid w:val="009429B7"/>
    <w:rsid w:val="00942A48"/>
    <w:rsid w:val="00942C43"/>
    <w:rsid w:val="00942E9D"/>
    <w:rsid w:val="00943798"/>
    <w:rsid w:val="009447E6"/>
    <w:rsid w:val="00944BAA"/>
    <w:rsid w:val="00944CFB"/>
    <w:rsid w:val="00944EFF"/>
    <w:rsid w:val="00946458"/>
    <w:rsid w:val="00946E52"/>
    <w:rsid w:val="00946E8E"/>
    <w:rsid w:val="00947815"/>
    <w:rsid w:val="00950062"/>
    <w:rsid w:val="009501FF"/>
    <w:rsid w:val="009508CE"/>
    <w:rsid w:val="00950BE4"/>
    <w:rsid w:val="00951173"/>
    <w:rsid w:val="009524A1"/>
    <w:rsid w:val="00952CFC"/>
    <w:rsid w:val="00952F7A"/>
    <w:rsid w:val="00952FF9"/>
    <w:rsid w:val="009531C8"/>
    <w:rsid w:val="00953427"/>
    <w:rsid w:val="009535AE"/>
    <w:rsid w:val="00953E54"/>
    <w:rsid w:val="009543A0"/>
    <w:rsid w:val="00954974"/>
    <w:rsid w:val="00955422"/>
    <w:rsid w:val="00955819"/>
    <w:rsid w:val="00955A42"/>
    <w:rsid w:val="00955D81"/>
    <w:rsid w:val="0095602C"/>
    <w:rsid w:val="00956CAD"/>
    <w:rsid w:val="00956E5F"/>
    <w:rsid w:val="00956FE1"/>
    <w:rsid w:val="009578DE"/>
    <w:rsid w:val="00957B42"/>
    <w:rsid w:val="009607FA"/>
    <w:rsid w:val="0096088D"/>
    <w:rsid w:val="00960E4A"/>
    <w:rsid w:val="009611EF"/>
    <w:rsid w:val="00961649"/>
    <w:rsid w:val="0096230C"/>
    <w:rsid w:val="00962BF4"/>
    <w:rsid w:val="00962E05"/>
    <w:rsid w:val="00963584"/>
    <w:rsid w:val="009640ED"/>
    <w:rsid w:val="00964210"/>
    <w:rsid w:val="009644D0"/>
    <w:rsid w:val="009647D1"/>
    <w:rsid w:val="00965382"/>
    <w:rsid w:val="00965618"/>
    <w:rsid w:val="00965D77"/>
    <w:rsid w:val="00966EB5"/>
    <w:rsid w:val="00966FEC"/>
    <w:rsid w:val="009671A0"/>
    <w:rsid w:val="009674EA"/>
    <w:rsid w:val="0096794B"/>
    <w:rsid w:val="00967BB9"/>
    <w:rsid w:val="00967D75"/>
    <w:rsid w:val="009708A4"/>
    <w:rsid w:val="00971794"/>
    <w:rsid w:val="00971820"/>
    <w:rsid w:val="00971974"/>
    <w:rsid w:val="00971B6D"/>
    <w:rsid w:val="00971BDE"/>
    <w:rsid w:val="00971ED9"/>
    <w:rsid w:val="0097259A"/>
    <w:rsid w:val="009728DC"/>
    <w:rsid w:val="00972D9F"/>
    <w:rsid w:val="00972F8B"/>
    <w:rsid w:val="009731CA"/>
    <w:rsid w:val="00975AAF"/>
    <w:rsid w:val="00975CFF"/>
    <w:rsid w:val="00975E41"/>
    <w:rsid w:val="00975F23"/>
    <w:rsid w:val="00976177"/>
    <w:rsid w:val="009762B5"/>
    <w:rsid w:val="00976728"/>
    <w:rsid w:val="00976835"/>
    <w:rsid w:val="00976CF1"/>
    <w:rsid w:val="00977372"/>
    <w:rsid w:val="00977E4A"/>
    <w:rsid w:val="0098078C"/>
    <w:rsid w:val="00980B0B"/>
    <w:rsid w:val="00980E95"/>
    <w:rsid w:val="009811A6"/>
    <w:rsid w:val="00981ED3"/>
    <w:rsid w:val="0098293A"/>
    <w:rsid w:val="00982CCD"/>
    <w:rsid w:val="00982E4A"/>
    <w:rsid w:val="00983113"/>
    <w:rsid w:val="009831E9"/>
    <w:rsid w:val="00983C06"/>
    <w:rsid w:val="0098422A"/>
    <w:rsid w:val="009849C3"/>
    <w:rsid w:val="00985D24"/>
    <w:rsid w:val="00985E41"/>
    <w:rsid w:val="00985FC4"/>
    <w:rsid w:val="009861ED"/>
    <w:rsid w:val="00986FA2"/>
    <w:rsid w:val="009871BD"/>
    <w:rsid w:val="00987750"/>
    <w:rsid w:val="00987A0A"/>
    <w:rsid w:val="0099080C"/>
    <w:rsid w:val="00990AD3"/>
    <w:rsid w:val="00990C98"/>
    <w:rsid w:val="00991022"/>
    <w:rsid w:val="00991F9C"/>
    <w:rsid w:val="009920B5"/>
    <w:rsid w:val="0099283C"/>
    <w:rsid w:val="00992AFB"/>
    <w:rsid w:val="00992BA9"/>
    <w:rsid w:val="00992F07"/>
    <w:rsid w:val="009930B0"/>
    <w:rsid w:val="00993971"/>
    <w:rsid w:val="009939DF"/>
    <w:rsid w:val="0099488E"/>
    <w:rsid w:val="0099544D"/>
    <w:rsid w:val="009955E1"/>
    <w:rsid w:val="0099594D"/>
    <w:rsid w:val="00996753"/>
    <w:rsid w:val="00996829"/>
    <w:rsid w:val="00996C0A"/>
    <w:rsid w:val="00997018"/>
    <w:rsid w:val="00997734"/>
    <w:rsid w:val="00997A43"/>
    <w:rsid w:val="00997AFE"/>
    <w:rsid w:val="00997EDF"/>
    <w:rsid w:val="009A09E3"/>
    <w:rsid w:val="009A104C"/>
    <w:rsid w:val="009A1838"/>
    <w:rsid w:val="009A1E9B"/>
    <w:rsid w:val="009A244E"/>
    <w:rsid w:val="009A256D"/>
    <w:rsid w:val="009A315A"/>
    <w:rsid w:val="009A332D"/>
    <w:rsid w:val="009A376D"/>
    <w:rsid w:val="009A3E11"/>
    <w:rsid w:val="009A4417"/>
    <w:rsid w:val="009A4ACF"/>
    <w:rsid w:val="009A51CA"/>
    <w:rsid w:val="009A52A7"/>
    <w:rsid w:val="009A5529"/>
    <w:rsid w:val="009A594A"/>
    <w:rsid w:val="009A63A4"/>
    <w:rsid w:val="009A6D8E"/>
    <w:rsid w:val="009A7534"/>
    <w:rsid w:val="009A7584"/>
    <w:rsid w:val="009A79FA"/>
    <w:rsid w:val="009A7F4E"/>
    <w:rsid w:val="009B0DB2"/>
    <w:rsid w:val="009B1807"/>
    <w:rsid w:val="009B1A4E"/>
    <w:rsid w:val="009B296C"/>
    <w:rsid w:val="009B2D14"/>
    <w:rsid w:val="009B3005"/>
    <w:rsid w:val="009B33E4"/>
    <w:rsid w:val="009B3413"/>
    <w:rsid w:val="009B3C1B"/>
    <w:rsid w:val="009B438D"/>
    <w:rsid w:val="009B4E0F"/>
    <w:rsid w:val="009B546C"/>
    <w:rsid w:val="009B5491"/>
    <w:rsid w:val="009B63E5"/>
    <w:rsid w:val="009B6611"/>
    <w:rsid w:val="009B671A"/>
    <w:rsid w:val="009B6757"/>
    <w:rsid w:val="009B67BB"/>
    <w:rsid w:val="009B7104"/>
    <w:rsid w:val="009B715E"/>
    <w:rsid w:val="009B74C9"/>
    <w:rsid w:val="009B7664"/>
    <w:rsid w:val="009B76EC"/>
    <w:rsid w:val="009B7915"/>
    <w:rsid w:val="009B7A1A"/>
    <w:rsid w:val="009B7F1E"/>
    <w:rsid w:val="009C090D"/>
    <w:rsid w:val="009C0A71"/>
    <w:rsid w:val="009C1E9F"/>
    <w:rsid w:val="009C27E0"/>
    <w:rsid w:val="009C3ACA"/>
    <w:rsid w:val="009C3B16"/>
    <w:rsid w:val="009C3D10"/>
    <w:rsid w:val="009C3EFE"/>
    <w:rsid w:val="009C3F71"/>
    <w:rsid w:val="009C408C"/>
    <w:rsid w:val="009C48F6"/>
    <w:rsid w:val="009C4CB3"/>
    <w:rsid w:val="009C4F27"/>
    <w:rsid w:val="009C5076"/>
    <w:rsid w:val="009C5ABF"/>
    <w:rsid w:val="009C602C"/>
    <w:rsid w:val="009C6ABE"/>
    <w:rsid w:val="009C6CE9"/>
    <w:rsid w:val="009C7222"/>
    <w:rsid w:val="009C7950"/>
    <w:rsid w:val="009D0460"/>
    <w:rsid w:val="009D1066"/>
    <w:rsid w:val="009D10EA"/>
    <w:rsid w:val="009D1929"/>
    <w:rsid w:val="009D1EA2"/>
    <w:rsid w:val="009D1F56"/>
    <w:rsid w:val="009D2233"/>
    <w:rsid w:val="009D2356"/>
    <w:rsid w:val="009D327A"/>
    <w:rsid w:val="009D32B5"/>
    <w:rsid w:val="009D3944"/>
    <w:rsid w:val="009D3B09"/>
    <w:rsid w:val="009D3FD4"/>
    <w:rsid w:val="009D3FFD"/>
    <w:rsid w:val="009D4282"/>
    <w:rsid w:val="009D4522"/>
    <w:rsid w:val="009D4685"/>
    <w:rsid w:val="009D48C1"/>
    <w:rsid w:val="009D4EE9"/>
    <w:rsid w:val="009D6548"/>
    <w:rsid w:val="009D680D"/>
    <w:rsid w:val="009D685C"/>
    <w:rsid w:val="009D6DA8"/>
    <w:rsid w:val="009D7C9B"/>
    <w:rsid w:val="009E0007"/>
    <w:rsid w:val="009E02C5"/>
    <w:rsid w:val="009E03D0"/>
    <w:rsid w:val="009E046C"/>
    <w:rsid w:val="009E0794"/>
    <w:rsid w:val="009E0F50"/>
    <w:rsid w:val="009E0F75"/>
    <w:rsid w:val="009E147E"/>
    <w:rsid w:val="009E19A4"/>
    <w:rsid w:val="009E1F7C"/>
    <w:rsid w:val="009E1F88"/>
    <w:rsid w:val="009E2013"/>
    <w:rsid w:val="009E20B0"/>
    <w:rsid w:val="009E25F1"/>
    <w:rsid w:val="009E3048"/>
    <w:rsid w:val="009E3103"/>
    <w:rsid w:val="009E3CB0"/>
    <w:rsid w:val="009E4724"/>
    <w:rsid w:val="009E56F1"/>
    <w:rsid w:val="009E5DD0"/>
    <w:rsid w:val="009E6658"/>
    <w:rsid w:val="009E67E7"/>
    <w:rsid w:val="009E6840"/>
    <w:rsid w:val="009E6970"/>
    <w:rsid w:val="009E6D8A"/>
    <w:rsid w:val="009E73FE"/>
    <w:rsid w:val="009E74B6"/>
    <w:rsid w:val="009E74CE"/>
    <w:rsid w:val="009E77CF"/>
    <w:rsid w:val="009E7854"/>
    <w:rsid w:val="009E7A2D"/>
    <w:rsid w:val="009E7C93"/>
    <w:rsid w:val="009F002D"/>
    <w:rsid w:val="009F02A0"/>
    <w:rsid w:val="009F0CBA"/>
    <w:rsid w:val="009F0D7E"/>
    <w:rsid w:val="009F0DF5"/>
    <w:rsid w:val="009F1BC1"/>
    <w:rsid w:val="009F2995"/>
    <w:rsid w:val="009F2D7E"/>
    <w:rsid w:val="009F3500"/>
    <w:rsid w:val="009F399C"/>
    <w:rsid w:val="009F439B"/>
    <w:rsid w:val="009F43CA"/>
    <w:rsid w:val="009F457E"/>
    <w:rsid w:val="009F4769"/>
    <w:rsid w:val="009F4856"/>
    <w:rsid w:val="009F4A50"/>
    <w:rsid w:val="009F4FEF"/>
    <w:rsid w:val="009F581C"/>
    <w:rsid w:val="009F603C"/>
    <w:rsid w:val="009F6B53"/>
    <w:rsid w:val="009F6F05"/>
    <w:rsid w:val="009F7434"/>
    <w:rsid w:val="009F7832"/>
    <w:rsid w:val="009F78F1"/>
    <w:rsid w:val="00A00B42"/>
    <w:rsid w:val="00A00E6F"/>
    <w:rsid w:val="00A011C0"/>
    <w:rsid w:val="00A025A6"/>
    <w:rsid w:val="00A02DC9"/>
    <w:rsid w:val="00A033F9"/>
    <w:rsid w:val="00A041D1"/>
    <w:rsid w:val="00A04448"/>
    <w:rsid w:val="00A044FB"/>
    <w:rsid w:val="00A04682"/>
    <w:rsid w:val="00A0474C"/>
    <w:rsid w:val="00A047A1"/>
    <w:rsid w:val="00A05A8F"/>
    <w:rsid w:val="00A05BB4"/>
    <w:rsid w:val="00A05D9D"/>
    <w:rsid w:val="00A061D4"/>
    <w:rsid w:val="00A06273"/>
    <w:rsid w:val="00A073DE"/>
    <w:rsid w:val="00A07EF3"/>
    <w:rsid w:val="00A10197"/>
    <w:rsid w:val="00A10993"/>
    <w:rsid w:val="00A10B58"/>
    <w:rsid w:val="00A10B6A"/>
    <w:rsid w:val="00A10C0D"/>
    <w:rsid w:val="00A10CBD"/>
    <w:rsid w:val="00A10E63"/>
    <w:rsid w:val="00A112E1"/>
    <w:rsid w:val="00A11EE9"/>
    <w:rsid w:val="00A1215D"/>
    <w:rsid w:val="00A12566"/>
    <w:rsid w:val="00A12DEF"/>
    <w:rsid w:val="00A133E8"/>
    <w:rsid w:val="00A1366B"/>
    <w:rsid w:val="00A136B6"/>
    <w:rsid w:val="00A13B25"/>
    <w:rsid w:val="00A13C56"/>
    <w:rsid w:val="00A13D00"/>
    <w:rsid w:val="00A14328"/>
    <w:rsid w:val="00A14693"/>
    <w:rsid w:val="00A14F11"/>
    <w:rsid w:val="00A16F6E"/>
    <w:rsid w:val="00A17013"/>
    <w:rsid w:val="00A20F6B"/>
    <w:rsid w:val="00A21BE6"/>
    <w:rsid w:val="00A21FB1"/>
    <w:rsid w:val="00A221CC"/>
    <w:rsid w:val="00A221D8"/>
    <w:rsid w:val="00A22BD6"/>
    <w:rsid w:val="00A239B8"/>
    <w:rsid w:val="00A241B0"/>
    <w:rsid w:val="00A243AC"/>
    <w:rsid w:val="00A24484"/>
    <w:rsid w:val="00A24C96"/>
    <w:rsid w:val="00A259B1"/>
    <w:rsid w:val="00A25B1F"/>
    <w:rsid w:val="00A25E1D"/>
    <w:rsid w:val="00A2646F"/>
    <w:rsid w:val="00A26CAB"/>
    <w:rsid w:val="00A26FA2"/>
    <w:rsid w:val="00A27026"/>
    <w:rsid w:val="00A271C9"/>
    <w:rsid w:val="00A272BB"/>
    <w:rsid w:val="00A27771"/>
    <w:rsid w:val="00A30304"/>
    <w:rsid w:val="00A30AA9"/>
    <w:rsid w:val="00A30BB5"/>
    <w:rsid w:val="00A30D07"/>
    <w:rsid w:val="00A30D71"/>
    <w:rsid w:val="00A314D4"/>
    <w:rsid w:val="00A31537"/>
    <w:rsid w:val="00A31841"/>
    <w:rsid w:val="00A32B25"/>
    <w:rsid w:val="00A330A0"/>
    <w:rsid w:val="00A331D4"/>
    <w:rsid w:val="00A33791"/>
    <w:rsid w:val="00A33A3E"/>
    <w:rsid w:val="00A3478B"/>
    <w:rsid w:val="00A34BEE"/>
    <w:rsid w:val="00A358D9"/>
    <w:rsid w:val="00A360AF"/>
    <w:rsid w:val="00A363B6"/>
    <w:rsid w:val="00A3752E"/>
    <w:rsid w:val="00A376D9"/>
    <w:rsid w:val="00A37825"/>
    <w:rsid w:val="00A3792C"/>
    <w:rsid w:val="00A37C1D"/>
    <w:rsid w:val="00A4049C"/>
    <w:rsid w:val="00A405A2"/>
    <w:rsid w:val="00A406DB"/>
    <w:rsid w:val="00A40DE0"/>
    <w:rsid w:val="00A41123"/>
    <w:rsid w:val="00A4133B"/>
    <w:rsid w:val="00A41BF5"/>
    <w:rsid w:val="00A4305E"/>
    <w:rsid w:val="00A43620"/>
    <w:rsid w:val="00A43884"/>
    <w:rsid w:val="00A43AA5"/>
    <w:rsid w:val="00A43EED"/>
    <w:rsid w:val="00A441AA"/>
    <w:rsid w:val="00A446B7"/>
    <w:rsid w:val="00A446D3"/>
    <w:rsid w:val="00A44FF0"/>
    <w:rsid w:val="00A4544B"/>
    <w:rsid w:val="00A45714"/>
    <w:rsid w:val="00A45D62"/>
    <w:rsid w:val="00A46028"/>
    <w:rsid w:val="00A469D5"/>
    <w:rsid w:val="00A46A8E"/>
    <w:rsid w:val="00A46C55"/>
    <w:rsid w:val="00A46CBC"/>
    <w:rsid w:val="00A46D9F"/>
    <w:rsid w:val="00A46EFF"/>
    <w:rsid w:val="00A477EA"/>
    <w:rsid w:val="00A479C3"/>
    <w:rsid w:val="00A47A4C"/>
    <w:rsid w:val="00A47F1B"/>
    <w:rsid w:val="00A47F35"/>
    <w:rsid w:val="00A502AA"/>
    <w:rsid w:val="00A50FDD"/>
    <w:rsid w:val="00A51348"/>
    <w:rsid w:val="00A51360"/>
    <w:rsid w:val="00A51821"/>
    <w:rsid w:val="00A51C08"/>
    <w:rsid w:val="00A5219E"/>
    <w:rsid w:val="00A52DD3"/>
    <w:rsid w:val="00A53122"/>
    <w:rsid w:val="00A53AE1"/>
    <w:rsid w:val="00A53B00"/>
    <w:rsid w:val="00A53CC6"/>
    <w:rsid w:val="00A54031"/>
    <w:rsid w:val="00A554A1"/>
    <w:rsid w:val="00A557DE"/>
    <w:rsid w:val="00A55FF3"/>
    <w:rsid w:val="00A56016"/>
    <w:rsid w:val="00A56452"/>
    <w:rsid w:val="00A566B2"/>
    <w:rsid w:val="00A56AAD"/>
    <w:rsid w:val="00A5724A"/>
    <w:rsid w:val="00A607D0"/>
    <w:rsid w:val="00A60C4B"/>
    <w:rsid w:val="00A61203"/>
    <w:rsid w:val="00A61B7C"/>
    <w:rsid w:val="00A61D1E"/>
    <w:rsid w:val="00A61DEC"/>
    <w:rsid w:val="00A625F7"/>
    <w:rsid w:val="00A626A8"/>
    <w:rsid w:val="00A62947"/>
    <w:rsid w:val="00A63072"/>
    <w:rsid w:val="00A630AF"/>
    <w:rsid w:val="00A6373E"/>
    <w:rsid w:val="00A63851"/>
    <w:rsid w:val="00A63AF2"/>
    <w:rsid w:val="00A65226"/>
    <w:rsid w:val="00A652E3"/>
    <w:rsid w:val="00A65871"/>
    <w:rsid w:val="00A671C1"/>
    <w:rsid w:val="00A67915"/>
    <w:rsid w:val="00A70083"/>
    <w:rsid w:val="00A702FD"/>
    <w:rsid w:val="00A707FF"/>
    <w:rsid w:val="00A70B72"/>
    <w:rsid w:val="00A720A0"/>
    <w:rsid w:val="00A72918"/>
    <w:rsid w:val="00A72B06"/>
    <w:rsid w:val="00A72D14"/>
    <w:rsid w:val="00A73637"/>
    <w:rsid w:val="00A748C4"/>
    <w:rsid w:val="00A75123"/>
    <w:rsid w:val="00A75325"/>
    <w:rsid w:val="00A75612"/>
    <w:rsid w:val="00A75756"/>
    <w:rsid w:val="00A75A3D"/>
    <w:rsid w:val="00A75F46"/>
    <w:rsid w:val="00A764A2"/>
    <w:rsid w:val="00A7656E"/>
    <w:rsid w:val="00A76AF6"/>
    <w:rsid w:val="00A76B0B"/>
    <w:rsid w:val="00A76DDB"/>
    <w:rsid w:val="00A7727B"/>
    <w:rsid w:val="00A778EA"/>
    <w:rsid w:val="00A80A8F"/>
    <w:rsid w:val="00A817DF"/>
    <w:rsid w:val="00A81B76"/>
    <w:rsid w:val="00A8231E"/>
    <w:rsid w:val="00A82F58"/>
    <w:rsid w:val="00A8332D"/>
    <w:rsid w:val="00A836A4"/>
    <w:rsid w:val="00A83A12"/>
    <w:rsid w:val="00A83D92"/>
    <w:rsid w:val="00A83DE7"/>
    <w:rsid w:val="00A83FB8"/>
    <w:rsid w:val="00A84DEF"/>
    <w:rsid w:val="00A855B7"/>
    <w:rsid w:val="00A85604"/>
    <w:rsid w:val="00A85738"/>
    <w:rsid w:val="00A85BFE"/>
    <w:rsid w:val="00A85FE7"/>
    <w:rsid w:val="00A8600A"/>
    <w:rsid w:val="00A865A2"/>
    <w:rsid w:val="00A86EEB"/>
    <w:rsid w:val="00A8744B"/>
    <w:rsid w:val="00A87D7E"/>
    <w:rsid w:val="00A87DD7"/>
    <w:rsid w:val="00A902BA"/>
    <w:rsid w:val="00A91261"/>
    <w:rsid w:val="00A915A4"/>
    <w:rsid w:val="00A9228B"/>
    <w:rsid w:val="00A9307C"/>
    <w:rsid w:val="00A933F5"/>
    <w:rsid w:val="00A93B78"/>
    <w:rsid w:val="00A93F83"/>
    <w:rsid w:val="00A94502"/>
    <w:rsid w:val="00A94950"/>
    <w:rsid w:val="00A94A54"/>
    <w:rsid w:val="00A95107"/>
    <w:rsid w:val="00A955EC"/>
    <w:rsid w:val="00A9616C"/>
    <w:rsid w:val="00A966F8"/>
    <w:rsid w:val="00A96928"/>
    <w:rsid w:val="00A96A44"/>
    <w:rsid w:val="00A96B38"/>
    <w:rsid w:val="00A97F21"/>
    <w:rsid w:val="00AA0153"/>
    <w:rsid w:val="00AA0791"/>
    <w:rsid w:val="00AA10CA"/>
    <w:rsid w:val="00AA1D6A"/>
    <w:rsid w:val="00AA1F9B"/>
    <w:rsid w:val="00AA2AF4"/>
    <w:rsid w:val="00AA2D77"/>
    <w:rsid w:val="00AA2DED"/>
    <w:rsid w:val="00AA32EB"/>
    <w:rsid w:val="00AA3C02"/>
    <w:rsid w:val="00AA3D1D"/>
    <w:rsid w:val="00AA431A"/>
    <w:rsid w:val="00AA4880"/>
    <w:rsid w:val="00AA4CAD"/>
    <w:rsid w:val="00AA4F2F"/>
    <w:rsid w:val="00AA5042"/>
    <w:rsid w:val="00AA598B"/>
    <w:rsid w:val="00AA5AC0"/>
    <w:rsid w:val="00AA5D9E"/>
    <w:rsid w:val="00AA630F"/>
    <w:rsid w:val="00AA651A"/>
    <w:rsid w:val="00AA67D9"/>
    <w:rsid w:val="00AA6932"/>
    <w:rsid w:val="00AA6A2A"/>
    <w:rsid w:val="00AA6EF2"/>
    <w:rsid w:val="00AA72B1"/>
    <w:rsid w:val="00AA7E1C"/>
    <w:rsid w:val="00AA7E42"/>
    <w:rsid w:val="00AB0CB3"/>
    <w:rsid w:val="00AB1793"/>
    <w:rsid w:val="00AB1A71"/>
    <w:rsid w:val="00AB1C02"/>
    <w:rsid w:val="00AB1DCD"/>
    <w:rsid w:val="00AB274C"/>
    <w:rsid w:val="00AB2D97"/>
    <w:rsid w:val="00AB2DF6"/>
    <w:rsid w:val="00AB301E"/>
    <w:rsid w:val="00AB3341"/>
    <w:rsid w:val="00AB33F3"/>
    <w:rsid w:val="00AB3424"/>
    <w:rsid w:val="00AB3F2A"/>
    <w:rsid w:val="00AB40E0"/>
    <w:rsid w:val="00AB4A3E"/>
    <w:rsid w:val="00AB4DAA"/>
    <w:rsid w:val="00AB4EB7"/>
    <w:rsid w:val="00AB525E"/>
    <w:rsid w:val="00AB55BF"/>
    <w:rsid w:val="00AB56A7"/>
    <w:rsid w:val="00AB6CCB"/>
    <w:rsid w:val="00AB70A6"/>
    <w:rsid w:val="00AB7580"/>
    <w:rsid w:val="00AB7E28"/>
    <w:rsid w:val="00AC0294"/>
    <w:rsid w:val="00AC0E29"/>
    <w:rsid w:val="00AC0EEB"/>
    <w:rsid w:val="00AC1470"/>
    <w:rsid w:val="00AC1684"/>
    <w:rsid w:val="00AC1B1F"/>
    <w:rsid w:val="00AC2A7C"/>
    <w:rsid w:val="00AC2B6E"/>
    <w:rsid w:val="00AC2E8A"/>
    <w:rsid w:val="00AC47DE"/>
    <w:rsid w:val="00AC4D09"/>
    <w:rsid w:val="00AC5609"/>
    <w:rsid w:val="00AC63A7"/>
    <w:rsid w:val="00AC667B"/>
    <w:rsid w:val="00AC6E0C"/>
    <w:rsid w:val="00AC6E73"/>
    <w:rsid w:val="00AC76E5"/>
    <w:rsid w:val="00AC7A6E"/>
    <w:rsid w:val="00AC7E08"/>
    <w:rsid w:val="00AC7F7A"/>
    <w:rsid w:val="00AD00DA"/>
    <w:rsid w:val="00AD0AD8"/>
    <w:rsid w:val="00AD0B0A"/>
    <w:rsid w:val="00AD0B8F"/>
    <w:rsid w:val="00AD0BB1"/>
    <w:rsid w:val="00AD0C9F"/>
    <w:rsid w:val="00AD0E14"/>
    <w:rsid w:val="00AD1A7E"/>
    <w:rsid w:val="00AD2101"/>
    <w:rsid w:val="00AD2169"/>
    <w:rsid w:val="00AD23D7"/>
    <w:rsid w:val="00AD2525"/>
    <w:rsid w:val="00AD2649"/>
    <w:rsid w:val="00AD28EA"/>
    <w:rsid w:val="00AD2FA6"/>
    <w:rsid w:val="00AD3056"/>
    <w:rsid w:val="00AD3AF1"/>
    <w:rsid w:val="00AD3BF7"/>
    <w:rsid w:val="00AD3E28"/>
    <w:rsid w:val="00AD3FD0"/>
    <w:rsid w:val="00AD438D"/>
    <w:rsid w:val="00AD450F"/>
    <w:rsid w:val="00AD4637"/>
    <w:rsid w:val="00AD4D00"/>
    <w:rsid w:val="00AD4DE8"/>
    <w:rsid w:val="00AD5964"/>
    <w:rsid w:val="00AD5A86"/>
    <w:rsid w:val="00AD5AA1"/>
    <w:rsid w:val="00AD5FCB"/>
    <w:rsid w:val="00AD6064"/>
    <w:rsid w:val="00AD611C"/>
    <w:rsid w:val="00AD6393"/>
    <w:rsid w:val="00AD7440"/>
    <w:rsid w:val="00AD74AC"/>
    <w:rsid w:val="00AD7805"/>
    <w:rsid w:val="00AD7A2F"/>
    <w:rsid w:val="00AE00B8"/>
    <w:rsid w:val="00AE0444"/>
    <w:rsid w:val="00AE111C"/>
    <w:rsid w:val="00AE13E4"/>
    <w:rsid w:val="00AE14D2"/>
    <w:rsid w:val="00AE18E4"/>
    <w:rsid w:val="00AE1AF7"/>
    <w:rsid w:val="00AE2131"/>
    <w:rsid w:val="00AE23CD"/>
    <w:rsid w:val="00AE2408"/>
    <w:rsid w:val="00AE257D"/>
    <w:rsid w:val="00AE2672"/>
    <w:rsid w:val="00AE26E4"/>
    <w:rsid w:val="00AE3401"/>
    <w:rsid w:val="00AE3BBB"/>
    <w:rsid w:val="00AE42EB"/>
    <w:rsid w:val="00AE44A3"/>
    <w:rsid w:val="00AE53A7"/>
    <w:rsid w:val="00AE53DA"/>
    <w:rsid w:val="00AE56D4"/>
    <w:rsid w:val="00AE60A7"/>
    <w:rsid w:val="00AE6C8E"/>
    <w:rsid w:val="00AE6D5C"/>
    <w:rsid w:val="00AE7710"/>
    <w:rsid w:val="00AE7AE4"/>
    <w:rsid w:val="00AE7E9D"/>
    <w:rsid w:val="00AF0436"/>
    <w:rsid w:val="00AF0CB7"/>
    <w:rsid w:val="00AF113C"/>
    <w:rsid w:val="00AF180D"/>
    <w:rsid w:val="00AF206C"/>
    <w:rsid w:val="00AF23C4"/>
    <w:rsid w:val="00AF2591"/>
    <w:rsid w:val="00AF2B23"/>
    <w:rsid w:val="00AF2B5F"/>
    <w:rsid w:val="00AF36F2"/>
    <w:rsid w:val="00AF3C9F"/>
    <w:rsid w:val="00AF3CDA"/>
    <w:rsid w:val="00AF3E2D"/>
    <w:rsid w:val="00AF451F"/>
    <w:rsid w:val="00AF4820"/>
    <w:rsid w:val="00AF4894"/>
    <w:rsid w:val="00AF4FF2"/>
    <w:rsid w:val="00AF547E"/>
    <w:rsid w:val="00AF6254"/>
    <w:rsid w:val="00AF65A7"/>
    <w:rsid w:val="00AF71A9"/>
    <w:rsid w:val="00AF7CED"/>
    <w:rsid w:val="00B001F5"/>
    <w:rsid w:val="00B00590"/>
    <w:rsid w:val="00B011C0"/>
    <w:rsid w:val="00B014F9"/>
    <w:rsid w:val="00B01C65"/>
    <w:rsid w:val="00B02482"/>
    <w:rsid w:val="00B027BB"/>
    <w:rsid w:val="00B031A2"/>
    <w:rsid w:val="00B033F4"/>
    <w:rsid w:val="00B03634"/>
    <w:rsid w:val="00B04054"/>
    <w:rsid w:val="00B0428C"/>
    <w:rsid w:val="00B05DEA"/>
    <w:rsid w:val="00B05FD2"/>
    <w:rsid w:val="00B06EDF"/>
    <w:rsid w:val="00B072D0"/>
    <w:rsid w:val="00B0777B"/>
    <w:rsid w:val="00B10E99"/>
    <w:rsid w:val="00B10F54"/>
    <w:rsid w:val="00B11ABF"/>
    <w:rsid w:val="00B11D3F"/>
    <w:rsid w:val="00B123CF"/>
    <w:rsid w:val="00B12B4A"/>
    <w:rsid w:val="00B12E06"/>
    <w:rsid w:val="00B133DF"/>
    <w:rsid w:val="00B13841"/>
    <w:rsid w:val="00B1394E"/>
    <w:rsid w:val="00B1430D"/>
    <w:rsid w:val="00B14876"/>
    <w:rsid w:val="00B14DB9"/>
    <w:rsid w:val="00B14FF1"/>
    <w:rsid w:val="00B156ED"/>
    <w:rsid w:val="00B15CCD"/>
    <w:rsid w:val="00B15F08"/>
    <w:rsid w:val="00B15FC3"/>
    <w:rsid w:val="00B16291"/>
    <w:rsid w:val="00B16B3B"/>
    <w:rsid w:val="00B16B58"/>
    <w:rsid w:val="00B16D17"/>
    <w:rsid w:val="00B16D1C"/>
    <w:rsid w:val="00B17073"/>
    <w:rsid w:val="00B17108"/>
    <w:rsid w:val="00B174BE"/>
    <w:rsid w:val="00B204B6"/>
    <w:rsid w:val="00B2074C"/>
    <w:rsid w:val="00B20866"/>
    <w:rsid w:val="00B21226"/>
    <w:rsid w:val="00B223D5"/>
    <w:rsid w:val="00B227C8"/>
    <w:rsid w:val="00B22C82"/>
    <w:rsid w:val="00B22FB4"/>
    <w:rsid w:val="00B233A9"/>
    <w:rsid w:val="00B23FFA"/>
    <w:rsid w:val="00B242C7"/>
    <w:rsid w:val="00B24B7E"/>
    <w:rsid w:val="00B24E1C"/>
    <w:rsid w:val="00B24EFA"/>
    <w:rsid w:val="00B24F7E"/>
    <w:rsid w:val="00B25139"/>
    <w:rsid w:val="00B25528"/>
    <w:rsid w:val="00B25CD6"/>
    <w:rsid w:val="00B25EEC"/>
    <w:rsid w:val="00B2697F"/>
    <w:rsid w:val="00B26F95"/>
    <w:rsid w:val="00B2701B"/>
    <w:rsid w:val="00B271BD"/>
    <w:rsid w:val="00B274F1"/>
    <w:rsid w:val="00B27654"/>
    <w:rsid w:val="00B27BA8"/>
    <w:rsid w:val="00B27C8C"/>
    <w:rsid w:val="00B27D3D"/>
    <w:rsid w:val="00B30245"/>
    <w:rsid w:val="00B305FD"/>
    <w:rsid w:val="00B3125B"/>
    <w:rsid w:val="00B313C3"/>
    <w:rsid w:val="00B3159C"/>
    <w:rsid w:val="00B31C35"/>
    <w:rsid w:val="00B31DE3"/>
    <w:rsid w:val="00B320C9"/>
    <w:rsid w:val="00B321A3"/>
    <w:rsid w:val="00B323BB"/>
    <w:rsid w:val="00B327C3"/>
    <w:rsid w:val="00B33C65"/>
    <w:rsid w:val="00B341E7"/>
    <w:rsid w:val="00B34C22"/>
    <w:rsid w:val="00B34DF7"/>
    <w:rsid w:val="00B34EB6"/>
    <w:rsid w:val="00B3570A"/>
    <w:rsid w:val="00B37130"/>
    <w:rsid w:val="00B3728B"/>
    <w:rsid w:val="00B3749D"/>
    <w:rsid w:val="00B37DE7"/>
    <w:rsid w:val="00B37EF0"/>
    <w:rsid w:val="00B37F51"/>
    <w:rsid w:val="00B40A04"/>
    <w:rsid w:val="00B40D91"/>
    <w:rsid w:val="00B4103A"/>
    <w:rsid w:val="00B41330"/>
    <w:rsid w:val="00B4194D"/>
    <w:rsid w:val="00B42021"/>
    <w:rsid w:val="00B424FD"/>
    <w:rsid w:val="00B4262C"/>
    <w:rsid w:val="00B42757"/>
    <w:rsid w:val="00B42816"/>
    <w:rsid w:val="00B42C64"/>
    <w:rsid w:val="00B43621"/>
    <w:rsid w:val="00B439F9"/>
    <w:rsid w:val="00B43F58"/>
    <w:rsid w:val="00B43FA8"/>
    <w:rsid w:val="00B44115"/>
    <w:rsid w:val="00B44132"/>
    <w:rsid w:val="00B44B5B"/>
    <w:rsid w:val="00B44C32"/>
    <w:rsid w:val="00B45C50"/>
    <w:rsid w:val="00B45F60"/>
    <w:rsid w:val="00B46220"/>
    <w:rsid w:val="00B467AE"/>
    <w:rsid w:val="00B46A8A"/>
    <w:rsid w:val="00B46AF0"/>
    <w:rsid w:val="00B46CA1"/>
    <w:rsid w:val="00B47321"/>
    <w:rsid w:val="00B47DBF"/>
    <w:rsid w:val="00B50B91"/>
    <w:rsid w:val="00B50C4E"/>
    <w:rsid w:val="00B50CF4"/>
    <w:rsid w:val="00B50F37"/>
    <w:rsid w:val="00B5118E"/>
    <w:rsid w:val="00B513FF"/>
    <w:rsid w:val="00B51440"/>
    <w:rsid w:val="00B5184D"/>
    <w:rsid w:val="00B51A3B"/>
    <w:rsid w:val="00B5228A"/>
    <w:rsid w:val="00B527E0"/>
    <w:rsid w:val="00B5297E"/>
    <w:rsid w:val="00B52DB2"/>
    <w:rsid w:val="00B534BA"/>
    <w:rsid w:val="00B5388C"/>
    <w:rsid w:val="00B53BD4"/>
    <w:rsid w:val="00B53D65"/>
    <w:rsid w:val="00B544D2"/>
    <w:rsid w:val="00B5472B"/>
    <w:rsid w:val="00B54A21"/>
    <w:rsid w:val="00B54C07"/>
    <w:rsid w:val="00B54C41"/>
    <w:rsid w:val="00B54D18"/>
    <w:rsid w:val="00B54EC8"/>
    <w:rsid w:val="00B54F3C"/>
    <w:rsid w:val="00B554C9"/>
    <w:rsid w:val="00B55782"/>
    <w:rsid w:val="00B55F79"/>
    <w:rsid w:val="00B561CC"/>
    <w:rsid w:val="00B56384"/>
    <w:rsid w:val="00B565C1"/>
    <w:rsid w:val="00B56879"/>
    <w:rsid w:val="00B5730B"/>
    <w:rsid w:val="00B57EDD"/>
    <w:rsid w:val="00B60050"/>
    <w:rsid w:val="00B6075B"/>
    <w:rsid w:val="00B608ED"/>
    <w:rsid w:val="00B60E40"/>
    <w:rsid w:val="00B6261E"/>
    <w:rsid w:val="00B62A9B"/>
    <w:rsid w:val="00B62FF9"/>
    <w:rsid w:val="00B63FC4"/>
    <w:rsid w:val="00B6445D"/>
    <w:rsid w:val="00B6486C"/>
    <w:rsid w:val="00B64B0E"/>
    <w:rsid w:val="00B64EAD"/>
    <w:rsid w:val="00B652DC"/>
    <w:rsid w:val="00B65395"/>
    <w:rsid w:val="00B65D60"/>
    <w:rsid w:val="00B666C3"/>
    <w:rsid w:val="00B66762"/>
    <w:rsid w:val="00B6684A"/>
    <w:rsid w:val="00B66DC4"/>
    <w:rsid w:val="00B672CB"/>
    <w:rsid w:val="00B67656"/>
    <w:rsid w:val="00B67A5D"/>
    <w:rsid w:val="00B70266"/>
    <w:rsid w:val="00B70C61"/>
    <w:rsid w:val="00B71400"/>
    <w:rsid w:val="00B71719"/>
    <w:rsid w:val="00B71E54"/>
    <w:rsid w:val="00B71EB3"/>
    <w:rsid w:val="00B71FE1"/>
    <w:rsid w:val="00B728A9"/>
    <w:rsid w:val="00B72AAF"/>
    <w:rsid w:val="00B72D37"/>
    <w:rsid w:val="00B73114"/>
    <w:rsid w:val="00B73198"/>
    <w:rsid w:val="00B7330C"/>
    <w:rsid w:val="00B73BAB"/>
    <w:rsid w:val="00B73DCA"/>
    <w:rsid w:val="00B73E32"/>
    <w:rsid w:val="00B7408F"/>
    <w:rsid w:val="00B7537E"/>
    <w:rsid w:val="00B76BD7"/>
    <w:rsid w:val="00B76EBD"/>
    <w:rsid w:val="00B801C1"/>
    <w:rsid w:val="00B80250"/>
    <w:rsid w:val="00B8047A"/>
    <w:rsid w:val="00B8056B"/>
    <w:rsid w:val="00B81571"/>
    <w:rsid w:val="00B81DE8"/>
    <w:rsid w:val="00B81E02"/>
    <w:rsid w:val="00B82259"/>
    <w:rsid w:val="00B8243F"/>
    <w:rsid w:val="00B82D32"/>
    <w:rsid w:val="00B8321C"/>
    <w:rsid w:val="00B8340F"/>
    <w:rsid w:val="00B83EC1"/>
    <w:rsid w:val="00B843F0"/>
    <w:rsid w:val="00B84894"/>
    <w:rsid w:val="00B849D3"/>
    <w:rsid w:val="00B84A46"/>
    <w:rsid w:val="00B85298"/>
    <w:rsid w:val="00B86834"/>
    <w:rsid w:val="00B86BE8"/>
    <w:rsid w:val="00B87329"/>
    <w:rsid w:val="00B87DF6"/>
    <w:rsid w:val="00B915AB"/>
    <w:rsid w:val="00B91BDF"/>
    <w:rsid w:val="00B91E8D"/>
    <w:rsid w:val="00B9233B"/>
    <w:rsid w:val="00B92584"/>
    <w:rsid w:val="00B92B86"/>
    <w:rsid w:val="00B9365C"/>
    <w:rsid w:val="00B93AA6"/>
    <w:rsid w:val="00B93B05"/>
    <w:rsid w:val="00B93C98"/>
    <w:rsid w:val="00B94499"/>
    <w:rsid w:val="00B94AD2"/>
    <w:rsid w:val="00B94D47"/>
    <w:rsid w:val="00B9520C"/>
    <w:rsid w:val="00B952B4"/>
    <w:rsid w:val="00B95B0E"/>
    <w:rsid w:val="00B96355"/>
    <w:rsid w:val="00B96A71"/>
    <w:rsid w:val="00B96D27"/>
    <w:rsid w:val="00B96F63"/>
    <w:rsid w:val="00B976D2"/>
    <w:rsid w:val="00B9770C"/>
    <w:rsid w:val="00BA0C62"/>
    <w:rsid w:val="00BA14D9"/>
    <w:rsid w:val="00BA1ED8"/>
    <w:rsid w:val="00BA2510"/>
    <w:rsid w:val="00BA2515"/>
    <w:rsid w:val="00BA25FD"/>
    <w:rsid w:val="00BA3534"/>
    <w:rsid w:val="00BA37BA"/>
    <w:rsid w:val="00BA3EE0"/>
    <w:rsid w:val="00BA3F50"/>
    <w:rsid w:val="00BA4540"/>
    <w:rsid w:val="00BA45CA"/>
    <w:rsid w:val="00BA4F6C"/>
    <w:rsid w:val="00BA56C7"/>
    <w:rsid w:val="00BA5BF4"/>
    <w:rsid w:val="00BA5F22"/>
    <w:rsid w:val="00BA6161"/>
    <w:rsid w:val="00BA6455"/>
    <w:rsid w:val="00BA6B0A"/>
    <w:rsid w:val="00BA6CAA"/>
    <w:rsid w:val="00BA706A"/>
    <w:rsid w:val="00BA72C6"/>
    <w:rsid w:val="00BA7470"/>
    <w:rsid w:val="00BA7995"/>
    <w:rsid w:val="00BA7D2D"/>
    <w:rsid w:val="00BB0219"/>
    <w:rsid w:val="00BB0DD3"/>
    <w:rsid w:val="00BB0F3F"/>
    <w:rsid w:val="00BB1162"/>
    <w:rsid w:val="00BB175C"/>
    <w:rsid w:val="00BB2104"/>
    <w:rsid w:val="00BB2247"/>
    <w:rsid w:val="00BB22A1"/>
    <w:rsid w:val="00BB25E4"/>
    <w:rsid w:val="00BB26CC"/>
    <w:rsid w:val="00BB2BEA"/>
    <w:rsid w:val="00BB420C"/>
    <w:rsid w:val="00BB4B3F"/>
    <w:rsid w:val="00BB5746"/>
    <w:rsid w:val="00BB5C17"/>
    <w:rsid w:val="00BB5F80"/>
    <w:rsid w:val="00BB68D9"/>
    <w:rsid w:val="00BB6C05"/>
    <w:rsid w:val="00BB7318"/>
    <w:rsid w:val="00BB7425"/>
    <w:rsid w:val="00BB7B6D"/>
    <w:rsid w:val="00BC011D"/>
    <w:rsid w:val="00BC035C"/>
    <w:rsid w:val="00BC042A"/>
    <w:rsid w:val="00BC0648"/>
    <w:rsid w:val="00BC0F30"/>
    <w:rsid w:val="00BC191E"/>
    <w:rsid w:val="00BC1D15"/>
    <w:rsid w:val="00BC25DC"/>
    <w:rsid w:val="00BC27D7"/>
    <w:rsid w:val="00BC2887"/>
    <w:rsid w:val="00BC3358"/>
    <w:rsid w:val="00BC45BD"/>
    <w:rsid w:val="00BC4D4E"/>
    <w:rsid w:val="00BC4EE7"/>
    <w:rsid w:val="00BC5A14"/>
    <w:rsid w:val="00BC5DEB"/>
    <w:rsid w:val="00BC64AE"/>
    <w:rsid w:val="00BC6761"/>
    <w:rsid w:val="00BC7801"/>
    <w:rsid w:val="00BC7C18"/>
    <w:rsid w:val="00BC7D08"/>
    <w:rsid w:val="00BD0554"/>
    <w:rsid w:val="00BD07E6"/>
    <w:rsid w:val="00BD07F0"/>
    <w:rsid w:val="00BD10BD"/>
    <w:rsid w:val="00BD122F"/>
    <w:rsid w:val="00BD124D"/>
    <w:rsid w:val="00BD2C4C"/>
    <w:rsid w:val="00BD2CEC"/>
    <w:rsid w:val="00BD358A"/>
    <w:rsid w:val="00BD3DD0"/>
    <w:rsid w:val="00BD3FC0"/>
    <w:rsid w:val="00BD4364"/>
    <w:rsid w:val="00BD4937"/>
    <w:rsid w:val="00BD4C8F"/>
    <w:rsid w:val="00BD4E95"/>
    <w:rsid w:val="00BD5423"/>
    <w:rsid w:val="00BD5501"/>
    <w:rsid w:val="00BD5B75"/>
    <w:rsid w:val="00BD6928"/>
    <w:rsid w:val="00BD7668"/>
    <w:rsid w:val="00BD795F"/>
    <w:rsid w:val="00BD7E04"/>
    <w:rsid w:val="00BE0406"/>
    <w:rsid w:val="00BE0ACA"/>
    <w:rsid w:val="00BE0C9A"/>
    <w:rsid w:val="00BE0D6C"/>
    <w:rsid w:val="00BE0EF7"/>
    <w:rsid w:val="00BE181E"/>
    <w:rsid w:val="00BE22AC"/>
    <w:rsid w:val="00BE22CC"/>
    <w:rsid w:val="00BE2854"/>
    <w:rsid w:val="00BE2D38"/>
    <w:rsid w:val="00BE2E0C"/>
    <w:rsid w:val="00BE3082"/>
    <w:rsid w:val="00BE33CB"/>
    <w:rsid w:val="00BE381F"/>
    <w:rsid w:val="00BE3B11"/>
    <w:rsid w:val="00BE3E31"/>
    <w:rsid w:val="00BE4CD8"/>
    <w:rsid w:val="00BE4D4D"/>
    <w:rsid w:val="00BE4FD3"/>
    <w:rsid w:val="00BE59A3"/>
    <w:rsid w:val="00BE6007"/>
    <w:rsid w:val="00BE66BF"/>
    <w:rsid w:val="00BE69BA"/>
    <w:rsid w:val="00BE6BFE"/>
    <w:rsid w:val="00BE78E2"/>
    <w:rsid w:val="00BE7FB9"/>
    <w:rsid w:val="00BF0BD0"/>
    <w:rsid w:val="00BF0F38"/>
    <w:rsid w:val="00BF1653"/>
    <w:rsid w:val="00BF2028"/>
    <w:rsid w:val="00BF2414"/>
    <w:rsid w:val="00BF293C"/>
    <w:rsid w:val="00BF31B2"/>
    <w:rsid w:val="00BF351D"/>
    <w:rsid w:val="00BF3A75"/>
    <w:rsid w:val="00BF40E4"/>
    <w:rsid w:val="00BF4266"/>
    <w:rsid w:val="00BF454A"/>
    <w:rsid w:val="00BF4954"/>
    <w:rsid w:val="00BF4D6C"/>
    <w:rsid w:val="00BF5891"/>
    <w:rsid w:val="00BF5AF8"/>
    <w:rsid w:val="00BF5FCC"/>
    <w:rsid w:val="00BF6C15"/>
    <w:rsid w:val="00BF7019"/>
    <w:rsid w:val="00BF70DA"/>
    <w:rsid w:val="00BF7BBB"/>
    <w:rsid w:val="00BF7C2E"/>
    <w:rsid w:val="00BF7E20"/>
    <w:rsid w:val="00BF7F55"/>
    <w:rsid w:val="00C00EBD"/>
    <w:rsid w:val="00C01157"/>
    <w:rsid w:val="00C0239C"/>
    <w:rsid w:val="00C02C50"/>
    <w:rsid w:val="00C02C83"/>
    <w:rsid w:val="00C03516"/>
    <w:rsid w:val="00C0381B"/>
    <w:rsid w:val="00C03B39"/>
    <w:rsid w:val="00C03FC5"/>
    <w:rsid w:val="00C04E05"/>
    <w:rsid w:val="00C05432"/>
    <w:rsid w:val="00C0584E"/>
    <w:rsid w:val="00C05C09"/>
    <w:rsid w:val="00C05CA7"/>
    <w:rsid w:val="00C0604E"/>
    <w:rsid w:val="00C06175"/>
    <w:rsid w:val="00C0693A"/>
    <w:rsid w:val="00C06BBB"/>
    <w:rsid w:val="00C07C56"/>
    <w:rsid w:val="00C100B4"/>
    <w:rsid w:val="00C10DA8"/>
    <w:rsid w:val="00C10F6D"/>
    <w:rsid w:val="00C11159"/>
    <w:rsid w:val="00C112A7"/>
    <w:rsid w:val="00C1246F"/>
    <w:rsid w:val="00C126B4"/>
    <w:rsid w:val="00C128B5"/>
    <w:rsid w:val="00C13178"/>
    <w:rsid w:val="00C13197"/>
    <w:rsid w:val="00C134E3"/>
    <w:rsid w:val="00C13722"/>
    <w:rsid w:val="00C145E8"/>
    <w:rsid w:val="00C14779"/>
    <w:rsid w:val="00C14C10"/>
    <w:rsid w:val="00C15055"/>
    <w:rsid w:val="00C15084"/>
    <w:rsid w:val="00C15277"/>
    <w:rsid w:val="00C15B6D"/>
    <w:rsid w:val="00C160F9"/>
    <w:rsid w:val="00C16830"/>
    <w:rsid w:val="00C16943"/>
    <w:rsid w:val="00C17AA8"/>
    <w:rsid w:val="00C17BEB"/>
    <w:rsid w:val="00C20104"/>
    <w:rsid w:val="00C20425"/>
    <w:rsid w:val="00C20B36"/>
    <w:rsid w:val="00C20CB2"/>
    <w:rsid w:val="00C217D1"/>
    <w:rsid w:val="00C217EB"/>
    <w:rsid w:val="00C21D00"/>
    <w:rsid w:val="00C21D23"/>
    <w:rsid w:val="00C21D92"/>
    <w:rsid w:val="00C2210F"/>
    <w:rsid w:val="00C227FC"/>
    <w:rsid w:val="00C22CE2"/>
    <w:rsid w:val="00C2349B"/>
    <w:rsid w:val="00C234FF"/>
    <w:rsid w:val="00C236F4"/>
    <w:rsid w:val="00C23A4A"/>
    <w:rsid w:val="00C2482C"/>
    <w:rsid w:val="00C255DF"/>
    <w:rsid w:val="00C25655"/>
    <w:rsid w:val="00C256A5"/>
    <w:rsid w:val="00C257A3"/>
    <w:rsid w:val="00C25A6C"/>
    <w:rsid w:val="00C26FC3"/>
    <w:rsid w:val="00C27108"/>
    <w:rsid w:val="00C271AC"/>
    <w:rsid w:val="00C27352"/>
    <w:rsid w:val="00C27361"/>
    <w:rsid w:val="00C27776"/>
    <w:rsid w:val="00C277ED"/>
    <w:rsid w:val="00C27949"/>
    <w:rsid w:val="00C279FD"/>
    <w:rsid w:val="00C27ACF"/>
    <w:rsid w:val="00C27F12"/>
    <w:rsid w:val="00C301D3"/>
    <w:rsid w:val="00C302BF"/>
    <w:rsid w:val="00C303F1"/>
    <w:rsid w:val="00C312E7"/>
    <w:rsid w:val="00C315A0"/>
    <w:rsid w:val="00C318F6"/>
    <w:rsid w:val="00C31B6D"/>
    <w:rsid w:val="00C31DD0"/>
    <w:rsid w:val="00C31FB8"/>
    <w:rsid w:val="00C32EA3"/>
    <w:rsid w:val="00C331BD"/>
    <w:rsid w:val="00C339E2"/>
    <w:rsid w:val="00C34409"/>
    <w:rsid w:val="00C34F2B"/>
    <w:rsid w:val="00C3522E"/>
    <w:rsid w:val="00C35A40"/>
    <w:rsid w:val="00C36571"/>
    <w:rsid w:val="00C366C4"/>
    <w:rsid w:val="00C366EF"/>
    <w:rsid w:val="00C36827"/>
    <w:rsid w:val="00C36DEF"/>
    <w:rsid w:val="00C37650"/>
    <w:rsid w:val="00C37C18"/>
    <w:rsid w:val="00C37DD5"/>
    <w:rsid w:val="00C37EDD"/>
    <w:rsid w:val="00C40735"/>
    <w:rsid w:val="00C40D66"/>
    <w:rsid w:val="00C40E9D"/>
    <w:rsid w:val="00C410A9"/>
    <w:rsid w:val="00C41185"/>
    <w:rsid w:val="00C412EF"/>
    <w:rsid w:val="00C4132C"/>
    <w:rsid w:val="00C416D4"/>
    <w:rsid w:val="00C4198B"/>
    <w:rsid w:val="00C41A06"/>
    <w:rsid w:val="00C41EDE"/>
    <w:rsid w:val="00C42E92"/>
    <w:rsid w:val="00C431CC"/>
    <w:rsid w:val="00C43833"/>
    <w:rsid w:val="00C43C04"/>
    <w:rsid w:val="00C44902"/>
    <w:rsid w:val="00C453E0"/>
    <w:rsid w:val="00C45464"/>
    <w:rsid w:val="00C45615"/>
    <w:rsid w:val="00C4684C"/>
    <w:rsid w:val="00C46CE8"/>
    <w:rsid w:val="00C475B8"/>
    <w:rsid w:val="00C476AA"/>
    <w:rsid w:val="00C47D84"/>
    <w:rsid w:val="00C500F8"/>
    <w:rsid w:val="00C50370"/>
    <w:rsid w:val="00C50B1C"/>
    <w:rsid w:val="00C51C03"/>
    <w:rsid w:val="00C52524"/>
    <w:rsid w:val="00C5285F"/>
    <w:rsid w:val="00C52BDA"/>
    <w:rsid w:val="00C52D89"/>
    <w:rsid w:val="00C5356B"/>
    <w:rsid w:val="00C54781"/>
    <w:rsid w:val="00C5487B"/>
    <w:rsid w:val="00C54B9C"/>
    <w:rsid w:val="00C55448"/>
    <w:rsid w:val="00C55A98"/>
    <w:rsid w:val="00C55E1F"/>
    <w:rsid w:val="00C55EBA"/>
    <w:rsid w:val="00C5670D"/>
    <w:rsid w:val="00C56868"/>
    <w:rsid w:val="00C56F38"/>
    <w:rsid w:val="00C57DB2"/>
    <w:rsid w:val="00C57FEE"/>
    <w:rsid w:val="00C60046"/>
    <w:rsid w:val="00C60B3F"/>
    <w:rsid w:val="00C61764"/>
    <w:rsid w:val="00C62314"/>
    <w:rsid w:val="00C62CA4"/>
    <w:rsid w:val="00C62F8D"/>
    <w:rsid w:val="00C6308A"/>
    <w:rsid w:val="00C633DF"/>
    <w:rsid w:val="00C63669"/>
    <w:rsid w:val="00C639C2"/>
    <w:rsid w:val="00C6442F"/>
    <w:rsid w:val="00C659C1"/>
    <w:rsid w:val="00C65B90"/>
    <w:rsid w:val="00C66291"/>
    <w:rsid w:val="00C662BA"/>
    <w:rsid w:val="00C6649D"/>
    <w:rsid w:val="00C665C5"/>
    <w:rsid w:val="00C6691B"/>
    <w:rsid w:val="00C66BFF"/>
    <w:rsid w:val="00C673C3"/>
    <w:rsid w:val="00C6762C"/>
    <w:rsid w:val="00C70A38"/>
    <w:rsid w:val="00C71202"/>
    <w:rsid w:val="00C71900"/>
    <w:rsid w:val="00C71B9E"/>
    <w:rsid w:val="00C721BC"/>
    <w:rsid w:val="00C72BF6"/>
    <w:rsid w:val="00C72F42"/>
    <w:rsid w:val="00C731B4"/>
    <w:rsid w:val="00C73C1C"/>
    <w:rsid w:val="00C7402A"/>
    <w:rsid w:val="00C74179"/>
    <w:rsid w:val="00C74654"/>
    <w:rsid w:val="00C746EF"/>
    <w:rsid w:val="00C74788"/>
    <w:rsid w:val="00C74A95"/>
    <w:rsid w:val="00C75769"/>
    <w:rsid w:val="00C75B16"/>
    <w:rsid w:val="00C76160"/>
    <w:rsid w:val="00C76A3C"/>
    <w:rsid w:val="00C76ABF"/>
    <w:rsid w:val="00C76D65"/>
    <w:rsid w:val="00C771DE"/>
    <w:rsid w:val="00C7768A"/>
    <w:rsid w:val="00C77F19"/>
    <w:rsid w:val="00C807F1"/>
    <w:rsid w:val="00C8095B"/>
    <w:rsid w:val="00C80A9E"/>
    <w:rsid w:val="00C80E19"/>
    <w:rsid w:val="00C81C0E"/>
    <w:rsid w:val="00C82A17"/>
    <w:rsid w:val="00C83439"/>
    <w:rsid w:val="00C83573"/>
    <w:rsid w:val="00C835AA"/>
    <w:rsid w:val="00C8396B"/>
    <w:rsid w:val="00C84590"/>
    <w:rsid w:val="00C8478D"/>
    <w:rsid w:val="00C84A91"/>
    <w:rsid w:val="00C85CA5"/>
    <w:rsid w:val="00C85EF0"/>
    <w:rsid w:val="00C86CA5"/>
    <w:rsid w:val="00C86FDB"/>
    <w:rsid w:val="00C876F5"/>
    <w:rsid w:val="00C90DAA"/>
    <w:rsid w:val="00C92517"/>
    <w:rsid w:val="00C92967"/>
    <w:rsid w:val="00C92D6C"/>
    <w:rsid w:val="00C92E4F"/>
    <w:rsid w:val="00C932BC"/>
    <w:rsid w:val="00C93684"/>
    <w:rsid w:val="00C93791"/>
    <w:rsid w:val="00C93F7A"/>
    <w:rsid w:val="00C9411C"/>
    <w:rsid w:val="00C94417"/>
    <w:rsid w:val="00C9466F"/>
    <w:rsid w:val="00C951E1"/>
    <w:rsid w:val="00C95716"/>
    <w:rsid w:val="00C95C88"/>
    <w:rsid w:val="00C95E73"/>
    <w:rsid w:val="00C96195"/>
    <w:rsid w:val="00C96231"/>
    <w:rsid w:val="00C96933"/>
    <w:rsid w:val="00C96AFD"/>
    <w:rsid w:val="00C970B9"/>
    <w:rsid w:val="00C979EF"/>
    <w:rsid w:val="00C97A9A"/>
    <w:rsid w:val="00CA029D"/>
    <w:rsid w:val="00CA0453"/>
    <w:rsid w:val="00CA099E"/>
    <w:rsid w:val="00CA1135"/>
    <w:rsid w:val="00CA16C7"/>
    <w:rsid w:val="00CA18E4"/>
    <w:rsid w:val="00CA247D"/>
    <w:rsid w:val="00CA2855"/>
    <w:rsid w:val="00CA2B66"/>
    <w:rsid w:val="00CA2CD4"/>
    <w:rsid w:val="00CA4237"/>
    <w:rsid w:val="00CA4370"/>
    <w:rsid w:val="00CA4796"/>
    <w:rsid w:val="00CA4CDC"/>
    <w:rsid w:val="00CA507F"/>
    <w:rsid w:val="00CA51DB"/>
    <w:rsid w:val="00CA56DE"/>
    <w:rsid w:val="00CA5795"/>
    <w:rsid w:val="00CA59F7"/>
    <w:rsid w:val="00CA65D0"/>
    <w:rsid w:val="00CA6ABF"/>
    <w:rsid w:val="00CA789C"/>
    <w:rsid w:val="00CA7C65"/>
    <w:rsid w:val="00CB074F"/>
    <w:rsid w:val="00CB0B6D"/>
    <w:rsid w:val="00CB0BC9"/>
    <w:rsid w:val="00CB0F8A"/>
    <w:rsid w:val="00CB0FB9"/>
    <w:rsid w:val="00CB13E3"/>
    <w:rsid w:val="00CB1670"/>
    <w:rsid w:val="00CB176D"/>
    <w:rsid w:val="00CB200A"/>
    <w:rsid w:val="00CB28A7"/>
    <w:rsid w:val="00CB309C"/>
    <w:rsid w:val="00CB3165"/>
    <w:rsid w:val="00CB37D3"/>
    <w:rsid w:val="00CB4652"/>
    <w:rsid w:val="00CB474D"/>
    <w:rsid w:val="00CB4F77"/>
    <w:rsid w:val="00CB524D"/>
    <w:rsid w:val="00CB556E"/>
    <w:rsid w:val="00CB5737"/>
    <w:rsid w:val="00CB5800"/>
    <w:rsid w:val="00CB5ACF"/>
    <w:rsid w:val="00CB5BE9"/>
    <w:rsid w:val="00CB5E91"/>
    <w:rsid w:val="00CB5F58"/>
    <w:rsid w:val="00CB6924"/>
    <w:rsid w:val="00CB6B11"/>
    <w:rsid w:val="00CB6C88"/>
    <w:rsid w:val="00CB74B9"/>
    <w:rsid w:val="00CB74D6"/>
    <w:rsid w:val="00CB7880"/>
    <w:rsid w:val="00CB7881"/>
    <w:rsid w:val="00CB78FF"/>
    <w:rsid w:val="00CB7AF9"/>
    <w:rsid w:val="00CB7B9E"/>
    <w:rsid w:val="00CC0111"/>
    <w:rsid w:val="00CC13CA"/>
    <w:rsid w:val="00CC165E"/>
    <w:rsid w:val="00CC23D5"/>
    <w:rsid w:val="00CC2AEF"/>
    <w:rsid w:val="00CC3518"/>
    <w:rsid w:val="00CC363F"/>
    <w:rsid w:val="00CC3B25"/>
    <w:rsid w:val="00CC3EA2"/>
    <w:rsid w:val="00CC4155"/>
    <w:rsid w:val="00CC4326"/>
    <w:rsid w:val="00CC4486"/>
    <w:rsid w:val="00CC4700"/>
    <w:rsid w:val="00CC47DD"/>
    <w:rsid w:val="00CC4B42"/>
    <w:rsid w:val="00CC4D97"/>
    <w:rsid w:val="00CC55CD"/>
    <w:rsid w:val="00CC5632"/>
    <w:rsid w:val="00CC653B"/>
    <w:rsid w:val="00CC7209"/>
    <w:rsid w:val="00CC7664"/>
    <w:rsid w:val="00CC77F4"/>
    <w:rsid w:val="00CC7F64"/>
    <w:rsid w:val="00CD0608"/>
    <w:rsid w:val="00CD061D"/>
    <w:rsid w:val="00CD0622"/>
    <w:rsid w:val="00CD070D"/>
    <w:rsid w:val="00CD0F24"/>
    <w:rsid w:val="00CD10FD"/>
    <w:rsid w:val="00CD17E5"/>
    <w:rsid w:val="00CD21D1"/>
    <w:rsid w:val="00CD2A71"/>
    <w:rsid w:val="00CD3950"/>
    <w:rsid w:val="00CD46E7"/>
    <w:rsid w:val="00CD4785"/>
    <w:rsid w:val="00CD4BF3"/>
    <w:rsid w:val="00CD4D1C"/>
    <w:rsid w:val="00CD56FC"/>
    <w:rsid w:val="00CD5ACE"/>
    <w:rsid w:val="00CD5E26"/>
    <w:rsid w:val="00CD5EB8"/>
    <w:rsid w:val="00CD6DC7"/>
    <w:rsid w:val="00CD7B92"/>
    <w:rsid w:val="00CD7CBE"/>
    <w:rsid w:val="00CE036C"/>
    <w:rsid w:val="00CE04AC"/>
    <w:rsid w:val="00CE07EF"/>
    <w:rsid w:val="00CE15DC"/>
    <w:rsid w:val="00CE16AF"/>
    <w:rsid w:val="00CE19A8"/>
    <w:rsid w:val="00CE23AC"/>
    <w:rsid w:val="00CE3321"/>
    <w:rsid w:val="00CE4887"/>
    <w:rsid w:val="00CE4D43"/>
    <w:rsid w:val="00CE4DE4"/>
    <w:rsid w:val="00CE4DEC"/>
    <w:rsid w:val="00CE59BB"/>
    <w:rsid w:val="00CE5A28"/>
    <w:rsid w:val="00CE5C0C"/>
    <w:rsid w:val="00CE5C8A"/>
    <w:rsid w:val="00CE64F4"/>
    <w:rsid w:val="00CE6926"/>
    <w:rsid w:val="00CE6962"/>
    <w:rsid w:val="00CE6FC3"/>
    <w:rsid w:val="00CE73EC"/>
    <w:rsid w:val="00CE75CA"/>
    <w:rsid w:val="00CE7F8B"/>
    <w:rsid w:val="00CF0602"/>
    <w:rsid w:val="00CF079F"/>
    <w:rsid w:val="00CF0D32"/>
    <w:rsid w:val="00CF10C4"/>
    <w:rsid w:val="00CF11B4"/>
    <w:rsid w:val="00CF169F"/>
    <w:rsid w:val="00CF1BED"/>
    <w:rsid w:val="00CF1BFD"/>
    <w:rsid w:val="00CF1FC1"/>
    <w:rsid w:val="00CF29AB"/>
    <w:rsid w:val="00CF2E40"/>
    <w:rsid w:val="00CF3601"/>
    <w:rsid w:val="00CF3B4D"/>
    <w:rsid w:val="00CF44C5"/>
    <w:rsid w:val="00CF474E"/>
    <w:rsid w:val="00CF4933"/>
    <w:rsid w:val="00CF4DDD"/>
    <w:rsid w:val="00CF4EC3"/>
    <w:rsid w:val="00CF4FC5"/>
    <w:rsid w:val="00CF5E23"/>
    <w:rsid w:val="00CF632A"/>
    <w:rsid w:val="00CF6981"/>
    <w:rsid w:val="00CF6D1F"/>
    <w:rsid w:val="00CF6E60"/>
    <w:rsid w:val="00CF6E74"/>
    <w:rsid w:val="00CF70C4"/>
    <w:rsid w:val="00CF7580"/>
    <w:rsid w:val="00CF7867"/>
    <w:rsid w:val="00CF7972"/>
    <w:rsid w:val="00CF79DB"/>
    <w:rsid w:val="00D00093"/>
    <w:rsid w:val="00D001C2"/>
    <w:rsid w:val="00D0038F"/>
    <w:rsid w:val="00D01B89"/>
    <w:rsid w:val="00D01C5E"/>
    <w:rsid w:val="00D021F4"/>
    <w:rsid w:val="00D02305"/>
    <w:rsid w:val="00D02CEF"/>
    <w:rsid w:val="00D03017"/>
    <w:rsid w:val="00D03466"/>
    <w:rsid w:val="00D03517"/>
    <w:rsid w:val="00D03852"/>
    <w:rsid w:val="00D03969"/>
    <w:rsid w:val="00D03B0B"/>
    <w:rsid w:val="00D0441C"/>
    <w:rsid w:val="00D04455"/>
    <w:rsid w:val="00D04629"/>
    <w:rsid w:val="00D04C56"/>
    <w:rsid w:val="00D05768"/>
    <w:rsid w:val="00D05A47"/>
    <w:rsid w:val="00D05CF3"/>
    <w:rsid w:val="00D06EA2"/>
    <w:rsid w:val="00D076E2"/>
    <w:rsid w:val="00D07B54"/>
    <w:rsid w:val="00D07BCD"/>
    <w:rsid w:val="00D100A2"/>
    <w:rsid w:val="00D1022C"/>
    <w:rsid w:val="00D107E9"/>
    <w:rsid w:val="00D116C6"/>
    <w:rsid w:val="00D11BF0"/>
    <w:rsid w:val="00D12051"/>
    <w:rsid w:val="00D12496"/>
    <w:rsid w:val="00D12AF1"/>
    <w:rsid w:val="00D12EFA"/>
    <w:rsid w:val="00D13FE8"/>
    <w:rsid w:val="00D146C0"/>
    <w:rsid w:val="00D14BA9"/>
    <w:rsid w:val="00D152F8"/>
    <w:rsid w:val="00D15669"/>
    <w:rsid w:val="00D15A02"/>
    <w:rsid w:val="00D15D4F"/>
    <w:rsid w:val="00D164CF"/>
    <w:rsid w:val="00D16624"/>
    <w:rsid w:val="00D16AAF"/>
    <w:rsid w:val="00D179F4"/>
    <w:rsid w:val="00D17AC1"/>
    <w:rsid w:val="00D2009A"/>
    <w:rsid w:val="00D208F8"/>
    <w:rsid w:val="00D20B5B"/>
    <w:rsid w:val="00D20E95"/>
    <w:rsid w:val="00D20F66"/>
    <w:rsid w:val="00D223D9"/>
    <w:rsid w:val="00D224F5"/>
    <w:rsid w:val="00D224FB"/>
    <w:rsid w:val="00D2258C"/>
    <w:rsid w:val="00D232D1"/>
    <w:rsid w:val="00D23310"/>
    <w:rsid w:val="00D23822"/>
    <w:rsid w:val="00D238F7"/>
    <w:rsid w:val="00D2416C"/>
    <w:rsid w:val="00D245A4"/>
    <w:rsid w:val="00D2562C"/>
    <w:rsid w:val="00D25A4E"/>
    <w:rsid w:val="00D25B4B"/>
    <w:rsid w:val="00D25B87"/>
    <w:rsid w:val="00D271D0"/>
    <w:rsid w:val="00D2750D"/>
    <w:rsid w:val="00D279B3"/>
    <w:rsid w:val="00D30197"/>
    <w:rsid w:val="00D3120E"/>
    <w:rsid w:val="00D31618"/>
    <w:rsid w:val="00D319E3"/>
    <w:rsid w:val="00D327EB"/>
    <w:rsid w:val="00D33197"/>
    <w:rsid w:val="00D33B03"/>
    <w:rsid w:val="00D340F0"/>
    <w:rsid w:val="00D34211"/>
    <w:rsid w:val="00D346C9"/>
    <w:rsid w:val="00D34DBB"/>
    <w:rsid w:val="00D35D76"/>
    <w:rsid w:val="00D3606B"/>
    <w:rsid w:val="00D36744"/>
    <w:rsid w:val="00D36CAC"/>
    <w:rsid w:val="00D36E75"/>
    <w:rsid w:val="00D370F8"/>
    <w:rsid w:val="00D37A4D"/>
    <w:rsid w:val="00D37A5F"/>
    <w:rsid w:val="00D37E2B"/>
    <w:rsid w:val="00D40045"/>
    <w:rsid w:val="00D401FC"/>
    <w:rsid w:val="00D40427"/>
    <w:rsid w:val="00D40477"/>
    <w:rsid w:val="00D41067"/>
    <w:rsid w:val="00D41FAA"/>
    <w:rsid w:val="00D42869"/>
    <w:rsid w:val="00D428BF"/>
    <w:rsid w:val="00D429AB"/>
    <w:rsid w:val="00D42B49"/>
    <w:rsid w:val="00D43F96"/>
    <w:rsid w:val="00D4434B"/>
    <w:rsid w:val="00D444BD"/>
    <w:rsid w:val="00D44638"/>
    <w:rsid w:val="00D44AB8"/>
    <w:rsid w:val="00D4565C"/>
    <w:rsid w:val="00D45CE4"/>
    <w:rsid w:val="00D460B4"/>
    <w:rsid w:val="00D465A3"/>
    <w:rsid w:val="00D4661E"/>
    <w:rsid w:val="00D46686"/>
    <w:rsid w:val="00D4743F"/>
    <w:rsid w:val="00D509B7"/>
    <w:rsid w:val="00D51C50"/>
    <w:rsid w:val="00D53091"/>
    <w:rsid w:val="00D530F6"/>
    <w:rsid w:val="00D533D8"/>
    <w:rsid w:val="00D53FE0"/>
    <w:rsid w:val="00D5403E"/>
    <w:rsid w:val="00D54146"/>
    <w:rsid w:val="00D54362"/>
    <w:rsid w:val="00D54F3E"/>
    <w:rsid w:val="00D55222"/>
    <w:rsid w:val="00D554F6"/>
    <w:rsid w:val="00D555AD"/>
    <w:rsid w:val="00D55C14"/>
    <w:rsid w:val="00D5605D"/>
    <w:rsid w:val="00D56B03"/>
    <w:rsid w:val="00D5727E"/>
    <w:rsid w:val="00D577DA"/>
    <w:rsid w:val="00D5781A"/>
    <w:rsid w:val="00D57878"/>
    <w:rsid w:val="00D57E84"/>
    <w:rsid w:val="00D60603"/>
    <w:rsid w:val="00D6125B"/>
    <w:rsid w:val="00D613A7"/>
    <w:rsid w:val="00D6188D"/>
    <w:rsid w:val="00D61A45"/>
    <w:rsid w:val="00D62620"/>
    <w:rsid w:val="00D626C5"/>
    <w:rsid w:val="00D627C1"/>
    <w:rsid w:val="00D63182"/>
    <w:rsid w:val="00D636EE"/>
    <w:rsid w:val="00D637CA"/>
    <w:rsid w:val="00D63A91"/>
    <w:rsid w:val="00D63AF2"/>
    <w:rsid w:val="00D63DE8"/>
    <w:rsid w:val="00D63E6C"/>
    <w:rsid w:val="00D641E2"/>
    <w:rsid w:val="00D64215"/>
    <w:rsid w:val="00D6424D"/>
    <w:rsid w:val="00D64875"/>
    <w:rsid w:val="00D64958"/>
    <w:rsid w:val="00D649E9"/>
    <w:rsid w:val="00D64FBD"/>
    <w:rsid w:val="00D65895"/>
    <w:rsid w:val="00D65C82"/>
    <w:rsid w:val="00D65C86"/>
    <w:rsid w:val="00D66D70"/>
    <w:rsid w:val="00D670F3"/>
    <w:rsid w:val="00D70B6B"/>
    <w:rsid w:val="00D7162E"/>
    <w:rsid w:val="00D719A2"/>
    <w:rsid w:val="00D71D8A"/>
    <w:rsid w:val="00D72111"/>
    <w:rsid w:val="00D73733"/>
    <w:rsid w:val="00D73BA7"/>
    <w:rsid w:val="00D7456F"/>
    <w:rsid w:val="00D74D51"/>
    <w:rsid w:val="00D7565B"/>
    <w:rsid w:val="00D75F2D"/>
    <w:rsid w:val="00D773CB"/>
    <w:rsid w:val="00D77F3E"/>
    <w:rsid w:val="00D80858"/>
    <w:rsid w:val="00D81BE1"/>
    <w:rsid w:val="00D834F5"/>
    <w:rsid w:val="00D83D13"/>
    <w:rsid w:val="00D84232"/>
    <w:rsid w:val="00D846E1"/>
    <w:rsid w:val="00D848DD"/>
    <w:rsid w:val="00D84AE2"/>
    <w:rsid w:val="00D85532"/>
    <w:rsid w:val="00D85663"/>
    <w:rsid w:val="00D858CB"/>
    <w:rsid w:val="00D85C99"/>
    <w:rsid w:val="00D85EAD"/>
    <w:rsid w:val="00D8630E"/>
    <w:rsid w:val="00D866A3"/>
    <w:rsid w:val="00D8699D"/>
    <w:rsid w:val="00D86D11"/>
    <w:rsid w:val="00D8716B"/>
    <w:rsid w:val="00D8753D"/>
    <w:rsid w:val="00D875A3"/>
    <w:rsid w:val="00D90A23"/>
    <w:rsid w:val="00D90DA8"/>
    <w:rsid w:val="00D91510"/>
    <w:rsid w:val="00D92088"/>
    <w:rsid w:val="00D925C3"/>
    <w:rsid w:val="00D92607"/>
    <w:rsid w:val="00D9305A"/>
    <w:rsid w:val="00D930C2"/>
    <w:rsid w:val="00D93496"/>
    <w:rsid w:val="00D937B4"/>
    <w:rsid w:val="00D93AA9"/>
    <w:rsid w:val="00D941D6"/>
    <w:rsid w:val="00D9435A"/>
    <w:rsid w:val="00D94990"/>
    <w:rsid w:val="00D95200"/>
    <w:rsid w:val="00D95806"/>
    <w:rsid w:val="00D95958"/>
    <w:rsid w:val="00D959A0"/>
    <w:rsid w:val="00D95F6A"/>
    <w:rsid w:val="00D96147"/>
    <w:rsid w:val="00D96199"/>
    <w:rsid w:val="00D969B1"/>
    <w:rsid w:val="00D96F97"/>
    <w:rsid w:val="00D96FCC"/>
    <w:rsid w:val="00D970D6"/>
    <w:rsid w:val="00D976B6"/>
    <w:rsid w:val="00D97D10"/>
    <w:rsid w:val="00DA06D9"/>
    <w:rsid w:val="00DA0994"/>
    <w:rsid w:val="00DA0F5A"/>
    <w:rsid w:val="00DA1072"/>
    <w:rsid w:val="00DA18E3"/>
    <w:rsid w:val="00DA2351"/>
    <w:rsid w:val="00DA2725"/>
    <w:rsid w:val="00DA2751"/>
    <w:rsid w:val="00DA2787"/>
    <w:rsid w:val="00DA2E8F"/>
    <w:rsid w:val="00DA319B"/>
    <w:rsid w:val="00DA360D"/>
    <w:rsid w:val="00DA3706"/>
    <w:rsid w:val="00DA427E"/>
    <w:rsid w:val="00DA4FFE"/>
    <w:rsid w:val="00DA512B"/>
    <w:rsid w:val="00DA521A"/>
    <w:rsid w:val="00DA52F1"/>
    <w:rsid w:val="00DA543B"/>
    <w:rsid w:val="00DA57EB"/>
    <w:rsid w:val="00DA58E5"/>
    <w:rsid w:val="00DA6F30"/>
    <w:rsid w:val="00DA7553"/>
    <w:rsid w:val="00DB0D8A"/>
    <w:rsid w:val="00DB0FFF"/>
    <w:rsid w:val="00DB1297"/>
    <w:rsid w:val="00DB1983"/>
    <w:rsid w:val="00DB198F"/>
    <w:rsid w:val="00DB1AF0"/>
    <w:rsid w:val="00DB2291"/>
    <w:rsid w:val="00DB2464"/>
    <w:rsid w:val="00DB2B86"/>
    <w:rsid w:val="00DB2EE0"/>
    <w:rsid w:val="00DB3008"/>
    <w:rsid w:val="00DB3098"/>
    <w:rsid w:val="00DB38FC"/>
    <w:rsid w:val="00DB3B29"/>
    <w:rsid w:val="00DB3DD2"/>
    <w:rsid w:val="00DB51FD"/>
    <w:rsid w:val="00DB5719"/>
    <w:rsid w:val="00DB62C0"/>
    <w:rsid w:val="00DB689B"/>
    <w:rsid w:val="00DB68FA"/>
    <w:rsid w:val="00DB6DAA"/>
    <w:rsid w:val="00DB791A"/>
    <w:rsid w:val="00DB79FF"/>
    <w:rsid w:val="00DB7A43"/>
    <w:rsid w:val="00DB7EDE"/>
    <w:rsid w:val="00DC0016"/>
    <w:rsid w:val="00DC0159"/>
    <w:rsid w:val="00DC06A8"/>
    <w:rsid w:val="00DC0721"/>
    <w:rsid w:val="00DC0F68"/>
    <w:rsid w:val="00DC30D8"/>
    <w:rsid w:val="00DC333C"/>
    <w:rsid w:val="00DC35EA"/>
    <w:rsid w:val="00DC3D01"/>
    <w:rsid w:val="00DC3DE5"/>
    <w:rsid w:val="00DC4D3B"/>
    <w:rsid w:val="00DC54E6"/>
    <w:rsid w:val="00DC5DE3"/>
    <w:rsid w:val="00DC6427"/>
    <w:rsid w:val="00DC6619"/>
    <w:rsid w:val="00DC7556"/>
    <w:rsid w:val="00DD0151"/>
    <w:rsid w:val="00DD131E"/>
    <w:rsid w:val="00DD188B"/>
    <w:rsid w:val="00DD1950"/>
    <w:rsid w:val="00DD2003"/>
    <w:rsid w:val="00DD21C7"/>
    <w:rsid w:val="00DD25B7"/>
    <w:rsid w:val="00DD25FC"/>
    <w:rsid w:val="00DD2BF2"/>
    <w:rsid w:val="00DD2FCF"/>
    <w:rsid w:val="00DD3451"/>
    <w:rsid w:val="00DD3877"/>
    <w:rsid w:val="00DD43FA"/>
    <w:rsid w:val="00DD44E8"/>
    <w:rsid w:val="00DD4508"/>
    <w:rsid w:val="00DD479D"/>
    <w:rsid w:val="00DD4976"/>
    <w:rsid w:val="00DD4C26"/>
    <w:rsid w:val="00DD58D8"/>
    <w:rsid w:val="00DD6A64"/>
    <w:rsid w:val="00DD6EEB"/>
    <w:rsid w:val="00DD79E8"/>
    <w:rsid w:val="00DD7A59"/>
    <w:rsid w:val="00DE00FC"/>
    <w:rsid w:val="00DE05F0"/>
    <w:rsid w:val="00DE07D1"/>
    <w:rsid w:val="00DE08A6"/>
    <w:rsid w:val="00DE098B"/>
    <w:rsid w:val="00DE2114"/>
    <w:rsid w:val="00DE3D24"/>
    <w:rsid w:val="00DE40B1"/>
    <w:rsid w:val="00DE411E"/>
    <w:rsid w:val="00DE45D8"/>
    <w:rsid w:val="00DE47C5"/>
    <w:rsid w:val="00DE4A07"/>
    <w:rsid w:val="00DE4C7E"/>
    <w:rsid w:val="00DE58F1"/>
    <w:rsid w:val="00DE5C9B"/>
    <w:rsid w:val="00DE6F12"/>
    <w:rsid w:val="00DE7145"/>
    <w:rsid w:val="00DE74EE"/>
    <w:rsid w:val="00DE7742"/>
    <w:rsid w:val="00DF0551"/>
    <w:rsid w:val="00DF0677"/>
    <w:rsid w:val="00DF0CD2"/>
    <w:rsid w:val="00DF1129"/>
    <w:rsid w:val="00DF1157"/>
    <w:rsid w:val="00DF1A0E"/>
    <w:rsid w:val="00DF1BD0"/>
    <w:rsid w:val="00DF1F6D"/>
    <w:rsid w:val="00DF27F3"/>
    <w:rsid w:val="00DF28FF"/>
    <w:rsid w:val="00DF329E"/>
    <w:rsid w:val="00DF3A80"/>
    <w:rsid w:val="00DF3BE9"/>
    <w:rsid w:val="00DF3E15"/>
    <w:rsid w:val="00DF4251"/>
    <w:rsid w:val="00DF4D6F"/>
    <w:rsid w:val="00DF58F2"/>
    <w:rsid w:val="00DF5AE0"/>
    <w:rsid w:val="00DF5BB6"/>
    <w:rsid w:val="00DF5E36"/>
    <w:rsid w:val="00DF6727"/>
    <w:rsid w:val="00DF697A"/>
    <w:rsid w:val="00DF6B7B"/>
    <w:rsid w:val="00DF6DE2"/>
    <w:rsid w:val="00DF71BE"/>
    <w:rsid w:val="00DF7A9D"/>
    <w:rsid w:val="00DF7AC5"/>
    <w:rsid w:val="00DF7B9B"/>
    <w:rsid w:val="00DF7C4A"/>
    <w:rsid w:val="00DF7FC0"/>
    <w:rsid w:val="00E009B4"/>
    <w:rsid w:val="00E01181"/>
    <w:rsid w:val="00E014D9"/>
    <w:rsid w:val="00E0164B"/>
    <w:rsid w:val="00E01C20"/>
    <w:rsid w:val="00E01E96"/>
    <w:rsid w:val="00E021B8"/>
    <w:rsid w:val="00E02BFE"/>
    <w:rsid w:val="00E02F00"/>
    <w:rsid w:val="00E03433"/>
    <w:rsid w:val="00E040F4"/>
    <w:rsid w:val="00E04E1E"/>
    <w:rsid w:val="00E04E23"/>
    <w:rsid w:val="00E052E6"/>
    <w:rsid w:val="00E10947"/>
    <w:rsid w:val="00E10C27"/>
    <w:rsid w:val="00E1103A"/>
    <w:rsid w:val="00E11549"/>
    <w:rsid w:val="00E11BD3"/>
    <w:rsid w:val="00E11D85"/>
    <w:rsid w:val="00E120A8"/>
    <w:rsid w:val="00E120F4"/>
    <w:rsid w:val="00E12CC5"/>
    <w:rsid w:val="00E12ED1"/>
    <w:rsid w:val="00E1354F"/>
    <w:rsid w:val="00E13688"/>
    <w:rsid w:val="00E138EC"/>
    <w:rsid w:val="00E13AE5"/>
    <w:rsid w:val="00E13F44"/>
    <w:rsid w:val="00E14EB6"/>
    <w:rsid w:val="00E154E5"/>
    <w:rsid w:val="00E1561C"/>
    <w:rsid w:val="00E15778"/>
    <w:rsid w:val="00E158C0"/>
    <w:rsid w:val="00E158E4"/>
    <w:rsid w:val="00E15F08"/>
    <w:rsid w:val="00E15F48"/>
    <w:rsid w:val="00E165F0"/>
    <w:rsid w:val="00E16D22"/>
    <w:rsid w:val="00E16F16"/>
    <w:rsid w:val="00E174D0"/>
    <w:rsid w:val="00E207B1"/>
    <w:rsid w:val="00E2103C"/>
    <w:rsid w:val="00E21A01"/>
    <w:rsid w:val="00E21D49"/>
    <w:rsid w:val="00E2235B"/>
    <w:rsid w:val="00E22448"/>
    <w:rsid w:val="00E229FB"/>
    <w:rsid w:val="00E23438"/>
    <w:rsid w:val="00E235D3"/>
    <w:rsid w:val="00E23A07"/>
    <w:rsid w:val="00E24079"/>
    <w:rsid w:val="00E24359"/>
    <w:rsid w:val="00E24477"/>
    <w:rsid w:val="00E25019"/>
    <w:rsid w:val="00E25F00"/>
    <w:rsid w:val="00E2604C"/>
    <w:rsid w:val="00E26937"/>
    <w:rsid w:val="00E26ADE"/>
    <w:rsid w:val="00E26D5C"/>
    <w:rsid w:val="00E270CB"/>
    <w:rsid w:val="00E2722A"/>
    <w:rsid w:val="00E2763B"/>
    <w:rsid w:val="00E3169B"/>
    <w:rsid w:val="00E321E3"/>
    <w:rsid w:val="00E324A8"/>
    <w:rsid w:val="00E32DB5"/>
    <w:rsid w:val="00E33175"/>
    <w:rsid w:val="00E336AA"/>
    <w:rsid w:val="00E33825"/>
    <w:rsid w:val="00E33872"/>
    <w:rsid w:val="00E33961"/>
    <w:rsid w:val="00E34145"/>
    <w:rsid w:val="00E3654B"/>
    <w:rsid w:val="00E36EB2"/>
    <w:rsid w:val="00E37111"/>
    <w:rsid w:val="00E37242"/>
    <w:rsid w:val="00E372FB"/>
    <w:rsid w:val="00E373ED"/>
    <w:rsid w:val="00E4093C"/>
    <w:rsid w:val="00E40EC3"/>
    <w:rsid w:val="00E40F4D"/>
    <w:rsid w:val="00E415E9"/>
    <w:rsid w:val="00E42231"/>
    <w:rsid w:val="00E42FAF"/>
    <w:rsid w:val="00E43314"/>
    <w:rsid w:val="00E439DA"/>
    <w:rsid w:val="00E4415C"/>
    <w:rsid w:val="00E4425C"/>
    <w:rsid w:val="00E445F2"/>
    <w:rsid w:val="00E44A60"/>
    <w:rsid w:val="00E44A7C"/>
    <w:rsid w:val="00E44DC8"/>
    <w:rsid w:val="00E44FD9"/>
    <w:rsid w:val="00E45342"/>
    <w:rsid w:val="00E45379"/>
    <w:rsid w:val="00E453AB"/>
    <w:rsid w:val="00E46062"/>
    <w:rsid w:val="00E4644D"/>
    <w:rsid w:val="00E475A6"/>
    <w:rsid w:val="00E47C06"/>
    <w:rsid w:val="00E47DDD"/>
    <w:rsid w:val="00E47EF3"/>
    <w:rsid w:val="00E50837"/>
    <w:rsid w:val="00E51609"/>
    <w:rsid w:val="00E521C4"/>
    <w:rsid w:val="00E52BB5"/>
    <w:rsid w:val="00E53BAB"/>
    <w:rsid w:val="00E53E38"/>
    <w:rsid w:val="00E54112"/>
    <w:rsid w:val="00E5458B"/>
    <w:rsid w:val="00E54CA3"/>
    <w:rsid w:val="00E550EF"/>
    <w:rsid w:val="00E5532D"/>
    <w:rsid w:val="00E5572B"/>
    <w:rsid w:val="00E557D4"/>
    <w:rsid w:val="00E55920"/>
    <w:rsid w:val="00E56153"/>
    <w:rsid w:val="00E561EC"/>
    <w:rsid w:val="00E566E6"/>
    <w:rsid w:val="00E56A3D"/>
    <w:rsid w:val="00E56E3F"/>
    <w:rsid w:val="00E57BA3"/>
    <w:rsid w:val="00E57C11"/>
    <w:rsid w:val="00E57C91"/>
    <w:rsid w:val="00E57ED3"/>
    <w:rsid w:val="00E60452"/>
    <w:rsid w:val="00E60606"/>
    <w:rsid w:val="00E607D7"/>
    <w:rsid w:val="00E60872"/>
    <w:rsid w:val="00E60D94"/>
    <w:rsid w:val="00E60F33"/>
    <w:rsid w:val="00E6145D"/>
    <w:rsid w:val="00E614BE"/>
    <w:rsid w:val="00E61640"/>
    <w:rsid w:val="00E6273C"/>
    <w:rsid w:val="00E62AC0"/>
    <w:rsid w:val="00E62B09"/>
    <w:rsid w:val="00E62BE1"/>
    <w:rsid w:val="00E6394A"/>
    <w:rsid w:val="00E63AC6"/>
    <w:rsid w:val="00E63BDA"/>
    <w:rsid w:val="00E64046"/>
    <w:rsid w:val="00E64410"/>
    <w:rsid w:val="00E6501F"/>
    <w:rsid w:val="00E657BE"/>
    <w:rsid w:val="00E65A4C"/>
    <w:rsid w:val="00E65E7B"/>
    <w:rsid w:val="00E6672B"/>
    <w:rsid w:val="00E668E6"/>
    <w:rsid w:val="00E66994"/>
    <w:rsid w:val="00E67500"/>
    <w:rsid w:val="00E67D08"/>
    <w:rsid w:val="00E700FC"/>
    <w:rsid w:val="00E70589"/>
    <w:rsid w:val="00E70F98"/>
    <w:rsid w:val="00E7101D"/>
    <w:rsid w:val="00E71467"/>
    <w:rsid w:val="00E7148A"/>
    <w:rsid w:val="00E715E9"/>
    <w:rsid w:val="00E71919"/>
    <w:rsid w:val="00E71995"/>
    <w:rsid w:val="00E71DD3"/>
    <w:rsid w:val="00E71DDC"/>
    <w:rsid w:val="00E7247A"/>
    <w:rsid w:val="00E7281F"/>
    <w:rsid w:val="00E72F6A"/>
    <w:rsid w:val="00E736DA"/>
    <w:rsid w:val="00E73B01"/>
    <w:rsid w:val="00E74BBE"/>
    <w:rsid w:val="00E751CD"/>
    <w:rsid w:val="00E75DF7"/>
    <w:rsid w:val="00E75E82"/>
    <w:rsid w:val="00E76064"/>
    <w:rsid w:val="00E7670E"/>
    <w:rsid w:val="00E7688F"/>
    <w:rsid w:val="00E76EEB"/>
    <w:rsid w:val="00E77171"/>
    <w:rsid w:val="00E77740"/>
    <w:rsid w:val="00E778CB"/>
    <w:rsid w:val="00E77A4C"/>
    <w:rsid w:val="00E77B8A"/>
    <w:rsid w:val="00E77C0E"/>
    <w:rsid w:val="00E80481"/>
    <w:rsid w:val="00E809A5"/>
    <w:rsid w:val="00E81487"/>
    <w:rsid w:val="00E815FC"/>
    <w:rsid w:val="00E81F4A"/>
    <w:rsid w:val="00E82260"/>
    <w:rsid w:val="00E82853"/>
    <w:rsid w:val="00E82964"/>
    <w:rsid w:val="00E8324B"/>
    <w:rsid w:val="00E83622"/>
    <w:rsid w:val="00E83ADF"/>
    <w:rsid w:val="00E83BE1"/>
    <w:rsid w:val="00E83EFC"/>
    <w:rsid w:val="00E84422"/>
    <w:rsid w:val="00E85587"/>
    <w:rsid w:val="00E8565A"/>
    <w:rsid w:val="00E860E2"/>
    <w:rsid w:val="00E8670B"/>
    <w:rsid w:val="00E8676B"/>
    <w:rsid w:val="00E86D8D"/>
    <w:rsid w:val="00E86F1C"/>
    <w:rsid w:val="00E87CBF"/>
    <w:rsid w:val="00E90810"/>
    <w:rsid w:val="00E9083C"/>
    <w:rsid w:val="00E91117"/>
    <w:rsid w:val="00E913FD"/>
    <w:rsid w:val="00E914F7"/>
    <w:rsid w:val="00E91809"/>
    <w:rsid w:val="00E91951"/>
    <w:rsid w:val="00E9196A"/>
    <w:rsid w:val="00E920F3"/>
    <w:rsid w:val="00E924EC"/>
    <w:rsid w:val="00E92836"/>
    <w:rsid w:val="00E9284B"/>
    <w:rsid w:val="00E92CCA"/>
    <w:rsid w:val="00E92CFF"/>
    <w:rsid w:val="00E93DC3"/>
    <w:rsid w:val="00E947B1"/>
    <w:rsid w:val="00E94933"/>
    <w:rsid w:val="00E94A41"/>
    <w:rsid w:val="00E94D00"/>
    <w:rsid w:val="00E95138"/>
    <w:rsid w:val="00E951CA"/>
    <w:rsid w:val="00E951D1"/>
    <w:rsid w:val="00E9527D"/>
    <w:rsid w:val="00E9548D"/>
    <w:rsid w:val="00E9566F"/>
    <w:rsid w:val="00E95686"/>
    <w:rsid w:val="00E95AED"/>
    <w:rsid w:val="00E95CE4"/>
    <w:rsid w:val="00E95F48"/>
    <w:rsid w:val="00E964F2"/>
    <w:rsid w:val="00E97321"/>
    <w:rsid w:val="00E973A8"/>
    <w:rsid w:val="00E975A1"/>
    <w:rsid w:val="00EA0234"/>
    <w:rsid w:val="00EA0376"/>
    <w:rsid w:val="00EA0980"/>
    <w:rsid w:val="00EA0D7D"/>
    <w:rsid w:val="00EA0E35"/>
    <w:rsid w:val="00EA0F84"/>
    <w:rsid w:val="00EA103B"/>
    <w:rsid w:val="00EA1925"/>
    <w:rsid w:val="00EA1C6F"/>
    <w:rsid w:val="00EA2224"/>
    <w:rsid w:val="00EA236F"/>
    <w:rsid w:val="00EA2EAF"/>
    <w:rsid w:val="00EA35EE"/>
    <w:rsid w:val="00EA40A7"/>
    <w:rsid w:val="00EA40E8"/>
    <w:rsid w:val="00EA4145"/>
    <w:rsid w:val="00EA4DF3"/>
    <w:rsid w:val="00EA50EC"/>
    <w:rsid w:val="00EA5E98"/>
    <w:rsid w:val="00EA5F9C"/>
    <w:rsid w:val="00EA677B"/>
    <w:rsid w:val="00EA72EF"/>
    <w:rsid w:val="00EA7E54"/>
    <w:rsid w:val="00EB0241"/>
    <w:rsid w:val="00EB0A0F"/>
    <w:rsid w:val="00EB0AF1"/>
    <w:rsid w:val="00EB15F0"/>
    <w:rsid w:val="00EB16E9"/>
    <w:rsid w:val="00EB1900"/>
    <w:rsid w:val="00EB1B49"/>
    <w:rsid w:val="00EB1C09"/>
    <w:rsid w:val="00EB2AFF"/>
    <w:rsid w:val="00EB2DA9"/>
    <w:rsid w:val="00EB38D5"/>
    <w:rsid w:val="00EB47D0"/>
    <w:rsid w:val="00EB489E"/>
    <w:rsid w:val="00EB4A5A"/>
    <w:rsid w:val="00EB4B09"/>
    <w:rsid w:val="00EB4D1B"/>
    <w:rsid w:val="00EB509F"/>
    <w:rsid w:val="00EB50B2"/>
    <w:rsid w:val="00EB530F"/>
    <w:rsid w:val="00EB5D62"/>
    <w:rsid w:val="00EB5D8B"/>
    <w:rsid w:val="00EB6AEB"/>
    <w:rsid w:val="00EB6B7C"/>
    <w:rsid w:val="00EB6C20"/>
    <w:rsid w:val="00EB7594"/>
    <w:rsid w:val="00EB77BC"/>
    <w:rsid w:val="00EB7E79"/>
    <w:rsid w:val="00EC032D"/>
    <w:rsid w:val="00EC05E8"/>
    <w:rsid w:val="00EC0893"/>
    <w:rsid w:val="00EC0AB3"/>
    <w:rsid w:val="00EC0AD9"/>
    <w:rsid w:val="00EC1C05"/>
    <w:rsid w:val="00EC1DA9"/>
    <w:rsid w:val="00EC1F16"/>
    <w:rsid w:val="00EC1FF7"/>
    <w:rsid w:val="00EC268A"/>
    <w:rsid w:val="00EC2979"/>
    <w:rsid w:val="00EC2D71"/>
    <w:rsid w:val="00EC391E"/>
    <w:rsid w:val="00EC3996"/>
    <w:rsid w:val="00EC40F3"/>
    <w:rsid w:val="00EC431B"/>
    <w:rsid w:val="00EC4351"/>
    <w:rsid w:val="00EC44BD"/>
    <w:rsid w:val="00EC5AD9"/>
    <w:rsid w:val="00EC5E40"/>
    <w:rsid w:val="00EC6086"/>
    <w:rsid w:val="00EC6407"/>
    <w:rsid w:val="00EC667A"/>
    <w:rsid w:val="00EC670F"/>
    <w:rsid w:val="00EC69FF"/>
    <w:rsid w:val="00EC6CF7"/>
    <w:rsid w:val="00EC7991"/>
    <w:rsid w:val="00EC7D1E"/>
    <w:rsid w:val="00EC7E42"/>
    <w:rsid w:val="00ED043B"/>
    <w:rsid w:val="00ED091D"/>
    <w:rsid w:val="00ED1176"/>
    <w:rsid w:val="00ED2209"/>
    <w:rsid w:val="00ED2783"/>
    <w:rsid w:val="00ED28C5"/>
    <w:rsid w:val="00ED331C"/>
    <w:rsid w:val="00ED3F7E"/>
    <w:rsid w:val="00ED4239"/>
    <w:rsid w:val="00ED4283"/>
    <w:rsid w:val="00ED42B5"/>
    <w:rsid w:val="00ED4C90"/>
    <w:rsid w:val="00ED4DB0"/>
    <w:rsid w:val="00ED600F"/>
    <w:rsid w:val="00ED6420"/>
    <w:rsid w:val="00ED6B06"/>
    <w:rsid w:val="00ED6C0B"/>
    <w:rsid w:val="00ED6C8B"/>
    <w:rsid w:val="00ED74AC"/>
    <w:rsid w:val="00ED74FD"/>
    <w:rsid w:val="00ED76B3"/>
    <w:rsid w:val="00ED7E9D"/>
    <w:rsid w:val="00EE0363"/>
    <w:rsid w:val="00EE03E8"/>
    <w:rsid w:val="00EE06F6"/>
    <w:rsid w:val="00EE0DE2"/>
    <w:rsid w:val="00EE121E"/>
    <w:rsid w:val="00EE147A"/>
    <w:rsid w:val="00EE169B"/>
    <w:rsid w:val="00EE1787"/>
    <w:rsid w:val="00EE17A5"/>
    <w:rsid w:val="00EE1817"/>
    <w:rsid w:val="00EE1A99"/>
    <w:rsid w:val="00EE2BBA"/>
    <w:rsid w:val="00EE3FDA"/>
    <w:rsid w:val="00EE4652"/>
    <w:rsid w:val="00EE48CC"/>
    <w:rsid w:val="00EE4CB1"/>
    <w:rsid w:val="00EE53A6"/>
    <w:rsid w:val="00EE57F2"/>
    <w:rsid w:val="00EE6492"/>
    <w:rsid w:val="00EE7FB3"/>
    <w:rsid w:val="00EF01D9"/>
    <w:rsid w:val="00EF0309"/>
    <w:rsid w:val="00EF0B2A"/>
    <w:rsid w:val="00EF0B5F"/>
    <w:rsid w:val="00EF1011"/>
    <w:rsid w:val="00EF115B"/>
    <w:rsid w:val="00EF12D5"/>
    <w:rsid w:val="00EF1376"/>
    <w:rsid w:val="00EF1412"/>
    <w:rsid w:val="00EF209D"/>
    <w:rsid w:val="00EF2889"/>
    <w:rsid w:val="00EF2D5D"/>
    <w:rsid w:val="00EF30B5"/>
    <w:rsid w:val="00EF45A1"/>
    <w:rsid w:val="00EF49F0"/>
    <w:rsid w:val="00EF4C9C"/>
    <w:rsid w:val="00EF54F4"/>
    <w:rsid w:val="00EF55DB"/>
    <w:rsid w:val="00EF5C64"/>
    <w:rsid w:val="00EF6882"/>
    <w:rsid w:val="00EF6966"/>
    <w:rsid w:val="00EF6B4D"/>
    <w:rsid w:val="00EF72E6"/>
    <w:rsid w:val="00EF7F87"/>
    <w:rsid w:val="00F00170"/>
    <w:rsid w:val="00F00A1D"/>
    <w:rsid w:val="00F00BE5"/>
    <w:rsid w:val="00F01269"/>
    <w:rsid w:val="00F0133A"/>
    <w:rsid w:val="00F0137A"/>
    <w:rsid w:val="00F01A5E"/>
    <w:rsid w:val="00F01AE5"/>
    <w:rsid w:val="00F01C01"/>
    <w:rsid w:val="00F02648"/>
    <w:rsid w:val="00F026E2"/>
    <w:rsid w:val="00F0373E"/>
    <w:rsid w:val="00F03CEA"/>
    <w:rsid w:val="00F048F3"/>
    <w:rsid w:val="00F04CB9"/>
    <w:rsid w:val="00F0566A"/>
    <w:rsid w:val="00F05C14"/>
    <w:rsid w:val="00F05C52"/>
    <w:rsid w:val="00F067F1"/>
    <w:rsid w:val="00F0703B"/>
    <w:rsid w:val="00F07445"/>
    <w:rsid w:val="00F0765A"/>
    <w:rsid w:val="00F07705"/>
    <w:rsid w:val="00F07CC1"/>
    <w:rsid w:val="00F102E6"/>
    <w:rsid w:val="00F10CF8"/>
    <w:rsid w:val="00F1105D"/>
    <w:rsid w:val="00F110CD"/>
    <w:rsid w:val="00F1193D"/>
    <w:rsid w:val="00F12345"/>
    <w:rsid w:val="00F123CF"/>
    <w:rsid w:val="00F12C87"/>
    <w:rsid w:val="00F12DEA"/>
    <w:rsid w:val="00F12EB5"/>
    <w:rsid w:val="00F1327B"/>
    <w:rsid w:val="00F13316"/>
    <w:rsid w:val="00F13690"/>
    <w:rsid w:val="00F137D0"/>
    <w:rsid w:val="00F13C0B"/>
    <w:rsid w:val="00F1501F"/>
    <w:rsid w:val="00F1550B"/>
    <w:rsid w:val="00F16709"/>
    <w:rsid w:val="00F176AD"/>
    <w:rsid w:val="00F17CA7"/>
    <w:rsid w:val="00F21859"/>
    <w:rsid w:val="00F21971"/>
    <w:rsid w:val="00F21D81"/>
    <w:rsid w:val="00F21E99"/>
    <w:rsid w:val="00F21F1C"/>
    <w:rsid w:val="00F221B3"/>
    <w:rsid w:val="00F227DA"/>
    <w:rsid w:val="00F22A68"/>
    <w:rsid w:val="00F22CC8"/>
    <w:rsid w:val="00F234AA"/>
    <w:rsid w:val="00F23529"/>
    <w:rsid w:val="00F23941"/>
    <w:rsid w:val="00F23EF6"/>
    <w:rsid w:val="00F242C2"/>
    <w:rsid w:val="00F249C7"/>
    <w:rsid w:val="00F24BC6"/>
    <w:rsid w:val="00F25629"/>
    <w:rsid w:val="00F2594C"/>
    <w:rsid w:val="00F25F46"/>
    <w:rsid w:val="00F25FE7"/>
    <w:rsid w:val="00F260FF"/>
    <w:rsid w:val="00F26330"/>
    <w:rsid w:val="00F26C4D"/>
    <w:rsid w:val="00F26C59"/>
    <w:rsid w:val="00F27D59"/>
    <w:rsid w:val="00F27DBB"/>
    <w:rsid w:val="00F30295"/>
    <w:rsid w:val="00F302A2"/>
    <w:rsid w:val="00F303E9"/>
    <w:rsid w:val="00F304D1"/>
    <w:rsid w:val="00F30A3A"/>
    <w:rsid w:val="00F30F80"/>
    <w:rsid w:val="00F314B1"/>
    <w:rsid w:val="00F31973"/>
    <w:rsid w:val="00F31A2A"/>
    <w:rsid w:val="00F31BE8"/>
    <w:rsid w:val="00F3212D"/>
    <w:rsid w:val="00F321F3"/>
    <w:rsid w:val="00F32AFA"/>
    <w:rsid w:val="00F3361A"/>
    <w:rsid w:val="00F33EF5"/>
    <w:rsid w:val="00F34198"/>
    <w:rsid w:val="00F35380"/>
    <w:rsid w:val="00F36142"/>
    <w:rsid w:val="00F36264"/>
    <w:rsid w:val="00F36FAE"/>
    <w:rsid w:val="00F372D7"/>
    <w:rsid w:val="00F373F7"/>
    <w:rsid w:val="00F3742E"/>
    <w:rsid w:val="00F37AFA"/>
    <w:rsid w:val="00F37CE3"/>
    <w:rsid w:val="00F37CF0"/>
    <w:rsid w:val="00F37D0C"/>
    <w:rsid w:val="00F400B5"/>
    <w:rsid w:val="00F40708"/>
    <w:rsid w:val="00F40C71"/>
    <w:rsid w:val="00F40CAD"/>
    <w:rsid w:val="00F41BB7"/>
    <w:rsid w:val="00F41C66"/>
    <w:rsid w:val="00F41EB2"/>
    <w:rsid w:val="00F41FD3"/>
    <w:rsid w:val="00F4206D"/>
    <w:rsid w:val="00F4279C"/>
    <w:rsid w:val="00F43041"/>
    <w:rsid w:val="00F43A2C"/>
    <w:rsid w:val="00F43D23"/>
    <w:rsid w:val="00F4468F"/>
    <w:rsid w:val="00F44AF4"/>
    <w:rsid w:val="00F44BAA"/>
    <w:rsid w:val="00F44CBC"/>
    <w:rsid w:val="00F4580E"/>
    <w:rsid w:val="00F45A43"/>
    <w:rsid w:val="00F45F89"/>
    <w:rsid w:val="00F460C7"/>
    <w:rsid w:val="00F46165"/>
    <w:rsid w:val="00F46491"/>
    <w:rsid w:val="00F467DC"/>
    <w:rsid w:val="00F468AC"/>
    <w:rsid w:val="00F46AEB"/>
    <w:rsid w:val="00F46D2A"/>
    <w:rsid w:val="00F472B9"/>
    <w:rsid w:val="00F477D8"/>
    <w:rsid w:val="00F4787C"/>
    <w:rsid w:val="00F505AB"/>
    <w:rsid w:val="00F50781"/>
    <w:rsid w:val="00F50984"/>
    <w:rsid w:val="00F50D2C"/>
    <w:rsid w:val="00F51903"/>
    <w:rsid w:val="00F519D5"/>
    <w:rsid w:val="00F51B75"/>
    <w:rsid w:val="00F51F11"/>
    <w:rsid w:val="00F53143"/>
    <w:rsid w:val="00F5344E"/>
    <w:rsid w:val="00F5412F"/>
    <w:rsid w:val="00F54BB2"/>
    <w:rsid w:val="00F54E20"/>
    <w:rsid w:val="00F554AD"/>
    <w:rsid w:val="00F55759"/>
    <w:rsid w:val="00F561FB"/>
    <w:rsid w:val="00F566A6"/>
    <w:rsid w:val="00F56D55"/>
    <w:rsid w:val="00F56DEF"/>
    <w:rsid w:val="00F57155"/>
    <w:rsid w:val="00F571F1"/>
    <w:rsid w:val="00F57D25"/>
    <w:rsid w:val="00F60BCA"/>
    <w:rsid w:val="00F60F38"/>
    <w:rsid w:val="00F61337"/>
    <w:rsid w:val="00F615CD"/>
    <w:rsid w:val="00F6173B"/>
    <w:rsid w:val="00F62052"/>
    <w:rsid w:val="00F6209C"/>
    <w:rsid w:val="00F62337"/>
    <w:rsid w:val="00F62DE1"/>
    <w:rsid w:val="00F6343E"/>
    <w:rsid w:val="00F63784"/>
    <w:rsid w:val="00F63BC4"/>
    <w:rsid w:val="00F63F9C"/>
    <w:rsid w:val="00F6470A"/>
    <w:rsid w:val="00F65D08"/>
    <w:rsid w:val="00F6664A"/>
    <w:rsid w:val="00F6698B"/>
    <w:rsid w:val="00F67B87"/>
    <w:rsid w:val="00F67E58"/>
    <w:rsid w:val="00F705A2"/>
    <w:rsid w:val="00F7072C"/>
    <w:rsid w:val="00F709D3"/>
    <w:rsid w:val="00F7123E"/>
    <w:rsid w:val="00F71E64"/>
    <w:rsid w:val="00F72840"/>
    <w:rsid w:val="00F7396E"/>
    <w:rsid w:val="00F739B3"/>
    <w:rsid w:val="00F74454"/>
    <w:rsid w:val="00F74ABE"/>
    <w:rsid w:val="00F74FB3"/>
    <w:rsid w:val="00F75899"/>
    <w:rsid w:val="00F76796"/>
    <w:rsid w:val="00F76BCC"/>
    <w:rsid w:val="00F76EED"/>
    <w:rsid w:val="00F770DB"/>
    <w:rsid w:val="00F77471"/>
    <w:rsid w:val="00F774B4"/>
    <w:rsid w:val="00F77A7E"/>
    <w:rsid w:val="00F77B2B"/>
    <w:rsid w:val="00F77B70"/>
    <w:rsid w:val="00F80044"/>
    <w:rsid w:val="00F8080D"/>
    <w:rsid w:val="00F80E20"/>
    <w:rsid w:val="00F8118C"/>
    <w:rsid w:val="00F8160B"/>
    <w:rsid w:val="00F8183D"/>
    <w:rsid w:val="00F822C9"/>
    <w:rsid w:val="00F8265B"/>
    <w:rsid w:val="00F82BBC"/>
    <w:rsid w:val="00F83166"/>
    <w:rsid w:val="00F83A36"/>
    <w:rsid w:val="00F83C33"/>
    <w:rsid w:val="00F83E41"/>
    <w:rsid w:val="00F83E5B"/>
    <w:rsid w:val="00F83F66"/>
    <w:rsid w:val="00F83FB5"/>
    <w:rsid w:val="00F8427F"/>
    <w:rsid w:val="00F8566E"/>
    <w:rsid w:val="00F85ED4"/>
    <w:rsid w:val="00F86868"/>
    <w:rsid w:val="00F87827"/>
    <w:rsid w:val="00F8790C"/>
    <w:rsid w:val="00F90B1E"/>
    <w:rsid w:val="00F90BF3"/>
    <w:rsid w:val="00F90D88"/>
    <w:rsid w:val="00F91543"/>
    <w:rsid w:val="00F919B7"/>
    <w:rsid w:val="00F91AB6"/>
    <w:rsid w:val="00F91DD1"/>
    <w:rsid w:val="00F91FEE"/>
    <w:rsid w:val="00F921B2"/>
    <w:rsid w:val="00F9250E"/>
    <w:rsid w:val="00F92A03"/>
    <w:rsid w:val="00F92AE2"/>
    <w:rsid w:val="00F92D58"/>
    <w:rsid w:val="00F92F5D"/>
    <w:rsid w:val="00F93A91"/>
    <w:rsid w:val="00F9415E"/>
    <w:rsid w:val="00F9447B"/>
    <w:rsid w:val="00F945F9"/>
    <w:rsid w:val="00F951CC"/>
    <w:rsid w:val="00F9575D"/>
    <w:rsid w:val="00F95BD9"/>
    <w:rsid w:val="00F95D75"/>
    <w:rsid w:val="00F9624A"/>
    <w:rsid w:val="00F96F68"/>
    <w:rsid w:val="00F9701B"/>
    <w:rsid w:val="00F97B0A"/>
    <w:rsid w:val="00FA013B"/>
    <w:rsid w:val="00FA0288"/>
    <w:rsid w:val="00FA058E"/>
    <w:rsid w:val="00FA0799"/>
    <w:rsid w:val="00FA0872"/>
    <w:rsid w:val="00FA155F"/>
    <w:rsid w:val="00FA19C7"/>
    <w:rsid w:val="00FA1B07"/>
    <w:rsid w:val="00FA1C51"/>
    <w:rsid w:val="00FA211F"/>
    <w:rsid w:val="00FA223C"/>
    <w:rsid w:val="00FA2288"/>
    <w:rsid w:val="00FA24DF"/>
    <w:rsid w:val="00FA2AE6"/>
    <w:rsid w:val="00FA2E3E"/>
    <w:rsid w:val="00FA357D"/>
    <w:rsid w:val="00FA3D15"/>
    <w:rsid w:val="00FA41D6"/>
    <w:rsid w:val="00FA447C"/>
    <w:rsid w:val="00FA5930"/>
    <w:rsid w:val="00FA5FA2"/>
    <w:rsid w:val="00FA63A7"/>
    <w:rsid w:val="00FA69AD"/>
    <w:rsid w:val="00FA7885"/>
    <w:rsid w:val="00FA7EC1"/>
    <w:rsid w:val="00FB0427"/>
    <w:rsid w:val="00FB059A"/>
    <w:rsid w:val="00FB07AE"/>
    <w:rsid w:val="00FB0C9A"/>
    <w:rsid w:val="00FB0E04"/>
    <w:rsid w:val="00FB0E40"/>
    <w:rsid w:val="00FB1041"/>
    <w:rsid w:val="00FB1B81"/>
    <w:rsid w:val="00FB2073"/>
    <w:rsid w:val="00FB21C5"/>
    <w:rsid w:val="00FB250D"/>
    <w:rsid w:val="00FB2646"/>
    <w:rsid w:val="00FB2A37"/>
    <w:rsid w:val="00FB2D40"/>
    <w:rsid w:val="00FB2E06"/>
    <w:rsid w:val="00FB3440"/>
    <w:rsid w:val="00FB38A1"/>
    <w:rsid w:val="00FB3D1E"/>
    <w:rsid w:val="00FB3E9B"/>
    <w:rsid w:val="00FB3F43"/>
    <w:rsid w:val="00FB4144"/>
    <w:rsid w:val="00FB460A"/>
    <w:rsid w:val="00FB5017"/>
    <w:rsid w:val="00FB51E8"/>
    <w:rsid w:val="00FB55E0"/>
    <w:rsid w:val="00FB5B2F"/>
    <w:rsid w:val="00FB669B"/>
    <w:rsid w:val="00FB694A"/>
    <w:rsid w:val="00FB7320"/>
    <w:rsid w:val="00FB7935"/>
    <w:rsid w:val="00FB7A90"/>
    <w:rsid w:val="00FB7CB2"/>
    <w:rsid w:val="00FB7DFF"/>
    <w:rsid w:val="00FB7FF1"/>
    <w:rsid w:val="00FC03AD"/>
    <w:rsid w:val="00FC07F8"/>
    <w:rsid w:val="00FC0853"/>
    <w:rsid w:val="00FC0ADB"/>
    <w:rsid w:val="00FC169D"/>
    <w:rsid w:val="00FC16CD"/>
    <w:rsid w:val="00FC17D0"/>
    <w:rsid w:val="00FC1B63"/>
    <w:rsid w:val="00FC1B83"/>
    <w:rsid w:val="00FC1BA2"/>
    <w:rsid w:val="00FC1D29"/>
    <w:rsid w:val="00FC3223"/>
    <w:rsid w:val="00FC3BB2"/>
    <w:rsid w:val="00FC4086"/>
    <w:rsid w:val="00FC4403"/>
    <w:rsid w:val="00FC441E"/>
    <w:rsid w:val="00FC44C3"/>
    <w:rsid w:val="00FC46EB"/>
    <w:rsid w:val="00FC49F6"/>
    <w:rsid w:val="00FC4AA7"/>
    <w:rsid w:val="00FC570C"/>
    <w:rsid w:val="00FC5C2A"/>
    <w:rsid w:val="00FC5EEB"/>
    <w:rsid w:val="00FC61E0"/>
    <w:rsid w:val="00FC6246"/>
    <w:rsid w:val="00FC64B5"/>
    <w:rsid w:val="00FC671B"/>
    <w:rsid w:val="00FC6DA7"/>
    <w:rsid w:val="00FC7A76"/>
    <w:rsid w:val="00FC7EFE"/>
    <w:rsid w:val="00FD0CA7"/>
    <w:rsid w:val="00FD0E3F"/>
    <w:rsid w:val="00FD1032"/>
    <w:rsid w:val="00FD117C"/>
    <w:rsid w:val="00FD179B"/>
    <w:rsid w:val="00FD1AB6"/>
    <w:rsid w:val="00FD1F53"/>
    <w:rsid w:val="00FD2304"/>
    <w:rsid w:val="00FD255C"/>
    <w:rsid w:val="00FD260D"/>
    <w:rsid w:val="00FD26E3"/>
    <w:rsid w:val="00FD2D5B"/>
    <w:rsid w:val="00FD3926"/>
    <w:rsid w:val="00FD3A1A"/>
    <w:rsid w:val="00FD3D4F"/>
    <w:rsid w:val="00FD40E5"/>
    <w:rsid w:val="00FD4206"/>
    <w:rsid w:val="00FD4A7F"/>
    <w:rsid w:val="00FD53BC"/>
    <w:rsid w:val="00FD53DD"/>
    <w:rsid w:val="00FD5692"/>
    <w:rsid w:val="00FD5E00"/>
    <w:rsid w:val="00FD6632"/>
    <w:rsid w:val="00FD66C5"/>
    <w:rsid w:val="00FD67F2"/>
    <w:rsid w:val="00FD67FE"/>
    <w:rsid w:val="00FD69F9"/>
    <w:rsid w:val="00FD6AE3"/>
    <w:rsid w:val="00FD6CF6"/>
    <w:rsid w:val="00FD6DDD"/>
    <w:rsid w:val="00FD7328"/>
    <w:rsid w:val="00FD78D1"/>
    <w:rsid w:val="00FD7AA2"/>
    <w:rsid w:val="00FE036B"/>
    <w:rsid w:val="00FE054A"/>
    <w:rsid w:val="00FE0A4A"/>
    <w:rsid w:val="00FE0EB3"/>
    <w:rsid w:val="00FE10FB"/>
    <w:rsid w:val="00FE13BA"/>
    <w:rsid w:val="00FE13F4"/>
    <w:rsid w:val="00FE277B"/>
    <w:rsid w:val="00FE27A4"/>
    <w:rsid w:val="00FE3675"/>
    <w:rsid w:val="00FE3680"/>
    <w:rsid w:val="00FE3D1A"/>
    <w:rsid w:val="00FE3D94"/>
    <w:rsid w:val="00FE4526"/>
    <w:rsid w:val="00FE4B51"/>
    <w:rsid w:val="00FE5343"/>
    <w:rsid w:val="00FE5C17"/>
    <w:rsid w:val="00FE5D44"/>
    <w:rsid w:val="00FE636C"/>
    <w:rsid w:val="00FE6864"/>
    <w:rsid w:val="00FE68E6"/>
    <w:rsid w:val="00FE6BA1"/>
    <w:rsid w:val="00FE6C3A"/>
    <w:rsid w:val="00FE6DA5"/>
    <w:rsid w:val="00FE6DD0"/>
    <w:rsid w:val="00FE766B"/>
    <w:rsid w:val="00FF0AFA"/>
    <w:rsid w:val="00FF0CC6"/>
    <w:rsid w:val="00FF136E"/>
    <w:rsid w:val="00FF14E5"/>
    <w:rsid w:val="00FF1A14"/>
    <w:rsid w:val="00FF1CAA"/>
    <w:rsid w:val="00FF22AB"/>
    <w:rsid w:val="00FF2328"/>
    <w:rsid w:val="00FF2363"/>
    <w:rsid w:val="00FF23AC"/>
    <w:rsid w:val="00FF3037"/>
    <w:rsid w:val="00FF3588"/>
    <w:rsid w:val="00FF36C1"/>
    <w:rsid w:val="00FF3A7D"/>
    <w:rsid w:val="00FF4303"/>
    <w:rsid w:val="00FF446A"/>
    <w:rsid w:val="00FF52E6"/>
    <w:rsid w:val="00FF604C"/>
    <w:rsid w:val="00FF61B2"/>
    <w:rsid w:val="00FF69FB"/>
    <w:rsid w:val="00FF6D0F"/>
    <w:rsid w:val="00FF6E7F"/>
    <w:rsid w:val="00FF7391"/>
    <w:rsid w:val="00FF7ACF"/>
    <w:rsid w:val="013D546D"/>
    <w:rsid w:val="014337F8"/>
    <w:rsid w:val="01565C22"/>
    <w:rsid w:val="0159301C"/>
    <w:rsid w:val="019433BC"/>
    <w:rsid w:val="01964270"/>
    <w:rsid w:val="02046266"/>
    <w:rsid w:val="02246355"/>
    <w:rsid w:val="022E4FE9"/>
    <w:rsid w:val="02314685"/>
    <w:rsid w:val="023D08A2"/>
    <w:rsid w:val="02403665"/>
    <w:rsid w:val="025008C3"/>
    <w:rsid w:val="027A4BBF"/>
    <w:rsid w:val="02820016"/>
    <w:rsid w:val="02851D57"/>
    <w:rsid w:val="02A17394"/>
    <w:rsid w:val="02DF6A83"/>
    <w:rsid w:val="03265180"/>
    <w:rsid w:val="032E7B21"/>
    <w:rsid w:val="034028D6"/>
    <w:rsid w:val="03423805"/>
    <w:rsid w:val="0361657E"/>
    <w:rsid w:val="036B6A4A"/>
    <w:rsid w:val="03714180"/>
    <w:rsid w:val="0375018B"/>
    <w:rsid w:val="037C7FE0"/>
    <w:rsid w:val="03814E34"/>
    <w:rsid w:val="038375FB"/>
    <w:rsid w:val="03906A9D"/>
    <w:rsid w:val="03C042CE"/>
    <w:rsid w:val="03E014E3"/>
    <w:rsid w:val="03F37758"/>
    <w:rsid w:val="03FC7B64"/>
    <w:rsid w:val="03FD42F2"/>
    <w:rsid w:val="0403185A"/>
    <w:rsid w:val="043D0FA7"/>
    <w:rsid w:val="04424C83"/>
    <w:rsid w:val="048C136E"/>
    <w:rsid w:val="04A846D8"/>
    <w:rsid w:val="04B65CEE"/>
    <w:rsid w:val="04B94B14"/>
    <w:rsid w:val="04C21411"/>
    <w:rsid w:val="04D95FAF"/>
    <w:rsid w:val="0503742A"/>
    <w:rsid w:val="050F6592"/>
    <w:rsid w:val="05177476"/>
    <w:rsid w:val="05313D6E"/>
    <w:rsid w:val="053211E7"/>
    <w:rsid w:val="056E4016"/>
    <w:rsid w:val="058F1702"/>
    <w:rsid w:val="05980F0F"/>
    <w:rsid w:val="05F872A7"/>
    <w:rsid w:val="061A2049"/>
    <w:rsid w:val="0626753C"/>
    <w:rsid w:val="062D0520"/>
    <w:rsid w:val="065A60EF"/>
    <w:rsid w:val="06875481"/>
    <w:rsid w:val="069F44D4"/>
    <w:rsid w:val="06B87DF9"/>
    <w:rsid w:val="06EB45C2"/>
    <w:rsid w:val="070D7868"/>
    <w:rsid w:val="07C57C79"/>
    <w:rsid w:val="07D01B5E"/>
    <w:rsid w:val="07D5248E"/>
    <w:rsid w:val="07EC6998"/>
    <w:rsid w:val="07F41987"/>
    <w:rsid w:val="07F74E1C"/>
    <w:rsid w:val="081A593D"/>
    <w:rsid w:val="081B54CF"/>
    <w:rsid w:val="082C7297"/>
    <w:rsid w:val="083F13FA"/>
    <w:rsid w:val="08486558"/>
    <w:rsid w:val="086B6127"/>
    <w:rsid w:val="089259D4"/>
    <w:rsid w:val="08AA101F"/>
    <w:rsid w:val="08AA2ED7"/>
    <w:rsid w:val="08C6543B"/>
    <w:rsid w:val="08D51B22"/>
    <w:rsid w:val="08DE3AAC"/>
    <w:rsid w:val="08EC2E5B"/>
    <w:rsid w:val="08FC3791"/>
    <w:rsid w:val="091968A1"/>
    <w:rsid w:val="093D5211"/>
    <w:rsid w:val="09553C88"/>
    <w:rsid w:val="095E640D"/>
    <w:rsid w:val="098F1CD1"/>
    <w:rsid w:val="09AA2732"/>
    <w:rsid w:val="09AB63DF"/>
    <w:rsid w:val="09C3349F"/>
    <w:rsid w:val="09E21E31"/>
    <w:rsid w:val="0AAC1FC6"/>
    <w:rsid w:val="0AB03C91"/>
    <w:rsid w:val="0AB17A25"/>
    <w:rsid w:val="0ABB2183"/>
    <w:rsid w:val="0AC16E65"/>
    <w:rsid w:val="0ACB31DC"/>
    <w:rsid w:val="0AFD0EBC"/>
    <w:rsid w:val="0B0838AF"/>
    <w:rsid w:val="0B0F299D"/>
    <w:rsid w:val="0B17352D"/>
    <w:rsid w:val="0B6131F9"/>
    <w:rsid w:val="0B7E674B"/>
    <w:rsid w:val="0BA2151C"/>
    <w:rsid w:val="0BA2720B"/>
    <w:rsid w:val="0BB37AFC"/>
    <w:rsid w:val="0C032502"/>
    <w:rsid w:val="0C3B4242"/>
    <w:rsid w:val="0C7866EB"/>
    <w:rsid w:val="0C8252F9"/>
    <w:rsid w:val="0CC5690E"/>
    <w:rsid w:val="0CFE523C"/>
    <w:rsid w:val="0D694AD8"/>
    <w:rsid w:val="0D8256A8"/>
    <w:rsid w:val="0D8B0652"/>
    <w:rsid w:val="0D8E66FF"/>
    <w:rsid w:val="0D9703A2"/>
    <w:rsid w:val="0DAD7F38"/>
    <w:rsid w:val="0DAF0EF2"/>
    <w:rsid w:val="0DB52372"/>
    <w:rsid w:val="0DBB0D2D"/>
    <w:rsid w:val="0DE50FAC"/>
    <w:rsid w:val="0DED346A"/>
    <w:rsid w:val="0E032235"/>
    <w:rsid w:val="0E1327A4"/>
    <w:rsid w:val="0E545BB1"/>
    <w:rsid w:val="0E9148AC"/>
    <w:rsid w:val="0E967232"/>
    <w:rsid w:val="0E9C0D38"/>
    <w:rsid w:val="0ECA5559"/>
    <w:rsid w:val="0EF73B3B"/>
    <w:rsid w:val="0F0A2760"/>
    <w:rsid w:val="0F0E18EA"/>
    <w:rsid w:val="0F1A18DF"/>
    <w:rsid w:val="0F352A17"/>
    <w:rsid w:val="0F895414"/>
    <w:rsid w:val="0FB616EC"/>
    <w:rsid w:val="0FE44C80"/>
    <w:rsid w:val="0FFF7484"/>
    <w:rsid w:val="10AC7C18"/>
    <w:rsid w:val="10BC4A75"/>
    <w:rsid w:val="10C6392E"/>
    <w:rsid w:val="10E5175E"/>
    <w:rsid w:val="110000F9"/>
    <w:rsid w:val="111A25DA"/>
    <w:rsid w:val="11494E5B"/>
    <w:rsid w:val="11664051"/>
    <w:rsid w:val="1191135A"/>
    <w:rsid w:val="11D75383"/>
    <w:rsid w:val="120770CA"/>
    <w:rsid w:val="120B537A"/>
    <w:rsid w:val="1218482D"/>
    <w:rsid w:val="122F001B"/>
    <w:rsid w:val="126464A9"/>
    <w:rsid w:val="126812DA"/>
    <w:rsid w:val="127D63E1"/>
    <w:rsid w:val="12ED6F04"/>
    <w:rsid w:val="12F828D0"/>
    <w:rsid w:val="13002316"/>
    <w:rsid w:val="131D034D"/>
    <w:rsid w:val="133E4A57"/>
    <w:rsid w:val="13802A7C"/>
    <w:rsid w:val="13996DD4"/>
    <w:rsid w:val="13F74E58"/>
    <w:rsid w:val="142B3A13"/>
    <w:rsid w:val="143811B7"/>
    <w:rsid w:val="1454623A"/>
    <w:rsid w:val="14651C74"/>
    <w:rsid w:val="148D1503"/>
    <w:rsid w:val="149F74BB"/>
    <w:rsid w:val="14C61E2C"/>
    <w:rsid w:val="14C6221D"/>
    <w:rsid w:val="15303814"/>
    <w:rsid w:val="153517D6"/>
    <w:rsid w:val="154104B3"/>
    <w:rsid w:val="157E709D"/>
    <w:rsid w:val="15AD04C1"/>
    <w:rsid w:val="15B64A4C"/>
    <w:rsid w:val="15D45D08"/>
    <w:rsid w:val="15EC59F3"/>
    <w:rsid w:val="16141853"/>
    <w:rsid w:val="161D4E32"/>
    <w:rsid w:val="163003E0"/>
    <w:rsid w:val="163E76B0"/>
    <w:rsid w:val="16551BAC"/>
    <w:rsid w:val="16923EC2"/>
    <w:rsid w:val="16CB4239"/>
    <w:rsid w:val="16EE41DD"/>
    <w:rsid w:val="16FF7D6A"/>
    <w:rsid w:val="170B55B0"/>
    <w:rsid w:val="17A14E6B"/>
    <w:rsid w:val="17CF598E"/>
    <w:rsid w:val="17FE16D8"/>
    <w:rsid w:val="181F6915"/>
    <w:rsid w:val="18860E6A"/>
    <w:rsid w:val="188B7B07"/>
    <w:rsid w:val="18E11CC6"/>
    <w:rsid w:val="18EC4490"/>
    <w:rsid w:val="1903395F"/>
    <w:rsid w:val="191B4DCB"/>
    <w:rsid w:val="19436634"/>
    <w:rsid w:val="194A7FDD"/>
    <w:rsid w:val="194F34C0"/>
    <w:rsid w:val="195E5597"/>
    <w:rsid w:val="198A4263"/>
    <w:rsid w:val="198D57B0"/>
    <w:rsid w:val="19A075E2"/>
    <w:rsid w:val="19C81D7F"/>
    <w:rsid w:val="19D67D88"/>
    <w:rsid w:val="1A2C5AD4"/>
    <w:rsid w:val="1A444995"/>
    <w:rsid w:val="1A6A73D9"/>
    <w:rsid w:val="1A75281D"/>
    <w:rsid w:val="1A82717A"/>
    <w:rsid w:val="1A9058A9"/>
    <w:rsid w:val="1ABF618E"/>
    <w:rsid w:val="1AC8358C"/>
    <w:rsid w:val="1B4372AD"/>
    <w:rsid w:val="1B446693"/>
    <w:rsid w:val="1B4C5F5B"/>
    <w:rsid w:val="1B8A58E9"/>
    <w:rsid w:val="1B8D1DE8"/>
    <w:rsid w:val="1B913C72"/>
    <w:rsid w:val="1BDB156D"/>
    <w:rsid w:val="1C024584"/>
    <w:rsid w:val="1C2E403F"/>
    <w:rsid w:val="1C507174"/>
    <w:rsid w:val="1C99656B"/>
    <w:rsid w:val="1C9A01B5"/>
    <w:rsid w:val="1CB01529"/>
    <w:rsid w:val="1CD43A32"/>
    <w:rsid w:val="1CE47402"/>
    <w:rsid w:val="1CE65C54"/>
    <w:rsid w:val="1CF87735"/>
    <w:rsid w:val="1D2F7782"/>
    <w:rsid w:val="1D30540F"/>
    <w:rsid w:val="1D320E99"/>
    <w:rsid w:val="1D4F75E7"/>
    <w:rsid w:val="1D604F68"/>
    <w:rsid w:val="1D7A6781"/>
    <w:rsid w:val="1DAD0520"/>
    <w:rsid w:val="1DDD335E"/>
    <w:rsid w:val="1DE237A8"/>
    <w:rsid w:val="1DE76912"/>
    <w:rsid w:val="1DFE278E"/>
    <w:rsid w:val="1E047429"/>
    <w:rsid w:val="1E0D33FD"/>
    <w:rsid w:val="1E3D32F4"/>
    <w:rsid w:val="1E416F76"/>
    <w:rsid w:val="1E4878F3"/>
    <w:rsid w:val="1E691359"/>
    <w:rsid w:val="1EB96A00"/>
    <w:rsid w:val="1EBC337C"/>
    <w:rsid w:val="1EFF4E59"/>
    <w:rsid w:val="1F081FB6"/>
    <w:rsid w:val="1F1B429D"/>
    <w:rsid w:val="1F1C3BAF"/>
    <w:rsid w:val="1FB01ADC"/>
    <w:rsid w:val="1FBB2A1F"/>
    <w:rsid w:val="1FEC543E"/>
    <w:rsid w:val="1FEC7B3E"/>
    <w:rsid w:val="1FEE2B19"/>
    <w:rsid w:val="20005A8A"/>
    <w:rsid w:val="203647FC"/>
    <w:rsid w:val="204210A4"/>
    <w:rsid w:val="204C2272"/>
    <w:rsid w:val="205E0768"/>
    <w:rsid w:val="206E3B8C"/>
    <w:rsid w:val="207E61A3"/>
    <w:rsid w:val="20800CF8"/>
    <w:rsid w:val="2097696C"/>
    <w:rsid w:val="20C05077"/>
    <w:rsid w:val="20E33FDF"/>
    <w:rsid w:val="20F92F86"/>
    <w:rsid w:val="21082CE1"/>
    <w:rsid w:val="211014F1"/>
    <w:rsid w:val="21265ADD"/>
    <w:rsid w:val="212D35ED"/>
    <w:rsid w:val="217355DC"/>
    <w:rsid w:val="218C02B9"/>
    <w:rsid w:val="21C00AF7"/>
    <w:rsid w:val="21DF0EC4"/>
    <w:rsid w:val="21F1190D"/>
    <w:rsid w:val="21F7445F"/>
    <w:rsid w:val="22714212"/>
    <w:rsid w:val="22A068A5"/>
    <w:rsid w:val="22A55C69"/>
    <w:rsid w:val="22BC259C"/>
    <w:rsid w:val="22D95913"/>
    <w:rsid w:val="22F83FEB"/>
    <w:rsid w:val="22FD4570"/>
    <w:rsid w:val="230A0D66"/>
    <w:rsid w:val="23222C5F"/>
    <w:rsid w:val="232323B1"/>
    <w:rsid w:val="232C62EE"/>
    <w:rsid w:val="233B509B"/>
    <w:rsid w:val="234A72C1"/>
    <w:rsid w:val="23501250"/>
    <w:rsid w:val="23656DE9"/>
    <w:rsid w:val="23803C26"/>
    <w:rsid w:val="23C465C3"/>
    <w:rsid w:val="23E348CE"/>
    <w:rsid w:val="23FE74BB"/>
    <w:rsid w:val="244B0A92"/>
    <w:rsid w:val="24533494"/>
    <w:rsid w:val="246F2614"/>
    <w:rsid w:val="246F4781"/>
    <w:rsid w:val="24727DCD"/>
    <w:rsid w:val="247A20AA"/>
    <w:rsid w:val="24B71C84"/>
    <w:rsid w:val="24CE0CF0"/>
    <w:rsid w:val="24E916F8"/>
    <w:rsid w:val="24F41C2A"/>
    <w:rsid w:val="24F63477"/>
    <w:rsid w:val="250D1A3A"/>
    <w:rsid w:val="252B3571"/>
    <w:rsid w:val="253F05F7"/>
    <w:rsid w:val="25900E53"/>
    <w:rsid w:val="25933DEF"/>
    <w:rsid w:val="25B673AA"/>
    <w:rsid w:val="26180F62"/>
    <w:rsid w:val="26243349"/>
    <w:rsid w:val="263A0DBE"/>
    <w:rsid w:val="263F00FF"/>
    <w:rsid w:val="264E700F"/>
    <w:rsid w:val="265E685B"/>
    <w:rsid w:val="267333CE"/>
    <w:rsid w:val="26826FA0"/>
    <w:rsid w:val="26A30712"/>
    <w:rsid w:val="26BD2594"/>
    <w:rsid w:val="26C03072"/>
    <w:rsid w:val="26DE174A"/>
    <w:rsid w:val="26DE5BEE"/>
    <w:rsid w:val="26F71111"/>
    <w:rsid w:val="27116E03"/>
    <w:rsid w:val="27223D2C"/>
    <w:rsid w:val="27242FC5"/>
    <w:rsid w:val="273932D9"/>
    <w:rsid w:val="27580973"/>
    <w:rsid w:val="278E2DFF"/>
    <w:rsid w:val="2790792B"/>
    <w:rsid w:val="27E40FE2"/>
    <w:rsid w:val="27F21AE8"/>
    <w:rsid w:val="281C7C96"/>
    <w:rsid w:val="284976B9"/>
    <w:rsid w:val="284B2D9F"/>
    <w:rsid w:val="2852419D"/>
    <w:rsid w:val="287007A0"/>
    <w:rsid w:val="287C746C"/>
    <w:rsid w:val="289919C7"/>
    <w:rsid w:val="28AF0C7D"/>
    <w:rsid w:val="28C001BB"/>
    <w:rsid w:val="28F27F55"/>
    <w:rsid w:val="29064F88"/>
    <w:rsid w:val="290C16E7"/>
    <w:rsid w:val="2916341D"/>
    <w:rsid w:val="291E49C7"/>
    <w:rsid w:val="2940615C"/>
    <w:rsid w:val="29551371"/>
    <w:rsid w:val="296619FA"/>
    <w:rsid w:val="29803ADE"/>
    <w:rsid w:val="29BB3011"/>
    <w:rsid w:val="29C73352"/>
    <w:rsid w:val="2A297E40"/>
    <w:rsid w:val="2A481CFC"/>
    <w:rsid w:val="2A6708EB"/>
    <w:rsid w:val="2A6747C2"/>
    <w:rsid w:val="2A797FE1"/>
    <w:rsid w:val="2A815005"/>
    <w:rsid w:val="2A9D6C6F"/>
    <w:rsid w:val="2AE701F1"/>
    <w:rsid w:val="2AF27EBA"/>
    <w:rsid w:val="2AFC1BDC"/>
    <w:rsid w:val="2B195446"/>
    <w:rsid w:val="2B47222D"/>
    <w:rsid w:val="2BB4516F"/>
    <w:rsid w:val="2BBF62BB"/>
    <w:rsid w:val="2BC06B06"/>
    <w:rsid w:val="2BFC322C"/>
    <w:rsid w:val="2C2E25D6"/>
    <w:rsid w:val="2C421C4F"/>
    <w:rsid w:val="2C751549"/>
    <w:rsid w:val="2C932295"/>
    <w:rsid w:val="2C9A4365"/>
    <w:rsid w:val="2CBD06B1"/>
    <w:rsid w:val="2CC51489"/>
    <w:rsid w:val="2CC87124"/>
    <w:rsid w:val="2D0E5089"/>
    <w:rsid w:val="2D1A32EC"/>
    <w:rsid w:val="2D2401C2"/>
    <w:rsid w:val="2D3447B9"/>
    <w:rsid w:val="2D473974"/>
    <w:rsid w:val="2D621327"/>
    <w:rsid w:val="2D8D1E6F"/>
    <w:rsid w:val="2DF33D2D"/>
    <w:rsid w:val="2DF504E4"/>
    <w:rsid w:val="2E0F0993"/>
    <w:rsid w:val="2E341F95"/>
    <w:rsid w:val="2E53312E"/>
    <w:rsid w:val="2E9C43C4"/>
    <w:rsid w:val="2E9D638E"/>
    <w:rsid w:val="2EB703A3"/>
    <w:rsid w:val="2EE62CF3"/>
    <w:rsid w:val="2EED6BDB"/>
    <w:rsid w:val="2F0A333D"/>
    <w:rsid w:val="2F0E3678"/>
    <w:rsid w:val="2F594BFE"/>
    <w:rsid w:val="2F740E9D"/>
    <w:rsid w:val="2F754B98"/>
    <w:rsid w:val="2FA71273"/>
    <w:rsid w:val="2FBF7622"/>
    <w:rsid w:val="2FC04E57"/>
    <w:rsid w:val="2FC60788"/>
    <w:rsid w:val="2FFD2548"/>
    <w:rsid w:val="304720AE"/>
    <w:rsid w:val="305879B8"/>
    <w:rsid w:val="308064D2"/>
    <w:rsid w:val="3095556F"/>
    <w:rsid w:val="309E7046"/>
    <w:rsid w:val="30BE5674"/>
    <w:rsid w:val="30E10A2E"/>
    <w:rsid w:val="30EC37EE"/>
    <w:rsid w:val="30F039F0"/>
    <w:rsid w:val="30F354B8"/>
    <w:rsid w:val="312E0593"/>
    <w:rsid w:val="3163493A"/>
    <w:rsid w:val="316D0BD0"/>
    <w:rsid w:val="31834903"/>
    <w:rsid w:val="319C6612"/>
    <w:rsid w:val="31AB0640"/>
    <w:rsid w:val="31EA0BA8"/>
    <w:rsid w:val="320C7AB3"/>
    <w:rsid w:val="32130E41"/>
    <w:rsid w:val="3218366F"/>
    <w:rsid w:val="322748ED"/>
    <w:rsid w:val="32426CB8"/>
    <w:rsid w:val="325925CC"/>
    <w:rsid w:val="32654771"/>
    <w:rsid w:val="328A09D8"/>
    <w:rsid w:val="32E520FC"/>
    <w:rsid w:val="32F860CA"/>
    <w:rsid w:val="330C5D9B"/>
    <w:rsid w:val="33B7315F"/>
    <w:rsid w:val="33D637DA"/>
    <w:rsid w:val="33D77C4D"/>
    <w:rsid w:val="33EA13E4"/>
    <w:rsid w:val="34221E34"/>
    <w:rsid w:val="3454129D"/>
    <w:rsid w:val="34732F0D"/>
    <w:rsid w:val="347A51A8"/>
    <w:rsid w:val="34BD1371"/>
    <w:rsid w:val="35040F5B"/>
    <w:rsid w:val="350E3B42"/>
    <w:rsid w:val="3518051D"/>
    <w:rsid w:val="353E1BC4"/>
    <w:rsid w:val="354C268F"/>
    <w:rsid w:val="356261F0"/>
    <w:rsid w:val="35984155"/>
    <w:rsid w:val="359D4F3E"/>
    <w:rsid w:val="35EA26CC"/>
    <w:rsid w:val="35F175B6"/>
    <w:rsid w:val="35F74A58"/>
    <w:rsid w:val="35FD7FF2"/>
    <w:rsid w:val="367E74BA"/>
    <w:rsid w:val="36D5077E"/>
    <w:rsid w:val="36F84882"/>
    <w:rsid w:val="36FB21B9"/>
    <w:rsid w:val="37093A3A"/>
    <w:rsid w:val="375A0728"/>
    <w:rsid w:val="376D2502"/>
    <w:rsid w:val="3771617A"/>
    <w:rsid w:val="37906A90"/>
    <w:rsid w:val="37B160EC"/>
    <w:rsid w:val="37F83026"/>
    <w:rsid w:val="381476C1"/>
    <w:rsid w:val="38237553"/>
    <w:rsid w:val="382909C2"/>
    <w:rsid w:val="383C0E35"/>
    <w:rsid w:val="38456A52"/>
    <w:rsid w:val="384D4981"/>
    <w:rsid w:val="38660E85"/>
    <w:rsid w:val="387A1A0A"/>
    <w:rsid w:val="3894554E"/>
    <w:rsid w:val="38A327F3"/>
    <w:rsid w:val="38BD5F47"/>
    <w:rsid w:val="394970DC"/>
    <w:rsid w:val="395F5B8D"/>
    <w:rsid w:val="39647045"/>
    <w:rsid w:val="39677338"/>
    <w:rsid w:val="3975337B"/>
    <w:rsid w:val="39A14595"/>
    <w:rsid w:val="39D37108"/>
    <w:rsid w:val="39DC61F7"/>
    <w:rsid w:val="39E31EF0"/>
    <w:rsid w:val="3A52002D"/>
    <w:rsid w:val="3A685730"/>
    <w:rsid w:val="3AA54601"/>
    <w:rsid w:val="3AFE01B5"/>
    <w:rsid w:val="3AFF0BD6"/>
    <w:rsid w:val="3B253993"/>
    <w:rsid w:val="3B497682"/>
    <w:rsid w:val="3B8A556D"/>
    <w:rsid w:val="3B925D0A"/>
    <w:rsid w:val="3BA9623C"/>
    <w:rsid w:val="3BB865B6"/>
    <w:rsid w:val="3BC1359E"/>
    <w:rsid w:val="3BEB2052"/>
    <w:rsid w:val="3C2002E6"/>
    <w:rsid w:val="3C2F764E"/>
    <w:rsid w:val="3C3A521C"/>
    <w:rsid w:val="3C44527E"/>
    <w:rsid w:val="3CB107CC"/>
    <w:rsid w:val="3CE73994"/>
    <w:rsid w:val="3D156CF2"/>
    <w:rsid w:val="3DA43295"/>
    <w:rsid w:val="3DA908AC"/>
    <w:rsid w:val="3DAD6115"/>
    <w:rsid w:val="3EB9009A"/>
    <w:rsid w:val="3EB9A14E"/>
    <w:rsid w:val="3EF0311B"/>
    <w:rsid w:val="3F024941"/>
    <w:rsid w:val="3F092D1D"/>
    <w:rsid w:val="3F1C7ECB"/>
    <w:rsid w:val="3F7A7A9C"/>
    <w:rsid w:val="3F86576B"/>
    <w:rsid w:val="3F9C446F"/>
    <w:rsid w:val="3F9CD180"/>
    <w:rsid w:val="3FAD89E1"/>
    <w:rsid w:val="3FBF2227"/>
    <w:rsid w:val="3FBF47EE"/>
    <w:rsid w:val="400022D9"/>
    <w:rsid w:val="40087B72"/>
    <w:rsid w:val="40300E10"/>
    <w:rsid w:val="40326CE5"/>
    <w:rsid w:val="4053650C"/>
    <w:rsid w:val="40891E40"/>
    <w:rsid w:val="409F7FE5"/>
    <w:rsid w:val="40A03E3A"/>
    <w:rsid w:val="40A0713B"/>
    <w:rsid w:val="40C33E5F"/>
    <w:rsid w:val="40DC2D46"/>
    <w:rsid w:val="412E33A1"/>
    <w:rsid w:val="415348F6"/>
    <w:rsid w:val="415D6705"/>
    <w:rsid w:val="41787D53"/>
    <w:rsid w:val="419F393D"/>
    <w:rsid w:val="41A43864"/>
    <w:rsid w:val="41A97065"/>
    <w:rsid w:val="41B554C8"/>
    <w:rsid w:val="41DA204F"/>
    <w:rsid w:val="421B6C89"/>
    <w:rsid w:val="4276494E"/>
    <w:rsid w:val="427A3464"/>
    <w:rsid w:val="42BD2703"/>
    <w:rsid w:val="42F529D7"/>
    <w:rsid w:val="43021843"/>
    <w:rsid w:val="431D52BE"/>
    <w:rsid w:val="43230965"/>
    <w:rsid w:val="43251F69"/>
    <w:rsid w:val="433504EC"/>
    <w:rsid w:val="437023A1"/>
    <w:rsid w:val="4379487C"/>
    <w:rsid w:val="43940700"/>
    <w:rsid w:val="440C749E"/>
    <w:rsid w:val="442F088A"/>
    <w:rsid w:val="44307631"/>
    <w:rsid w:val="4467683F"/>
    <w:rsid w:val="44923E21"/>
    <w:rsid w:val="44955F88"/>
    <w:rsid w:val="44C37589"/>
    <w:rsid w:val="44EF1DF1"/>
    <w:rsid w:val="44F86057"/>
    <w:rsid w:val="451942D0"/>
    <w:rsid w:val="45195EFE"/>
    <w:rsid w:val="454669E0"/>
    <w:rsid w:val="456D6C19"/>
    <w:rsid w:val="458D5615"/>
    <w:rsid w:val="459F3984"/>
    <w:rsid w:val="45B918A8"/>
    <w:rsid w:val="45B935E9"/>
    <w:rsid w:val="46054AED"/>
    <w:rsid w:val="46201F68"/>
    <w:rsid w:val="464E2358"/>
    <w:rsid w:val="469B66DD"/>
    <w:rsid w:val="46DC75FC"/>
    <w:rsid w:val="46FD732B"/>
    <w:rsid w:val="47262F6D"/>
    <w:rsid w:val="472B2331"/>
    <w:rsid w:val="473531B0"/>
    <w:rsid w:val="47480955"/>
    <w:rsid w:val="476402C4"/>
    <w:rsid w:val="47A82AB4"/>
    <w:rsid w:val="47C10BA2"/>
    <w:rsid w:val="47DF6DA0"/>
    <w:rsid w:val="483945E2"/>
    <w:rsid w:val="48671147"/>
    <w:rsid w:val="486D1E5A"/>
    <w:rsid w:val="48790E7B"/>
    <w:rsid w:val="489E0390"/>
    <w:rsid w:val="48B73837"/>
    <w:rsid w:val="48BE1E96"/>
    <w:rsid w:val="48D6451F"/>
    <w:rsid w:val="4923004B"/>
    <w:rsid w:val="492650D3"/>
    <w:rsid w:val="493E459E"/>
    <w:rsid w:val="49777AB0"/>
    <w:rsid w:val="49855EF5"/>
    <w:rsid w:val="49AE276B"/>
    <w:rsid w:val="49C600F0"/>
    <w:rsid w:val="4A03303C"/>
    <w:rsid w:val="4A58168F"/>
    <w:rsid w:val="4A864096"/>
    <w:rsid w:val="4A9B5A20"/>
    <w:rsid w:val="4AAD02C3"/>
    <w:rsid w:val="4AD50343"/>
    <w:rsid w:val="4AF173EE"/>
    <w:rsid w:val="4B1479E5"/>
    <w:rsid w:val="4B545E9E"/>
    <w:rsid w:val="4B8F7E9C"/>
    <w:rsid w:val="4BB65BBE"/>
    <w:rsid w:val="4BCD1168"/>
    <w:rsid w:val="4BDA35C6"/>
    <w:rsid w:val="4BED7AD4"/>
    <w:rsid w:val="4BF25D04"/>
    <w:rsid w:val="4C23524A"/>
    <w:rsid w:val="4C240155"/>
    <w:rsid w:val="4C33503E"/>
    <w:rsid w:val="4C386D07"/>
    <w:rsid w:val="4C3C672A"/>
    <w:rsid w:val="4C453E95"/>
    <w:rsid w:val="4C4719BC"/>
    <w:rsid w:val="4C512CF9"/>
    <w:rsid w:val="4C5E7342"/>
    <w:rsid w:val="4CA45D54"/>
    <w:rsid w:val="4CA73414"/>
    <w:rsid w:val="4CD96B54"/>
    <w:rsid w:val="4D0203A4"/>
    <w:rsid w:val="4D3240E8"/>
    <w:rsid w:val="4D36558C"/>
    <w:rsid w:val="4D4C4DB0"/>
    <w:rsid w:val="4DB57A28"/>
    <w:rsid w:val="4DBC29E8"/>
    <w:rsid w:val="4E102281"/>
    <w:rsid w:val="4E4C671B"/>
    <w:rsid w:val="4E5C0AB5"/>
    <w:rsid w:val="4E817570"/>
    <w:rsid w:val="4EBB21ED"/>
    <w:rsid w:val="4EC35C9C"/>
    <w:rsid w:val="4ED3732A"/>
    <w:rsid w:val="4F06581D"/>
    <w:rsid w:val="4F5F1D9F"/>
    <w:rsid w:val="4F772612"/>
    <w:rsid w:val="4F824AB9"/>
    <w:rsid w:val="4F987C0E"/>
    <w:rsid w:val="4FBF6CFD"/>
    <w:rsid w:val="4FC47125"/>
    <w:rsid w:val="4FEB01C7"/>
    <w:rsid w:val="50125E3D"/>
    <w:rsid w:val="502301EC"/>
    <w:rsid w:val="50230B97"/>
    <w:rsid w:val="502918AA"/>
    <w:rsid w:val="502C7880"/>
    <w:rsid w:val="503B5AD9"/>
    <w:rsid w:val="506544E3"/>
    <w:rsid w:val="509C1BAA"/>
    <w:rsid w:val="50F343B8"/>
    <w:rsid w:val="511B51C5"/>
    <w:rsid w:val="51234079"/>
    <w:rsid w:val="51267798"/>
    <w:rsid w:val="51427728"/>
    <w:rsid w:val="51460C2E"/>
    <w:rsid w:val="51AB479B"/>
    <w:rsid w:val="51AD67E3"/>
    <w:rsid w:val="521F05B1"/>
    <w:rsid w:val="5251502F"/>
    <w:rsid w:val="528567C6"/>
    <w:rsid w:val="52A15B9E"/>
    <w:rsid w:val="52C41CCF"/>
    <w:rsid w:val="52C46B68"/>
    <w:rsid w:val="533B32F1"/>
    <w:rsid w:val="533C54C5"/>
    <w:rsid w:val="53461CF4"/>
    <w:rsid w:val="534A6D20"/>
    <w:rsid w:val="538F59F6"/>
    <w:rsid w:val="53901E9A"/>
    <w:rsid w:val="53AF3411"/>
    <w:rsid w:val="53B87239"/>
    <w:rsid w:val="53C25D1F"/>
    <w:rsid w:val="53C54E69"/>
    <w:rsid w:val="53D17DBD"/>
    <w:rsid w:val="53E0706A"/>
    <w:rsid w:val="541B7D48"/>
    <w:rsid w:val="548D6253"/>
    <w:rsid w:val="54D33FC5"/>
    <w:rsid w:val="552D6F21"/>
    <w:rsid w:val="554303EA"/>
    <w:rsid w:val="559910CD"/>
    <w:rsid w:val="559F553A"/>
    <w:rsid w:val="55BF1621"/>
    <w:rsid w:val="55C230B1"/>
    <w:rsid w:val="55D1617D"/>
    <w:rsid w:val="56246DA9"/>
    <w:rsid w:val="562F60E8"/>
    <w:rsid w:val="56554015"/>
    <w:rsid w:val="56612298"/>
    <w:rsid w:val="56A56F28"/>
    <w:rsid w:val="56B46BA8"/>
    <w:rsid w:val="56B71C06"/>
    <w:rsid w:val="56C37714"/>
    <w:rsid w:val="56F561BC"/>
    <w:rsid w:val="57184310"/>
    <w:rsid w:val="57744C97"/>
    <w:rsid w:val="578A4E52"/>
    <w:rsid w:val="57BD0A12"/>
    <w:rsid w:val="57BD2A7F"/>
    <w:rsid w:val="57C214BB"/>
    <w:rsid w:val="57C55E8A"/>
    <w:rsid w:val="57CC4BC2"/>
    <w:rsid w:val="57D6645B"/>
    <w:rsid w:val="580200FE"/>
    <w:rsid w:val="5802263C"/>
    <w:rsid w:val="58134E48"/>
    <w:rsid w:val="58293A6E"/>
    <w:rsid w:val="584414A5"/>
    <w:rsid w:val="5849381E"/>
    <w:rsid w:val="585E0B2F"/>
    <w:rsid w:val="588E3069"/>
    <w:rsid w:val="59057FBA"/>
    <w:rsid w:val="5918350F"/>
    <w:rsid w:val="592A1D4D"/>
    <w:rsid w:val="5935203B"/>
    <w:rsid w:val="593767E1"/>
    <w:rsid w:val="596A47F7"/>
    <w:rsid w:val="596B480F"/>
    <w:rsid w:val="597722BD"/>
    <w:rsid w:val="597D5917"/>
    <w:rsid w:val="598B1F00"/>
    <w:rsid w:val="59D60DDC"/>
    <w:rsid w:val="59DE0DE5"/>
    <w:rsid w:val="59E52814"/>
    <w:rsid w:val="59F14D15"/>
    <w:rsid w:val="5A54512D"/>
    <w:rsid w:val="5A5A4FB0"/>
    <w:rsid w:val="5AA24693"/>
    <w:rsid w:val="5AB30DBD"/>
    <w:rsid w:val="5ABF6B4D"/>
    <w:rsid w:val="5AD405B8"/>
    <w:rsid w:val="5B10267A"/>
    <w:rsid w:val="5B386F1B"/>
    <w:rsid w:val="5B684F72"/>
    <w:rsid w:val="5B7B51DE"/>
    <w:rsid w:val="5B7C6F38"/>
    <w:rsid w:val="5BA45883"/>
    <w:rsid w:val="5BAD3D40"/>
    <w:rsid w:val="5BD568C9"/>
    <w:rsid w:val="5C007DBB"/>
    <w:rsid w:val="5C44103A"/>
    <w:rsid w:val="5C49708A"/>
    <w:rsid w:val="5C4B5480"/>
    <w:rsid w:val="5C4E228D"/>
    <w:rsid w:val="5C5707D2"/>
    <w:rsid w:val="5C62639E"/>
    <w:rsid w:val="5C641EB0"/>
    <w:rsid w:val="5CC15ABD"/>
    <w:rsid w:val="5CC33F0A"/>
    <w:rsid w:val="5CFC702B"/>
    <w:rsid w:val="5D104305"/>
    <w:rsid w:val="5D187CC4"/>
    <w:rsid w:val="5D2E1A59"/>
    <w:rsid w:val="5D3D4213"/>
    <w:rsid w:val="5D4D0113"/>
    <w:rsid w:val="5D676648"/>
    <w:rsid w:val="5DE43683"/>
    <w:rsid w:val="5DE93F2D"/>
    <w:rsid w:val="5E020A8A"/>
    <w:rsid w:val="5E072B42"/>
    <w:rsid w:val="5E145476"/>
    <w:rsid w:val="5E161E89"/>
    <w:rsid w:val="5E186B9B"/>
    <w:rsid w:val="5E3249B6"/>
    <w:rsid w:val="5E604FC0"/>
    <w:rsid w:val="5E916973"/>
    <w:rsid w:val="5E9E1E4A"/>
    <w:rsid w:val="5EAE2616"/>
    <w:rsid w:val="5EB96260"/>
    <w:rsid w:val="5EBE3F2E"/>
    <w:rsid w:val="5EC9087E"/>
    <w:rsid w:val="5ECC3FA2"/>
    <w:rsid w:val="5EE50BC0"/>
    <w:rsid w:val="5EE61D7E"/>
    <w:rsid w:val="5EFD0600"/>
    <w:rsid w:val="5F055D36"/>
    <w:rsid w:val="5F0674B4"/>
    <w:rsid w:val="5F162BB1"/>
    <w:rsid w:val="5F1F3EE8"/>
    <w:rsid w:val="5F4366D8"/>
    <w:rsid w:val="5F5B5205"/>
    <w:rsid w:val="5F6F3AC3"/>
    <w:rsid w:val="5F8F0F5E"/>
    <w:rsid w:val="5FB155F6"/>
    <w:rsid w:val="601D3D0F"/>
    <w:rsid w:val="603A4048"/>
    <w:rsid w:val="604F4E8B"/>
    <w:rsid w:val="60680925"/>
    <w:rsid w:val="60B04A47"/>
    <w:rsid w:val="60DC595C"/>
    <w:rsid w:val="60E406F3"/>
    <w:rsid w:val="61121405"/>
    <w:rsid w:val="613310AF"/>
    <w:rsid w:val="61461B2D"/>
    <w:rsid w:val="615A7A8E"/>
    <w:rsid w:val="616F768B"/>
    <w:rsid w:val="61882403"/>
    <w:rsid w:val="618D637D"/>
    <w:rsid w:val="61A94127"/>
    <w:rsid w:val="61EF4933"/>
    <w:rsid w:val="620664E7"/>
    <w:rsid w:val="624E0CB8"/>
    <w:rsid w:val="625C12E4"/>
    <w:rsid w:val="62743D8F"/>
    <w:rsid w:val="62807A8E"/>
    <w:rsid w:val="62A63FED"/>
    <w:rsid w:val="62B31701"/>
    <w:rsid w:val="62B74DD7"/>
    <w:rsid w:val="62E40EF1"/>
    <w:rsid w:val="62E84B16"/>
    <w:rsid w:val="630A1EE8"/>
    <w:rsid w:val="630E6937"/>
    <w:rsid w:val="630E7143"/>
    <w:rsid w:val="6323127A"/>
    <w:rsid w:val="638523B2"/>
    <w:rsid w:val="638A0EE9"/>
    <w:rsid w:val="63962A15"/>
    <w:rsid w:val="63CB2A7A"/>
    <w:rsid w:val="63DE69B4"/>
    <w:rsid w:val="63DF245B"/>
    <w:rsid w:val="642C7745"/>
    <w:rsid w:val="64387E67"/>
    <w:rsid w:val="64526451"/>
    <w:rsid w:val="64526DC7"/>
    <w:rsid w:val="648F3AA8"/>
    <w:rsid w:val="64A23A81"/>
    <w:rsid w:val="64B747E6"/>
    <w:rsid w:val="64C7617B"/>
    <w:rsid w:val="64CE38A5"/>
    <w:rsid w:val="65077385"/>
    <w:rsid w:val="651F01DC"/>
    <w:rsid w:val="6531249E"/>
    <w:rsid w:val="653F7FD2"/>
    <w:rsid w:val="659A19EA"/>
    <w:rsid w:val="659D55BB"/>
    <w:rsid w:val="65B8702E"/>
    <w:rsid w:val="65C43C59"/>
    <w:rsid w:val="65DB033A"/>
    <w:rsid w:val="65DF6369"/>
    <w:rsid w:val="65EB11B2"/>
    <w:rsid w:val="65EF4451"/>
    <w:rsid w:val="660B04E5"/>
    <w:rsid w:val="66287A82"/>
    <w:rsid w:val="66320795"/>
    <w:rsid w:val="666E2224"/>
    <w:rsid w:val="668E78C5"/>
    <w:rsid w:val="668F13B3"/>
    <w:rsid w:val="668F1B3D"/>
    <w:rsid w:val="668F7120"/>
    <w:rsid w:val="66966B0D"/>
    <w:rsid w:val="66CE6A6A"/>
    <w:rsid w:val="673426E5"/>
    <w:rsid w:val="675D26CE"/>
    <w:rsid w:val="6760797E"/>
    <w:rsid w:val="677423E5"/>
    <w:rsid w:val="678E565F"/>
    <w:rsid w:val="67A41618"/>
    <w:rsid w:val="67F307F2"/>
    <w:rsid w:val="680B2E8B"/>
    <w:rsid w:val="680D3DFC"/>
    <w:rsid w:val="682874E7"/>
    <w:rsid w:val="68581642"/>
    <w:rsid w:val="68B33846"/>
    <w:rsid w:val="68B62582"/>
    <w:rsid w:val="68D35203"/>
    <w:rsid w:val="68F55D19"/>
    <w:rsid w:val="6905074E"/>
    <w:rsid w:val="69555136"/>
    <w:rsid w:val="69652A6D"/>
    <w:rsid w:val="69F10D61"/>
    <w:rsid w:val="69F952AB"/>
    <w:rsid w:val="6A4470E3"/>
    <w:rsid w:val="6A4D243B"/>
    <w:rsid w:val="6A512BC5"/>
    <w:rsid w:val="6A5839CE"/>
    <w:rsid w:val="6A815C41"/>
    <w:rsid w:val="6A934FDA"/>
    <w:rsid w:val="6ACA0F61"/>
    <w:rsid w:val="6ACF025D"/>
    <w:rsid w:val="6ADE3093"/>
    <w:rsid w:val="6AF6662F"/>
    <w:rsid w:val="6B0A0E5E"/>
    <w:rsid w:val="6B0D363F"/>
    <w:rsid w:val="6B16161C"/>
    <w:rsid w:val="6B1A06A2"/>
    <w:rsid w:val="6BB32772"/>
    <w:rsid w:val="6BB81B36"/>
    <w:rsid w:val="6BC66FA2"/>
    <w:rsid w:val="6BCF7953"/>
    <w:rsid w:val="6BE203D1"/>
    <w:rsid w:val="6C1B2810"/>
    <w:rsid w:val="6C260B6A"/>
    <w:rsid w:val="6C586E75"/>
    <w:rsid w:val="6CD148B0"/>
    <w:rsid w:val="6CE2382D"/>
    <w:rsid w:val="6CFE540E"/>
    <w:rsid w:val="6D59574F"/>
    <w:rsid w:val="6D851EEC"/>
    <w:rsid w:val="6DF70E25"/>
    <w:rsid w:val="6E296D1B"/>
    <w:rsid w:val="6E335086"/>
    <w:rsid w:val="6E3E6A26"/>
    <w:rsid w:val="6E447975"/>
    <w:rsid w:val="6E4A0A40"/>
    <w:rsid w:val="6E5F2387"/>
    <w:rsid w:val="6E755372"/>
    <w:rsid w:val="6E8359C8"/>
    <w:rsid w:val="6E8D2C73"/>
    <w:rsid w:val="6EA541FE"/>
    <w:rsid w:val="6EB348B6"/>
    <w:rsid w:val="6EC95E08"/>
    <w:rsid w:val="6EEDA300"/>
    <w:rsid w:val="6EF03DD1"/>
    <w:rsid w:val="6EF5395D"/>
    <w:rsid w:val="6EFE1F56"/>
    <w:rsid w:val="6F1F37C4"/>
    <w:rsid w:val="6F200573"/>
    <w:rsid w:val="6F46756B"/>
    <w:rsid w:val="6F586B3A"/>
    <w:rsid w:val="6F60676D"/>
    <w:rsid w:val="6F6D6772"/>
    <w:rsid w:val="6F7721C0"/>
    <w:rsid w:val="6F7F7317"/>
    <w:rsid w:val="6F8D513A"/>
    <w:rsid w:val="6FAB7BD8"/>
    <w:rsid w:val="6FD23104"/>
    <w:rsid w:val="6FFF5737"/>
    <w:rsid w:val="7000585A"/>
    <w:rsid w:val="70131A31"/>
    <w:rsid w:val="70185AF7"/>
    <w:rsid w:val="70574571"/>
    <w:rsid w:val="70727187"/>
    <w:rsid w:val="708C3591"/>
    <w:rsid w:val="70B066BF"/>
    <w:rsid w:val="70F0051D"/>
    <w:rsid w:val="70F86BAC"/>
    <w:rsid w:val="71122A89"/>
    <w:rsid w:val="712C5F13"/>
    <w:rsid w:val="71607E98"/>
    <w:rsid w:val="71777D9E"/>
    <w:rsid w:val="71AA435E"/>
    <w:rsid w:val="71B0505E"/>
    <w:rsid w:val="71D03172"/>
    <w:rsid w:val="71F94F74"/>
    <w:rsid w:val="720535FB"/>
    <w:rsid w:val="728E35F1"/>
    <w:rsid w:val="729D1933"/>
    <w:rsid w:val="72E01FD9"/>
    <w:rsid w:val="72F668BB"/>
    <w:rsid w:val="733A296A"/>
    <w:rsid w:val="733D6460"/>
    <w:rsid w:val="735C36EF"/>
    <w:rsid w:val="73685BF0"/>
    <w:rsid w:val="736F2D56"/>
    <w:rsid w:val="73903C1F"/>
    <w:rsid w:val="73D56FFD"/>
    <w:rsid w:val="73FF1156"/>
    <w:rsid w:val="73FF6873"/>
    <w:rsid w:val="741C5549"/>
    <w:rsid w:val="742F2BB2"/>
    <w:rsid w:val="74757A8A"/>
    <w:rsid w:val="747E0682"/>
    <w:rsid w:val="748505C2"/>
    <w:rsid w:val="74A2351B"/>
    <w:rsid w:val="74BA5E70"/>
    <w:rsid w:val="74D45D24"/>
    <w:rsid w:val="74DF4D01"/>
    <w:rsid w:val="7501454E"/>
    <w:rsid w:val="75556757"/>
    <w:rsid w:val="756845CD"/>
    <w:rsid w:val="757271FA"/>
    <w:rsid w:val="75DE488F"/>
    <w:rsid w:val="75FB5D41"/>
    <w:rsid w:val="7665251E"/>
    <w:rsid w:val="76657FCA"/>
    <w:rsid w:val="766D176F"/>
    <w:rsid w:val="76830F93"/>
    <w:rsid w:val="76BD2288"/>
    <w:rsid w:val="76C20176"/>
    <w:rsid w:val="76C566B0"/>
    <w:rsid w:val="76DB2892"/>
    <w:rsid w:val="76F22971"/>
    <w:rsid w:val="76F74D0C"/>
    <w:rsid w:val="772507A2"/>
    <w:rsid w:val="776F6ED5"/>
    <w:rsid w:val="7777375A"/>
    <w:rsid w:val="778356EE"/>
    <w:rsid w:val="77A62CC6"/>
    <w:rsid w:val="77AB254F"/>
    <w:rsid w:val="77E551A1"/>
    <w:rsid w:val="77FDD533"/>
    <w:rsid w:val="780600CD"/>
    <w:rsid w:val="78064783"/>
    <w:rsid w:val="78451A8F"/>
    <w:rsid w:val="786B3F4D"/>
    <w:rsid w:val="7892370F"/>
    <w:rsid w:val="78F341AE"/>
    <w:rsid w:val="792C02F2"/>
    <w:rsid w:val="793751FE"/>
    <w:rsid w:val="79554E68"/>
    <w:rsid w:val="79DD7762"/>
    <w:rsid w:val="79F00898"/>
    <w:rsid w:val="79FD55A8"/>
    <w:rsid w:val="7A10422C"/>
    <w:rsid w:val="7A2C7165"/>
    <w:rsid w:val="7A39090F"/>
    <w:rsid w:val="7A493A8D"/>
    <w:rsid w:val="7A9C598D"/>
    <w:rsid w:val="7AA22918"/>
    <w:rsid w:val="7B4144FD"/>
    <w:rsid w:val="7B4C3896"/>
    <w:rsid w:val="7B6A3C63"/>
    <w:rsid w:val="7B7704E2"/>
    <w:rsid w:val="7B822493"/>
    <w:rsid w:val="7B843AB0"/>
    <w:rsid w:val="7BB816DF"/>
    <w:rsid w:val="7BFC5CFE"/>
    <w:rsid w:val="7C60433F"/>
    <w:rsid w:val="7C6929D9"/>
    <w:rsid w:val="7CA94881"/>
    <w:rsid w:val="7CD44000"/>
    <w:rsid w:val="7CD82038"/>
    <w:rsid w:val="7CDE333C"/>
    <w:rsid w:val="7CE665BE"/>
    <w:rsid w:val="7D6A27B1"/>
    <w:rsid w:val="7D711B45"/>
    <w:rsid w:val="7D816CD6"/>
    <w:rsid w:val="7D931C52"/>
    <w:rsid w:val="7DB31B90"/>
    <w:rsid w:val="7DD75831"/>
    <w:rsid w:val="7DDF53B9"/>
    <w:rsid w:val="7E407D0E"/>
    <w:rsid w:val="7E663730"/>
    <w:rsid w:val="7E7205C2"/>
    <w:rsid w:val="7E7F0292"/>
    <w:rsid w:val="7E7F6160"/>
    <w:rsid w:val="7E8146EE"/>
    <w:rsid w:val="7E92226D"/>
    <w:rsid w:val="7EBE04CB"/>
    <w:rsid w:val="7F3F6D95"/>
    <w:rsid w:val="7F486767"/>
    <w:rsid w:val="7FB429AA"/>
    <w:rsid w:val="7FC0459F"/>
    <w:rsid w:val="7FD12FC7"/>
    <w:rsid w:val="7FDEAAB5"/>
    <w:rsid w:val="7FF207FC"/>
    <w:rsid w:val="AFE3C395"/>
    <w:rsid w:val="B4D3E113"/>
    <w:rsid w:val="B6DB629F"/>
    <w:rsid w:val="BEFEB61B"/>
    <w:rsid w:val="CEFF013B"/>
    <w:rsid w:val="D47E1FB8"/>
    <w:rsid w:val="D7BFD1BD"/>
    <w:rsid w:val="D8A72F9C"/>
    <w:rsid w:val="DD7F89F7"/>
    <w:rsid w:val="DFE71486"/>
    <w:rsid w:val="DFFF3381"/>
    <w:rsid w:val="E6A742FF"/>
    <w:rsid w:val="EFEDC59F"/>
    <w:rsid w:val="F75B0AD0"/>
    <w:rsid w:val="F8671B09"/>
    <w:rsid w:val="F917E4AC"/>
    <w:rsid w:val="FCFF0DEA"/>
    <w:rsid w:val="FDEDB8E9"/>
    <w:rsid w:val="FDFBE8F3"/>
    <w:rsid w:val="FE7BABEB"/>
    <w:rsid w:val="FEFBC23F"/>
    <w:rsid w:val="FFBF4DDB"/>
    <w:rsid w:val="FFDFA4EC"/>
    <w:rsid w:val="FFED4BD5"/>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nhideWhenUsed="0" w:uiPriority="9" w:semiHidden="0" w:name="heading 3"/>
    <w:lsdException w:qFormat="1" w:unhideWhenUsed="0" w:uiPriority="9" w:semiHidden="0" w:name="heading 4"/>
    <w:lsdException w:qFormat="1" w:unhideWhenUsed="0" w:uiPriority="9" w:semiHidden="0" w:name="heading 5"/>
    <w:lsdException w:qFormat="1" w:unhideWhenUsed="0" w:uiPriority="9" w:semiHidden="0" w:name="heading 6"/>
    <w:lsdException w:qFormat="1" w:unhideWhenUsed="0" w:uiPriority="9" w:semiHidden="0" w:name="heading 7"/>
    <w:lsdException w:qFormat="1" w:unhideWhenUsed="0" w:uiPriority="9" w:semiHidden="0" w:name="heading 8"/>
    <w:lsdException w:qFormat="1" w:unhideWhenUsed="0" w:uiPriority="9" w:semiHidden="0" w:name="heading 9"/>
    <w:lsdException w:qFormat="1" w:unhideWhenUsed="0" w:uiPriority="0" w:semiHidden="0" w:name="index 1"/>
    <w:lsdException w:qFormat="1" w:unhideWhenUsed="0" w:uiPriority="0" w:semiHidden="0" w:name="index 2"/>
    <w:lsdException w:qFormat="1" w:unhideWhenUsed="0" w:uiPriority="0" w:semiHidden="0" w:name="index 3"/>
    <w:lsdException w:qFormat="1" w:unhideWhenUsed="0" w:uiPriority="0" w:semiHidden="0" w:name="index 4"/>
    <w:lsdException w:qFormat="1" w:unhideWhenUsed="0" w:uiPriority="0" w:semiHidden="0" w:name="index 5"/>
    <w:lsdException w:qFormat="1" w:unhideWhenUsed="0" w:uiPriority="0" w:semiHidden="0" w:name="index 6"/>
    <w:lsdException w:qFormat="1" w:unhideWhenUsed="0" w:uiPriority="0" w:semiHidden="0" w:name="index 7"/>
    <w:lsdException w:qFormat="1" w:unhideWhenUsed="0" w:uiPriority="0" w:semiHidden="0" w:name="index 8"/>
    <w:lsdException w:qFormat="1"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nhideWhenUsed="0" w:uiPriority="99" w:semiHidden="0" w:name="annotation text"/>
    <w:lsdException w:qFormat="1" w:unhideWhenUsed="0" w:uiPriority="99" w:semiHidden="0" w:name="header"/>
    <w:lsdException w:qFormat="1" w:unhideWhenUsed="0" w:uiPriority="99" w:semiHidden="0" w:name="footer"/>
    <w:lsdException w:qFormat="1" w:unhideWhenUsed="0" w:uiPriority="0" w:semiHidden="0" w:name="index heading"/>
    <w:lsdException w:qFormat="1" w:unhideWhenUsed="0" w:uiPriority="0" w:semiHidden="0" w:name="caption"/>
    <w:lsdException w:qFormat="1" w:unhideWhenUsed="0" w:uiPriority="0" w:semiHidden="0" w:name="table of figures"/>
    <w:lsdException w:qFormat="1" w:unhideWhenUsed="0" w:uiPriority="0" w:semiHidden="0" w:name="envelope address"/>
    <w:lsdException w:qFormat="1" w:unhideWhenUsed="0" w:uiPriority="0" w:semiHidden="0" w:name="envelope return"/>
    <w:lsdException w:uiPriority="99" w:name="footnote reference"/>
    <w:lsdException w:qFormat="1" w:unhideWhenUsed="0" w:uiPriority="0" w:semiHidden="0" w:name="annotation reference"/>
    <w:lsdException w:uiPriority="99" w:name="line number"/>
    <w:lsdException w:qFormat="1" w:unhideWhenUsed="0" w:uiPriority="0" w:semiHidden="0" w:name="page number"/>
    <w:lsdException w:uiPriority="99" w:name="endnote reference"/>
    <w:lsdException w:qFormat="1" w:unhideWhenUsed="0" w:uiPriority="0" w:semiHidden="0" w:name="endnote text"/>
    <w:lsdException w:qFormat="1" w:unhideWhenUsed="0" w:uiPriority="0" w:semiHidden="0" w:name="table of authorities"/>
    <w:lsdException w:qFormat="1" w:unhideWhenUsed="0" w:uiPriority="0" w:semiHidden="0" w:name="macro"/>
    <w:lsdException w:qFormat="1" w:unhideWhenUsed="0" w:uiPriority="0" w:semiHidden="0" w:name="toa heading"/>
    <w:lsdException w:qFormat="1" w:unhideWhenUsed="0" w:uiPriority="0" w:semiHidden="0" w:name="List"/>
    <w:lsdException w:qFormat="1" w:unhideWhenUsed="0" w:uiPriority="0" w:semiHidden="0" w:name="List Bullet"/>
    <w:lsdException w:qFormat="1" w:unhideWhenUsed="0" w:uiPriority="0" w:semiHidden="0" w:name="List Number"/>
    <w:lsdException w:qFormat="1" w:unhideWhenUsed="0" w:uiPriority="0" w:semiHidden="0" w:name="List 2"/>
    <w:lsdException w:qFormat="1" w:unhideWhenUsed="0" w:uiPriority="0" w:semiHidden="0" w:name="List 3"/>
    <w:lsdException w:qFormat="1" w:unhideWhenUsed="0" w:uiPriority="0" w:semiHidden="0" w:name="List 4"/>
    <w:lsdException w:qFormat="1" w:unhideWhenUsed="0" w:uiPriority="0" w:semiHidden="0" w:name="List 5"/>
    <w:lsdException w:qFormat="1" w:unhideWhenUsed="0" w:uiPriority="0" w:semiHidden="0" w:name="List Bullet 2"/>
    <w:lsdException w:qFormat="1" w:unhideWhenUsed="0" w:uiPriority="0" w:semiHidden="0" w:name="List Bullet 3"/>
    <w:lsdException w:qFormat="1" w:unhideWhenUsed="0" w:uiPriority="0" w:semiHidden="0" w:name="List Bullet 4"/>
    <w:lsdException w:qFormat="1" w:unhideWhenUsed="0" w:uiPriority="0" w:semiHidden="0" w:name="List Bullet 5"/>
    <w:lsdException w:qFormat="1" w:unhideWhenUsed="0" w:uiPriority="0" w:semiHidden="0" w:name="List Number 2"/>
    <w:lsdException w:qFormat="1" w:unhideWhenUsed="0" w:uiPriority="0" w:semiHidden="0" w:name="List Number 3"/>
    <w:lsdException w:qFormat="1" w:unhideWhenUsed="0" w:uiPriority="0" w:semiHidden="0" w:name="List Number 4"/>
    <w:lsdException w:qFormat="1" w:unhideWhenUsed="0" w:uiPriority="0" w:semiHidden="0" w:name="List Number 5"/>
    <w:lsdException w:qFormat="1" w:unhideWhenUsed="0" w:uiPriority="0" w:semiHidden="0" w:name="Title"/>
    <w:lsdException w:qFormat="1" w:unhideWhenUsed="0" w:uiPriority="0" w:semiHidden="0" w:name="Closing"/>
    <w:lsdException w:qFormat="1"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qFormat="1" w:unhideWhenUsed="0" w:uiPriority="0" w:semiHidden="0" w:name="List Continue"/>
    <w:lsdException w:qFormat="1" w:unhideWhenUsed="0" w:uiPriority="0" w:semiHidden="0" w:name="List Continue 2"/>
    <w:lsdException w:qFormat="1" w:unhideWhenUsed="0" w:uiPriority="0" w:semiHidden="0" w:name="List Continue 3"/>
    <w:lsdException w:qFormat="1" w:unhideWhenUsed="0" w:uiPriority="0" w:semiHidden="0" w:name="List Continue 4"/>
    <w:lsdException w:qFormat="1" w:unhideWhenUsed="0" w:uiPriority="0" w:semiHidden="0" w:name="List Continue 5"/>
    <w:lsdException w:qFormat="1" w:unhideWhenUsed="0" w:uiPriority="0" w:semiHidden="0" w:name="Message Header"/>
    <w:lsdException w:qFormat="1" w:unhideWhenUsed="0" w:uiPriority="0" w:semiHidden="0" w:name="Subtitle"/>
    <w:lsdException w:qFormat="1"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qFormat="1"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99" w:semiHidden="0" w:name="FollowedHyperlink"/>
    <w:lsdException w:qFormat="1" w:unhideWhenUsed="0" w:uiPriority="0" w:semiHidden="0" w:name="Strong"/>
    <w:lsdException w:qFormat="1" w:unhideWhenUsed="0" w:uiPriority="0" w:semiHidden="0" w:name="Emphasis"/>
    <w:lsdException w:qFormat="1" w:unhideWhenUsed="0" w:uiPriority="99" w:semiHidden="0" w:name="Document Map"/>
    <w:lsdException w:qFormat="1" w:unhideWhenUsed="0" w:uiPriority="0" w:semiHidden="0" w:name="Plain Text"/>
    <w:lsdException w:qFormat="1" w:unhideWhenUsed="0" w:uiPriority="0" w:semiHidden="0" w:name="E-mail Signature"/>
    <w:lsdException w:qFormat="1" w:unhideWhenUsed="0" w:uiPriority="99" w:semiHidden="0" w:name="Normal (Web)"/>
    <w:lsdException w:uiPriority="99" w:name="HTML Acronym"/>
    <w:lsdException w:qFormat="1" w:unhideWhenUsed="0" w:uiPriority="0" w:semiHidden="0" w:name="HTML Address"/>
    <w:lsdException w:uiPriority="99" w:name="HTML Cite"/>
    <w:lsdException w:uiPriority="99" w:name="HTML Code"/>
    <w:lsdException w:uiPriority="99" w:name="HTML Definition"/>
    <w:lsdException w:uiPriority="99" w:name="HTML Keyboard"/>
    <w:lsdException w:qFormat="1" w:unhideWhenUsed="0" w:uiPriority="99" w:semiHidden="0" w:name="HTML Preformatted"/>
    <w:lsdException w:uiPriority="99" w:name="HTML Sample"/>
    <w:lsdException w:uiPriority="99" w:name="HTML Typewriter"/>
    <w:lsdException w:uiPriority="99" w:name="HTML Variable"/>
    <w:lsdException w:qFormat="1" w:uiPriority="99" w:name="Normal Table"/>
    <w:lsdException w:qFormat="1" w:unhideWhenUsed="0"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99" w:semiHidden="0"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link w:val="100"/>
    <w:qFormat/>
    <w:uiPriority w:val="9"/>
    <w:pPr>
      <w:keepNext/>
      <w:keepLines/>
      <w:spacing w:before="340" w:after="330" w:line="576" w:lineRule="auto"/>
      <w:outlineLvl w:val="0"/>
    </w:pPr>
    <w:rPr>
      <w:b/>
      <w:bCs/>
      <w:kern w:val="44"/>
      <w:sz w:val="44"/>
      <w:szCs w:val="44"/>
    </w:rPr>
  </w:style>
  <w:style w:type="paragraph" w:styleId="4">
    <w:name w:val="heading 2"/>
    <w:basedOn w:val="1"/>
    <w:next w:val="1"/>
    <w:link w:val="101"/>
    <w:qFormat/>
    <w:uiPriority w:val="9"/>
    <w:pPr>
      <w:keepNext/>
      <w:tabs>
        <w:tab w:val="left" w:pos="1260"/>
      </w:tabs>
      <w:ind w:left="1260" w:hanging="420"/>
      <w:outlineLvl w:val="1"/>
    </w:pPr>
    <w:rPr>
      <w:b/>
      <w:bCs/>
    </w:rPr>
  </w:style>
  <w:style w:type="paragraph" w:styleId="5">
    <w:name w:val="heading 3"/>
    <w:basedOn w:val="1"/>
    <w:next w:val="1"/>
    <w:link w:val="102"/>
    <w:qFormat/>
    <w:uiPriority w:val="9"/>
    <w:pPr>
      <w:keepNext/>
      <w:keepLines/>
      <w:spacing w:before="260" w:after="260" w:line="413" w:lineRule="auto"/>
      <w:outlineLvl w:val="2"/>
    </w:pPr>
    <w:rPr>
      <w:b/>
      <w:bCs/>
      <w:sz w:val="32"/>
      <w:szCs w:val="32"/>
    </w:rPr>
  </w:style>
  <w:style w:type="paragraph" w:styleId="6">
    <w:name w:val="heading 4"/>
    <w:basedOn w:val="1"/>
    <w:next w:val="1"/>
    <w:link w:val="103"/>
    <w:qFormat/>
    <w:uiPriority w:val="9"/>
    <w:pPr>
      <w:keepNext/>
      <w:tabs>
        <w:tab w:val="left" w:pos="825"/>
      </w:tabs>
      <w:spacing w:line="360" w:lineRule="auto"/>
      <w:ind w:left="825" w:hanging="405"/>
      <w:outlineLvl w:val="3"/>
    </w:pPr>
    <w:rPr>
      <w:b/>
      <w:bCs/>
      <w:sz w:val="24"/>
    </w:rPr>
  </w:style>
  <w:style w:type="paragraph" w:styleId="7">
    <w:name w:val="heading 5"/>
    <w:basedOn w:val="1"/>
    <w:next w:val="1"/>
    <w:link w:val="104"/>
    <w:qFormat/>
    <w:uiPriority w:val="9"/>
    <w:pPr>
      <w:keepNext/>
      <w:tabs>
        <w:tab w:val="left" w:pos="1130"/>
      </w:tabs>
      <w:spacing w:line="360" w:lineRule="auto"/>
      <w:ind w:left="1130" w:hanging="420"/>
      <w:outlineLvl w:val="4"/>
    </w:pPr>
    <w:rPr>
      <w:rFonts w:ascii="宋体" w:hAnsi="宋体"/>
      <w:b/>
      <w:bCs/>
      <w:sz w:val="24"/>
      <w:szCs w:val="20"/>
    </w:rPr>
  </w:style>
  <w:style w:type="paragraph" w:styleId="8">
    <w:name w:val="heading 6"/>
    <w:basedOn w:val="1"/>
    <w:next w:val="1"/>
    <w:link w:val="105"/>
    <w:qFormat/>
    <w:uiPriority w:val="9"/>
    <w:pPr>
      <w:keepNext/>
      <w:keepLines/>
      <w:spacing w:before="240" w:after="64" w:line="317" w:lineRule="auto"/>
      <w:outlineLvl w:val="5"/>
    </w:pPr>
    <w:rPr>
      <w:rFonts w:ascii="Cambria" w:hAnsi="Cambria"/>
      <w:b/>
      <w:bCs/>
      <w:sz w:val="24"/>
    </w:rPr>
  </w:style>
  <w:style w:type="paragraph" w:styleId="9">
    <w:name w:val="heading 7"/>
    <w:basedOn w:val="1"/>
    <w:next w:val="1"/>
    <w:link w:val="106"/>
    <w:qFormat/>
    <w:uiPriority w:val="9"/>
    <w:pPr>
      <w:keepNext/>
      <w:keepLines/>
      <w:spacing w:before="240" w:after="64" w:line="317" w:lineRule="auto"/>
      <w:outlineLvl w:val="6"/>
    </w:pPr>
    <w:rPr>
      <w:b/>
      <w:bCs/>
      <w:sz w:val="24"/>
    </w:rPr>
  </w:style>
  <w:style w:type="paragraph" w:styleId="10">
    <w:name w:val="heading 8"/>
    <w:basedOn w:val="1"/>
    <w:next w:val="1"/>
    <w:link w:val="107"/>
    <w:qFormat/>
    <w:uiPriority w:val="9"/>
    <w:pPr>
      <w:keepNext/>
      <w:keepLines/>
      <w:spacing w:before="240" w:after="64" w:line="317" w:lineRule="auto"/>
      <w:outlineLvl w:val="7"/>
    </w:pPr>
    <w:rPr>
      <w:rFonts w:ascii="Cambria" w:hAnsi="Cambria"/>
      <w:sz w:val="24"/>
    </w:rPr>
  </w:style>
  <w:style w:type="paragraph" w:styleId="11">
    <w:name w:val="heading 9"/>
    <w:basedOn w:val="1"/>
    <w:next w:val="1"/>
    <w:link w:val="108"/>
    <w:qFormat/>
    <w:uiPriority w:val="9"/>
    <w:pPr>
      <w:keepNext/>
      <w:keepLines/>
      <w:spacing w:before="240" w:after="64" w:line="317" w:lineRule="auto"/>
      <w:outlineLvl w:val="8"/>
    </w:pPr>
    <w:rPr>
      <w:rFonts w:ascii="Cambria" w:hAnsi="Cambria"/>
      <w:szCs w:val="21"/>
    </w:rPr>
  </w:style>
  <w:style w:type="character" w:default="1" w:styleId="90">
    <w:name w:val="Default Paragraph Font"/>
    <w:semiHidden/>
    <w:unhideWhenUsed/>
    <w:qFormat/>
    <w:uiPriority w:val="1"/>
  </w:style>
  <w:style w:type="table" w:default="1" w:styleId="88">
    <w:name w:val="Normal Table"/>
    <w:semiHidden/>
    <w:unhideWhenUsed/>
    <w:qFormat/>
    <w:uiPriority w:val="99"/>
    <w:tblPr>
      <w:tblCellMar>
        <w:top w:w="0" w:type="dxa"/>
        <w:left w:w="108" w:type="dxa"/>
        <w:bottom w:w="0" w:type="dxa"/>
        <w:right w:w="108" w:type="dxa"/>
      </w:tblCellMar>
    </w:tblPr>
  </w:style>
  <w:style w:type="paragraph" w:styleId="2">
    <w:name w:val="macro"/>
    <w:link w:val="99"/>
    <w:qFormat/>
    <w:uiPriority w:val="0"/>
    <w:pPr>
      <w:widowControl w:val="0"/>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snapToGrid w:val="0"/>
    </w:pPr>
    <w:rPr>
      <w:rFonts w:ascii="Courier New" w:hAnsi="Courier New" w:eastAsia="宋体" w:cs="Courier New"/>
      <w:kern w:val="2"/>
      <w:sz w:val="24"/>
      <w:szCs w:val="24"/>
      <w:lang w:val="en-US" w:eastAsia="zh-CN" w:bidi="ar-SA"/>
    </w:rPr>
  </w:style>
  <w:style w:type="paragraph" w:styleId="12">
    <w:name w:val="List 3"/>
    <w:basedOn w:val="1"/>
    <w:qFormat/>
    <w:uiPriority w:val="0"/>
    <w:pPr>
      <w:ind w:left="100" w:leftChars="400" w:hanging="200" w:hangingChars="200"/>
    </w:pPr>
  </w:style>
  <w:style w:type="paragraph" w:styleId="13">
    <w:name w:val="toc 7"/>
    <w:basedOn w:val="1"/>
    <w:next w:val="1"/>
    <w:qFormat/>
    <w:uiPriority w:val="0"/>
    <w:pPr>
      <w:ind w:left="2520" w:leftChars="1200"/>
    </w:pPr>
  </w:style>
  <w:style w:type="paragraph" w:styleId="14">
    <w:name w:val="List Number 2"/>
    <w:basedOn w:val="1"/>
    <w:qFormat/>
    <w:uiPriority w:val="0"/>
    <w:pPr>
      <w:tabs>
        <w:tab w:val="left" w:pos="780"/>
      </w:tabs>
      <w:ind w:left="780" w:hanging="360"/>
    </w:pPr>
  </w:style>
  <w:style w:type="paragraph" w:styleId="15">
    <w:name w:val="table of authorities"/>
    <w:basedOn w:val="1"/>
    <w:next w:val="1"/>
    <w:qFormat/>
    <w:uiPriority w:val="0"/>
    <w:pPr>
      <w:ind w:left="420" w:leftChars="200"/>
    </w:pPr>
  </w:style>
  <w:style w:type="paragraph" w:styleId="16">
    <w:name w:val="Note Heading"/>
    <w:basedOn w:val="1"/>
    <w:next w:val="1"/>
    <w:link w:val="109"/>
    <w:qFormat/>
    <w:uiPriority w:val="0"/>
    <w:pPr>
      <w:jc w:val="center"/>
    </w:pPr>
  </w:style>
  <w:style w:type="paragraph" w:styleId="17">
    <w:name w:val="List Bullet 4"/>
    <w:basedOn w:val="1"/>
    <w:qFormat/>
    <w:uiPriority w:val="0"/>
    <w:pPr>
      <w:tabs>
        <w:tab w:val="left" w:pos="1620"/>
      </w:tabs>
      <w:ind w:left="1620" w:hanging="360"/>
    </w:pPr>
  </w:style>
  <w:style w:type="paragraph" w:styleId="18">
    <w:name w:val="index 8"/>
    <w:basedOn w:val="1"/>
    <w:next w:val="1"/>
    <w:qFormat/>
    <w:uiPriority w:val="0"/>
    <w:pPr>
      <w:ind w:left="1400" w:leftChars="1400"/>
    </w:pPr>
  </w:style>
  <w:style w:type="paragraph" w:styleId="19">
    <w:name w:val="E-mail Signature"/>
    <w:basedOn w:val="1"/>
    <w:link w:val="110"/>
    <w:qFormat/>
    <w:uiPriority w:val="0"/>
  </w:style>
  <w:style w:type="paragraph" w:styleId="20">
    <w:name w:val="List Number"/>
    <w:basedOn w:val="1"/>
    <w:qFormat/>
    <w:uiPriority w:val="0"/>
    <w:pPr>
      <w:tabs>
        <w:tab w:val="left" w:pos="360"/>
      </w:tabs>
      <w:ind w:left="360" w:hanging="360"/>
    </w:pPr>
  </w:style>
  <w:style w:type="paragraph" w:styleId="21">
    <w:name w:val="Normal Indent"/>
    <w:basedOn w:val="1"/>
    <w:link w:val="111"/>
    <w:qFormat/>
    <w:uiPriority w:val="0"/>
    <w:pPr>
      <w:ind w:firstLine="420" w:firstLineChars="200"/>
    </w:pPr>
  </w:style>
  <w:style w:type="paragraph" w:styleId="22">
    <w:name w:val="caption"/>
    <w:basedOn w:val="1"/>
    <w:next w:val="1"/>
    <w:qFormat/>
    <w:uiPriority w:val="0"/>
    <w:rPr>
      <w:rFonts w:ascii="Cambria" w:hAnsi="Cambria" w:eastAsia="黑体"/>
      <w:sz w:val="20"/>
      <w:szCs w:val="20"/>
    </w:rPr>
  </w:style>
  <w:style w:type="paragraph" w:styleId="23">
    <w:name w:val="index 5"/>
    <w:basedOn w:val="1"/>
    <w:next w:val="1"/>
    <w:qFormat/>
    <w:uiPriority w:val="0"/>
    <w:pPr>
      <w:ind w:left="800" w:leftChars="800"/>
    </w:pPr>
  </w:style>
  <w:style w:type="paragraph" w:styleId="24">
    <w:name w:val="List Bullet"/>
    <w:basedOn w:val="1"/>
    <w:qFormat/>
    <w:uiPriority w:val="0"/>
    <w:pPr>
      <w:tabs>
        <w:tab w:val="left" w:pos="360"/>
      </w:tabs>
      <w:ind w:left="360" w:hanging="360"/>
    </w:pPr>
  </w:style>
  <w:style w:type="paragraph" w:styleId="25">
    <w:name w:val="envelope address"/>
    <w:basedOn w:val="1"/>
    <w:qFormat/>
    <w:uiPriority w:val="0"/>
    <w:pPr>
      <w:snapToGrid w:val="0"/>
      <w:ind w:left="100" w:leftChars="1400"/>
    </w:pPr>
    <w:rPr>
      <w:rFonts w:ascii="Cambria" w:hAnsi="Cambria"/>
      <w:sz w:val="24"/>
    </w:rPr>
  </w:style>
  <w:style w:type="paragraph" w:styleId="26">
    <w:name w:val="Document Map"/>
    <w:basedOn w:val="1"/>
    <w:link w:val="112"/>
    <w:qFormat/>
    <w:uiPriority w:val="99"/>
    <w:rPr>
      <w:rFonts w:ascii="宋体"/>
      <w:sz w:val="18"/>
      <w:szCs w:val="18"/>
    </w:rPr>
  </w:style>
  <w:style w:type="paragraph" w:styleId="27">
    <w:name w:val="toa heading"/>
    <w:basedOn w:val="1"/>
    <w:next w:val="1"/>
    <w:qFormat/>
    <w:uiPriority w:val="0"/>
    <w:pPr>
      <w:spacing w:before="120"/>
    </w:pPr>
    <w:rPr>
      <w:rFonts w:ascii="Cambria" w:hAnsi="Cambria"/>
      <w:sz w:val="24"/>
    </w:rPr>
  </w:style>
  <w:style w:type="paragraph" w:styleId="28">
    <w:name w:val="annotation text"/>
    <w:basedOn w:val="1"/>
    <w:link w:val="113"/>
    <w:qFormat/>
    <w:uiPriority w:val="99"/>
    <w:pPr>
      <w:jc w:val="left"/>
    </w:pPr>
  </w:style>
  <w:style w:type="paragraph" w:styleId="29">
    <w:name w:val="index 6"/>
    <w:basedOn w:val="1"/>
    <w:next w:val="1"/>
    <w:qFormat/>
    <w:uiPriority w:val="0"/>
    <w:pPr>
      <w:ind w:left="1000" w:leftChars="1000"/>
    </w:pPr>
  </w:style>
  <w:style w:type="paragraph" w:styleId="30">
    <w:name w:val="Salutation"/>
    <w:basedOn w:val="1"/>
    <w:next w:val="1"/>
    <w:link w:val="114"/>
    <w:qFormat/>
    <w:uiPriority w:val="0"/>
  </w:style>
  <w:style w:type="paragraph" w:styleId="31">
    <w:name w:val="Body Text 3"/>
    <w:basedOn w:val="1"/>
    <w:link w:val="115"/>
    <w:qFormat/>
    <w:uiPriority w:val="0"/>
    <w:pPr>
      <w:spacing w:after="120"/>
    </w:pPr>
    <w:rPr>
      <w:sz w:val="16"/>
      <w:szCs w:val="16"/>
    </w:rPr>
  </w:style>
  <w:style w:type="paragraph" w:styleId="32">
    <w:name w:val="Closing"/>
    <w:basedOn w:val="1"/>
    <w:link w:val="116"/>
    <w:qFormat/>
    <w:uiPriority w:val="0"/>
    <w:pPr>
      <w:ind w:left="100" w:leftChars="2100"/>
    </w:pPr>
  </w:style>
  <w:style w:type="paragraph" w:styleId="33">
    <w:name w:val="List Bullet 3"/>
    <w:basedOn w:val="1"/>
    <w:qFormat/>
    <w:uiPriority w:val="0"/>
    <w:pPr>
      <w:tabs>
        <w:tab w:val="left" w:pos="1200"/>
      </w:tabs>
      <w:ind w:left="1200" w:hanging="360"/>
    </w:pPr>
  </w:style>
  <w:style w:type="paragraph" w:styleId="34">
    <w:name w:val="Body Text"/>
    <w:basedOn w:val="1"/>
    <w:link w:val="117"/>
    <w:qFormat/>
    <w:uiPriority w:val="0"/>
    <w:rPr>
      <w:rFonts w:ascii="仿宋_GB2312" w:eastAsia="仿宋_GB2312"/>
      <w:sz w:val="24"/>
    </w:rPr>
  </w:style>
  <w:style w:type="paragraph" w:styleId="35">
    <w:name w:val="Body Text Indent"/>
    <w:basedOn w:val="1"/>
    <w:link w:val="118"/>
    <w:qFormat/>
    <w:uiPriority w:val="0"/>
    <w:pPr>
      <w:ind w:left="479" w:leftChars="228"/>
    </w:pPr>
    <w:rPr>
      <w:rFonts w:ascii="仿宋_GB2312" w:eastAsia="仿宋_GB2312"/>
      <w:sz w:val="24"/>
    </w:rPr>
  </w:style>
  <w:style w:type="paragraph" w:styleId="36">
    <w:name w:val="List Number 3"/>
    <w:basedOn w:val="1"/>
    <w:qFormat/>
    <w:uiPriority w:val="0"/>
    <w:pPr>
      <w:tabs>
        <w:tab w:val="left" w:pos="1200"/>
      </w:tabs>
      <w:ind w:left="1200" w:hanging="360"/>
    </w:pPr>
  </w:style>
  <w:style w:type="paragraph" w:styleId="37">
    <w:name w:val="List 2"/>
    <w:basedOn w:val="1"/>
    <w:qFormat/>
    <w:uiPriority w:val="0"/>
    <w:pPr>
      <w:ind w:left="100" w:leftChars="200" w:hanging="200" w:hangingChars="200"/>
    </w:pPr>
  </w:style>
  <w:style w:type="paragraph" w:styleId="38">
    <w:name w:val="List Continue"/>
    <w:basedOn w:val="1"/>
    <w:qFormat/>
    <w:uiPriority w:val="0"/>
    <w:pPr>
      <w:spacing w:after="120"/>
      <w:ind w:left="420" w:leftChars="200"/>
    </w:pPr>
  </w:style>
  <w:style w:type="paragraph" w:styleId="39">
    <w:name w:val="Block Text"/>
    <w:basedOn w:val="1"/>
    <w:qFormat/>
    <w:uiPriority w:val="0"/>
    <w:pPr>
      <w:spacing w:after="120"/>
      <w:ind w:left="1440" w:leftChars="700" w:right="1440" w:rightChars="700"/>
    </w:pPr>
  </w:style>
  <w:style w:type="paragraph" w:styleId="40">
    <w:name w:val="List Bullet 2"/>
    <w:basedOn w:val="1"/>
    <w:qFormat/>
    <w:uiPriority w:val="0"/>
    <w:pPr>
      <w:tabs>
        <w:tab w:val="left" w:pos="780"/>
      </w:tabs>
      <w:ind w:left="780" w:hanging="360"/>
    </w:pPr>
  </w:style>
  <w:style w:type="paragraph" w:styleId="41">
    <w:name w:val="HTML Address"/>
    <w:basedOn w:val="1"/>
    <w:link w:val="119"/>
    <w:qFormat/>
    <w:uiPriority w:val="0"/>
    <w:rPr>
      <w:i/>
      <w:iCs/>
    </w:rPr>
  </w:style>
  <w:style w:type="paragraph" w:styleId="42">
    <w:name w:val="index 4"/>
    <w:basedOn w:val="1"/>
    <w:next w:val="1"/>
    <w:qFormat/>
    <w:uiPriority w:val="0"/>
    <w:pPr>
      <w:ind w:left="600" w:leftChars="600"/>
    </w:pPr>
  </w:style>
  <w:style w:type="paragraph" w:styleId="43">
    <w:name w:val="toc 5"/>
    <w:basedOn w:val="1"/>
    <w:next w:val="1"/>
    <w:qFormat/>
    <w:uiPriority w:val="0"/>
    <w:pPr>
      <w:ind w:left="1680" w:leftChars="800"/>
    </w:pPr>
  </w:style>
  <w:style w:type="paragraph" w:styleId="44">
    <w:name w:val="toc 3"/>
    <w:basedOn w:val="1"/>
    <w:next w:val="1"/>
    <w:qFormat/>
    <w:uiPriority w:val="39"/>
    <w:pPr>
      <w:ind w:left="840" w:leftChars="400"/>
    </w:pPr>
  </w:style>
  <w:style w:type="paragraph" w:styleId="45">
    <w:name w:val="Plain Text"/>
    <w:basedOn w:val="1"/>
    <w:link w:val="120"/>
    <w:qFormat/>
    <w:uiPriority w:val="0"/>
    <w:rPr>
      <w:rFonts w:ascii="宋体" w:hAnsi="Courier New"/>
      <w:szCs w:val="21"/>
    </w:rPr>
  </w:style>
  <w:style w:type="paragraph" w:styleId="46">
    <w:name w:val="List Bullet 5"/>
    <w:basedOn w:val="1"/>
    <w:qFormat/>
    <w:uiPriority w:val="0"/>
    <w:pPr>
      <w:tabs>
        <w:tab w:val="left" w:pos="2040"/>
      </w:tabs>
      <w:ind w:left="2040" w:hanging="360"/>
    </w:pPr>
  </w:style>
  <w:style w:type="paragraph" w:styleId="47">
    <w:name w:val="List Number 4"/>
    <w:basedOn w:val="1"/>
    <w:qFormat/>
    <w:uiPriority w:val="0"/>
    <w:pPr>
      <w:tabs>
        <w:tab w:val="left" w:pos="1620"/>
      </w:tabs>
      <w:ind w:left="1620" w:hanging="360"/>
    </w:pPr>
  </w:style>
  <w:style w:type="paragraph" w:styleId="48">
    <w:name w:val="toc 8"/>
    <w:basedOn w:val="1"/>
    <w:next w:val="1"/>
    <w:qFormat/>
    <w:uiPriority w:val="0"/>
    <w:pPr>
      <w:ind w:left="2940" w:leftChars="1400"/>
    </w:pPr>
  </w:style>
  <w:style w:type="paragraph" w:styleId="49">
    <w:name w:val="index 3"/>
    <w:basedOn w:val="1"/>
    <w:next w:val="1"/>
    <w:qFormat/>
    <w:uiPriority w:val="0"/>
    <w:pPr>
      <w:ind w:left="400" w:leftChars="400"/>
    </w:pPr>
  </w:style>
  <w:style w:type="paragraph" w:styleId="50">
    <w:name w:val="Date"/>
    <w:basedOn w:val="1"/>
    <w:next w:val="1"/>
    <w:link w:val="121"/>
    <w:qFormat/>
    <w:uiPriority w:val="0"/>
    <w:rPr>
      <w:rFonts w:eastAsia="楷体_GB2312"/>
      <w:sz w:val="28"/>
      <w:szCs w:val="20"/>
    </w:rPr>
  </w:style>
  <w:style w:type="paragraph" w:styleId="51">
    <w:name w:val="Body Text Indent 2"/>
    <w:basedOn w:val="1"/>
    <w:link w:val="122"/>
    <w:qFormat/>
    <w:uiPriority w:val="0"/>
    <w:pPr>
      <w:spacing w:after="120" w:line="480" w:lineRule="auto"/>
      <w:ind w:left="420" w:leftChars="200"/>
    </w:pPr>
  </w:style>
  <w:style w:type="paragraph" w:styleId="52">
    <w:name w:val="endnote text"/>
    <w:basedOn w:val="1"/>
    <w:link w:val="123"/>
    <w:qFormat/>
    <w:uiPriority w:val="0"/>
    <w:pPr>
      <w:snapToGrid w:val="0"/>
      <w:jc w:val="left"/>
    </w:pPr>
  </w:style>
  <w:style w:type="paragraph" w:styleId="53">
    <w:name w:val="List Continue 5"/>
    <w:basedOn w:val="1"/>
    <w:qFormat/>
    <w:uiPriority w:val="0"/>
    <w:pPr>
      <w:spacing w:after="120"/>
      <w:ind w:left="2100" w:leftChars="1000"/>
    </w:pPr>
  </w:style>
  <w:style w:type="paragraph" w:styleId="54">
    <w:name w:val="Balloon Text"/>
    <w:basedOn w:val="1"/>
    <w:link w:val="124"/>
    <w:qFormat/>
    <w:uiPriority w:val="99"/>
    <w:rPr>
      <w:sz w:val="18"/>
      <w:szCs w:val="18"/>
    </w:rPr>
  </w:style>
  <w:style w:type="paragraph" w:styleId="55">
    <w:name w:val="footer"/>
    <w:basedOn w:val="1"/>
    <w:link w:val="125"/>
    <w:qFormat/>
    <w:uiPriority w:val="99"/>
    <w:pPr>
      <w:tabs>
        <w:tab w:val="center" w:pos="4153"/>
        <w:tab w:val="right" w:pos="8306"/>
      </w:tabs>
      <w:snapToGrid w:val="0"/>
      <w:jc w:val="left"/>
    </w:pPr>
    <w:rPr>
      <w:sz w:val="18"/>
      <w:szCs w:val="18"/>
    </w:rPr>
  </w:style>
  <w:style w:type="paragraph" w:styleId="56">
    <w:name w:val="envelope return"/>
    <w:basedOn w:val="1"/>
    <w:qFormat/>
    <w:uiPriority w:val="0"/>
    <w:pPr>
      <w:snapToGrid w:val="0"/>
    </w:pPr>
    <w:rPr>
      <w:rFonts w:ascii="Cambria" w:hAnsi="Cambria"/>
    </w:rPr>
  </w:style>
  <w:style w:type="paragraph" w:styleId="57">
    <w:name w:val="header"/>
    <w:basedOn w:val="1"/>
    <w:link w:val="126"/>
    <w:qFormat/>
    <w:uiPriority w:val="99"/>
    <w:pPr>
      <w:pBdr>
        <w:bottom w:val="single" w:color="auto" w:sz="6" w:space="1"/>
      </w:pBdr>
      <w:tabs>
        <w:tab w:val="center" w:pos="4153"/>
        <w:tab w:val="right" w:pos="8306"/>
      </w:tabs>
      <w:snapToGrid w:val="0"/>
      <w:jc w:val="center"/>
    </w:pPr>
    <w:rPr>
      <w:sz w:val="18"/>
      <w:szCs w:val="18"/>
    </w:rPr>
  </w:style>
  <w:style w:type="paragraph" w:styleId="58">
    <w:name w:val="Signature"/>
    <w:basedOn w:val="1"/>
    <w:link w:val="127"/>
    <w:qFormat/>
    <w:uiPriority w:val="0"/>
    <w:pPr>
      <w:ind w:left="100" w:leftChars="2100"/>
    </w:pPr>
  </w:style>
  <w:style w:type="paragraph" w:styleId="59">
    <w:name w:val="toc 1"/>
    <w:basedOn w:val="1"/>
    <w:next w:val="1"/>
    <w:qFormat/>
    <w:uiPriority w:val="39"/>
    <w:pPr>
      <w:adjustRightInd w:val="0"/>
      <w:snapToGrid w:val="0"/>
      <w:spacing w:line="312" w:lineRule="auto"/>
      <w:ind w:firstLine="480" w:firstLineChars="200"/>
    </w:pPr>
    <w:rPr>
      <w:rFonts w:ascii="仿宋_GB2312" w:hAnsi="华文中宋" w:eastAsia="仿宋_GB2312"/>
      <w:bCs/>
      <w:kern w:val="0"/>
      <w:sz w:val="24"/>
      <w:szCs w:val="20"/>
    </w:rPr>
  </w:style>
  <w:style w:type="paragraph" w:styleId="60">
    <w:name w:val="List Continue 4"/>
    <w:basedOn w:val="1"/>
    <w:qFormat/>
    <w:uiPriority w:val="0"/>
    <w:pPr>
      <w:spacing w:after="120"/>
      <w:ind w:left="1680" w:leftChars="800"/>
    </w:pPr>
  </w:style>
  <w:style w:type="paragraph" w:styleId="61">
    <w:name w:val="toc 4"/>
    <w:basedOn w:val="1"/>
    <w:next w:val="1"/>
    <w:qFormat/>
    <w:uiPriority w:val="0"/>
    <w:pPr>
      <w:ind w:left="1260" w:leftChars="600"/>
    </w:pPr>
  </w:style>
  <w:style w:type="paragraph" w:styleId="62">
    <w:name w:val="index heading"/>
    <w:basedOn w:val="1"/>
    <w:next w:val="63"/>
    <w:qFormat/>
    <w:uiPriority w:val="0"/>
    <w:rPr>
      <w:rFonts w:ascii="Cambria" w:hAnsi="Cambria"/>
      <w:b/>
      <w:bCs/>
    </w:rPr>
  </w:style>
  <w:style w:type="paragraph" w:styleId="63">
    <w:name w:val="index 1"/>
    <w:basedOn w:val="1"/>
    <w:next w:val="1"/>
    <w:qFormat/>
    <w:uiPriority w:val="0"/>
  </w:style>
  <w:style w:type="paragraph" w:styleId="64">
    <w:name w:val="Subtitle"/>
    <w:basedOn w:val="1"/>
    <w:next w:val="1"/>
    <w:link w:val="128"/>
    <w:qFormat/>
    <w:uiPriority w:val="0"/>
    <w:pPr>
      <w:spacing w:before="240" w:after="60" w:line="312" w:lineRule="auto"/>
      <w:jc w:val="center"/>
      <w:outlineLvl w:val="1"/>
    </w:pPr>
    <w:rPr>
      <w:rFonts w:ascii="Cambria" w:hAnsi="Cambria"/>
      <w:b/>
      <w:bCs/>
      <w:kern w:val="28"/>
      <w:sz w:val="32"/>
      <w:szCs w:val="32"/>
    </w:rPr>
  </w:style>
  <w:style w:type="paragraph" w:styleId="65">
    <w:name w:val="List Number 5"/>
    <w:basedOn w:val="1"/>
    <w:qFormat/>
    <w:uiPriority w:val="0"/>
    <w:pPr>
      <w:tabs>
        <w:tab w:val="left" w:pos="2040"/>
      </w:tabs>
      <w:ind w:left="2040" w:hanging="360"/>
    </w:pPr>
  </w:style>
  <w:style w:type="paragraph" w:styleId="66">
    <w:name w:val="List"/>
    <w:basedOn w:val="1"/>
    <w:qFormat/>
    <w:uiPriority w:val="0"/>
    <w:pPr>
      <w:ind w:left="200" w:hanging="200" w:hangingChars="200"/>
    </w:pPr>
  </w:style>
  <w:style w:type="paragraph" w:styleId="67">
    <w:name w:val="footnote text"/>
    <w:basedOn w:val="1"/>
    <w:link w:val="129"/>
    <w:qFormat/>
    <w:uiPriority w:val="0"/>
    <w:pPr>
      <w:snapToGrid w:val="0"/>
      <w:jc w:val="left"/>
    </w:pPr>
    <w:rPr>
      <w:sz w:val="18"/>
      <w:szCs w:val="18"/>
    </w:rPr>
  </w:style>
  <w:style w:type="paragraph" w:styleId="68">
    <w:name w:val="toc 6"/>
    <w:basedOn w:val="1"/>
    <w:next w:val="1"/>
    <w:qFormat/>
    <w:uiPriority w:val="0"/>
    <w:pPr>
      <w:ind w:left="2100" w:leftChars="1000"/>
    </w:pPr>
  </w:style>
  <w:style w:type="paragraph" w:styleId="69">
    <w:name w:val="List 5"/>
    <w:basedOn w:val="1"/>
    <w:qFormat/>
    <w:uiPriority w:val="0"/>
    <w:pPr>
      <w:ind w:left="100" w:leftChars="800" w:hanging="200" w:hangingChars="200"/>
    </w:pPr>
  </w:style>
  <w:style w:type="paragraph" w:styleId="70">
    <w:name w:val="Body Text Indent 3"/>
    <w:basedOn w:val="1"/>
    <w:link w:val="130"/>
    <w:qFormat/>
    <w:uiPriority w:val="0"/>
    <w:pPr>
      <w:spacing w:line="360" w:lineRule="auto"/>
      <w:ind w:firstLine="840"/>
    </w:pPr>
    <w:rPr>
      <w:rFonts w:ascii="仿宋_GB2312" w:eastAsia="仿宋_GB2312"/>
      <w:sz w:val="24"/>
    </w:rPr>
  </w:style>
  <w:style w:type="paragraph" w:styleId="71">
    <w:name w:val="index 7"/>
    <w:basedOn w:val="1"/>
    <w:next w:val="1"/>
    <w:qFormat/>
    <w:uiPriority w:val="0"/>
    <w:pPr>
      <w:ind w:left="1200" w:leftChars="1200"/>
    </w:pPr>
  </w:style>
  <w:style w:type="paragraph" w:styleId="72">
    <w:name w:val="index 9"/>
    <w:basedOn w:val="1"/>
    <w:next w:val="1"/>
    <w:qFormat/>
    <w:uiPriority w:val="0"/>
    <w:pPr>
      <w:ind w:left="1600" w:leftChars="1600"/>
    </w:pPr>
  </w:style>
  <w:style w:type="paragraph" w:styleId="73">
    <w:name w:val="table of figures"/>
    <w:basedOn w:val="1"/>
    <w:next w:val="1"/>
    <w:qFormat/>
    <w:uiPriority w:val="0"/>
    <w:pPr>
      <w:ind w:left="200" w:leftChars="200" w:hanging="200" w:hangingChars="200"/>
    </w:pPr>
  </w:style>
  <w:style w:type="paragraph" w:styleId="74">
    <w:name w:val="toc 2"/>
    <w:basedOn w:val="1"/>
    <w:next w:val="1"/>
    <w:qFormat/>
    <w:uiPriority w:val="39"/>
    <w:pPr>
      <w:ind w:left="420" w:leftChars="200"/>
    </w:pPr>
  </w:style>
  <w:style w:type="paragraph" w:styleId="75">
    <w:name w:val="toc 9"/>
    <w:basedOn w:val="1"/>
    <w:next w:val="1"/>
    <w:qFormat/>
    <w:uiPriority w:val="0"/>
    <w:pPr>
      <w:ind w:left="3360" w:leftChars="1600"/>
    </w:pPr>
  </w:style>
  <w:style w:type="paragraph" w:styleId="76">
    <w:name w:val="Body Text 2"/>
    <w:basedOn w:val="1"/>
    <w:link w:val="131"/>
    <w:qFormat/>
    <w:uiPriority w:val="0"/>
    <w:pPr>
      <w:adjustRightInd w:val="0"/>
      <w:snapToGrid w:val="0"/>
    </w:pPr>
    <w:rPr>
      <w:rFonts w:ascii="仿宋_GB2312" w:eastAsia="仿宋_GB2312"/>
      <w:b/>
      <w:bCs/>
      <w:sz w:val="28"/>
    </w:rPr>
  </w:style>
  <w:style w:type="paragraph" w:styleId="77">
    <w:name w:val="List 4"/>
    <w:basedOn w:val="1"/>
    <w:qFormat/>
    <w:uiPriority w:val="0"/>
    <w:pPr>
      <w:ind w:left="100" w:leftChars="600" w:hanging="200" w:hangingChars="200"/>
    </w:pPr>
  </w:style>
  <w:style w:type="paragraph" w:styleId="78">
    <w:name w:val="List Continue 2"/>
    <w:basedOn w:val="1"/>
    <w:qFormat/>
    <w:uiPriority w:val="0"/>
    <w:pPr>
      <w:spacing w:after="120"/>
      <w:ind w:left="840" w:leftChars="400"/>
    </w:pPr>
  </w:style>
  <w:style w:type="paragraph" w:styleId="79">
    <w:name w:val="Message Header"/>
    <w:basedOn w:val="1"/>
    <w:link w:val="132"/>
    <w:qFormat/>
    <w:uiPriority w:val="0"/>
    <w:pPr>
      <w:pBdr>
        <w:top w:val="single" w:color="auto" w:sz="6" w:space="1"/>
        <w:left w:val="single" w:color="auto" w:sz="6" w:space="1"/>
        <w:bottom w:val="single" w:color="auto" w:sz="6" w:space="1"/>
        <w:right w:val="single" w:color="auto" w:sz="6" w:space="1"/>
      </w:pBdr>
      <w:shd w:val="pct20" w:color="auto" w:fill="auto"/>
      <w:ind w:left="1080" w:leftChars="500" w:hanging="1080" w:hangingChars="500"/>
    </w:pPr>
    <w:rPr>
      <w:rFonts w:ascii="Cambria" w:hAnsi="Cambria"/>
      <w:sz w:val="24"/>
      <w:shd w:val="pct20" w:color="auto" w:fill="auto"/>
    </w:rPr>
  </w:style>
  <w:style w:type="paragraph" w:styleId="80">
    <w:name w:val="HTML Preformatted"/>
    <w:basedOn w:val="1"/>
    <w:link w:val="133"/>
    <w:qFormat/>
    <w:uiPriority w:val="99"/>
    <w:rPr>
      <w:rFonts w:ascii="Courier New" w:hAnsi="Courier New"/>
      <w:sz w:val="20"/>
      <w:szCs w:val="20"/>
    </w:rPr>
  </w:style>
  <w:style w:type="paragraph" w:styleId="81">
    <w:name w:val="Normal (Web)"/>
    <w:basedOn w:val="1"/>
    <w:link w:val="134"/>
    <w:qFormat/>
    <w:uiPriority w:val="99"/>
    <w:pPr>
      <w:widowControl/>
      <w:spacing w:before="100" w:beforeAutospacing="1" w:after="100" w:afterAutospacing="1"/>
      <w:jc w:val="left"/>
    </w:pPr>
    <w:rPr>
      <w:rFonts w:ascii="Arial Unicode MS" w:hAnsi="Arial Unicode MS" w:eastAsia="Arial Unicode MS"/>
      <w:kern w:val="0"/>
      <w:sz w:val="24"/>
    </w:rPr>
  </w:style>
  <w:style w:type="paragraph" w:styleId="82">
    <w:name w:val="List Continue 3"/>
    <w:basedOn w:val="1"/>
    <w:qFormat/>
    <w:uiPriority w:val="0"/>
    <w:pPr>
      <w:spacing w:after="120"/>
      <w:ind w:left="1260" w:leftChars="600"/>
    </w:pPr>
  </w:style>
  <w:style w:type="paragraph" w:styleId="83">
    <w:name w:val="index 2"/>
    <w:basedOn w:val="1"/>
    <w:next w:val="1"/>
    <w:qFormat/>
    <w:uiPriority w:val="0"/>
    <w:pPr>
      <w:ind w:left="200" w:leftChars="200"/>
    </w:pPr>
  </w:style>
  <w:style w:type="paragraph" w:styleId="84">
    <w:name w:val="Title"/>
    <w:basedOn w:val="1"/>
    <w:next w:val="1"/>
    <w:link w:val="135"/>
    <w:qFormat/>
    <w:uiPriority w:val="0"/>
    <w:pPr>
      <w:spacing w:before="240" w:after="60"/>
      <w:jc w:val="center"/>
      <w:outlineLvl w:val="0"/>
    </w:pPr>
    <w:rPr>
      <w:rFonts w:ascii="Cambria" w:hAnsi="Cambria"/>
      <w:b/>
      <w:bCs/>
      <w:sz w:val="32"/>
      <w:szCs w:val="32"/>
    </w:rPr>
  </w:style>
  <w:style w:type="paragraph" w:styleId="85">
    <w:name w:val="annotation subject"/>
    <w:basedOn w:val="28"/>
    <w:next w:val="28"/>
    <w:link w:val="136"/>
    <w:qFormat/>
    <w:uiPriority w:val="99"/>
    <w:rPr>
      <w:b/>
      <w:bCs/>
    </w:rPr>
  </w:style>
  <w:style w:type="paragraph" w:styleId="86">
    <w:name w:val="Body Text First Indent"/>
    <w:basedOn w:val="34"/>
    <w:link w:val="137"/>
    <w:qFormat/>
    <w:uiPriority w:val="0"/>
    <w:pPr>
      <w:spacing w:after="120"/>
      <w:ind w:firstLine="420" w:firstLineChars="100"/>
    </w:pPr>
  </w:style>
  <w:style w:type="paragraph" w:styleId="87">
    <w:name w:val="Body Text First Indent 2"/>
    <w:basedOn w:val="35"/>
    <w:link w:val="138"/>
    <w:qFormat/>
    <w:uiPriority w:val="0"/>
    <w:pPr>
      <w:spacing w:after="120"/>
      <w:ind w:left="420" w:leftChars="200" w:firstLine="420" w:firstLineChars="200"/>
    </w:pPr>
  </w:style>
  <w:style w:type="table" w:styleId="89">
    <w:name w:val="Table Grid"/>
    <w:basedOn w:val="88"/>
    <w:qFormat/>
    <w:uiPriority w:val="3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91">
    <w:name w:val="Strong"/>
    <w:qFormat/>
    <w:uiPriority w:val="0"/>
    <w:rPr>
      <w:b/>
      <w:bCs/>
    </w:rPr>
  </w:style>
  <w:style w:type="character" w:styleId="92">
    <w:name w:val="page number"/>
    <w:qFormat/>
    <w:uiPriority w:val="0"/>
  </w:style>
  <w:style w:type="character" w:styleId="93">
    <w:name w:val="FollowedHyperlink"/>
    <w:qFormat/>
    <w:uiPriority w:val="99"/>
    <w:rPr>
      <w:rFonts w:ascii="微软雅黑" w:hAnsi="微软雅黑" w:eastAsia="微软雅黑" w:cs="微软雅黑"/>
      <w:color w:val="02396F"/>
      <w:u w:val="single"/>
    </w:rPr>
  </w:style>
  <w:style w:type="character" w:styleId="94">
    <w:name w:val="Emphasis"/>
    <w:qFormat/>
    <w:uiPriority w:val="0"/>
    <w:rPr>
      <w:color w:val="CC0000"/>
    </w:rPr>
  </w:style>
  <w:style w:type="character" w:styleId="95">
    <w:name w:val="Hyperlink"/>
    <w:qFormat/>
    <w:uiPriority w:val="99"/>
    <w:rPr>
      <w:rFonts w:hint="eastAsia" w:ascii="微软雅黑" w:hAnsi="微软雅黑" w:eastAsia="微软雅黑" w:cs="微软雅黑"/>
      <w:color w:val="02396F"/>
      <w:u w:val="single"/>
    </w:rPr>
  </w:style>
  <w:style w:type="character" w:styleId="96">
    <w:name w:val="annotation reference"/>
    <w:qFormat/>
    <w:uiPriority w:val="0"/>
    <w:rPr>
      <w:sz w:val="21"/>
      <w:szCs w:val="21"/>
    </w:rPr>
  </w:style>
  <w:style w:type="paragraph" w:customStyle="1" w:styleId="97">
    <w:name w:val="AONormal"/>
    <w:qFormat/>
    <w:uiPriority w:val="0"/>
    <w:pPr>
      <w:autoSpaceDE w:val="0"/>
      <w:autoSpaceDN w:val="0"/>
      <w:adjustRightInd w:val="0"/>
      <w:spacing w:line="400" w:lineRule="exact"/>
      <w:ind w:firstLine="440" w:firstLineChars="200"/>
    </w:pPr>
    <w:rPr>
      <w:rFonts w:ascii="华文楷体" w:hAnsi="华文楷体" w:eastAsia="华文楷体" w:cs="华文楷体"/>
      <w:sz w:val="22"/>
      <w:szCs w:val="21"/>
      <w:lang w:val="en-US" w:eastAsia="zh-CN" w:bidi="ar-SA"/>
    </w:rPr>
  </w:style>
  <w:style w:type="paragraph" w:customStyle="1" w:styleId="98">
    <w:name w:val="首行缩进"/>
    <w:basedOn w:val="1"/>
    <w:qFormat/>
    <w:uiPriority w:val="0"/>
    <w:pPr>
      <w:numPr>
        <w:ilvl w:val="0"/>
        <w:numId w:val="1"/>
      </w:numPr>
      <w:spacing w:line="360" w:lineRule="auto"/>
    </w:pPr>
    <w:rPr>
      <w:sz w:val="24"/>
    </w:rPr>
  </w:style>
  <w:style w:type="character" w:customStyle="1" w:styleId="99">
    <w:name w:val="宏文本 字符"/>
    <w:link w:val="2"/>
    <w:qFormat/>
    <w:uiPriority w:val="0"/>
    <w:rPr>
      <w:rFonts w:ascii="Courier New" w:hAnsi="Courier New" w:cs="Courier New"/>
      <w:kern w:val="2"/>
      <w:sz w:val="24"/>
      <w:szCs w:val="24"/>
      <w:lang w:val="en-US" w:eastAsia="zh-CN" w:bidi="ar-SA"/>
    </w:rPr>
  </w:style>
  <w:style w:type="character" w:customStyle="1" w:styleId="100">
    <w:name w:val="标题 1 字符"/>
    <w:link w:val="3"/>
    <w:qFormat/>
    <w:uiPriority w:val="9"/>
    <w:rPr>
      <w:b/>
      <w:bCs/>
      <w:kern w:val="44"/>
      <w:sz w:val="44"/>
      <w:szCs w:val="44"/>
    </w:rPr>
  </w:style>
  <w:style w:type="character" w:customStyle="1" w:styleId="101">
    <w:name w:val="标题 2 字符"/>
    <w:link w:val="4"/>
    <w:qFormat/>
    <w:uiPriority w:val="9"/>
    <w:rPr>
      <w:b/>
      <w:bCs/>
      <w:kern w:val="2"/>
      <w:sz w:val="21"/>
      <w:szCs w:val="24"/>
    </w:rPr>
  </w:style>
  <w:style w:type="character" w:customStyle="1" w:styleId="102">
    <w:name w:val="标题 3 字符"/>
    <w:link w:val="5"/>
    <w:qFormat/>
    <w:uiPriority w:val="9"/>
    <w:rPr>
      <w:b/>
      <w:bCs/>
      <w:kern w:val="2"/>
      <w:sz w:val="32"/>
      <w:szCs w:val="32"/>
    </w:rPr>
  </w:style>
  <w:style w:type="character" w:customStyle="1" w:styleId="103">
    <w:name w:val="标题 4 字符"/>
    <w:link w:val="6"/>
    <w:qFormat/>
    <w:uiPriority w:val="9"/>
    <w:rPr>
      <w:b/>
      <w:bCs/>
      <w:kern w:val="2"/>
      <w:sz w:val="24"/>
      <w:szCs w:val="24"/>
    </w:rPr>
  </w:style>
  <w:style w:type="character" w:customStyle="1" w:styleId="104">
    <w:name w:val="标题 5 字符"/>
    <w:link w:val="7"/>
    <w:qFormat/>
    <w:uiPriority w:val="9"/>
    <w:rPr>
      <w:rFonts w:ascii="宋体" w:hAnsi="宋体"/>
      <w:b/>
      <w:bCs/>
      <w:kern w:val="2"/>
      <w:sz w:val="24"/>
    </w:rPr>
  </w:style>
  <w:style w:type="character" w:customStyle="1" w:styleId="105">
    <w:name w:val="标题 6 字符"/>
    <w:link w:val="8"/>
    <w:qFormat/>
    <w:uiPriority w:val="9"/>
    <w:rPr>
      <w:rFonts w:ascii="Cambria" w:hAnsi="Cambria" w:eastAsia="宋体" w:cs="Times New Roman"/>
      <w:b/>
      <w:bCs/>
      <w:kern w:val="2"/>
      <w:sz w:val="24"/>
      <w:szCs w:val="24"/>
    </w:rPr>
  </w:style>
  <w:style w:type="character" w:customStyle="1" w:styleId="106">
    <w:name w:val="标题 7 字符"/>
    <w:link w:val="9"/>
    <w:qFormat/>
    <w:uiPriority w:val="9"/>
    <w:rPr>
      <w:b/>
      <w:bCs/>
      <w:kern w:val="2"/>
      <w:sz w:val="24"/>
      <w:szCs w:val="24"/>
    </w:rPr>
  </w:style>
  <w:style w:type="character" w:customStyle="1" w:styleId="107">
    <w:name w:val="标题 8 字符"/>
    <w:link w:val="10"/>
    <w:qFormat/>
    <w:uiPriority w:val="9"/>
    <w:rPr>
      <w:rFonts w:ascii="Cambria" w:hAnsi="Cambria" w:eastAsia="宋体" w:cs="Times New Roman"/>
      <w:kern w:val="2"/>
      <w:sz w:val="24"/>
      <w:szCs w:val="24"/>
    </w:rPr>
  </w:style>
  <w:style w:type="character" w:customStyle="1" w:styleId="108">
    <w:name w:val="标题 9 字符"/>
    <w:link w:val="11"/>
    <w:qFormat/>
    <w:uiPriority w:val="9"/>
    <w:rPr>
      <w:rFonts w:ascii="Cambria" w:hAnsi="Cambria" w:eastAsia="宋体" w:cs="Times New Roman"/>
      <w:kern w:val="2"/>
      <w:sz w:val="21"/>
      <w:szCs w:val="21"/>
    </w:rPr>
  </w:style>
  <w:style w:type="character" w:customStyle="1" w:styleId="109">
    <w:name w:val="注释标题 字符"/>
    <w:link w:val="16"/>
    <w:qFormat/>
    <w:uiPriority w:val="0"/>
    <w:rPr>
      <w:kern w:val="2"/>
      <w:sz w:val="21"/>
      <w:szCs w:val="24"/>
    </w:rPr>
  </w:style>
  <w:style w:type="character" w:customStyle="1" w:styleId="110">
    <w:name w:val="电子邮件签名 字符"/>
    <w:link w:val="19"/>
    <w:qFormat/>
    <w:uiPriority w:val="0"/>
    <w:rPr>
      <w:kern w:val="2"/>
      <w:sz w:val="21"/>
      <w:szCs w:val="24"/>
    </w:rPr>
  </w:style>
  <w:style w:type="character" w:customStyle="1" w:styleId="111">
    <w:name w:val="正文缩进 字符"/>
    <w:link w:val="21"/>
    <w:qFormat/>
    <w:uiPriority w:val="0"/>
    <w:rPr>
      <w:kern w:val="2"/>
      <w:sz w:val="21"/>
      <w:szCs w:val="24"/>
    </w:rPr>
  </w:style>
  <w:style w:type="character" w:customStyle="1" w:styleId="112">
    <w:name w:val="文档结构图 字符"/>
    <w:link w:val="26"/>
    <w:qFormat/>
    <w:uiPriority w:val="99"/>
    <w:rPr>
      <w:rFonts w:ascii="宋体"/>
      <w:kern w:val="2"/>
      <w:sz w:val="18"/>
      <w:szCs w:val="18"/>
    </w:rPr>
  </w:style>
  <w:style w:type="character" w:customStyle="1" w:styleId="113">
    <w:name w:val="批注文字 字符1"/>
    <w:link w:val="28"/>
    <w:qFormat/>
    <w:uiPriority w:val="99"/>
    <w:rPr>
      <w:kern w:val="2"/>
      <w:sz w:val="21"/>
      <w:szCs w:val="24"/>
    </w:rPr>
  </w:style>
  <w:style w:type="character" w:customStyle="1" w:styleId="114">
    <w:name w:val="称呼 字符"/>
    <w:link w:val="30"/>
    <w:qFormat/>
    <w:uiPriority w:val="0"/>
    <w:rPr>
      <w:kern w:val="2"/>
      <w:sz w:val="21"/>
      <w:szCs w:val="24"/>
    </w:rPr>
  </w:style>
  <w:style w:type="character" w:customStyle="1" w:styleId="115">
    <w:name w:val="正文文本 3 字符"/>
    <w:link w:val="31"/>
    <w:qFormat/>
    <w:uiPriority w:val="0"/>
    <w:rPr>
      <w:kern w:val="2"/>
      <w:sz w:val="16"/>
      <w:szCs w:val="16"/>
    </w:rPr>
  </w:style>
  <w:style w:type="character" w:customStyle="1" w:styleId="116">
    <w:name w:val="结束语 字符"/>
    <w:link w:val="32"/>
    <w:qFormat/>
    <w:uiPriority w:val="0"/>
    <w:rPr>
      <w:kern w:val="2"/>
      <w:sz w:val="21"/>
      <w:szCs w:val="24"/>
    </w:rPr>
  </w:style>
  <w:style w:type="character" w:customStyle="1" w:styleId="117">
    <w:name w:val="正文文本 字符"/>
    <w:link w:val="34"/>
    <w:qFormat/>
    <w:uiPriority w:val="0"/>
    <w:rPr>
      <w:rFonts w:ascii="仿宋_GB2312" w:eastAsia="仿宋_GB2312"/>
      <w:kern w:val="2"/>
      <w:sz w:val="24"/>
      <w:szCs w:val="24"/>
    </w:rPr>
  </w:style>
  <w:style w:type="character" w:customStyle="1" w:styleId="118">
    <w:name w:val="正文文本缩进 字符1"/>
    <w:link w:val="35"/>
    <w:qFormat/>
    <w:uiPriority w:val="0"/>
    <w:rPr>
      <w:rFonts w:ascii="仿宋_GB2312" w:eastAsia="仿宋_GB2312"/>
      <w:kern w:val="2"/>
      <w:sz w:val="24"/>
      <w:szCs w:val="24"/>
    </w:rPr>
  </w:style>
  <w:style w:type="character" w:customStyle="1" w:styleId="119">
    <w:name w:val="HTML 地址 字符"/>
    <w:link w:val="41"/>
    <w:qFormat/>
    <w:uiPriority w:val="0"/>
    <w:rPr>
      <w:i/>
      <w:iCs/>
      <w:kern w:val="2"/>
      <w:sz w:val="21"/>
      <w:szCs w:val="24"/>
    </w:rPr>
  </w:style>
  <w:style w:type="character" w:customStyle="1" w:styleId="120">
    <w:name w:val="纯文本 字符2"/>
    <w:link w:val="45"/>
    <w:qFormat/>
    <w:uiPriority w:val="0"/>
    <w:rPr>
      <w:rFonts w:ascii="宋体" w:hAnsi="Courier New" w:cs="Courier New"/>
      <w:kern w:val="2"/>
      <w:sz w:val="21"/>
      <w:szCs w:val="21"/>
    </w:rPr>
  </w:style>
  <w:style w:type="character" w:customStyle="1" w:styleId="121">
    <w:name w:val="日期 字符"/>
    <w:link w:val="50"/>
    <w:qFormat/>
    <w:uiPriority w:val="0"/>
    <w:rPr>
      <w:rFonts w:eastAsia="楷体_GB2312"/>
      <w:kern w:val="2"/>
      <w:sz w:val="28"/>
    </w:rPr>
  </w:style>
  <w:style w:type="character" w:customStyle="1" w:styleId="122">
    <w:name w:val="正文文本缩进 2 字符1"/>
    <w:link w:val="51"/>
    <w:qFormat/>
    <w:uiPriority w:val="0"/>
    <w:rPr>
      <w:kern w:val="2"/>
      <w:sz w:val="21"/>
      <w:szCs w:val="24"/>
    </w:rPr>
  </w:style>
  <w:style w:type="character" w:customStyle="1" w:styleId="123">
    <w:name w:val="尾注文本 字符"/>
    <w:link w:val="52"/>
    <w:qFormat/>
    <w:uiPriority w:val="0"/>
    <w:rPr>
      <w:kern w:val="2"/>
      <w:sz w:val="21"/>
      <w:szCs w:val="24"/>
    </w:rPr>
  </w:style>
  <w:style w:type="character" w:customStyle="1" w:styleId="124">
    <w:name w:val="批注框文本 字符"/>
    <w:link w:val="54"/>
    <w:qFormat/>
    <w:locked/>
    <w:uiPriority w:val="99"/>
    <w:rPr>
      <w:rFonts w:eastAsia="宋体"/>
      <w:kern w:val="2"/>
      <w:sz w:val="18"/>
      <w:szCs w:val="18"/>
      <w:lang w:val="en-US" w:eastAsia="zh-CN" w:bidi="ar-SA"/>
    </w:rPr>
  </w:style>
  <w:style w:type="character" w:customStyle="1" w:styleId="125">
    <w:name w:val="页脚 字符"/>
    <w:link w:val="55"/>
    <w:qFormat/>
    <w:uiPriority w:val="99"/>
    <w:rPr>
      <w:kern w:val="2"/>
      <w:sz w:val="18"/>
      <w:szCs w:val="18"/>
    </w:rPr>
  </w:style>
  <w:style w:type="character" w:customStyle="1" w:styleId="126">
    <w:name w:val="页眉 字符"/>
    <w:link w:val="57"/>
    <w:qFormat/>
    <w:uiPriority w:val="99"/>
    <w:rPr>
      <w:kern w:val="2"/>
      <w:sz w:val="18"/>
      <w:szCs w:val="18"/>
    </w:rPr>
  </w:style>
  <w:style w:type="character" w:customStyle="1" w:styleId="127">
    <w:name w:val="签名 字符"/>
    <w:link w:val="58"/>
    <w:qFormat/>
    <w:uiPriority w:val="0"/>
    <w:rPr>
      <w:kern w:val="2"/>
      <w:sz w:val="21"/>
      <w:szCs w:val="24"/>
    </w:rPr>
  </w:style>
  <w:style w:type="character" w:customStyle="1" w:styleId="128">
    <w:name w:val="副标题 字符"/>
    <w:link w:val="64"/>
    <w:qFormat/>
    <w:uiPriority w:val="0"/>
    <w:rPr>
      <w:rFonts w:ascii="Cambria" w:hAnsi="Cambria" w:cs="Times New Roman"/>
      <w:b/>
      <w:bCs/>
      <w:kern w:val="28"/>
      <w:sz w:val="32"/>
      <w:szCs w:val="32"/>
    </w:rPr>
  </w:style>
  <w:style w:type="character" w:customStyle="1" w:styleId="129">
    <w:name w:val="脚注文本 字符"/>
    <w:link w:val="67"/>
    <w:qFormat/>
    <w:uiPriority w:val="0"/>
    <w:rPr>
      <w:kern w:val="2"/>
      <w:sz w:val="18"/>
      <w:szCs w:val="18"/>
    </w:rPr>
  </w:style>
  <w:style w:type="character" w:customStyle="1" w:styleId="130">
    <w:name w:val="正文文本缩进 3 字符"/>
    <w:link w:val="70"/>
    <w:qFormat/>
    <w:uiPriority w:val="0"/>
    <w:rPr>
      <w:rFonts w:ascii="仿宋_GB2312" w:eastAsia="仿宋_GB2312"/>
      <w:kern w:val="2"/>
      <w:sz w:val="24"/>
      <w:szCs w:val="24"/>
    </w:rPr>
  </w:style>
  <w:style w:type="character" w:customStyle="1" w:styleId="131">
    <w:name w:val="正文文本 2 字符"/>
    <w:link w:val="76"/>
    <w:qFormat/>
    <w:uiPriority w:val="0"/>
    <w:rPr>
      <w:rFonts w:ascii="仿宋_GB2312" w:eastAsia="仿宋_GB2312"/>
      <w:b/>
      <w:bCs/>
      <w:kern w:val="2"/>
      <w:sz w:val="28"/>
      <w:szCs w:val="24"/>
    </w:rPr>
  </w:style>
  <w:style w:type="character" w:customStyle="1" w:styleId="132">
    <w:name w:val="信息标题 字符"/>
    <w:link w:val="79"/>
    <w:qFormat/>
    <w:uiPriority w:val="0"/>
    <w:rPr>
      <w:rFonts w:ascii="Cambria" w:hAnsi="Cambria" w:eastAsia="宋体" w:cs="Times New Roman"/>
      <w:kern w:val="2"/>
      <w:sz w:val="24"/>
      <w:szCs w:val="24"/>
      <w:shd w:val="pct20" w:color="auto" w:fill="auto"/>
    </w:rPr>
  </w:style>
  <w:style w:type="character" w:customStyle="1" w:styleId="133">
    <w:name w:val="HTML 预设格式 字符"/>
    <w:link w:val="80"/>
    <w:qFormat/>
    <w:uiPriority w:val="99"/>
    <w:rPr>
      <w:rFonts w:ascii="Courier New" w:hAnsi="Courier New" w:cs="Courier New"/>
      <w:kern w:val="2"/>
    </w:rPr>
  </w:style>
  <w:style w:type="character" w:customStyle="1" w:styleId="134">
    <w:name w:val="普通(网站) 字符1"/>
    <w:link w:val="81"/>
    <w:qFormat/>
    <w:locked/>
    <w:uiPriority w:val="0"/>
    <w:rPr>
      <w:rFonts w:ascii="Arial Unicode MS" w:hAnsi="Arial Unicode MS" w:eastAsia="Arial Unicode MS" w:cs="Arial Unicode MS"/>
      <w:sz w:val="24"/>
      <w:szCs w:val="24"/>
    </w:rPr>
  </w:style>
  <w:style w:type="character" w:customStyle="1" w:styleId="135">
    <w:name w:val="标题 字符"/>
    <w:link w:val="84"/>
    <w:qFormat/>
    <w:uiPriority w:val="0"/>
    <w:rPr>
      <w:rFonts w:ascii="Cambria" w:hAnsi="Cambria" w:cs="Times New Roman"/>
      <w:b/>
      <w:bCs/>
      <w:kern w:val="2"/>
      <w:sz w:val="32"/>
      <w:szCs w:val="32"/>
    </w:rPr>
  </w:style>
  <w:style w:type="character" w:customStyle="1" w:styleId="136">
    <w:name w:val="批注主题 字符1"/>
    <w:link w:val="85"/>
    <w:qFormat/>
    <w:uiPriority w:val="99"/>
    <w:rPr>
      <w:b/>
      <w:bCs/>
      <w:kern w:val="2"/>
      <w:sz w:val="21"/>
      <w:szCs w:val="24"/>
    </w:rPr>
  </w:style>
  <w:style w:type="character" w:customStyle="1" w:styleId="137">
    <w:name w:val="正文文本首行缩进 字符"/>
    <w:link w:val="86"/>
    <w:qFormat/>
    <w:uiPriority w:val="0"/>
    <w:rPr>
      <w:rFonts w:ascii="仿宋_GB2312" w:eastAsia="仿宋_GB2312"/>
      <w:kern w:val="2"/>
      <w:sz w:val="24"/>
      <w:szCs w:val="24"/>
    </w:rPr>
  </w:style>
  <w:style w:type="character" w:customStyle="1" w:styleId="138">
    <w:name w:val="正文文本首行缩进 2 字符"/>
    <w:link w:val="87"/>
    <w:qFormat/>
    <w:uiPriority w:val="0"/>
    <w:rPr>
      <w:rFonts w:ascii="仿宋_GB2312" w:eastAsia="仿宋_GB2312"/>
      <w:kern w:val="2"/>
      <w:sz w:val="24"/>
      <w:szCs w:val="24"/>
    </w:rPr>
  </w:style>
  <w:style w:type="character" w:customStyle="1" w:styleId="139">
    <w:name w:val="批注主题 字符"/>
    <w:link w:val="140"/>
    <w:qFormat/>
    <w:uiPriority w:val="0"/>
    <w:rPr>
      <w:b/>
      <w:bCs/>
      <w:kern w:val="2"/>
      <w:sz w:val="21"/>
      <w:szCs w:val="24"/>
    </w:rPr>
  </w:style>
  <w:style w:type="paragraph" w:customStyle="1" w:styleId="140">
    <w:name w:val="批注主题1"/>
    <w:basedOn w:val="28"/>
    <w:next w:val="28"/>
    <w:link w:val="139"/>
    <w:qFormat/>
    <w:uiPriority w:val="0"/>
    <w:rPr>
      <w:b/>
      <w:bCs/>
    </w:rPr>
  </w:style>
  <w:style w:type="character" w:customStyle="1" w:styleId="141">
    <w:name w:val="浅色底纹 - 着色 2 字符"/>
    <w:link w:val="142"/>
    <w:qFormat/>
    <w:uiPriority w:val="0"/>
    <w:rPr>
      <w:b/>
      <w:bCs/>
      <w:i/>
      <w:iCs/>
      <w:color w:val="4F81BD"/>
      <w:kern w:val="2"/>
      <w:sz w:val="21"/>
      <w:szCs w:val="24"/>
    </w:rPr>
  </w:style>
  <w:style w:type="paragraph" w:customStyle="1" w:styleId="142">
    <w:name w:val="浅色底纹 - 着色 21"/>
    <w:basedOn w:val="1"/>
    <w:next w:val="1"/>
    <w:link w:val="141"/>
    <w:qFormat/>
    <w:uiPriority w:val="0"/>
    <w:pPr>
      <w:pBdr>
        <w:bottom w:val="single" w:color="4F81BD" w:sz="4" w:space="4"/>
      </w:pBdr>
      <w:spacing w:before="200" w:after="280"/>
      <w:ind w:left="936" w:right="936"/>
    </w:pPr>
    <w:rPr>
      <w:b/>
      <w:bCs/>
      <w:i/>
      <w:iCs/>
      <w:color w:val="4F81BD"/>
    </w:rPr>
  </w:style>
  <w:style w:type="character" w:customStyle="1" w:styleId="143">
    <w:name w:val="redfilenumber"/>
    <w:qFormat/>
    <w:uiPriority w:val="0"/>
    <w:rPr>
      <w:color w:val="BA2636"/>
      <w:sz w:val="18"/>
      <w:szCs w:val="18"/>
    </w:rPr>
  </w:style>
  <w:style w:type="character" w:customStyle="1" w:styleId="144">
    <w:name w:val="gray121"/>
    <w:qFormat/>
    <w:uiPriority w:val="0"/>
    <w:rPr>
      <w:rFonts w:hint="default"/>
      <w:color w:val="333333"/>
      <w:sz w:val="18"/>
      <w:szCs w:val="18"/>
      <w:u w:val="none"/>
    </w:rPr>
  </w:style>
  <w:style w:type="character" w:customStyle="1" w:styleId="145">
    <w:name w:val="正文文本 Char"/>
    <w:qFormat/>
    <w:uiPriority w:val="0"/>
    <w:rPr>
      <w:rFonts w:ascii="仿宋_GB2312" w:eastAsia="仿宋_GB2312"/>
      <w:kern w:val="2"/>
      <w:sz w:val="24"/>
      <w:szCs w:val="24"/>
    </w:rPr>
  </w:style>
  <w:style w:type="character" w:customStyle="1" w:styleId="146">
    <w:name w:val="font01"/>
    <w:qFormat/>
    <w:uiPriority w:val="0"/>
    <w:rPr>
      <w:rFonts w:hint="eastAsia" w:ascii="宋体" w:hAnsi="宋体" w:eastAsia="宋体" w:cs="宋体"/>
      <w:color w:val="000000"/>
      <w:sz w:val="24"/>
      <w:szCs w:val="24"/>
      <w:u w:val="none"/>
    </w:rPr>
  </w:style>
  <w:style w:type="character" w:customStyle="1" w:styleId="147">
    <w:name w:val="页码1"/>
    <w:qFormat/>
    <w:uiPriority w:val="0"/>
  </w:style>
  <w:style w:type="character" w:customStyle="1" w:styleId="148">
    <w:name w:val="纯文本 字符"/>
    <w:link w:val="149"/>
    <w:qFormat/>
    <w:uiPriority w:val="0"/>
    <w:rPr>
      <w:rFonts w:ascii="宋体" w:hAnsi="Courier New"/>
      <w:kern w:val="2"/>
      <w:sz w:val="21"/>
    </w:rPr>
  </w:style>
  <w:style w:type="paragraph" w:customStyle="1" w:styleId="149">
    <w:name w:val="纯文本1"/>
    <w:basedOn w:val="1"/>
    <w:link w:val="148"/>
    <w:qFormat/>
    <w:uiPriority w:val="0"/>
    <w:rPr>
      <w:rFonts w:ascii="宋体" w:hAnsi="Courier New"/>
      <w:szCs w:val="20"/>
    </w:rPr>
  </w:style>
  <w:style w:type="character" w:customStyle="1" w:styleId="150">
    <w:name w:val="中等深浅网格 1 - 强调文字颜色 2字符"/>
    <w:link w:val="151"/>
    <w:qFormat/>
    <w:uiPriority w:val="0"/>
    <w:rPr>
      <w:sz w:val="24"/>
    </w:rPr>
  </w:style>
  <w:style w:type="paragraph" w:customStyle="1" w:styleId="151">
    <w:name w:val="中等深浅网格 1 - 强调文字颜色 21"/>
    <w:basedOn w:val="1"/>
    <w:link w:val="150"/>
    <w:qFormat/>
    <w:uiPriority w:val="0"/>
    <w:pPr>
      <w:adjustRightInd w:val="0"/>
      <w:spacing w:line="360" w:lineRule="atLeast"/>
      <w:ind w:firstLine="420" w:firstLineChars="200"/>
      <w:jc w:val="left"/>
      <w:textAlignment w:val="baseline"/>
    </w:pPr>
    <w:rPr>
      <w:kern w:val="0"/>
      <w:sz w:val="24"/>
      <w:szCs w:val="20"/>
    </w:rPr>
  </w:style>
  <w:style w:type="character" w:customStyle="1" w:styleId="152">
    <w:name w:val="Char Char11"/>
    <w:qFormat/>
    <w:uiPriority w:val="0"/>
    <w:rPr>
      <w:kern w:val="2"/>
      <w:sz w:val="18"/>
    </w:rPr>
  </w:style>
  <w:style w:type="character" w:customStyle="1" w:styleId="153">
    <w:name w:val="正文文本 Char1"/>
    <w:qFormat/>
    <w:uiPriority w:val="0"/>
    <w:rPr>
      <w:kern w:val="2"/>
      <w:sz w:val="21"/>
      <w:szCs w:val="24"/>
    </w:rPr>
  </w:style>
  <w:style w:type="character" w:customStyle="1" w:styleId="154">
    <w:name w:val="纯文本 Char1"/>
    <w:qFormat/>
    <w:uiPriority w:val="0"/>
    <w:rPr>
      <w:rFonts w:ascii="宋体" w:hAnsi="Courier New" w:eastAsia="宋体" w:cs="宋体"/>
      <w:kern w:val="0"/>
      <w:szCs w:val="21"/>
      <w:lang w:val="en-US" w:eastAsia="zh-CN"/>
    </w:rPr>
  </w:style>
  <w:style w:type="character" w:customStyle="1" w:styleId="155">
    <w:name w:val="cfdate"/>
    <w:qFormat/>
    <w:uiPriority w:val="0"/>
    <w:rPr>
      <w:color w:val="333333"/>
      <w:sz w:val="18"/>
      <w:szCs w:val="18"/>
    </w:rPr>
  </w:style>
  <w:style w:type="character" w:customStyle="1" w:styleId="156">
    <w:name w:val="批注主题 Char1"/>
    <w:qFormat/>
    <w:uiPriority w:val="99"/>
    <w:rPr>
      <w:b/>
      <w:bCs/>
      <w:kern w:val="2"/>
      <w:sz w:val="21"/>
      <w:szCs w:val="24"/>
    </w:rPr>
  </w:style>
  <w:style w:type="character" w:customStyle="1" w:styleId="157">
    <w:name w:val="批注引用1"/>
    <w:qFormat/>
    <w:uiPriority w:val="0"/>
    <w:rPr>
      <w:sz w:val="21"/>
      <w:szCs w:val="21"/>
    </w:rPr>
  </w:style>
  <w:style w:type="character" w:customStyle="1" w:styleId="158">
    <w:name w:val="标题 2 Char"/>
    <w:qFormat/>
    <w:uiPriority w:val="9"/>
    <w:rPr>
      <w:rFonts w:ascii="Arial" w:hAnsi="Arial" w:eastAsia="黑体"/>
      <w:b/>
      <w:bCs/>
      <w:kern w:val="2"/>
      <w:sz w:val="26"/>
      <w:szCs w:val="32"/>
      <w:lang w:val="en-US" w:eastAsia="zh-HK" w:bidi="ar-SA"/>
    </w:rPr>
  </w:style>
  <w:style w:type="character" w:customStyle="1" w:styleId="159">
    <w:name w:val="批注文字 Char1"/>
    <w:qFormat/>
    <w:uiPriority w:val="99"/>
    <w:rPr>
      <w:rFonts w:ascii="Times New Roman" w:hAnsi="Times New Roman" w:eastAsia="宋体" w:cs="Times New Roman"/>
      <w:szCs w:val="20"/>
    </w:rPr>
  </w:style>
  <w:style w:type="character" w:customStyle="1" w:styleId="160">
    <w:name w:val="正文首行缩进 字符"/>
    <w:link w:val="161"/>
    <w:qFormat/>
    <w:uiPriority w:val="0"/>
    <w:rPr>
      <w:kern w:val="2"/>
      <w:sz w:val="21"/>
    </w:rPr>
  </w:style>
  <w:style w:type="paragraph" w:customStyle="1" w:styleId="161">
    <w:name w:val="正文首行缩进1"/>
    <w:basedOn w:val="34"/>
    <w:link w:val="160"/>
    <w:qFormat/>
    <w:uiPriority w:val="0"/>
    <w:pPr>
      <w:spacing w:after="120"/>
      <w:ind w:firstLine="420"/>
    </w:pPr>
    <w:rPr>
      <w:rFonts w:ascii="Times New Roman" w:eastAsia="宋体"/>
      <w:sz w:val="21"/>
      <w:szCs w:val="20"/>
    </w:rPr>
  </w:style>
  <w:style w:type="character" w:customStyle="1" w:styleId="162">
    <w:name w:val="apple-converted-space"/>
    <w:qFormat/>
    <w:uiPriority w:val="0"/>
  </w:style>
  <w:style w:type="character" w:customStyle="1" w:styleId="163">
    <w:name w:val="font11"/>
    <w:qFormat/>
    <w:uiPriority w:val="0"/>
    <w:rPr>
      <w:rFonts w:hint="default" w:ascii="Times New Roman" w:hAnsi="Times New Roman" w:cs="Times New Roman"/>
      <w:color w:val="000000"/>
      <w:sz w:val="24"/>
      <w:szCs w:val="24"/>
      <w:u w:val="none"/>
    </w:rPr>
  </w:style>
  <w:style w:type="character" w:customStyle="1" w:styleId="164">
    <w:name w:val="正文文本 Char2"/>
    <w:qFormat/>
    <w:uiPriority w:val="0"/>
    <w:rPr>
      <w:rFonts w:ascii="仿宋_GB2312" w:eastAsia="仿宋_GB2312"/>
      <w:kern w:val="2"/>
      <w:sz w:val="24"/>
      <w:szCs w:val="24"/>
    </w:rPr>
  </w:style>
  <w:style w:type="character" w:customStyle="1" w:styleId="165">
    <w:name w:val="short_text"/>
    <w:qFormat/>
    <w:uiPriority w:val="0"/>
  </w:style>
  <w:style w:type="character" w:customStyle="1" w:styleId="166">
    <w:name w:val="彩色列表 - 着色 1 字符"/>
    <w:link w:val="167"/>
    <w:qFormat/>
    <w:uiPriority w:val="34"/>
    <w:rPr>
      <w:kern w:val="2"/>
      <w:sz w:val="21"/>
      <w:szCs w:val="24"/>
    </w:rPr>
  </w:style>
  <w:style w:type="paragraph" w:customStyle="1" w:styleId="167">
    <w:name w:val="彩色列表 - 着色 11"/>
    <w:basedOn w:val="1"/>
    <w:link w:val="166"/>
    <w:qFormat/>
    <w:uiPriority w:val="34"/>
    <w:pPr>
      <w:ind w:firstLine="420" w:firstLineChars="200"/>
    </w:pPr>
  </w:style>
  <w:style w:type="character" w:customStyle="1" w:styleId="168">
    <w:name w:val="gjfg"/>
    <w:qFormat/>
    <w:uiPriority w:val="0"/>
  </w:style>
  <w:style w:type="character" w:customStyle="1" w:styleId="169">
    <w:name w:val="qxdate"/>
    <w:qFormat/>
    <w:uiPriority w:val="0"/>
    <w:rPr>
      <w:color w:val="333333"/>
      <w:sz w:val="18"/>
      <w:szCs w:val="18"/>
    </w:rPr>
  </w:style>
  <w:style w:type="character" w:customStyle="1" w:styleId="170">
    <w:name w:val="网格表 3 - 强调文字颜色 11"/>
    <w:qFormat/>
    <w:uiPriority w:val="0"/>
    <w:rPr>
      <w:b/>
      <w:bCs/>
      <w:smallCaps/>
      <w:spacing w:val="5"/>
    </w:rPr>
  </w:style>
  <w:style w:type="character" w:customStyle="1" w:styleId="171">
    <w:name w:val="批注文字 Char"/>
    <w:qFormat/>
    <w:uiPriority w:val="99"/>
    <w:rPr>
      <w:kern w:val="2"/>
      <w:sz w:val="21"/>
      <w:szCs w:val="24"/>
    </w:rPr>
  </w:style>
  <w:style w:type="character" w:customStyle="1" w:styleId="172">
    <w:name w:val="标书-正文 Char Char"/>
    <w:link w:val="173"/>
    <w:qFormat/>
    <w:uiPriority w:val="0"/>
    <w:rPr>
      <w:rFonts w:ascii="Arial" w:hAnsi="Arial" w:cs="Arial"/>
      <w:kern w:val="2"/>
      <w:sz w:val="21"/>
    </w:rPr>
  </w:style>
  <w:style w:type="paragraph" w:customStyle="1" w:styleId="173">
    <w:name w:val="标书-正文"/>
    <w:basedOn w:val="1"/>
    <w:link w:val="172"/>
    <w:qFormat/>
    <w:uiPriority w:val="0"/>
    <w:pPr>
      <w:spacing w:before="56" w:after="113" w:line="300" w:lineRule="auto"/>
      <w:ind w:firstLine="200" w:firstLineChars="200"/>
      <w:jc w:val="left"/>
    </w:pPr>
    <w:rPr>
      <w:rFonts w:ascii="Arial" w:hAnsi="Arial"/>
      <w:szCs w:val="20"/>
    </w:rPr>
  </w:style>
  <w:style w:type="character" w:customStyle="1" w:styleId="174">
    <w:name w:val="redfilefwwh"/>
    <w:qFormat/>
    <w:uiPriority w:val="0"/>
    <w:rPr>
      <w:color w:val="BA2636"/>
      <w:sz w:val="18"/>
      <w:szCs w:val="18"/>
    </w:rPr>
  </w:style>
  <w:style w:type="character" w:customStyle="1" w:styleId="175">
    <w:name w:val="页脚 Char"/>
    <w:qFormat/>
    <w:uiPriority w:val="99"/>
    <w:rPr>
      <w:rFonts w:eastAsia="Calibri"/>
      <w:sz w:val="21"/>
    </w:rPr>
  </w:style>
  <w:style w:type="character" w:customStyle="1" w:styleId="176">
    <w:name w:val="纯文本 Char"/>
    <w:qFormat/>
    <w:uiPriority w:val="0"/>
    <w:rPr>
      <w:rFonts w:ascii="宋体" w:hAnsi="Courier New"/>
      <w:kern w:val="2"/>
      <w:sz w:val="24"/>
    </w:rPr>
  </w:style>
  <w:style w:type="character" w:customStyle="1" w:styleId="177">
    <w:name w:val="p1481"/>
    <w:qFormat/>
    <w:uiPriority w:val="0"/>
  </w:style>
  <w:style w:type="character" w:customStyle="1" w:styleId="178">
    <w:name w:val="彩色网格 - 着色 1 字符"/>
    <w:link w:val="179"/>
    <w:qFormat/>
    <w:uiPriority w:val="0"/>
    <w:rPr>
      <w:i/>
      <w:iCs/>
      <w:color w:val="000000"/>
      <w:kern w:val="2"/>
      <w:sz w:val="21"/>
      <w:szCs w:val="24"/>
    </w:rPr>
  </w:style>
  <w:style w:type="paragraph" w:customStyle="1" w:styleId="179">
    <w:name w:val="彩色网格 - 着色 11"/>
    <w:basedOn w:val="1"/>
    <w:next w:val="1"/>
    <w:link w:val="178"/>
    <w:qFormat/>
    <w:uiPriority w:val="0"/>
    <w:rPr>
      <w:i/>
      <w:iCs/>
      <w:color w:val="000000"/>
    </w:rPr>
  </w:style>
  <w:style w:type="character" w:customStyle="1" w:styleId="180">
    <w:name w:val="正文文本缩进 2 Char"/>
    <w:qFormat/>
    <w:uiPriority w:val="0"/>
    <w:rPr>
      <w:kern w:val="2"/>
      <w:sz w:val="21"/>
      <w:szCs w:val="24"/>
    </w:rPr>
  </w:style>
  <w:style w:type="character" w:customStyle="1" w:styleId="181">
    <w:name w:val="displayarti"/>
    <w:qFormat/>
    <w:uiPriority w:val="0"/>
    <w:rPr>
      <w:color w:val="FFFFFF"/>
      <w:shd w:val="clear" w:color="auto" w:fill="A00000"/>
    </w:rPr>
  </w:style>
  <w:style w:type="character" w:customStyle="1" w:styleId="182">
    <w:name w:val="正文文本缩进 Char"/>
    <w:qFormat/>
    <w:uiPriority w:val="0"/>
    <w:rPr>
      <w:rFonts w:ascii="仿宋_GB2312" w:eastAsia="仿宋_GB2312"/>
      <w:kern w:val="2"/>
      <w:sz w:val="24"/>
      <w:szCs w:val="24"/>
    </w:rPr>
  </w:style>
  <w:style w:type="character" w:customStyle="1" w:styleId="183">
    <w:name w:val="列出段落 Char"/>
    <w:link w:val="184"/>
    <w:qFormat/>
    <w:uiPriority w:val="0"/>
    <w:rPr>
      <w:kern w:val="2"/>
      <w:sz w:val="21"/>
      <w:szCs w:val="24"/>
    </w:rPr>
  </w:style>
  <w:style w:type="paragraph" w:customStyle="1" w:styleId="184">
    <w:name w:val="列出段落1"/>
    <w:basedOn w:val="1"/>
    <w:link w:val="183"/>
    <w:qFormat/>
    <w:uiPriority w:val="0"/>
    <w:pPr>
      <w:ind w:firstLine="420" w:firstLineChars="200"/>
    </w:pPr>
  </w:style>
  <w:style w:type="paragraph" w:customStyle="1" w:styleId="185">
    <w:name w:val="xl133"/>
    <w:basedOn w:val="1"/>
    <w:qFormat/>
    <w:uiPriority w:val="0"/>
    <w:pPr>
      <w:widowControl/>
      <w:pBdr>
        <w:left w:val="single" w:color="auto" w:sz="8" w:space="0"/>
        <w:bottom w:val="single" w:color="auto" w:sz="8" w:space="0"/>
        <w:right w:val="single" w:color="000000" w:sz="8" w:space="0"/>
      </w:pBdr>
      <w:spacing w:before="100" w:beforeAutospacing="1" w:after="100" w:afterAutospacing="1"/>
      <w:jc w:val="left"/>
    </w:pPr>
    <w:rPr>
      <w:rFonts w:ascii="宋体" w:hAnsi="宋体" w:cs="宋体"/>
      <w:kern w:val="0"/>
      <w:szCs w:val="21"/>
    </w:rPr>
  </w:style>
  <w:style w:type="paragraph" w:customStyle="1" w:styleId="186">
    <w:name w:val="Char Char2 Char"/>
    <w:basedOn w:val="1"/>
    <w:qFormat/>
    <w:uiPriority w:val="0"/>
    <w:pPr>
      <w:keepNext/>
      <w:keepLines/>
      <w:pageBreakBefore/>
      <w:tabs>
        <w:tab w:val="left" w:pos="390"/>
      </w:tabs>
      <w:ind w:left="390" w:hanging="390"/>
    </w:pPr>
    <w:rPr>
      <w:rFonts w:ascii="Tahoma" w:hAnsi="Tahoma"/>
      <w:sz w:val="24"/>
      <w:szCs w:val="20"/>
    </w:rPr>
  </w:style>
  <w:style w:type="paragraph" w:customStyle="1" w:styleId="187">
    <w:name w:val="xl138"/>
    <w:basedOn w:val="1"/>
    <w:qFormat/>
    <w:uiPriority w:val="0"/>
    <w:pPr>
      <w:widowControl/>
      <w:pBdr>
        <w:bottom w:val="single" w:color="auto" w:sz="8" w:space="0"/>
        <w:right w:val="single" w:color="auto" w:sz="8" w:space="0"/>
      </w:pBdr>
      <w:spacing w:before="100" w:beforeAutospacing="1" w:after="100" w:afterAutospacing="1"/>
      <w:jc w:val="left"/>
    </w:pPr>
    <w:rPr>
      <w:rFonts w:ascii="宋体" w:hAnsi="宋体" w:cs="宋体"/>
      <w:color w:val="FF0000"/>
      <w:kern w:val="0"/>
      <w:szCs w:val="21"/>
    </w:rPr>
  </w:style>
  <w:style w:type="paragraph" w:customStyle="1" w:styleId="188">
    <w:name w:val="标题前缀"/>
    <w:qFormat/>
    <w:uiPriority w:val="0"/>
    <w:pPr>
      <w:tabs>
        <w:tab w:val="left" w:pos="5550"/>
      </w:tabs>
      <w:spacing w:before="100" w:beforeAutospacing="1"/>
      <w:jc w:val="right"/>
    </w:pPr>
    <w:rPr>
      <w:rFonts w:ascii="宋体" w:hAnsi="宋体" w:eastAsia="宋体" w:cs="Times New Roman"/>
      <w:bCs/>
      <w:kern w:val="2"/>
      <w:sz w:val="24"/>
      <w:szCs w:val="24"/>
      <w:lang w:val="zh-CN" w:eastAsia="zh-CN" w:bidi="ar-SA"/>
    </w:rPr>
  </w:style>
  <w:style w:type="paragraph" w:customStyle="1" w:styleId="189">
    <w:name w:val="条款附加"/>
    <w:qFormat/>
    <w:uiPriority w:val="0"/>
    <w:pPr>
      <w:tabs>
        <w:tab w:val="left" w:pos="425"/>
      </w:tabs>
      <w:snapToGrid w:val="0"/>
      <w:spacing w:after="120" w:line="300" w:lineRule="auto"/>
      <w:ind w:left="425" w:hanging="425"/>
    </w:pPr>
    <w:rPr>
      <w:rFonts w:ascii="宋体" w:hAnsi="Times New Roman" w:eastAsia="宋体" w:cs="Times New Roman"/>
      <w:sz w:val="24"/>
      <w:lang w:val="en-US" w:eastAsia="zh-CN" w:bidi="ar-SA"/>
    </w:rPr>
  </w:style>
  <w:style w:type="paragraph" w:customStyle="1" w:styleId="190">
    <w:name w:val="font7"/>
    <w:basedOn w:val="1"/>
    <w:qFormat/>
    <w:uiPriority w:val="0"/>
    <w:pPr>
      <w:widowControl/>
      <w:spacing w:before="100" w:beforeAutospacing="1" w:after="100" w:afterAutospacing="1"/>
      <w:jc w:val="left"/>
    </w:pPr>
    <w:rPr>
      <w:rFonts w:ascii="宋体" w:hAnsi="宋体" w:cs="宋体"/>
      <w:color w:val="000000"/>
      <w:kern w:val="0"/>
      <w:szCs w:val="21"/>
    </w:rPr>
  </w:style>
  <w:style w:type="paragraph" w:customStyle="1" w:styleId="191">
    <w:name w:val="xl89"/>
    <w:basedOn w:val="1"/>
    <w:qFormat/>
    <w:uiPriority w:val="0"/>
    <w:pPr>
      <w:widowControl/>
      <w:pBdr>
        <w:left w:val="single" w:color="auto" w:sz="8" w:space="0"/>
        <w:bottom w:val="single" w:color="auto" w:sz="8" w:space="0"/>
        <w:right w:val="single" w:color="auto" w:sz="8" w:space="0"/>
      </w:pBdr>
      <w:spacing w:before="100" w:beforeAutospacing="1" w:after="100" w:afterAutospacing="1"/>
      <w:jc w:val="left"/>
    </w:pPr>
    <w:rPr>
      <w:rFonts w:ascii="宋体" w:hAnsi="宋体" w:cs="宋体"/>
      <w:kern w:val="0"/>
      <w:sz w:val="20"/>
      <w:szCs w:val="20"/>
    </w:rPr>
  </w:style>
  <w:style w:type="paragraph" w:customStyle="1" w:styleId="192">
    <w:name w:val="xl124"/>
    <w:basedOn w:val="1"/>
    <w:qFormat/>
    <w:uiPriority w:val="0"/>
    <w:pPr>
      <w:widowControl/>
      <w:pBdr>
        <w:left w:val="single" w:color="auto" w:sz="8" w:space="0"/>
        <w:right w:val="single" w:color="000000" w:sz="8" w:space="0"/>
      </w:pBdr>
      <w:shd w:val="clear" w:color="000000" w:fill="FFFFFF"/>
      <w:spacing w:before="100" w:beforeAutospacing="1" w:after="100" w:afterAutospacing="1"/>
      <w:jc w:val="center"/>
    </w:pPr>
    <w:rPr>
      <w:rFonts w:ascii="宋体" w:hAnsi="宋体" w:cs="宋体"/>
      <w:kern w:val="0"/>
      <w:szCs w:val="21"/>
    </w:rPr>
  </w:style>
  <w:style w:type="paragraph" w:customStyle="1" w:styleId="193">
    <w:name w:val="xl141"/>
    <w:basedOn w:val="1"/>
    <w:qFormat/>
    <w:uiPriority w:val="0"/>
    <w:pPr>
      <w:widowControl/>
      <w:pBdr>
        <w:left w:val="single" w:color="auto" w:sz="8" w:space="0"/>
        <w:bottom w:val="single" w:color="auto" w:sz="8" w:space="0"/>
        <w:right w:val="single" w:color="000000" w:sz="8" w:space="0"/>
      </w:pBdr>
      <w:spacing w:before="100" w:beforeAutospacing="1" w:after="100" w:afterAutospacing="1"/>
      <w:jc w:val="center"/>
    </w:pPr>
    <w:rPr>
      <w:rFonts w:ascii="宋体" w:hAnsi="宋体" w:cs="宋体"/>
      <w:color w:val="008080"/>
      <w:kern w:val="0"/>
      <w:szCs w:val="21"/>
      <w:u w:val="single"/>
    </w:rPr>
  </w:style>
  <w:style w:type="paragraph" w:customStyle="1" w:styleId="194">
    <w:name w:val="无间隔1"/>
    <w:qFormat/>
    <w:uiPriority w:val="1"/>
    <w:pPr>
      <w:widowControl w:val="0"/>
      <w:ind w:firstLine="200" w:firstLineChars="200"/>
      <w:jc w:val="both"/>
    </w:pPr>
    <w:rPr>
      <w:rFonts w:ascii="Times New Roman" w:hAnsi="Times New Roman" w:eastAsia="宋体" w:cs="Times New Roman"/>
      <w:kern w:val="2"/>
      <w:sz w:val="24"/>
      <w:szCs w:val="24"/>
      <w:lang w:val="en-US" w:eastAsia="zh-CN" w:bidi="ar-SA"/>
    </w:rPr>
  </w:style>
  <w:style w:type="paragraph" w:customStyle="1" w:styleId="195">
    <w:name w:val="xl66"/>
    <w:basedOn w:val="1"/>
    <w:qFormat/>
    <w:uiPriority w:val="0"/>
    <w:pPr>
      <w:widowControl/>
      <w:pBdr>
        <w:top w:val="single" w:color="auto" w:sz="8" w:space="0"/>
        <w:left w:val="single" w:color="auto" w:sz="8" w:space="0"/>
        <w:right w:val="single" w:color="auto" w:sz="8" w:space="0"/>
      </w:pBdr>
      <w:spacing w:before="100" w:beforeAutospacing="1" w:after="100" w:afterAutospacing="1"/>
      <w:jc w:val="left"/>
    </w:pPr>
    <w:rPr>
      <w:rFonts w:ascii="宋体" w:hAnsi="宋体" w:cs="宋体"/>
      <w:kern w:val="0"/>
      <w:szCs w:val="21"/>
    </w:rPr>
  </w:style>
  <w:style w:type="paragraph" w:customStyle="1" w:styleId="196">
    <w:name w:val="样式 宋体 五号 行距: 单倍行距"/>
    <w:basedOn w:val="1"/>
    <w:qFormat/>
    <w:uiPriority w:val="0"/>
    <w:rPr>
      <w:rFonts w:ascii="宋体" w:hAnsi="宋体" w:cs="宋体"/>
      <w:szCs w:val="20"/>
    </w:rPr>
  </w:style>
  <w:style w:type="paragraph" w:customStyle="1" w:styleId="197">
    <w:name w:val="WPSOffice手动目录 2"/>
    <w:qFormat/>
    <w:uiPriority w:val="0"/>
    <w:pPr>
      <w:ind w:left="200" w:leftChars="200"/>
    </w:pPr>
    <w:rPr>
      <w:rFonts w:ascii="Times New Roman" w:hAnsi="Times New Roman" w:eastAsia="宋体" w:cs="Times New Roman"/>
      <w:lang w:val="en-US" w:eastAsia="zh-CN" w:bidi="ar-SA"/>
    </w:rPr>
  </w:style>
  <w:style w:type="paragraph" w:customStyle="1" w:styleId="198">
    <w:name w:val="xl77"/>
    <w:basedOn w:val="1"/>
    <w:qFormat/>
    <w:uiPriority w:val="0"/>
    <w:pPr>
      <w:widowControl/>
      <w:pBdr>
        <w:bottom w:val="single" w:color="auto" w:sz="8" w:space="0"/>
        <w:right w:val="single" w:color="auto" w:sz="8" w:space="0"/>
      </w:pBdr>
      <w:spacing w:before="100" w:beforeAutospacing="1" w:after="100" w:afterAutospacing="1"/>
      <w:jc w:val="left"/>
    </w:pPr>
    <w:rPr>
      <w:rFonts w:ascii="宋体" w:hAnsi="宋体" w:cs="宋体"/>
      <w:kern w:val="0"/>
      <w:sz w:val="24"/>
    </w:rPr>
  </w:style>
  <w:style w:type="paragraph" w:customStyle="1" w:styleId="199">
    <w:name w:val="Default Paragraph Font Para Char"/>
    <w:basedOn w:val="1"/>
    <w:qFormat/>
    <w:uiPriority w:val="0"/>
    <w:pPr>
      <w:widowControl/>
      <w:spacing w:after="160" w:line="240" w:lineRule="exact"/>
      <w:jc w:val="left"/>
    </w:pPr>
    <w:rPr>
      <w:szCs w:val="20"/>
    </w:rPr>
  </w:style>
  <w:style w:type="paragraph" w:customStyle="1" w:styleId="200">
    <w:name w:val="样式1"/>
    <w:basedOn w:val="1"/>
    <w:qFormat/>
    <w:uiPriority w:val="0"/>
    <w:pPr>
      <w:tabs>
        <w:tab w:val="left" w:pos="709"/>
      </w:tabs>
      <w:ind w:left="720" w:hanging="720"/>
    </w:pPr>
    <w:rPr>
      <w:rFonts w:ascii="宋体" w:hAnsi="宋体"/>
      <w:szCs w:val="21"/>
    </w:rPr>
  </w:style>
  <w:style w:type="paragraph" w:customStyle="1" w:styleId="201">
    <w:name w:val="font13"/>
    <w:basedOn w:val="1"/>
    <w:qFormat/>
    <w:uiPriority w:val="0"/>
    <w:pPr>
      <w:widowControl/>
      <w:spacing w:before="100" w:beforeAutospacing="1" w:after="100" w:afterAutospacing="1"/>
      <w:jc w:val="left"/>
    </w:pPr>
    <w:rPr>
      <w:rFonts w:ascii="Cambria" w:hAnsi="Cambria" w:cs="宋体"/>
      <w:color w:val="FF0000"/>
      <w:kern w:val="0"/>
      <w:szCs w:val="21"/>
    </w:rPr>
  </w:style>
  <w:style w:type="paragraph" w:customStyle="1" w:styleId="202">
    <w:name w:val="xl65"/>
    <w:basedOn w:val="1"/>
    <w:qFormat/>
    <w:uiPriority w:val="0"/>
    <w:pPr>
      <w:widowControl/>
      <w:pBdr>
        <w:right w:val="single" w:color="auto" w:sz="8" w:space="0"/>
      </w:pBdr>
      <w:spacing w:before="100" w:beforeAutospacing="1" w:after="100" w:afterAutospacing="1"/>
      <w:jc w:val="left"/>
    </w:pPr>
    <w:rPr>
      <w:rFonts w:ascii="宋体" w:hAnsi="宋体" w:cs="宋体"/>
      <w:kern w:val="0"/>
      <w:szCs w:val="21"/>
    </w:rPr>
  </w:style>
  <w:style w:type="paragraph" w:customStyle="1" w:styleId="203">
    <w:name w:val="_Style 2"/>
    <w:basedOn w:val="1"/>
    <w:qFormat/>
    <w:uiPriority w:val="34"/>
    <w:pPr>
      <w:ind w:firstLine="420" w:firstLineChars="200"/>
    </w:pPr>
  </w:style>
  <w:style w:type="paragraph" w:customStyle="1" w:styleId="204">
    <w:name w:val="文档正文"/>
    <w:basedOn w:val="1"/>
    <w:qFormat/>
    <w:uiPriority w:val="0"/>
    <w:pPr>
      <w:spacing w:beforeLines="50"/>
    </w:pPr>
    <w:rPr>
      <w:b/>
    </w:rPr>
  </w:style>
  <w:style w:type="paragraph" w:customStyle="1" w:styleId="205">
    <w:name w:val="1"/>
    <w:basedOn w:val="1"/>
    <w:qFormat/>
    <w:uiPriority w:val="0"/>
    <w:pPr>
      <w:spacing w:afterLines="50" w:line="360" w:lineRule="auto"/>
      <w:ind w:firstLine="3243" w:firstLineChars="1080"/>
    </w:pPr>
    <w:rPr>
      <w:rFonts w:ascii="宋体" w:hAnsi="宋体"/>
      <w:b/>
      <w:sz w:val="30"/>
      <w:szCs w:val="21"/>
    </w:rPr>
  </w:style>
  <w:style w:type="paragraph" w:customStyle="1" w:styleId="206">
    <w:name w:val="Char Char Char Char Char Char Char"/>
    <w:basedOn w:val="1"/>
    <w:qFormat/>
    <w:uiPriority w:val="0"/>
    <w:rPr>
      <w:rFonts w:ascii="Tahoma" w:hAnsi="Tahoma"/>
      <w:sz w:val="24"/>
      <w:szCs w:val="20"/>
    </w:rPr>
  </w:style>
  <w:style w:type="paragraph" w:customStyle="1" w:styleId="207">
    <w:name w:val="Char1 Char Char Char Char Char Char"/>
    <w:basedOn w:val="1"/>
    <w:qFormat/>
    <w:uiPriority w:val="0"/>
    <w:pPr>
      <w:tabs>
        <w:tab w:val="left" w:pos="360"/>
      </w:tabs>
      <w:ind w:firstLine="560" w:firstLineChars="200"/>
      <w:jc w:val="left"/>
    </w:pPr>
    <w:rPr>
      <w:sz w:val="24"/>
    </w:rPr>
  </w:style>
  <w:style w:type="paragraph" w:customStyle="1" w:styleId="208">
    <w:name w:val="xl136"/>
    <w:basedOn w:val="1"/>
    <w:qFormat/>
    <w:uiPriority w:val="0"/>
    <w:pPr>
      <w:widowControl/>
      <w:pBdr>
        <w:left w:val="single" w:color="auto" w:sz="8" w:space="0"/>
        <w:bottom w:val="single" w:color="000000" w:sz="8" w:space="0"/>
        <w:right w:val="single" w:color="auto" w:sz="8" w:space="0"/>
      </w:pBdr>
      <w:spacing w:before="100" w:beforeAutospacing="1" w:after="100" w:afterAutospacing="1"/>
      <w:jc w:val="left"/>
    </w:pPr>
    <w:rPr>
      <w:rFonts w:ascii="宋体" w:hAnsi="宋体" w:cs="宋体"/>
      <w:kern w:val="0"/>
      <w:szCs w:val="21"/>
    </w:rPr>
  </w:style>
  <w:style w:type="paragraph" w:customStyle="1" w:styleId="209">
    <w:name w:val="tk2"/>
    <w:basedOn w:val="1"/>
    <w:qFormat/>
    <w:uiPriority w:val="0"/>
    <w:pPr>
      <w:spacing w:line="360" w:lineRule="auto"/>
      <w:ind w:firstLine="480" w:firstLineChars="200"/>
    </w:pPr>
    <w:rPr>
      <w:sz w:val="24"/>
      <w:szCs w:val="20"/>
    </w:rPr>
  </w:style>
  <w:style w:type="paragraph" w:customStyle="1" w:styleId="210">
    <w:name w:val="xl111"/>
    <w:basedOn w:val="1"/>
    <w:qFormat/>
    <w:uiPriority w:val="0"/>
    <w:pPr>
      <w:widowControl/>
      <w:pBdr>
        <w:top w:val="single" w:color="auto" w:sz="8" w:space="0"/>
        <w:left w:val="single" w:color="auto" w:sz="8" w:space="0"/>
        <w:right w:val="single" w:color="auto" w:sz="8" w:space="0"/>
      </w:pBdr>
      <w:spacing w:before="100" w:beforeAutospacing="1" w:after="100" w:afterAutospacing="1"/>
    </w:pPr>
    <w:rPr>
      <w:rFonts w:ascii="Cambria" w:hAnsi="Cambria" w:cs="宋体"/>
      <w:b/>
      <w:bCs/>
      <w:color w:val="FF0000"/>
      <w:kern w:val="0"/>
      <w:szCs w:val="21"/>
    </w:rPr>
  </w:style>
  <w:style w:type="paragraph" w:customStyle="1" w:styleId="211">
    <w:name w:val="Char Char Char"/>
    <w:basedOn w:val="1"/>
    <w:qFormat/>
    <w:uiPriority w:val="0"/>
    <w:rPr>
      <w:rFonts w:ascii="Tahoma" w:hAnsi="Tahoma"/>
      <w:sz w:val="24"/>
      <w:szCs w:val="20"/>
    </w:rPr>
  </w:style>
  <w:style w:type="paragraph" w:customStyle="1" w:styleId="212">
    <w:name w:val="样式 首行缩进:  2 字符"/>
    <w:basedOn w:val="1"/>
    <w:qFormat/>
    <w:uiPriority w:val="0"/>
    <w:pPr>
      <w:spacing w:line="360" w:lineRule="auto"/>
      <w:ind w:firstLine="200" w:firstLineChars="200"/>
    </w:pPr>
    <w:rPr>
      <w:sz w:val="24"/>
      <w:szCs w:val="20"/>
    </w:rPr>
  </w:style>
  <w:style w:type="paragraph" w:customStyle="1" w:styleId="213">
    <w:name w:val="font14"/>
    <w:basedOn w:val="1"/>
    <w:qFormat/>
    <w:uiPriority w:val="0"/>
    <w:pPr>
      <w:widowControl/>
      <w:spacing w:before="100" w:beforeAutospacing="1" w:after="100" w:afterAutospacing="1"/>
      <w:jc w:val="left"/>
    </w:pPr>
    <w:rPr>
      <w:rFonts w:ascii="Arial" w:hAnsi="Arial" w:cs="Arial"/>
      <w:color w:val="000000"/>
      <w:kern w:val="0"/>
      <w:szCs w:val="21"/>
    </w:rPr>
  </w:style>
  <w:style w:type="paragraph" w:customStyle="1" w:styleId="214">
    <w:name w:val="style4"/>
    <w:basedOn w:val="1"/>
    <w:qFormat/>
    <w:uiPriority w:val="0"/>
    <w:pPr>
      <w:widowControl/>
      <w:spacing w:before="100" w:beforeAutospacing="1" w:after="100" w:afterAutospacing="1"/>
      <w:jc w:val="left"/>
    </w:pPr>
    <w:rPr>
      <w:rFonts w:ascii="宋体" w:hAnsi="宋体" w:cs="宋体"/>
      <w:kern w:val="0"/>
      <w:sz w:val="24"/>
    </w:rPr>
  </w:style>
  <w:style w:type="paragraph" w:customStyle="1" w:styleId="215">
    <w:name w:val="xl144"/>
    <w:basedOn w:val="1"/>
    <w:qFormat/>
    <w:uiPriority w:val="0"/>
    <w:pPr>
      <w:widowControl/>
      <w:pBdr>
        <w:right w:val="single" w:color="auto" w:sz="8" w:space="0"/>
      </w:pBdr>
      <w:spacing w:before="100" w:beforeAutospacing="1" w:after="100" w:afterAutospacing="1"/>
    </w:pPr>
    <w:rPr>
      <w:rFonts w:ascii="新宋体" w:hAnsi="新宋体" w:eastAsia="新宋体" w:cs="宋体"/>
      <w:color w:val="FF0000"/>
      <w:kern w:val="0"/>
      <w:szCs w:val="21"/>
    </w:rPr>
  </w:style>
  <w:style w:type="paragraph" w:customStyle="1" w:styleId="216">
    <w:name w:val="font8"/>
    <w:basedOn w:val="1"/>
    <w:qFormat/>
    <w:uiPriority w:val="0"/>
    <w:pPr>
      <w:widowControl/>
      <w:spacing w:before="100" w:beforeAutospacing="1" w:after="100" w:afterAutospacing="1"/>
      <w:jc w:val="left"/>
    </w:pPr>
    <w:rPr>
      <w:color w:val="000000"/>
      <w:kern w:val="0"/>
      <w:sz w:val="14"/>
      <w:szCs w:val="14"/>
    </w:rPr>
  </w:style>
  <w:style w:type="paragraph" w:customStyle="1" w:styleId="217">
    <w:name w:val="xl78"/>
    <w:basedOn w:val="1"/>
    <w:qFormat/>
    <w:uiPriority w:val="0"/>
    <w:pPr>
      <w:widowControl/>
      <w:pBdr>
        <w:top w:val="single" w:color="auto" w:sz="8" w:space="0"/>
        <w:left w:val="single" w:color="auto" w:sz="8" w:space="0"/>
        <w:right w:val="single" w:color="auto" w:sz="8" w:space="0"/>
      </w:pBdr>
      <w:spacing w:before="100" w:beforeAutospacing="1" w:after="100" w:afterAutospacing="1"/>
      <w:jc w:val="left"/>
    </w:pPr>
    <w:rPr>
      <w:rFonts w:ascii="宋体" w:hAnsi="宋体" w:cs="宋体"/>
      <w:color w:val="FF0000"/>
      <w:kern w:val="0"/>
      <w:szCs w:val="21"/>
    </w:rPr>
  </w:style>
  <w:style w:type="paragraph" w:customStyle="1" w:styleId="218">
    <w:name w:val="xl92"/>
    <w:basedOn w:val="1"/>
    <w:qFormat/>
    <w:uiPriority w:val="0"/>
    <w:pPr>
      <w:widowControl/>
      <w:pBdr>
        <w:left w:val="single" w:color="auto" w:sz="8" w:space="0"/>
        <w:bottom w:val="single" w:color="auto" w:sz="8" w:space="0"/>
        <w:right w:val="single" w:color="auto" w:sz="8" w:space="0"/>
      </w:pBdr>
      <w:spacing w:before="100" w:beforeAutospacing="1" w:after="100" w:afterAutospacing="1"/>
      <w:jc w:val="left"/>
    </w:pPr>
    <w:rPr>
      <w:rFonts w:ascii="Arial" w:hAnsi="Arial" w:cs="Arial"/>
      <w:kern w:val="0"/>
      <w:szCs w:val="21"/>
    </w:rPr>
  </w:style>
  <w:style w:type="paragraph" w:customStyle="1" w:styleId="219">
    <w:name w:val="xl107"/>
    <w:basedOn w:val="1"/>
    <w:qFormat/>
    <w:uiPriority w:val="0"/>
    <w:pPr>
      <w:widowControl/>
      <w:pBdr>
        <w:right w:val="single" w:color="auto" w:sz="8" w:space="0"/>
      </w:pBdr>
      <w:spacing w:before="100" w:beforeAutospacing="1" w:after="100" w:afterAutospacing="1"/>
      <w:jc w:val="left"/>
    </w:pPr>
    <w:rPr>
      <w:rFonts w:ascii="宋体" w:hAnsi="宋体" w:cs="宋体"/>
      <w:kern w:val="0"/>
      <w:sz w:val="24"/>
    </w:rPr>
  </w:style>
  <w:style w:type="paragraph" w:customStyle="1" w:styleId="220">
    <w:name w:val="xl152"/>
    <w:basedOn w:val="1"/>
    <w:qFormat/>
    <w:uiPriority w:val="0"/>
    <w:pPr>
      <w:widowControl/>
      <w:pBdr>
        <w:bottom w:val="single" w:color="auto" w:sz="8" w:space="0"/>
        <w:right w:val="single" w:color="auto" w:sz="8" w:space="0"/>
      </w:pBdr>
      <w:spacing w:before="100" w:beforeAutospacing="1" w:after="100" w:afterAutospacing="1"/>
      <w:jc w:val="center"/>
    </w:pPr>
    <w:rPr>
      <w:rFonts w:ascii="宋体" w:hAnsi="宋体" w:cs="宋体"/>
      <w:kern w:val="0"/>
      <w:sz w:val="24"/>
    </w:rPr>
  </w:style>
  <w:style w:type="paragraph" w:customStyle="1" w:styleId="221">
    <w:name w:val="默认段落字体 Para Char Char Char Char Char Char Char"/>
    <w:basedOn w:val="1"/>
    <w:qFormat/>
    <w:uiPriority w:val="0"/>
    <w:rPr>
      <w:rFonts w:ascii="Tahoma" w:hAnsi="Tahoma"/>
      <w:sz w:val="24"/>
      <w:szCs w:val="20"/>
    </w:rPr>
  </w:style>
  <w:style w:type="paragraph" w:customStyle="1" w:styleId="222">
    <w:name w:val="彩色列表 - 着色 12"/>
    <w:basedOn w:val="1"/>
    <w:qFormat/>
    <w:uiPriority w:val="34"/>
    <w:pPr>
      <w:ind w:firstLine="420" w:firstLineChars="200"/>
    </w:pPr>
  </w:style>
  <w:style w:type="paragraph" w:customStyle="1" w:styleId="223">
    <w:name w:val="样式 正文文本缩进 + 段前: 2 字符"/>
    <w:basedOn w:val="1"/>
    <w:qFormat/>
    <w:uiPriority w:val="0"/>
    <w:pPr>
      <w:ind w:left="420" w:leftChars="200"/>
      <w:jc w:val="left"/>
    </w:pPr>
    <w:rPr>
      <w:sz w:val="28"/>
      <w:lang w:eastAsia="zh-TW"/>
    </w:rPr>
  </w:style>
  <w:style w:type="paragraph" w:customStyle="1" w:styleId="224">
    <w:name w:val="xl135"/>
    <w:basedOn w:val="1"/>
    <w:qFormat/>
    <w:uiPriority w:val="0"/>
    <w:pPr>
      <w:widowControl/>
      <w:pBdr>
        <w:top w:val="single" w:color="auto" w:sz="8" w:space="0"/>
        <w:left w:val="single" w:color="auto" w:sz="8" w:space="0"/>
        <w:right w:val="single" w:color="000000" w:sz="8" w:space="0"/>
      </w:pBdr>
      <w:spacing w:before="100" w:beforeAutospacing="1" w:after="100" w:afterAutospacing="1"/>
      <w:jc w:val="left"/>
    </w:pPr>
    <w:rPr>
      <w:rFonts w:ascii="宋体" w:hAnsi="宋体" w:cs="宋体"/>
      <w:kern w:val="0"/>
      <w:szCs w:val="21"/>
    </w:rPr>
  </w:style>
  <w:style w:type="paragraph" w:customStyle="1" w:styleId="225">
    <w:name w:val="xl79"/>
    <w:basedOn w:val="1"/>
    <w:qFormat/>
    <w:uiPriority w:val="0"/>
    <w:pPr>
      <w:widowControl/>
      <w:pBdr>
        <w:left w:val="single" w:color="auto" w:sz="8" w:space="0"/>
        <w:right w:val="single" w:color="auto" w:sz="8" w:space="0"/>
      </w:pBdr>
      <w:spacing w:before="100" w:beforeAutospacing="1" w:after="100" w:afterAutospacing="1"/>
      <w:jc w:val="left"/>
    </w:pPr>
    <w:rPr>
      <w:rFonts w:ascii="宋体" w:hAnsi="宋体" w:cs="宋体"/>
      <w:color w:val="FF0000"/>
      <w:kern w:val="0"/>
      <w:szCs w:val="21"/>
    </w:rPr>
  </w:style>
  <w:style w:type="paragraph" w:customStyle="1" w:styleId="226">
    <w:name w:val="xl83"/>
    <w:basedOn w:val="1"/>
    <w:qFormat/>
    <w:uiPriority w:val="0"/>
    <w:pPr>
      <w:widowControl/>
      <w:pBdr>
        <w:left w:val="single" w:color="auto" w:sz="8" w:space="0"/>
        <w:bottom w:val="single" w:color="auto" w:sz="8" w:space="0"/>
        <w:right w:val="single" w:color="auto" w:sz="8" w:space="0"/>
      </w:pBdr>
      <w:spacing w:before="100" w:beforeAutospacing="1" w:after="100" w:afterAutospacing="1"/>
    </w:pPr>
    <w:rPr>
      <w:rFonts w:ascii="Cambria" w:hAnsi="Cambria" w:cs="宋体"/>
      <w:color w:val="FF0000"/>
      <w:kern w:val="0"/>
      <w:szCs w:val="21"/>
    </w:rPr>
  </w:style>
  <w:style w:type="paragraph" w:customStyle="1" w:styleId="227">
    <w:name w:val="标题3"/>
    <w:basedOn w:val="5"/>
    <w:qFormat/>
    <w:uiPriority w:val="0"/>
    <w:pPr>
      <w:spacing w:before="0" w:after="0" w:line="360" w:lineRule="auto"/>
      <w:jc w:val="left"/>
    </w:pPr>
    <w:rPr>
      <w:sz w:val="24"/>
    </w:rPr>
  </w:style>
  <w:style w:type="paragraph" w:customStyle="1" w:styleId="228">
    <w:name w:val="xl127"/>
    <w:basedOn w:val="1"/>
    <w:qFormat/>
    <w:uiPriority w:val="0"/>
    <w:pPr>
      <w:widowControl/>
      <w:pBdr>
        <w:left w:val="single" w:color="auto" w:sz="8" w:space="0"/>
        <w:bottom w:val="single" w:color="auto" w:sz="8" w:space="0"/>
        <w:right w:val="single" w:color="auto" w:sz="8" w:space="0"/>
      </w:pBdr>
      <w:spacing w:before="100" w:beforeAutospacing="1" w:after="100" w:afterAutospacing="1"/>
      <w:jc w:val="left"/>
    </w:pPr>
    <w:rPr>
      <w:rFonts w:ascii="Arial" w:hAnsi="Arial" w:cs="Arial"/>
      <w:color w:val="FF0000"/>
      <w:kern w:val="0"/>
      <w:szCs w:val="21"/>
    </w:rPr>
  </w:style>
  <w:style w:type="paragraph" w:customStyle="1" w:styleId="229">
    <w:name w:val="1_0"/>
    <w:basedOn w:val="1"/>
    <w:next w:val="1"/>
    <w:qFormat/>
    <w:uiPriority w:val="0"/>
    <w:rPr>
      <w:rFonts w:ascii="宋体" w:hAnsi="宋体" w:cs="Courier New"/>
      <w:color w:val="000000"/>
      <w:kern w:val="1"/>
      <w:szCs w:val="20"/>
    </w:rPr>
  </w:style>
  <w:style w:type="paragraph" w:customStyle="1" w:styleId="230">
    <w:name w:val="xl137"/>
    <w:basedOn w:val="1"/>
    <w:qFormat/>
    <w:uiPriority w:val="0"/>
    <w:pPr>
      <w:widowControl/>
      <w:pBdr>
        <w:top w:val="single" w:color="000000" w:sz="8" w:space="0"/>
        <w:left w:val="single" w:color="auto" w:sz="8" w:space="0"/>
        <w:right w:val="single" w:color="auto" w:sz="8" w:space="0"/>
      </w:pBdr>
      <w:spacing w:before="100" w:beforeAutospacing="1" w:after="100" w:afterAutospacing="1"/>
      <w:jc w:val="left"/>
    </w:pPr>
    <w:rPr>
      <w:rFonts w:ascii="宋体" w:hAnsi="宋体" w:cs="宋体"/>
      <w:kern w:val="0"/>
      <w:szCs w:val="21"/>
    </w:rPr>
  </w:style>
  <w:style w:type="paragraph" w:customStyle="1" w:styleId="231">
    <w:name w:val="xl153"/>
    <w:basedOn w:val="1"/>
    <w:qFormat/>
    <w:uiPriority w:val="0"/>
    <w:pPr>
      <w:widowControl/>
      <w:pBdr>
        <w:top w:val="single" w:color="auto" w:sz="8" w:space="0"/>
        <w:right w:val="single" w:color="auto" w:sz="8" w:space="0"/>
      </w:pBdr>
      <w:spacing w:before="100" w:beforeAutospacing="1" w:after="100" w:afterAutospacing="1"/>
      <w:jc w:val="center"/>
    </w:pPr>
    <w:rPr>
      <w:rFonts w:ascii="宋体" w:hAnsi="宋体" w:cs="宋体"/>
      <w:kern w:val="0"/>
      <w:szCs w:val="21"/>
    </w:rPr>
  </w:style>
  <w:style w:type="paragraph" w:customStyle="1" w:styleId="232">
    <w:name w:val="Char Char1 Char Char Char Char Char Char"/>
    <w:basedOn w:val="1"/>
    <w:qFormat/>
    <w:uiPriority w:val="0"/>
    <w:pPr>
      <w:widowControl/>
      <w:spacing w:after="160" w:line="240" w:lineRule="exact"/>
      <w:jc w:val="center"/>
    </w:pPr>
    <w:rPr>
      <w:rFonts w:ascii="黑体" w:hAnsi="Verdana" w:eastAsia="黑体"/>
      <w:kern w:val="0"/>
      <w:sz w:val="36"/>
      <w:szCs w:val="36"/>
    </w:rPr>
  </w:style>
  <w:style w:type="paragraph" w:customStyle="1" w:styleId="233">
    <w:name w:val="xl150"/>
    <w:basedOn w:val="1"/>
    <w:qFormat/>
    <w:uiPriority w:val="0"/>
    <w:pPr>
      <w:widowControl/>
      <w:pBdr>
        <w:left w:val="single" w:color="auto" w:sz="8" w:space="0"/>
        <w:right w:val="single" w:color="auto" w:sz="8" w:space="0"/>
      </w:pBdr>
      <w:spacing w:before="100" w:beforeAutospacing="1" w:after="100" w:afterAutospacing="1"/>
      <w:jc w:val="center"/>
    </w:pPr>
    <w:rPr>
      <w:rFonts w:ascii="宋体" w:hAnsi="宋体" w:cs="宋体"/>
      <w:kern w:val="0"/>
      <w:sz w:val="24"/>
    </w:rPr>
  </w:style>
  <w:style w:type="paragraph" w:customStyle="1" w:styleId="234">
    <w:name w:val="xl74"/>
    <w:basedOn w:val="1"/>
    <w:qFormat/>
    <w:uiPriority w:val="0"/>
    <w:pPr>
      <w:widowControl/>
      <w:pBdr>
        <w:right w:val="single" w:color="auto" w:sz="8" w:space="0"/>
      </w:pBdr>
      <w:spacing w:before="100" w:beforeAutospacing="1" w:after="100" w:afterAutospacing="1"/>
    </w:pPr>
    <w:rPr>
      <w:rFonts w:ascii="宋体" w:hAnsi="宋体" w:cs="宋体"/>
      <w:color w:val="FF0000"/>
      <w:kern w:val="0"/>
      <w:szCs w:val="21"/>
    </w:rPr>
  </w:style>
  <w:style w:type="paragraph" w:customStyle="1" w:styleId="235">
    <w:name w:val="xl156"/>
    <w:basedOn w:val="1"/>
    <w:qFormat/>
    <w:uiPriority w:val="0"/>
    <w:pPr>
      <w:widowControl/>
      <w:pBdr>
        <w:left w:val="single" w:color="auto" w:sz="8" w:space="0"/>
      </w:pBdr>
      <w:spacing w:before="100" w:beforeAutospacing="1" w:after="100" w:afterAutospacing="1"/>
      <w:jc w:val="center"/>
    </w:pPr>
    <w:rPr>
      <w:rFonts w:ascii="宋体" w:hAnsi="宋体" w:cs="宋体"/>
      <w:kern w:val="0"/>
      <w:sz w:val="24"/>
    </w:rPr>
  </w:style>
  <w:style w:type="paragraph" w:customStyle="1" w:styleId="236">
    <w:name w:val="xl76"/>
    <w:basedOn w:val="1"/>
    <w:qFormat/>
    <w:uiPriority w:val="0"/>
    <w:pPr>
      <w:widowControl/>
      <w:pBdr>
        <w:bottom w:val="single" w:color="auto" w:sz="8" w:space="0"/>
        <w:right w:val="single" w:color="auto" w:sz="8" w:space="0"/>
      </w:pBdr>
      <w:spacing w:before="100" w:beforeAutospacing="1" w:after="100" w:afterAutospacing="1"/>
    </w:pPr>
    <w:rPr>
      <w:rFonts w:ascii="宋体" w:hAnsi="宋体" w:cs="宋体"/>
      <w:color w:val="008080"/>
      <w:kern w:val="0"/>
      <w:szCs w:val="21"/>
      <w:u w:val="single"/>
    </w:rPr>
  </w:style>
  <w:style w:type="paragraph" w:customStyle="1" w:styleId="237">
    <w:name w:val="font16"/>
    <w:basedOn w:val="1"/>
    <w:qFormat/>
    <w:uiPriority w:val="0"/>
    <w:pPr>
      <w:widowControl/>
      <w:spacing w:before="100" w:beforeAutospacing="1" w:after="100" w:afterAutospacing="1"/>
      <w:jc w:val="left"/>
    </w:pPr>
    <w:rPr>
      <w:rFonts w:ascii="新宋体" w:hAnsi="新宋体" w:eastAsia="新宋体" w:cs="宋体"/>
      <w:color w:val="008080"/>
      <w:kern w:val="0"/>
      <w:szCs w:val="21"/>
      <w:u w:val="single"/>
    </w:rPr>
  </w:style>
  <w:style w:type="paragraph" w:customStyle="1" w:styleId="238">
    <w:name w:val="中等深浅网格 21"/>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239">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240">
    <w:name w:val="Char"/>
    <w:basedOn w:val="1"/>
    <w:qFormat/>
    <w:uiPriority w:val="0"/>
    <w:rPr>
      <w:rFonts w:ascii="Tahoma" w:hAnsi="Tahoma"/>
      <w:sz w:val="24"/>
      <w:szCs w:val="20"/>
    </w:rPr>
  </w:style>
  <w:style w:type="paragraph" w:customStyle="1" w:styleId="241">
    <w:name w:val="xl82"/>
    <w:basedOn w:val="1"/>
    <w:qFormat/>
    <w:uiPriority w:val="0"/>
    <w:pPr>
      <w:widowControl/>
      <w:pBdr>
        <w:left w:val="single" w:color="auto" w:sz="8" w:space="0"/>
        <w:bottom w:val="single" w:color="auto" w:sz="8" w:space="0"/>
        <w:right w:val="single" w:color="auto" w:sz="8" w:space="0"/>
      </w:pBdr>
      <w:spacing w:before="100" w:beforeAutospacing="1" w:after="100" w:afterAutospacing="1"/>
    </w:pPr>
    <w:rPr>
      <w:rFonts w:ascii="宋体" w:hAnsi="宋体" w:cs="宋体"/>
      <w:kern w:val="0"/>
      <w:szCs w:val="21"/>
    </w:rPr>
  </w:style>
  <w:style w:type="paragraph" w:customStyle="1" w:styleId="242">
    <w:name w:val="文档结构图1"/>
    <w:basedOn w:val="1"/>
    <w:qFormat/>
    <w:uiPriority w:val="0"/>
    <w:pPr>
      <w:shd w:val="clear" w:color="auto" w:fill="000080"/>
    </w:pPr>
  </w:style>
  <w:style w:type="paragraph" w:customStyle="1" w:styleId="243">
    <w:name w:val="0"/>
    <w:basedOn w:val="1"/>
    <w:qFormat/>
    <w:uiPriority w:val="0"/>
    <w:pPr>
      <w:widowControl/>
      <w:snapToGrid w:val="0"/>
    </w:pPr>
    <w:rPr>
      <w:rFonts w:eastAsia="Arial Unicode MS"/>
      <w:kern w:val="0"/>
      <w:szCs w:val="20"/>
    </w:rPr>
  </w:style>
  <w:style w:type="paragraph" w:customStyle="1" w:styleId="244">
    <w:name w:val="xl130"/>
    <w:basedOn w:val="1"/>
    <w:qFormat/>
    <w:uiPriority w:val="0"/>
    <w:pPr>
      <w:widowControl/>
      <w:pBdr>
        <w:left w:val="single" w:color="auto" w:sz="8" w:space="0"/>
        <w:right w:val="single" w:color="auto" w:sz="8" w:space="0"/>
      </w:pBdr>
      <w:spacing w:before="100" w:beforeAutospacing="1" w:after="100" w:afterAutospacing="1"/>
      <w:jc w:val="left"/>
    </w:pPr>
    <w:rPr>
      <w:rFonts w:ascii="Arial" w:hAnsi="Arial" w:cs="Arial"/>
      <w:color w:val="FF0000"/>
      <w:kern w:val="0"/>
      <w:szCs w:val="21"/>
    </w:rPr>
  </w:style>
  <w:style w:type="paragraph" w:customStyle="1" w:styleId="245">
    <w:name w:val="xl93"/>
    <w:basedOn w:val="1"/>
    <w:qFormat/>
    <w:uiPriority w:val="0"/>
    <w:pPr>
      <w:widowControl/>
      <w:pBdr>
        <w:bottom w:val="single" w:color="auto" w:sz="8" w:space="0"/>
        <w:right w:val="single" w:color="auto" w:sz="8" w:space="0"/>
      </w:pBdr>
      <w:spacing w:before="100" w:beforeAutospacing="1" w:after="100" w:afterAutospacing="1"/>
    </w:pPr>
    <w:rPr>
      <w:rFonts w:ascii="宋体" w:hAnsi="宋体" w:cs="宋体"/>
      <w:kern w:val="0"/>
      <w:szCs w:val="21"/>
    </w:rPr>
  </w:style>
  <w:style w:type="paragraph" w:customStyle="1" w:styleId="246">
    <w:name w:val="修订1"/>
    <w:unhideWhenUsed/>
    <w:qFormat/>
    <w:uiPriority w:val="62"/>
    <w:rPr>
      <w:rFonts w:ascii="Times New Roman" w:hAnsi="Times New Roman" w:eastAsia="宋体" w:cs="Times New Roman"/>
      <w:kern w:val="2"/>
      <w:sz w:val="21"/>
      <w:szCs w:val="24"/>
      <w:lang w:val="en-US" w:eastAsia="zh-CN" w:bidi="ar-SA"/>
    </w:rPr>
  </w:style>
  <w:style w:type="paragraph" w:customStyle="1" w:styleId="247">
    <w:name w:val="xl96"/>
    <w:basedOn w:val="1"/>
    <w:qFormat/>
    <w:uiPriority w:val="0"/>
    <w:pPr>
      <w:widowControl/>
      <w:pBdr>
        <w:left w:val="single" w:color="auto" w:sz="8" w:space="0"/>
        <w:right w:val="single" w:color="auto" w:sz="8" w:space="0"/>
      </w:pBdr>
      <w:spacing w:before="100" w:beforeAutospacing="1" w:after="100" w:afterAutospacing="1"/>
      <w:jc w:val="left"/>
    </w:pPr>
    <w:rPr>
      <w:rFonts w:ascii="Arial" w:hAnsi="Arial" w:cs="Arial"/>
      <w:kern w:val="0"/>
      <w:sz w:val="20"/>
      <w:szCs w:val="20"/>
    </w:rPr>
  </w:style>
  <w:style w:type="paragraph" w:customStyle="1" w:styleId="248">
    <w:name w:val="四号　首行缩进"/>
    <w:basedOn w:val="1"/>
    <w:qFormat/>
    <w:uiPriority w:val="0"/>
    <w:pPr>
      <w:spacing w:line="360" w:lineRule="auto"/>
    </w:pPr>
    <w:rPr>
      <w:rFonts w:ascii="宋体" w:hAnsi="宋体"/>
      <w:bCs/>
      <w:szCs w:val="21"/>
    </w:rPr>
  </w:style>
  <w:style w:type="paragraph" w:customStyle="1" w:styleId="249">
    <w:name w:val="标题2"/>
    <w:basedOn w:val="4"/>
    <w:qFormat/>
    <w:uiPriority w:val="0"/>
    <w:pPr>
      <w:keepLines/>
      <w:spacing w:line="360" w:lineRule="auto"/>
      <w:ind w:left="0" w:firstLine="0"/>
      <w:jc w:val="left"/>
    </w:pPr>
    <w:rPr>
      <w:rFonts w:ascii="Cambria" w:hAnsi="Cambria"/>
      <w:sz w:val="24"/>
      <w:szCs w:val="32"/>
    </w:rPr>
  </w:style>
  <w:style w:type="paragraph" w:customStyle="1" w:styleId="250">
    <w:name w:val="xl102"/>
    <w:basedOn w:val="1"/>
    <w:qFormat/>
    <w:uiPriority w:val="0"/>
    <w:pPr>
      <w:widowControl/>
      <w:pBdr>
        <w:top w:val="single" w:color="auto" w:sz="8" w:space="0"/>
        <w:left w:val="single" w:color="auto" w:sz="8" w:space="0"/>
        <w:right w:val="single" w:color="auto" w:sz="8" w:space="0"/>
      </w:pBdr>
      <w:spacing w:before="100" w:beforeAutospacing="1" w:after="100" w:afterAutospacing="1"/>
    </w:pPr>
    <w:rPr>
      <w:rFonts w:ascii="宋体" w:hAnsi="宋体" w:cs="宋体"/>
      <w:kern w:val="0"/>
      <w:szCs w:val="21"/>
    </w:rPr>
  </w:style>
  <w:style w:type="paragraph" w:customStyle="1" w:styleId="251">
    <w:name w:val="xl97"/>
    <w:basedOn w:val="1"/>
    <w:qFormat/>
    <w:uiPriority w:val="0"/>
    <w:pPr>
      <w:widowControl/>
      <w:pBdr>
        <w:right w:val="single" w:color="auto" w:sz="8" w:space="0"/>
      </w:pBdr>
      <w:spacing w:before="100" w:beforeAutospacing="1" w:after="100" w:afterAutospacing="1"/>
    </w:pPr>
    <w:rPr>
      <w:rFonts w:ascii="Arial" w:hAnsi="Arial" w:cs="Arial"/>
      <w:kern w:val="0"/>
      <w:szCs w:val="21"/>
    </w:rPr>
  </w:style>
  <w:style w:type="paragraph" w:customStyle="1" w:styleId="252">
    <w:name w:val="xl115"/>
    <w:basedOn w:val="1"/>
    <w:qFormat/>
    <w:uiPriority w:val="0"/>
    <w:pPr>
      <w:widowControl/>
      <w:pBdr>
        <w:left w:val="single" w:color="auto" w:sz="8" w:space="0"/>
        <w:bottom w:val="single" w:color="auto" w:sz="8" w:space="0"/>
        <w:right w:val="single" w:color="auto" w:sz="8" w:space="0"/>
      </w:pBdr>
      <w:spacing w:before="100" w:beforeAutospacing="1" w:after="100" w:afterAutospacing="1"/>
    </w:pPr>
    <w:rPr>
      <w:rFonts w:ascii="宋体" w:hAnsi="宋体" w:cs="宋体"/>
      <w:b/>
      <w:bCs/>
      <w:kern w:val="0"/>
      <w:szCs w:val="21"/>
    </w:rPr>
  </w:style>
  <w:style w:type="paragraph" w:customStyle="1" w:styleId="253">
    <w:name w:val="xl85"/>
    <w:basedOn w:val="1"/>
    <w:qFormat/>
    <w:uiPriority w:val="0"/>
    <w:pPr>
      <w:widowControl/>
      <w:pBdr>
        <w:top w:val="single" w:color="auto" w:sz="8" w:space="0"/>
        <w:left w:val="single" w:color="auto" w:sz="8" w:space="0"/>
        <w:right w:val="single" w:color="auto" w:sz="8" w:space="0"/>
      </w:pBdr>
      <w:spacing w:before="100" w:beforeAutospacing="1" w:after="100" w:afterAutospacing="1"/>
    </w:pPr>
    <w:rPr>
      <w:rFonts w:ascii="宋体" w:hAnsi="宋体" w:cs="宋体"/>
      <w:kern w:val="0"/>
      <w:szCs w:val="21"/>
    </w:rPr>
  </w:style>
  <w:style w:type="paragraph" w:customStyle="1" w:styleId="254">
    <w:name w:val="font5"/>
    <w:basedOn w:val="1"/>
    <w:qFormat/>
    <w:uiPriority w:val="0"/>
    <w:pPr>
      <w:widowControl/>
      <w:spacing w:before="100" w:beforeAutospacing="1" w:after="100" w:afterAutospacing="1"/>
      <w:jc w:val="left"/>
    </w:pPr>
    <w:rPr>
      <w:rFonts w:ascii="Cambria" w:hAnsi="Cambria" w:cs="宋体"/>
      <w:color w:val="000000"/>
      <w:kern w:val="0"/>
      <w:szCs w:val="21"/>
    </w:rPr>
  </w:style>
  <w:style w:type="paragraph" w:customStyle="1" w:styleId="255">
    <w:name w:val="xl108"/>
    <w:basedOn w:val="1"/>
    <w:qFormat/>
    <w:uiPriority w:val="0"/>
    <w:pPr>
      <w:widowControl/>
      <w:pBdr>
        <w:left w:val="single" w:color="auto" w:sz="8" w:space="0"/>
        <w:bottom w:val="single" w:color="auto" w:sz="8" w:space="0"/>
        <w:right w:val="single" w:color="auto" w:sz="8" w:space="0"/>
      </w:pBdr>
      <w:spacing w:before="100" w:beforeAutospacing="1" w:after="100" w:afterAutospacing="1"/>
      <w:jc w:val="left"/>
    </w:pPr>
    <w:rPr>
      <w:rFonts w:ascii="宋体" w:hAnsi="宋体" w:cs="宋体"/>
      <w:b/>
      <w:bCs/>
      <w:kern w:val="0"/>
      <w:szCs w:val="21"/>
    </w:rPr>
  </w:style>
  <w:style w:type="paragraph" w:customStyle="1" w:styleId="256">
    <w:name w:val="普通(网站)1"/>
    <w:basedOn w:val="1"/>
    <w:qFormat/>
    <w:uiPriority w:val="0"/>
    <w:pPr>
      <w:widowControl/>
      <w:spacing w:before="100" w:beforeAutospacing="1" w:after="100" w:afterAutospacing="1"/>
      <w:jc w:val="left"/>
    </w:pPr>
    <w:rPr>
      <w:rFonts w:ascii="宋体" w:hAnsi="宋体" w:cs="宋体"/>
      <w:kern w:val="0"/>
      <w:sz w:val="24"/>
    </w:rPr>
  </w:style>
  <w:style w:type="paragraph" w:customStyle="1" w:styleId="257">
    <w:name w:val="xl73"/>
    <w:basedOn w:val="1"/>
    <w:qFormat/>
    <w:uiPriority w:val="0"/>
    <w:pPr>
      <w:widowControl/>
      <w:pBdr>
        <w:right w:val="single" w:color="auto" w:sz="8" w:space="0"/>
      </w:pBdr>
      <w:spacing w:before="100" w:beforeAutospacing="1" w:after="100" w:afterAutospacing="1"/>
    </w:pPr>
    <w:rPr>
      <w:rFonts w:ascii="宋体" w:hAnsi="宋体" w:cs="宋体"/>
      <w:color w:val="008080"/>
      <w:kern w:val="0"/>
      <w:szCs w:val="21"/>
      <w:u w:val="single"/>
    </w:rPr>
  </w:style>
  <w:style w:type="paragraph" w:customStyle="1" w:styleId="258">
    <w:name w:val="font17"/>
    <w:basedOn w:val="1"/>
    <w:qFormat/>
    <w:uiPriority w:val="0"/>
    <w:pPr>
      <w:widowControl/>
      <w:spacing w:before="100" w:beforeAutospacing="1" w:after="100" w:afterAutospacing="1"/>
      <w:jc w:val="left"/>
    </w:pPr>
    <w:rPr>
      <w:rFonts w:ascii="新宋体" w:hAnsi="新宋体" w:eastAsia="新宋体" w:cs="宋体"/>
      <w:color w:val="000000"/>
      <w:kern w:val="0"/>
      <w:szCs w:val="21"/>
    </w:rPr>
  </w:style>
  <w:style w:type="paragraph" w:customStyle="1" w:styleId="259">
    <w:name w:val="xl95"/>
    <w:basedOn w:val="1"/>
    <w:qFormat/>
    <w:uiPriority w:val="0"/>
    <w:pPr>
      <w:widowControl/>
      <w:pBdr>
        <w:bottom w:val="single" w:color="auto" w:sz="8" w:space="0"/>
        <w:right w:val="single" w:color="auto" w:sz="8" w:space="0"/>
      </w:pBdr>
      <w:spacing w:before="100" w:beforeAutospacing="1" w:after="100" w:afterAutospacing="1"/>
    </w:pPr>
    <w:rPr>
      <w:rFonts w:ascii="Arial" w:hAnsi="Arial" w:cs="Arial"/>
      <w:kern w:val="0"/>
      <w:szCs w:val="21"/>
    </w:rPr>
  </w:style>
  <w:style w:type="paragraph" w:customStyle="1" w:styleId="260">
    <w:name w:val="font15"/>
    <w:basedOn w:val="1"/>
    <w:qFormat/>
    <w:uiPriority w:val="0"/>
    <w:pPr>
      <w:widowControl/>
      <w:spacing w:before="100" w:beforeAutospacing="1" w:after="100" w:afterAutospacing="1"/>
      <w:jc w:val="left"/>
    </w:pPr>
    <w:rPr>
      <w:rFonts w:ascii="宋体" w:hAnsi="宋体" w:cs="宋体"/>
      <w:color w:val="008080"/>
      <w:kern w:val="0"/>
      <w:szCs w:val="21"/>
      <w:u w:val="single"/>
    </w:rPr>
  </w:style>
  <w:style w:type="paragraph" w:customStyle="1" w:styleId="261">
    <w:name w:val="xl125"/>
    <w:basedOn w:val="1"/>
    <w:qFormat/>
    <w:uiPriority w:val="0"/>
    <w:pPr>
      <w:widowControl/>
      <w:pBdr>
        <w:bottom w:val="single" w:color="auto" w:sz="8" w:space="0"/>
        <w:right w:val="single" w:color="auto" w:sz="8" w:space="0"/>
      </w:pBdr>
      <w:spacing w:before="100" w:beforeAutospacing="1" w:after="100" w:afterAutospacing="1"/>
      <w:jc w:val="left"/>
    </w:pPr>
    <w:rPr>
      <w:rFonts w:ascii="Cambria" w:hAnsi="Cambria" w:cs="宋体"/>
      <w:kern w:val="0"/>
      <w:szCs w:val="21"/>
    </w:rPr>
  </w:style>
  <w:style w:type="paragraph" w:customStyle="1" w:styleId="262">
    <w:name w:val="xl88"/>
    <w:basedOn w:val="1"/>
    <w:qFormat/>
    <w:uiPriority w:val="0"/>
    <w:pPr>
      <w:widowControl/>
      <w:pBdr>
        <w:bottom w:val="single" w:color="auto" w:sz="8" w:space="0"/>
        <w:right w:val="single" w:color="auto" w:sz="8" w:space="0"/>
      </w:pBdr>
      <w:spacing w:before="100" w:beforeAutospacing="1" w:after="100" w:afterAutospacing="1"/>
    </w:pPr>
    <w:rPr>
      <w:rFonts w:ascii="宋体" w:hAnsi="宋体" w:cs="宋体"/>
      <w:color w:val="FF0000"/>
      <w:kern w:val="0"/>
      <w:szCs w:val="21"/>
    </w:rPr>
  </w:style>
  <w:style w:type="paragraph" w:customStyle="1" w:styleId="263">
    <w:name w:val="font23"/>
    <w:basedOn w:val="1"/>
    <w:qFormat/>
    <w:uiPriority w:val="0"/>
    <w:pPr>
      <w:widowControl/>
      <w:spacing w:before="100" w:beforeAutospacing="1" w:after="100" w:afterAutospacing="1"/>
      <w:jc w:val="left"/>
    </w:pPr>
    <w:rPr>
      <w:color w:val="FF0000"/>
      <w:kern w:val="0"/>
      <w:sz w:val="14"/>
      <w:szCs w:val="14"/>
    </w:rPr>
  </w:style>
  <w:style w:type="paragraph" w:customStyle="1" w:styleId="264">
    <w:name w:val="font18"/>
    <w:basedOn w:val="1"/>
    <w:qFormat/>
    <w:uiPriority w:val="0"/>
    <w:pPr>
      <w:widowControl/>
      <w:spacing w:before="100" w:beforeAutospacing="1" w:after="100" w:afterAutospacing="1"/>
      <w:jc w:val="left"/>
    </w:pPr>
    <w:rPr>
      <w:rFonts w:ascii="宋体" w:hAnsi="宋体" w:cs="宋体"/>
      <w:color w:val="000000"/>
      <w:kern w:val="0"/>
      <w:sz w:val="20"/>
      <w:szCs w:val="20"/>
    </w:rPr>
  </w:style>
  <w:style w:type="paragraph" w:customStyle="1" w:styleId="265">
    <w:name w:val="样式 样式 样式 样式 标题 2 + 宋体 五号 非加粗 黑色 + 段前: 6 磅 段后: 0 磅 行距: 单倍行距 + 段前:..."/>
    <w:basedOn w:val="1"/>
    <w:qFormat/>
    <w:uiPriority w:val="0"/>
    <w:pPr>
      <w:keepNext/>
      <w:keepLines/>
      <w:spacing w:before="240"/>
      <w:ind w:firstLine="400"/>
      <w:outlineLvl w:val="1"/>
    </w:pPr>
    <w:rPr>
      <w:rFonts w:ascii="宋体" w:hAnsi="宋体" w:cs="宋体"/>
      <w:b/>
      <w:bCs/>
      <w:color w:val="000000"/>
      <w:szCs w:val="20"/>
    </w:rPr>
  </w:style>
  <w:style w:type="paragraph" w:customStyle="1" w:styleId="266">
    <w:name w:val="xl119"/>
    <w:basedOn w:val="1"/>
    <w:qFormat/>
    <w:uiPriority w:val="0"/>
    <w:pPr>
      <w:widowControl/>
      <w:pBdr>
        <w:left w:val="single" w:color="auto" w:sz="8" w:space="0"/>
        <w:bottom w:val="single" w:color="auto" w:sz="8" w:space="0"/>
        <w:right w:val="single" w:color="000000" w:sz="8" w:space="0"/>
      </w:pBdr>
      <w:shd w:val="clear" w:color="000000" w:fill="FFFFFF"/>
      <w:spacing w:before="100" w:beforeAutospacing="1" w:after="100" w:afterAutospacing="1"/>
      <w:jc w:val="center"/>
    </w:pPr>
    <w:rPr>
      <w:rFonts w:ascii="宋体" w:hAnsi="宋体" w:cs="宋体"/>
      <w:kern w:val="0"/>
      <w:szCs w:val="21"/>
    </w:rPr>
  </w:style>
  <w:style w:type="paragraph" w:customStyle="1" w:styleId="267">
    <w:name w:val="xl134"/>
    <w:basedOn w:val="1"/>
    <w:qFormat/>
    <w:uiPriority w:val="0"/>
    <w:pPr>
      <w:widowControl/>
      <w:pBdr>
        <w:left w:val="single" w:color="auto" w:sz="8" w:space="0"/>
        <w:right w:val="single" w:color="000000" w:sz="8" w:space="0"/>
      </w:pBdr>
      <w:spacing w:before="100" w:beforeAutospacing="1" w:after="100" w:afterAutospacing="1"/>
      <w:jc w:val="left"/>
    </w:pPr>
    <w:rPr>
      <w:rFonts w:ascii="宋体" w:hAnsi="宋体" w:cs="宋体"/>
      <w:kern w:val="0"/>
      <w:szCs w:val="21"/>
    </w:rPr>
  </w:style>
  <w:style w:type="paragraph" w:customStyle="1" w:styleId="268">
    <w:name w:val="xl109"/>
    <w:basedOn w:val="1"/>
    <w:qFormat/>
    <w:uiPriority w:val="0"/>
    <w:pPr>
      <w:widowControl/>
      <w:pBdr>
        <w:bottom w:val="single" w:color="auto" w:sz="8" w:space="0"/>
        <w:right w:val="single" w:color="auto" w:sz="8" w:space="0"/>
      </w:pBdr>
      <w:spacing w:before="100" w:beforeAutospacing="1" w:after="100" w:afterAutospacing="1"/>
    </w:pPr>
    <w:rPr>
      <w:rFonts w:ascii="Cambria" w:hAnsi="Cambria" w:cs="宋体"/>
      <w:color w:val="FF0000"/>
      <w:kern w:val="0"/>
      <w:szCs w:val="21"/>
    </w:rPr>
  </w:style>
  <w:style w:type="paragraph" w:customStyle="1" w:styleId="269">
    <w:name w:val="xl114"/>
    <w:basedOn w:val="1"/>
    <w:qFormat/>
    <w:uiPriority w:val="0"/>
    <w:pPr>
      <w:widowControl/>
      <w:pBdr>
        <w:top w:val="single" w:color="auto" w:sz="8" w:space="0"/>
        <w:left w:val="single" w:color="auto" w:sz="8" w:space="0"/>
        <w:right w:val="single" w:color="auto" w:sz="8" w:space="0"/>
      </w:pBdr>
      <w:spacing w:before="100" w:beforeAutospacing="1" w:after="100" w:afterAutospacing="1"/>
    </w:pPr>
    <w:rPr>
      <w:rFonts w:ascii="宋体" w:hAnsi="宋体" w:cs="宋体"/>
      <w:b/>
      <w:bCs/>
      <w:kern w:val="0"/>
      <w:szCs w:val="21"/>
    </w:rPr>
  </w:style>
  <w:style w:type="paragraph" w:customStyle="1" w:styleId="270">
    <w:name w:val="xl148"/>
    <w:basedOn w:val="1"/>
    <w:qFormat/>
    <w:uiPriority w:val="0"/>
    <w:pPr>
      <w:widowControl/>
      <w:pBdr>
        <w:left w:val="single" w:color="auto" w:sz="8" w:space="0"/>
        <w:bottom w:val="single" w:color="auto" w:sz="8" w:space="0"/>
        <w:right w:val="single" w:color="000000" w:sz="8" w:space="0"/>
      </w:pBdr>
      <w:spacing w:before="100" w:beforeAutospacing="1" w:after="100" w:afterAutospacing="1"/>
      <w:jc w:val="center"/>
    </w:pPr>
    <w:rPr>
      <w:rFonts w:ascii="宋体" w:hAnsi="宋体" w:cs="宋体"/>
      <w:kern w:val="0"/>
      <w:szCs w:val="21"/>
    </w:rPr>
  </w:style>
  <w:style w:type="paragraph" w:customStyle="1" w:styleId="271">
    <w:name w:val="font21"/>
    <w:basedOn w:val="1"/>
    <w:qFormat/>
    <w:uiPriority w:val="0"/>
    <w:pPr>
      <w:widowControl/>
      <w:spacing w:before="100" w:beforeAutospacing="1" w:after="100" w:afterAutospacing="1"/>
      <w:jc w:val="left"/>
    </w:pPr>
    <w:rPr>
      <w:rFonts w:ascii="宋体" w:hAnsi="宋体" w:cs="宋体"/>
      <w:color w:val="FF0000"/>
      <w:kern w:val="0"/>
      <w:szCs w:val="21"/>
      <w:u w:val="single"/>
    </w:rPr>
  </w:style>
  <w:style w:type="paragraph" w:customStyle="1" w:styleId="272">
    <w:name w:val="xl99"/>
    <w:basedOn w:val="1"/>
    <w:qFormat/>
    <w:uiPriority w:val="0"/>
    <w:pPr>
      <w:widowControl/>
      <w:pBdr>
        <w:left w:val="single" w:color="auto" w:sz="8" w:space="0"/>
        <w:right w:val="single" w:color="auto" w:sz="8" w:space="0"/>
      </w:pBdr>
      <w:spacing w:before="100" w:beforeAutospacing="1" w:after="100" w:afterAutospacing="1"/>
      <w:jc w:val="left"/>
    </w:pPr>
    <w:rPr>
      <w:rFonts w:ascii="宋体" w:hAnsi="宋体" w:cs="宋体"/>
      <w:kern w:val="0"/>
      <w:sz w:val="20"/>
      <w:szCs w:val="20"/>
    </w:rPr>
  </w:style>
  <w:style w:type="paragraph" w:customStyle="1" w:styleId="273">
    <w:name w:val="xl100"/>
    <w:basedOn w:val="1"/>
    <w:qFormat/>
    <w:uiPriority w:val="0"/>
    <w:pPr>
      <w:widowControl/>
      <w:pBdr>
        <w:top w:val="single" w:color="auto" w:sz="8" w:space="0"/>
        <w:left w:val="single" w:color="auto" w:sz="8" w:space="0"/>
        <w:right w:val="single" w:color="auto" w:sz="8" w:space="0"/>
      </w:pBdr>
      <w:spacing w:before="100" w:beforeAutospacing="1" w:after="100" w:afterAutospacing="1"/>
      <w:jc w:val="left"/>
    </w:pPr>
    <w:rPr>
      <w:rFonts w:ascii="宋体" w:hAnsi="宋体" w:cs="宋体"/>
      <w:kern w:val="0"/>
      <w:sz w:val="20"/>
      <w:szCs w:val="20"/>
    </w:rPr>
  </w:style>
  <w:style w:type="paragraph" w:customStyle="1" w:styleId="274">
    <w:name w:val="列出段落11"/>
    <w:basedOn w:val="1"/>
    <w:qFormat/>
    <w:uiPriority w:val="0"/>
    <w:pPr>
      <w:spacing w:line="360" w:lineRule="auto"/>
      <w:ind w:firstLine="420" w:firstLineChars="200"/>
      <w:jc w:val="left"/>
    </w:pPr>
    <w:rPr>
      <w:rFonts w:ascii="Calibri" w:hAnsi="Calibri"/>
      <w:kern w:val="0"/>
      <w:szCs w:val="22"/>
    </w:rPr>
  </w:style>
  <w:style w:type="paragraph" w:customStyle="1" w:styleId="275">
    <w:name w:val="xl80"/>
    <w:basedOn w:val="1"/>
    <w:qFormat/>
    <w:uiPriority w:val="0"/>
    <w:pPr>
      <w:widowControl/>
      <w:pBdr>
        <w:left w:val="single" w:color="auto" w:sz="8" w:space="0"/>
        <w:bottom w:val="single" w:color="auto" w:sz="8" w:space="0"/>
        <w:right w:val="single" w:color="auto" w:sz="8" w:space="0"/>
      </w:pBdr>
      <w:spacing w:before="100" w:beforeAutospacing="1" w:after="100" w:afterAutospacing="1"/>
      <w:jc w:val="left"/>
    </w:pPr>
    <w:rPr>
      <w:rFonts w:ascii="宋体" w:hAnsi="宋体" w:cs="宋体"/>
      <w:color w:val="FF0000"/>
      <w:kern w:val="0"/>
      <w:szCs w:val="21"/>
    </w:rPr>
  </w:style>
  <w:style w:type="paragraph" w:customStyle="1" w:styleId="276">
    <w:name w:val="网格表 21"/>
    <w:basedOn w:val="1"/>
    <w:next w:val="1"/>
    <w:qFormat/>
    <w:uiPriority w:val="0"/>
  </w:style>
  <w:style w:type="paragraph" w:customStyle="1" w:styleId="277">
    <w:name w:val="列出段落2"/>
    <w:basedOn w:val="1"/>
    <w:qFormat/>
    <w:uiPriority w:val="0"/>
    <w:pPr>
      <w:ind w:left="720"/>
    </w:pPr>
  </w:style>
  <w:style w:type="paragraph" w:customStyle="1" w:styleId="278">
    <w:name w:val="xl71"/>
    <w:basedOn w:val="1"/>
    <w:qFormat/>
    <w:uiPriority w:val="0"/>
    <w:pPr>
      <w:widowControl/>
      <w:pBdr>
        <w:right w:val="single" w:color="auto" w:sz="8" w:space="0"/>
      </w:pBdr>
      <w:spacing w:before="100" w:beforeAutospacing="1" w:after="100" w:afterAutospacing="1"/>
      <w:jc w:val="left"/>
    </w:pPr>
    <w:rPr>
      <w:rFonts w:ascii="宋体" w:hAnsi="宋体" w:cs="宋体"/>
      <w:color w:val="FF0000"/>
      <w:kern w:val="0"/>
      <w:szCs w:val="21"/>
    </w:rPr>
  </w:style>
  <w:style w:type="paragraph" w:customStyle="1" w:styleId="279">
    <w:name w:val="图"/>
    <w:basedOn w:val="1"/>
    <w:qFormat/>
    <w:uiPriority w:val="0"/>
    <w:pPr>
      <w:keepNext/>
      <w:adjustRightInd w:val="0"/>
      <w:spacing w:before="60" w:after="60" w:line="300" w:lineRule="auto"/>
      <w:jc w:val="center"/>
      <w:textAlignment w:val="center"/>
    </w:pPr>
    <w:rPr>
      <w:snapToGrid w:val="0"/>
      <w:spacing w:val="20"/>
      <w:kern w:val="0"/>
      <w:sz w:val="24"/>
      <w:szCs w:val="20"/>
    </w:rPr>
  </w:style>
  <w:style w:type="paragraph" w:customStyle="1" w:styleId="280">
    <w:name w:val="样式 标题 3 + (中文) 黑体 小四 非加粗 段前: 7.8 磅 段后: 0 磅 行距: 固定值 20 磅"/>
    <w:basedOn w:val="5"/>
    <w:qFormat/>
    <w:uiPriority w:val="0"/>
    <w:pPr>
      <w:spacing w:before="0" w:after="0" w:line="400" w:lineRule="exact"/>
    </w:pPr>
    <w:rPr>
      <w:rFonts w:eastAsia="黑体" w:cs="宋体"/>
      <w:b w:val="0"/>
      <w:bCs w:val="0"/>
      <w:sz w:val="24"/>
      <w:szCs w:val="20"/>
    </w:rPr>
  </w:style>
  <w:style w:type="paragraph" w:customStyle="1" w:styleId="281">
    <w:name w:val="xl117"/>
    <w:basedOn w:val="1"/>
    <w:qFormat/>
    <w:uiPriority w:val="0"/>
    <w:pPr>
      <w:widowControl/>
      <w:pBdr>
        <w:bottom w:val="single" w:color="auto" w:sz="8" w:space="0"/>
        <w:right w:val="single" w:color="auto" w:sz="8" w:space="0"/>
      </w:pBdr>
      <w:shd w:val="clear" w:color="000000" w:fill="FFFFFF"/>
      <w:spacing w:before="100" w:beforeAutospacing="1" w:after="100" w:afterAutospacing="1"/>
      <w:jc w:val="left"/>
    </w:pPr>
    <w:rPr>
      <w:rFonts w:ascii="宋体" w:hAnsi="宋体" w:cs="宋体"/>
      <w:kern w:val="0"/>
      <w:szCs w:val="21"/>
    </w:rPr>
  </w:style>
  <w:style w:type="paragraph" w:customStyle="1" w:styleId="282">
    <w:name w:val="xl132"/>
    <w:basedOn w:val="1"/>
    <w:qFormat/>
    <w:uiPriority w:val="0"/>
    <w:pPr>
      <w:widowControl/>
      <w:pBdr>
        <w:bottom w:val="single" w:color="auto" w:sz="8" w:space="0"/>
        <w:right w:val="single" w:color="auto" w:sz="8" w:space="0"/>
      </w:pBdr>
      <w:spacing w:before="100" w:beforeAutospacing="1" w:after="100" w:afterAutospacing="1"/>
      <w:jc w:val="left"/>
    </w:pPr>
    <w:rPr>
      <w:rFonts w:ascii="宋体" w:hAnsi="宋体" w:cs="宋体"/>
      <w:color w:val="FF0000"/>
      <w:kern w:val="0"/>
      <w:szCs w:val="21"/>
    </w:rPr>
  </w:style>
  <w:style w:type="paragraph" w:customStyle="1" w:styleId="283">
    <w:name w:val="xl106"/>
    <w:basedOn w:val="1"/>
    <w:qFormat/>
    <w:uiPriority w:val="0"/>
    <w:pPr>
      <w:widowControl/>
      <w:pBdr>
        <w:right w:val="single" w:color="auto" w:sz="8" w:space="0"/>
      </w:pBdr>
      <w:spacing w:before="100" w:beforeAutospacing="1" w:after="100" w:afterAutospacing="1"/>
    </w:pPr>
    <w:rPr>
      <w:rFonts w:ascii="宋体" w:hAnsi="宋体" w:cs="宋体"/>
      <w:kern w:val="0"/>
      <w:szCs w:val="21"/>
    </w:rPr>
  </w:style>
  <w:style w:type="paragraph" w:customStyle="1" w:styleId="284">
    <w:name w:val="xl139"/>
    <w:basedOn w:val="1"/>
    <w:qFormat/>
    <w:uiPriority w:val="0"/>
    <w:pPr>
      <w:widowControl/>
      <w:pBdr>
        <w:right w:val="single" w:color="auto" w:sz="8" w:space="0"/>
      </w:pBdr>
      <w:spacing w:before="100" w:beforeAutospacing="1" w:after="100" w:afterAutospacing="1"/>
    </w:pPr>
    <w:rPr>
      <w:rFonts w:ascii="宋体" w:hAnsi="宋体" w:cs="宋体"/>
      <w:b/>
      <w:bCs/>
      <w:kern w:val="0"/>
      <w:szCs w:val="21"/>
    </w:rPr>
  </w:style>
  <w:style w:type="paragraph" w:customStyle="1" w:styleId="285">
    <w:name w:val="xl155"/>
    <w:basedOn w:val="1"/>
    <w:qFormat/>
    <w:uiPriority w:val="0"/>
    <w:pPr>
      <w:widowControl/>
      <w:spacing w:before="100" w:beforeAutospacing="1" w:after="100" w:afterAutospacing="1"/>
      <w:jc w:val="center"/>
    </w:pPr>
    <w:rPr>
      <w:rFonts w:ascii="宋体" w:hAnsi="宋体" w:cs="宋体"/>
      <w:kern w:val="0"/>
      <w:sz w:val="24"/>
    </w:rPr>
  </w:style>
  <w:style w:type="paragraph" w:customStyle="1" w:styleId="286">
    <w:name w:val="xl104"/>
    <w:basedOn w:val="1"/>
    <w:qFormat/>
    <w:uiPriority w:val="0"/>
    <w:pPr>
      <w:widowControl/>
      <w:pBdr>
        <w:left w:val="single" w:color="auto" w:sz="8" w:space="0"/>
        <w:bottom w:val="single" w:color="auto" w:sz="8" w:space="0"/>
        <w:right w:val="single" w:color="auto" w:sz="8" w:space="0"/>
      </w:pBdr>
      <w:spacing w:before="100" w:beforeAutospacing="1" w:after="100" w:afterAutospacing="1"/>
    </w:pPr>
    <w:rPr>
      <w:rFonts w:ascii="宋体" w:hAnsi="宋体" w:cs="宋体"/>
      <w:kern w:val="0"/>
      <w:szCs w:val="21"/>
    </w:rPr>
  </w:style>
  <w:style w:type="paragraph" w:customStyle="1" w:styleId="287">
    <w:name w:val="font6"/>
    <w:basedOn w:val="1"/>
    <w:qFormat/>
    <w:uiPriority w:val="0"/>
    <w:pPr>
      <w:widowControl/>
      <w:spacing w:before="100" w:beforeAutospacing="1" w:after="100" w:afterAutospacing="1"/>
      <w:jc w:val="left"/>
    </w:pPr>
    <w:rPr>
      <w:rFonts w:ascii="宋体" w:hAnsi="宋体" w:cs="宋体"/>
      <w:b/>
      <w:bCs/>
      <w:color w:val="000000"/>
      <w:kern w:val="0"/>
      <w:szCs w:val="21"/>
    </w:rPr>
  </w:style>
  <w:style w:type="paragraph" w:customStyle="1" w:styleId="288">
    <w:name w:val="font24"/>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289">
    <w:name w:val="xl143"/>
    <w:basedOn w:val="1"/>
    <w:qFormat/>
    <w:uiPriority w:val="0"/>
    <w:pPr>
      <w:widowControl/>
      <w:pBdr>
        <w:right w:val="single" w:color="auto" w:sz="8" w:space="0"/>
      </w:pBdr>
      <w:spacing w:before="100" w:beforeAutospacing="1" w:after="100" w:afterAutospacing="1"/>
      <w:ind w:firstLine="100" w:firstLineChars="100"/>
      <w:jc w:val="left"/>
    </w:pPr>
    <w:rPr>
      <w:rFonts w:ascii="Wingdings" w:hAnsi="Wingdings" w:cs="宋体"/>
      <w:kern w:val="0"/>
      <w:szCs w:val="21"/>
    </w:rPr>
  </w:style>
  <w:style w:type="paragraph" w:customStyle="1" w:styleId="290">
    <w:name w:val="表格文字"/>
    <w:qFormat/>
    <w:uiPriority w:val="0"/>
    <w:pPr>
      <w:ind w:left="-10" w:leftChars="-5"/>
      <w:jc w:val="center"/>
    </w:pPr>
    <w:rPr>
      <w:rFonts w:ascii="Times New Roman" w:hAnsi="Times New Roman" w:eastAsia="宋体" w:cs="Times New Roman"/>
      <w:iCs/>
      <w:kern w:val="2"/>
      <w:sz w:val="21"/>
      <w:szCs w:val="21"/>
      <w:lang w:val="zh-CN" w:eastAsia="zh-CN" w:bidi="ar-SA"/>
    </w:rPr>
  </w:style>
  <w:style w:type="paragraph" w:customStyle="1" w:styleId="291">
    <w:name w:val="font10"/>
    <w:basedOn w:val="1"/>
    <w:qFormat/>
    <w:uiPriority w:val="0"/>
    <w:pPr>
      <w:widowControl/>
      <w:spacing w:before="100" w:beforeAutospacing="1" w:after="100" w:afterAutospacing="1"/>
      <w:jc w:val="left"/>
    </w:pPr>
    <w:rPr>
      <w:rFonts w:ascii="宋体" w:hAnsi="宋体" w:cs="宋体"/>
      <w:color w:val="FF0000"/>
      <w:kern w:val="0"/>
      <w:szCs w:val="21"/>
    </w:rPr>
  </w:style>
  <w:style w:type="paragraph" w:customStyle="1" w:styleId="292">
    <w:name w:val="font12"/>
    <w:basedOn w:val="1"/>
    <w:qFormat/>
    <w:uiPriority w:val="0"/>
    <w:pPr>
      <w:widowControl/>
      <w:spacing w:before="100" w:beforeAutospacing="1" w:after="100" w:afterAutospacing="1"/>
      <w:jc w:val="left"/>
    </w:pPr>
    <w:rPr>
      <w:rFonts w:ascii="Cambria" w:hAnsi="Cambria" w:cs="宋体"/>
      <w:color w:val="FF0000"/>
      <w:kern w:val="0"/>
      <w:szCs w:val="21"/>
    </w:rPr>
  </w:style>
  <w:style w:type="paragraph" w:customStyle="1" w:styleId="293">
    <w:name w:val="xl128"/>
    <w:basedOn w:val="1"/>
    <w:qFormat/>
    <w:uiPriority w:val="0"/>
    <w:pPr>
      <w:widowControl/>
      <w:pBdr>
        <w:right w:val="single" w:color="auto" w:sz="8" w:space="0"/>
      </w:pBdr>
      <w:spacing w:before="100" w:beforeAutospacing="1" w:after="100" w:afterAutospacing="1"/>
    </w:pPr>
    <w:rPr>
      <w:rFonts w:ascii="Wingdings" w:hAnsi="Wingdings" w:cs="宋体"/>
      <w:kern w:val="0"/>
      <w:szCs w:val="21"/>
    </w:rPr>
  </w:style>
  <w:style w:type="paragraph" w:customStyle="1" w:styleId="294">
    <w:name w:val="Char Char Char Char Char Char Char Char Char Char"/>
    <w:basedOn w:val="1"/>
    <w:qFormat/>
    <w:uiPriority w:val="0"/>
    <w:pPr>
      <w:widowControl/>
      <w:spacing w:after="160" w:line="240" w:lineRule="exact"/>
      <w:jc w:val="left"/>
    </w:pPr>
    <w:rPr>
      <w:rFonts w:ascii="Verdana" w:hAnsi="Verdana"/>
      <w:kern w:val="0"/>
      <w:sz w:val="20"/>
      <w:szCs w:val="20"/>
      <w:lang w:eastAsia="en-US"/>
    </w:rPr>
  </w:style>
  <w:style w:type="paragraph" w:customStyle="1" w:styleId="295">
    <w:name w:val="Table Paragraph"/>
    <w:basedOn w:val="1"/>
    <w:qFormat/>
    <w:uiPriority w:val="1"/>
    <w:pPr>
      <w:jc w:val="left"/>
    </w:pPr>
    <w:rPr>
      <w:rFonts w:ascii="Calibri" w:hAnsi="Calibri"/>
      <w:sz w:val="20"/>
      <w:szCs w:val="20"/>
    </w:rPr>
  </w:style>
  <w:style w:type="paragraph" w:customStyle="1" w:styleId="296">
    <w:name w:val="xl140"/>
    <w:basedOn w:val="1"/>
    <w:qFormat/>
    <w:uiPriority w:val="0"/>
    <w:pPr>
      <w:widowControl/>
      <w:pBdr>
        <w:bottom w:val="single" w:color="auto" w:sz="8" w:space="0"/>
        <w:right w:val="single" w:color="auto" w:sz="8" w:space="0"/>
      </w:pBdr>
      <w:spacing w:before="100" w:beforeAutospacing="1" w:after="100" w:afterAutospacing="1"/>
    </w:pPr>
    <w:rPr>
      <w:rFonts w:ascii="宋体" w:hAnsi="宋体" w:cs="宋体"/>
      <w:b/>
      <w:bCs/>
      <w:kern w:val="0"/>
      <w:szCs w:val="21"/>
    </w:rPr>
  </w:style>
  <w:style w:type="paragraph" w:customStyle="1" w:styleId="297">
    <w:name w:val="xl33"/>
    <w:basedOn w:val="1"/>
    <w:qFormat/>
    <w:uiPriority w:val="99"/>
    <w:pPr>
      <w:widowControl/>
      <w:pBdr>
        <w:left w:val="single" w:color="auto" w:sz="4" w:space="0"/>
        <w:bottom w:val="single" w:color="auto" w:sz="4" w:space="0"/>
        <w:right w:val="single" w:color="auto" w:sz="4" w:space="0"/>
      </w:pBdr>
      <w:spacing w:before="100" w:beforeAutospacing="1" w:after="100" w:afterAutospacing="1"/>
      <w:jc w:val="center"/>
    </w:pPr>
    <w:rPr>
      <w:rFonts w:hint="eastAsia" w:ascii="楷体_GB2312" w:hAnsi="宋体" w:eastAsia="楷体_GB2312"/>
      <w:kern w:val="0"/>
      <w:sz w:val="24"/>
    </w:rPr>
  </w:style>
  <w:style w:type="paragraph" w:customStyle="1" w:styleId="298">
    <w:name w:val="彩色底纹 - 着色 11"/>
    <w:semiHidden/>
    <w:qFormat/>
    <w:uiPriority w:val="99"/>
    <w:rPr>
      <w:rFonts w:ascii="Times New Roman" w:hAnsi="Times New Roman" w:eastAsia="宋体" w:cs="Times New Roman"/>
      <w:kern w:val="2"/>
      <w:sz w:val="21"/>
      <w:szCs w:val="24"/>
      <w:lang w:val="en-US" w:eastAsia="zh-CN" w:bidi="ar-SA"/>
    </w:rPr>
  </w:style>
  <w:style w:type="paragraph" w:customStyle="1" w:styleId="299">
    <w:name w:val="xl149"/>
    <w:basedOn w:val="1"/>
    <w:qFormat/>
    <w:uiPriority w:val="0"/>
    <w:pPr>
      <w:widowControl/>
      <w:pBdr>
        <w:right w:val="single" w:color="auto" w:sz="8" w:space="0"/>
      </w:pBdr>
      <w:spacing w:before="100" w:beforeAutospacing="1" w:after="100" w:afterAutospacing="1"/>
      <w:jc w:val="center"/>
    </w:pPr>
    <w:rPr>
      <w:rFonts w:ascii="宋体" w:hAnsi="宋体" w:cs="宋体"/>
      <w:kern w:val="0"/>
      <w:sz w:val="24"/>
    </w:rPr>
  </w:style>
  <w:style w:type="paragraph" w:customStyle="1" w:styleId="300">
    <w:name w:val="中等深浅列表 2 - 强调文字颜色 21"/>
    <w:qFormat/>
    <w:uiPriority w:val="0"/>
    <w:rPr>
      <w:rFonts w:ascii="Times New Roman" w:hAnsi="Times New Roman" w:eastAsia="宋体" w:cs="Times New Roman"/>
      <w:kern w:val="2"/>
      <w:sz w:val="21"/>
      <w:szCs w:val="24"/>
      <w:lang w:val="en-US" w:eastAsia="zh-CN" w:bidi="ar-SA"/>
    </w:rPr>
  </w:style>
  <w:style w:type="paragraph" w:customStyle="1" w:styleId="301">
    <w:name w:val="xl123"/>
    <w:basedOn w:val="1"/>
    <w:qFormat/>
    <w:uiPriority w:val="0"/>
    <w:pPr>
      <w:widowControl/>
      <w:pBdr>
        <w:top w:val="single" w:color="auto" w:sz="8" w:space="0"/>
        <w:left w:val="single" w:color="auto" w:sz="8" w:space="0"/>
        <w:right w:val="single" w:color="000000" w:sz="8" w:space="0"/>
      </w:pBdr>
      <w:shd w:val="clear" w:color="000000" w:fill="FFFFFF"/>
      <w:spacing w:before="100" w:beforeAutospacing="1" w:after="100" w:afterAutospacing="1"/>
      <w:jc w:val="center"/>
    </w:pPr>
    <w:rPr>
      <w:rFonts w:ascii="宋体" w:hAnsi="宋体" w:cs="宋体"/>
      <w:kern w:val="0"/>
      <w:szCs w:val="21"/>
    </w:rPr>
  </w:style>
  <w:style w:type="paragraph" w:customStyle="1" w:styleId="302">
    <w:name w:val="xl98"/>
    <w:basedOn w:val="1"/>
    <w:qFormat/>
    <w:uiPriority w:val="0"/>
    <w:pPr>
      <w:widowControl/>
      <w:pBdr>
        <w:right w:val="single" w:color="auto" w:sz="8" w:space="0"/>
      </w:pBdr>
      <w:spacing w:before="100" w:beforeAutospacing="1" w:after="100" w:afterAutospacing="1"/>
    </w:pPr>
    <w:rPr>
      <w:rFonts w:ascii="宋体" w:hAnsi="宋体" w:cs="宋体"/>
      <w:kern w:val="0"/>
      <w:szCs w:val="21"/>
    </w:rPr>
  </w:style>
  <w:style w:type="paragraph" w:customStyle="1" w:styleId="303">
    <w:name w:val="xl116"/>
    <w:basedOn w:val="1"/>
    <w:qFormat/>
    <w:uiPriority w:val="0"/>
    <w:pPr>
      <w:widowControl/>
      <w:pBdr>
        <w:right w:val="single" w:color="auto" w:sz="8" w:space="0"/>
      </w:pBdr>
      <w:shd w:val="clear" w:color="000000" w:fill="FFFFFF"/>
      <w:spacing w:before="100" w:beforeAutospacing="1" w:after="100" w:afterAutospacing="1"/>
      <w:jc w:val="left"/>
    </w:pPr>
    <w:rPr>
      <w:rFonts w:ascii="宋体" w:hAnsi="宋体" w:cs="宋体"/>
      <w:color w:val="FF0000"/>
      <w:kern w:val="0"/>
      <w:szCs w:val="21"/>
    </w:rPr>
  </w:style>
  <w:style w:type="paragraph" w:customStyle="1" w:styleId="304">
    <w:name w:val="TOC 标题1"/>
    <w:basedOn w:val="3"/>
    <w:next w:val="1"/>
    <w:qFormat/>
    <w:uiPriority w:val="39"/>
    <w:pPr>
      <w:widowControl/>
      <w:spacing w:before="480" w:after="0" w:line="276" w:lineRule="auto"/>
      <w:jc w:val="left"/>
      <w:outlineLvl w:val="9"/>
    </w:pPr>
    <w:rPr>
      <w:rFonts w:ascii="Cambria" w:hAnsi="Cambria"/>
      <w:color w:val="365F91"/>
      <w:kern w:val="0"/>
      <w:sz w:val="28"/>
      <w:szCs w:val="28"/>
    </w:rPr>
  </w:style>
  <w:style w:type="paragraph" w:customStyle="1" w:styleId="305">
    <w:name w:val="条款1"/>
    <w:qFormat/>
    <w:uiPriority w:val="0"/>
    <w:pPr>
      <w:tabs>
        <w:tab w:val="left" w:pos="690"/>
      </w:tabs>
      <w:snapToGrid w:val="0"/>
      <w:spacing w:after="120" w:line="300" w:lineRule="auto"/>
      <w:ind w:left="690" w:hanging="690"/>
      <w:jc w:val="both"/>
    </w:pPr>
    <w:rPr>
      <w:rFonts w:ascii="Times New Roman" w:hAnsi="Times New Roman" w:eastAsia="宋体" w:cs="Times New Roman"/>
      <w:sz w:val="24"/>
      <w:lang w:val="en-US" w:eastAsia="zh-CN" w:bidi="ar-SA"/>
    </w:rPr>
  </w:style>
  <w:style w:type="paragraph" w:customStyle="1" w:styleId="306">
    <w:name w:val="WPSOffice手动目录 3"/>
    <w:qFormat/>
    <w:uiPriority w:val="0"/>
    <w:pPr>
      <w:ind w:left="400" w:leftChars="400"/>
    </w:pPr>
    <w:rPr>
      <w:rFonts w:ascii="Times New Roman" w:hAnsi="Times New Roman" w:eastAsia="宋体" w:cs="Times New Roman"/>
      <w:lang w:val="en-US" w:eastAsia="zh-CN" w:bidi="ar-SA"/>
    </w:rPr>
  </w:style>
  <w:style w:type="paragraph" w:customStyle="1" w:styleId="307">
    <w:name w:val="样式 首行缩进:  2 字符1"/>
    <w:basedOn w:val="1"/>
    <w:qFormat/>
    <w:uiPriority w:val="0"/>
    <w:pPr>
      <w:tabs>
        <w:tab w:val="left" w:pos="851"/>
      </w:tabs>
      <w:spacing w:line="360" w:lineRule="exact"/>
      <w:ind w:left="283" w:leftChars="135" w:firstLine="360" w:firstLineChars="150"/>
    </w:pPr>
    <w:rPr>
      <w:rFonts w:eastAsia="仿宋_GB2312"/>
      <w:sz w:val="24"/>
    </w:rPr>
  </w:style>
  <w:style w:type="paragraph" w:customStyle="1" w:styleId="308">
    <w:name w:val="xl81"/>
    <w:basedOn w:val="1"/>
    <w:qFormat/>
    <w:uiPriority w:val="0"/>
    <w:pPr>
      <w:widowControl/>
      <w:pBdr>
        <w:bottom w:val="single" w:color="auto" w:sz="8" w:space="0"/>
        <w:right w:val="single" w:color="auto" w:sz="8" w:space="0"/>
      </w:pBdr>
      <w:spacing w:before="100" w:beforeAutospacing="1" w:after="100" w:afterAutospacing="1"/>
      <w:jc w:val="left"/>
    </w:pPr>
    <w:rPr>
      <w:rFonts w:ascii="宋体" w:hAnsi="宋体" w:cs="宋体"/>
      <w:kern w:val="0"/>
      <w:sz w:val="20"/>
      <w:szCs w:val="20"/>
    </w:rPr>
  </w:style>
  <w:style w:type="paragraph" w:customStyle="1" w:styleId="309">
    <w:name w:val="Char Char1 Char"/>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310">
    <w:name w:val="节1"/>
    <w:next w:val="305"/>
    <w:qFormat/>
    <w:uiPriority w:val="0"/>
    <w:pPr>
      <w:tabs>
        <w:tab w:val="left" w:pos="1134"/>
      </w:tabs>
      <w:ind w:left="1134" w:hanging="1134"/>
    </w:pPr>
    <w:rPr>
      <w:rFonts w:ascii="Times New Roman" w:hAnsi="Times New Roman" w:eastAsia="黑体" w:cs="Times New Roman"/>
      <w:b/>
      <w:sz w:val="32"/>
      <w:lang w:val="en-US" w:eastAsia="zh-CN" w:bidi="ar-SA"/>
    </w:rPr>
  </w:style>
  <w:style w:type="paragraph" w:customStyle="1" w:styleId="311">
    <w:name w:val="xl94"/>
    <w:basedOn w:val="1"/>
    <w:qFormat/>
    <w:uiPriority w:val="0"/>
    <w:pPr>
      <w:widowControl/>
      <w:pBdr>
        <w:bottom w:val="single" w:color="auto" w:sz="8" w:space="0"/>
        <w:right w:val="single" w:color="auto" w:sz="8" w:space="0"/>
      </w:pBdr>
      <w:spacing w:before="100" w:beforeAutospacing="1" w:after="100" w:afterAutospacing="1"/>
    </w:pPr>
    <w:rPr>
      <w:rFonts w:ascii="宋体" w:hAnsi="宋体" w:cs="宋体"/>
      <w:kern w:val="0"/>
      <w:szCs w:val="21"/>
    </w:rPr>
  </w:style>
  <w:style w:type="paragraph" w:customStyle="1" w:styleId="312">
    <w:name w:val="xl67"/>
    <w:basedOn w:val="1"/>
    <w:qFormat/>
    <w:uiPriority w:val="0"/>
    <w:pPr>
      <w:widowControl/>
      <w:pBdr>
        <w:left w:val="single" w:color="auto" w:sz="8" w:space="0"/>
        <w:right w:val="single" w:color="auto" w:sz="8" w:space="0"/>
      </w:pBdr>
      <w:spacing w:before="100" w:beforeAutospacing="1" w:after="100" w:afterAutospacing="1"/>
      <w:jc w:val="left"/>
    </w:pPr>
    <w:rPr>
      <w:rFonts w:ascii="宋体" w:hAnsi="宋体" w:cs="宋体"/>
      <w:kern w:val="0"/>
      <w:szCs w:val="21"/>
    </w:rPr>
  </w:style>
  <w:style w:type="paragraph" w:customStyle="1" w:styleId="313">
    <w:name w:val="xl131"/>
    <w:basedOn w:val="1"/>
    <w:qFormat/>
    <w:uiPriority w:val="0"/>
    <w:pPr>
      <w:widowControl/>
      <w:pBdr>
        <w:top w:val="single" w:color="auto" w:sz="8" w:space="0"/>
        <w:left w:val="single" w:color="auto" w:sz="8" w:space="0"/>
        <w:right w:val="single" w:color="auto" w:sz="8" w:space="0"/>
      </w:pBdr>
      <w:spacing w:before="100" w:beforeAutospacing="1" w:after="100" w:afterAutospacing="1"/>
      <w:jc w:val="left"/>
    </w:pPr>
    <w:rPr>
      <w:rFonts w:ascii="Arial" w:hAnsi="Arial" w:cs="Arial"/>
      <w:color w:val="FF0000"/>
      <w:kern w:val="0"/>
      <w:szCs w:val="21"/>
    </w:rPr>
  </w:style>
  <w:style w:type="paragraph" w:customStyle="1" w:styleId="314">
    <w:name w:val="MTDisplayEquation"/>
    <w:basedOn w:val="1"/>
    <w:next w:val="1"/>
    <w:qFormat/>
    <w:uiPriority w:val="0"/>
    <w:pPr>
      <w:tabs>
        <w:tab w:val="center" w:pos="4160"/>
        <w:tab w:val="right" w:pos="8300"/>
      </w:tabs>
    </w:pPr>
    <w:rPr>
      <w:color w:val="000000"/>
      <w:sz w:val="36"/>
    </w:rPr>
  </w:style>
  <w:style w:type="paragraph" w:customStyle="1" w:styleId="315">
    <w:name w:val="font19"/>
    <w:basedOn w:val="1"/>
    <w:qFormat/>
    <w:uiPriority w:val="0"/>
    <w:pPr>
      <w:widowControl/>
      <w:spacing w:before="100" w:beforeAutospacing="1" w:after="100" w:afterAutospacing="1"/>
      <w:jc w:val="left"/>
    </w:pPr>
    <w:rPr>
      <w:rFonts w:ascii="Cambria" w:hAnsi="Cambria" w:cs="宋体"/>
      <w:color w:val="000000"/>
      <w:kern w:val="0"/>
      <w:sz w:val="20"/>
      <w:szCs w:val="20"/>
    </w:rPr>
  </w:style>
  <w:style w:type="paragraph" w:customStyle="1" w:styleId="316">
    <w:name w:val="xl110"/>
    <w:basedOn w:val="1"/>
    <w:qFormat/>
    <w:uiPriority w:val="0"/>
    <w:pPr>
      <w:widowControl/>
      <w:pBdr>
        <w:left w:val="single" w:color="auto" w:sz="8" w:space="0"/>
        <w:right w:val="single" w:color="auto" w:sz="8" w:space="0"/>
      </w:pBdr>
      <w:spacing w:before="100" w:beforeAutospacing="1" w:after="100" w:afterAutospacing="1"/>
    </w:pPr>
    <w:rPr>
      <w:rFonts w:ascii="Cambria" w:hAnsi="Cambria" w:cs="宋体"/>
      <w:b/>
      <w:bCs/>
      <w:color w:val="FF0000"/>
      <w:kern w:val="0"/>
      <w:szCs w:val="21"/>
    </w:rPr>
  </w:style>
  <w:style w:type="paragraph" w:customStyle="1" w:styleId="317">
    <w:name w:val="xl101"/>
    <w:basedOn w:val="1"/>
    <w:qFormat/>
    <w:uiPriority w:val="0"/>
    <w:pPr>
      <w:widowControl/>
      <w:pBdr>
        <w:top w:val="single" w:color="auto" w:sz="8" w:space="0"/>
        <w:left w:val="single" w:color="auto" w:sz="8" w:space="0"/>
        <w:right w:val="single" w:color="auto" w:sz="8" w:space="0"/>
      </w:pBdr>
      <w:spacing w:before="100" w:beforeAutospacing="1" w:after="100" w:afterAutospacing="1"/>
      <w:jc w:val="left"/>
    </w:pPr>
    <w:rPr>
      <w:rFonts w:ascii="Arial" w:hAnsi="Arial" w:cs="Arial"/>
      <w:kern w:val="0"/>
      <w:sz w:val="20"/>
      <w:szCs w:val="20"/>
    </w:rPr>
  </w:style>
  <w:style w:type="paragraph" w:customStyle="1" w:styleId="318">
    <w:name w:val="xl121"/>
    <w:basedOn w:val="1"/>
    <w:qFormat/>
    <w:uiPriority w:val="0"/>
    <w:pPr>
      <w:widowControl/>
      <w:pBdr>
        <w:top w:val="single" w:color="auto" w:sz="8" w:space="0"/>
        <w:left w:val="single" w:color="auto" w:sz="8" w:space="0"/>
        <w:right w:val="single" w:color="000000" w:sz="8" w:space="0"/>
      </w:pBdr>
      <w:shd w:val="clear" w:color="000000" w:fill="FFFFFF"/>
      <w:spacing w:before="100" w:beforeAutospacing="1" w:after="100" w:afterAutospacing="1"/>
      <w:jc w:val="center"/>
    </w:pPr>
    <w:rPr>
      <w:rFonts w:ascii="宋体" w:hAnsi="宋体" w:cs="宋体"/>
      <w:color w:val="FF0000"/>
      <w:kern w:val="0"/>
      <w:szCs w:val="21"/>
    </w:rPr>
  </w:style>
  <w:style w:type="paragraph" w:customStyle="1" w:styleId="319">
    <w:name w:val="xl87"/>
    <w:basedOn w:val="1"/>
    <w:qFormat/>
    <w:uiPriority w:val="0"/>
    <w:pPr>
      <w:widowControl/>
      <w:pBdr>
        <w:left w:val="single" w:color="auto" w:sz="8" w:space="0"/>
        <w:bottom w:val="single" w:color="auto" w:sz="8" w:space="0"/>
        <w:right w:val="single" w:color="auto" w:sz="8" w:space="0"/>
      </w:pBdr>
      <w:spacing w:before="100" w:beforeAutospacing="1" w:after="100" w:afterAutospacing="1"/>
      <w:jc w:val="left"/>
    </w:pPr>
    <w:rPr>
      <w:rFonts w:ascii="Arial" w:hAnsi="Arial" w:cs="Arial"/>
      <w:color w:val="FF0000"/>
      <w:kern w:val="0"/>
      <w:sz w:val="20"/>
      <w:szCs w:val="20"/>
    </w:rPr>
  </w:style>
  <w:style w:type="paragraph" w:customStyle="1" w:styleId="320">
    <w:name w:val="Char1"/>
    <w:basedOn w:val="1"/>
    <w:qFormat/>
    <w:uiPriority w:val="0"/>
    <w:pPr>
      <w:spacing w:line="440" w:lineRule="atLeast"/>
      <w:ind w:firstLine="482" w:firstLineChars="200"/>
    </w:pPr>
    <w:rPr>
      <w:rFonts w:ascii="宋体" w:hAnsi="宋体"/>
      <w:b/>
      <w:color w:val="000000"/>
      <w:sz w:val="24"/>
    </w:rPr>
  </w:style>
  <w:style w:type="paragraph" w:customStyle="1" w:styleId="321">
    <w:name w:val="xl122"/>
    <w:basedOn w:val="1"/>
    <w:qFormat/>
    <w:uiPriority w:val="0"/>
    <w:pPr>
      <w:widowControl/>
      <w:pBdr>
        <w:left w:val="single" w:color="auto" w:sz="8" w:space="0"/>
        <w:bottom w:val="single" w:color="auto" w:sz="8" w:space="0"/>
        <w:right w:val="single" w:color="000000" w:sz="8" w:space="0"/>
      </w:pBdr>
      <w:shd w:val="clear" w:color="000000" w:fill="FFFFFF"/>
      <w:spacing w:before="100" w:beforeAutospacing="1" w:after="100" w:afterAutospacing="1"/>
      <w:jc w:val="center"/>
    </w:pPr>
    <w:rPr>
      <w:rFonts w:ascii="宋体" w:hAnsi="宋体" w:cs="宋体"/>
      <w:color w:val="FF0000"/>
      <w:kern w:val="0"/>
      <w:szCs w:val="21"/>
    </w:rPr>
  </w:style>
  <w:style w:type="paragraph" w:customStyle="1" w:styleId="322">
    <w:name w:val="xl142"/>
    <w:basedOn w:val="1"/>
    <w:qFormat/>
    <w:uiPriority w:val="0"/>
    <w:pPr>
      <w:widowControl/>
      <w:pBdr>
        <w:bottom w:val="single" w:color="auto" w:sz="8" w:space="0"/>
        <w:right w:val="single" w:color="auto" w:sz="8" w:space="0"/>
      </w:pBdr>
      <w:spacing w:before="100" w:beforeAutospacing="1" w:after="100" w:afterAutospacing="1"/>
    </w:pPr>
    <w:rPr>
      <w:rFonts w:ascii="新宋体" w:hAnsi="新宋体" w:eastAsia="新宋体" w:cs="宋体"/>
      <w:kern w:val="0"/>
      <w:szCs w:val="21"/>
    </w:rPr>
  </w:style>
  <w:style w:type="paragraph" w:customStyle="1" w:styleId="323">
    <w:name w:val="xl145"/>
    <w:basedOn w:val="1"/>
    <w:qFormat/>
    <w:uiPriority w:val="0"/>
    <w:pPr>
      <w:widowControl/>
      <w:pBdr>
        <w:right w:val="single" w:color="auto" w:sz="8" w:space="0"/>
      </w:pBdr>
      <w:spacing w:before="100" w:beforeAutospacing="1" w:after="100" w:afterAutospacing="1"/>
    </w:pPr>
    <w:rPr>
      <w:rFonts w:ascii="新宋体" w:hAnsi="新宋体" w:eastAsia="新宋体" w:cs="宋体"/>
      <w:kern w:val="0"/>
      <w:szCs w:val="21"/>
    </w:rPr>
  </w:style>
  <w:style w:type="paragraph" w:customStyle="1" w:styleId="324">
    <w:name w:val="网格表 31"/>
    <w:basedOn w:val="3"/>
    <w:next w:val="1"/>
    <w:qFormat/>
    <w:uiPriority w:val="39"/>
    <w:pPr>
      <w:outlineLvl w:val="9"/>
    </w:pPr>
  </w:style>
  <w:style w:type="paragraph" w:customStyle="1" w:styleId="325">
    <w:name w:val="_Style 6"/>
    <w:basedOn w:val="1"/>
    <w:qFormat/>
    <w:uiPriority w:val="34"/>
    <w:pPr>
      <w:ind w:firstLine="420" w:firstLineChars="200"/>
    </w:pPr>
  </w:style>
  <w:style w:type="paragraph" w:customStyle="1" w:styleId="326">
    <w:name w:val="xl151"/>
    <w:basedOn w:val="1"/>
    <w:qFormat/>
    <w:uiPriority w:val="0"/>
    <w:pPr>
      <w:widowControl/>
      <w:pBdr>
        <w:right w:val="single" w:color="auto" w:sz="8" w:space="0"/>
      </w:pBdr>
      <w:spacing w:before="100" w:beforeAutospacing="1" w:after="100" w:afterAutospacing="1"/>
      <w:jc w:val="center"/>
    </w:pPr>
    <w:rPr>
      <w:rFonts w:ascii="宋体" w:hAnsi="宋体" w:cs="宋体"/>
      <w:kern w:val="0"/>
      <w:sz w:val="20"/>
      <w:szCs w:val="20"/>
    </w:rPr>
  </w:style>
  <w:style w:type="paragraph" w:customStyle="1" w:styleId="327">
    <w:name w:val="正文非缩进"/>
    <w:basedOn w:val="1"/>
    <w:next w:val="34"/>
    <w:qFormat/>
    <w:uiPriority w:val="0"/>
    <w:pPr>
      <w:widowControl/>
      <w:spacing w:line="360" w:lineRule="auto"/>
      <w:jc w:val="left"/>
    </w:pPr>
    <w:rPr>
      <w:kern w:val="0"/>
      <w:szCs w:val="20"/>
    </w:rPr>
  </w:style>
  <w:style w:type="paragraph" w:customStyle="1" w:styleId="328">
    <w:name w:val="Char2"/>
    <w:basedOn w:val="1"/>
    <w:qFormat/>
    <w:uiPriority w:val="0"/>
  </w:style>
  <w:style w:type="paragraph" w:customStyle="1" w:styleId="329">
    <w:name w:val="样式 标题 1 + 四号 居中"/>
    <w:basedOn w:val="3"/>
    <w:qFormat/>
    <w:uiPriority w:val="0"/>
    <w:pPr>
      <w:autoSpaceDE w:val="0"/>
      <w:autoSpaceDN w:val="0"/>
      <w:adjustRightInd w:val="0"/>
      <w:spacing w:before="240" w:after="240" w:line="240" w:lineRule="auto"/>
      <w:ind w:firstLine="288"/>
      <w:jc w:val="center"/>
      <w:outlineLvl w:val="9"/>
    </w:pPr>
    <w:rPr>
      <w:kern w:val="0"/>
      <w:sz w:val="28"/>
      <w:szCs w:val="28"/>
    </w:rPr>
  </w:style>
  <w:style w:type="paragraph" w:customStyle="1" w:styleId="330">
    <w:name w:val="xl103"/>
    <w:basedOn w:val="1"/>
    <w:qFormat/>
    <w:uiPriority w:val="0"/>
    <w:pPr>
      <w:widowControl/>
      <w:pBdr>
        <w:left w:val="single" w:color="auto" w:sz="8" w:space="0"/>
        <w:right w:val="single" w:color="auto" w:sz="8" w:space="0"/>
      </w:pBdr>
      <w:spacing w:before="100" w:beforeAutospacing="1" w:after="100" w:afterAutospacing="1"/>
    </w:pPr>
    <w:rPr>
      <w:rFonts w:ascii="宋体" w:hAnsi="宋体" w:cs="宋体"/>
      <w:kern w:val="0"/>
      <w:szCs w:val="21"/>
    </w:rPr>
  </w:style>
  <w:style w:type="paragraph" w:customStyle="1" w:styleId="331">
    <w:name w:val="Char Char Char Char"/>
    <w:basedOn w:val="26"/>
    <w:qFormat/>
    <w:uiPriority w:val="0"/>
    <w:pPr>
      <w:shd w:val="clear" w:color="auto" w:fill="000080"/>
    </w:pPr>
    <w:rPr>
      <w:rFonts w:ascii="Tahoma" w:hAnsi="Tahoma"/>
      <w:sz w:val="24"/>
      <w:szCs w:val="24"/>
    </w:rPr>
  </w:style>
  <w:style w:type="paragraph" w:customStyle="1" w:styleId="332">
    <w:name w:val="font20"/>
    <w:basedOn w:val="1"/>
    <w:qFormat/>
    <w:uiPriority w:val="0"/>
    <w:pPr>
      <w:widowControl/>
      <w:spacing w:before="100" w:beforeAutospacing="1" w:after="100" w:afterAutospacing="1"/>
      <w:jc w:val="left"/>
    </w:pPr>
    <w:rPr>
      <w:rFonts w:ascii="Arial" w:hAnsi="Arial" w:cs="Arial"/>
      <w:color w:val="000000"/>
      <w:kern w:val="0"/>
      <w:sz w:val="20"/>
      <w:szCs w:val="20"/>
    </w:rPr>
  </w:style>
  <w:style w:type="paragraph" w:customStyle="1" w:styleId="333">
    <w:name w:val="xl147"/>
    <w:basedOn w:val="1"/>
    <w:qFormat/>
    <w:uiPriority w:val="0"/>
    <w:pPr>
      <w:widowControl/>
      <w:pBdr>
        <w:top w:val="single" w:color="auto" w:sz="8" w:space="0"/>
        <w:left w:val="single" w:color="auto" w:sz="8" w:space="0"/>
        <w:right w:val="single" w:color="000000" w:sz="8" w:space="0"/>
      </w:pBdr>
      <w:spacing w:before="100" w:beforeAutospacing="1" w:after="100" w:afterAutospacing="1"/>
      <w:jc w:val="center"/>
    </w:pPr>
    <w:rPr>
      <w:rFonts w:ascii="宋体" w:hAnsi="宋体" w:cs="宋体"/>
      <w:kern w:val="0"/>
      <w:szCs w:val="21"/>
    </w:rPr>
  </w:style>
  <w:style w:type="paragraph" w:customStyle="1" w:styleId="334">
    <w:name w:val="章节1"/>
    <w:next w:val="1"/>
    <w:qFormat/>
    <w:uiPriority w:val="0"/>
    <w:pPr>
      <w:tabs>
        <w:tab w:val="left" w:pos="420"/>
      </w:tabs>
      <w:ind w:left="420" w:hanging="420"/>
      <w:jc w:val="center"/>
    </w:pPr>
    <w:rPr>
      <w:rFonts w:ascii="Times New Roman" w:hAnsi="Times New Roman" w:eastAsia="黑体" w:cs="Times New Roman"/>
      <w:b/>
      <w:sz w:val="36"/>
      <w:lang w:val="en-US" w:eastAsia="zh-CN" w:bidi="ar-SA"/>
    </w:rPr>
  </w:style>
  <w:style w:type="paragraph" w:customStyle="1" w:styleId="335">
    <w:name w:val="xl84"/>
    <w:basedOn w:val="1"/>
    <w:qFormat/>
    <w:uiPriority w:val="0"/>
    <w:pPr>
      <w:widowControl/>
      <w:pBdr>
        <w:left w:val="single" w:color="auto" w:sz="8" w:space="0"/>
        <w:right w:val="single" w:color="auto" w:sz="8" w:space="0"/>
      </w:pBdr>
      <w:spacing w:before="100" w:beforeAutospacing="1" w:after="100" w:afterAutospacing="1"/>
    </w:pPr>
    <w:rPr>
      <w:rFonts w:ascii="宋体" w:hAnsi="宋体" w:cs="宋体"/>
      <w:kern w:val="0"/>
      <w:szCs w:val="21"/>
    </w:rPr>
  </w:style>
  <w:style w:type="paragraph" w:customStyle="1" w:styleId="336">
    <w:name w:val="xl3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right"/>
    </w:pPr>
    <w:rPr>
      <w:rFonts w:eastAsia="Arial Unicode MS"/>
      <w:color w:val="000000"/>
      <w:kern w:val="0"/>
      <w:sz w:val="24"/>
    </w:rPr>
  </w:style>
  <w:style w:type="paragraph" w:customStyle="1" w:styleId="337">
    <w:name w:val="xl90"/>
    <w:basedOn w:val="1"/>
    <w:qFormat/>
    <w:uiPriority w:val="0"/>
    <w:pPr>
      <w:widowControl/>
      <w:pBdr>
        <w:bottom w:val="single" w:color="auto" w:sz="8" w:space="0"/>
        <w:right w:val="single" w:color="auto" w:sz="8" w:space="0"/>
      </w:pBdr>
      <w:spacing w:before="100" w:beforeAutospacing="1" w:after="100" w:afterAutospacing="1"/>
    </w:pPr>
    <w:rPr>
      <w:rFonts w:ascii="Arial" w:hAnsi="Arial" w:cs="Arial"/>
      <w:kern w:val="0"/>
      <w:szCs w:val="21"/>
    </w:rPr>
  </w:style>
  <w:style w:type="paragraph" w:customStyle="1" w:styleId="338">
    <w:name w:val="xl72"/>
    <w:basedOn w:val="1"/>
    <w:qFormat/>
    <w:uiPriority w:val="0"/>
    <w:pPr>
      <w:widowControl/>
      <w:pBdr>
        <w:right w:val="single" w:color="auto" w:sz="8" w:space="0"/>
      </w:pBdr>
      <w:spacing w:before="100" w:beforeAutospacing="1" w:after="100" w:afterAutospacing="1"/>
      <w:jc w:val="left"/>
    </w:pPr>
    <w:rPr>
      <w:rFonts w:ascii="Cambria" w:hAnsi="Cambria" w:cs="宋体"/>
      <w:color w:val="FF0000"/>
      <w:kern w:val="0"/>
      <w:szCs w:val="21"/>
    </w:rPr>
  </w:style>
  <w:style w:type="paragraph" w:customStyle="1" w:styleId="339">
    <w:name w:val="Char Char Char1"/>
    <w:basedOn w:val="1"/>
    <w:qFormat/>
    <w:uiPriority w:val="0"/>
    <w:rPr>
      <w:rFonts w:ascii="Tahoma" w:hAnsi="Tahoma"/>
      <w:sz w:val="24"/>
      <w:szCs w:val="20"/>
    </w:rPr>
  </w:style>
  <w:style w:type="paragraph" w:customStyle="1" w:styleId="340">
    <w:name w:val="修订11"/>
    <w:qFormat/>
    <w:uiPriority w:val="0"/>
    <w:rPr>
      <w:rFonts w:ascii="Times New Roman" w:hAnsi="Times New Roman" w:eastAsia="宋体" w:cs="Times New Roman"/>
      <w:kern w:val="2"/>
      <w:sz w:val="21"/>
      <w:szCs w:val="24"/>
      <w:lang w:val="en-US" w:eastAsia="zh-CN" w:bidi="ar-SA"/>
    </w:rPr>
  </w:style>
  <w:style w:type="paragraph" w:customStyle="1" w:styleId="341">
    <w:name w:val="Char11"/>
    <w:basedOn w:val="1"/>
    <w:qFormat/>
    <w:uiPriority w:val="0"/>
    <w:pPr>
      <w:widowControl/>
      <w:spacing w:after="160" w:line="360" w:lineRule="auto"/>
      <w:ind w:firstLine="200" w:firstLineChars="200"/>
      <w:jc w:val="left"/>
    </w:pPr>
    <w:rPr>
      <w:rFonts w:ascii="Verdana" w:hAnsi="Verdana" w:eastAsia="黑体"/>
      <w:kern w:val="0"/>
      <w:szCs w:val="20"/>
      <w:lang w:eastAsia="en-US"/>
    </w:rPr>
  </w:style>
  <w:style w:type="paragraph" w:customStyle="1" w:styleId="342">
    <w:name w:val="xl120"/>
    <w:basedOn w:val="1"/>
    <w:qFormat/>
    <w:uiPriority w:val="0"/>
    <w:pPr>
      <w:widowControl/>
      <w:pBdr>
        <w:left w:val="single" w:color="auto" w:sz="8" w:space="0"/>
        <w:right w:val="single" w:color="000000" w:sz="8" w:space="0"/>
      </w:pBdr>
      <w:shd w:val="clear" w:color="000000" w:fill="FFFFFF"/>
      <w:spacing w:before="100" w:beforeAutospacing="1" w:after="100" w:afterAutospacing="1"/>
      <w:jc w:val="center"/>
    </w:pPr>
    <w:rPr>
      <w:rFonts w:ascii="宋体" w:hAnsi="宋体" w:cs="宋体"/>
      <w:color w:val="FF0000"/>
      <w:kern w:val="0"/>
      <w:szCs w:val="21"/>
    </w:rPr>
  </w:style>
  <w:style w:type="paragraph" w:customStyle="1" w:styleId="343">
    <w:name w:val="样式 样式 样式 样式 标题"/>
    <w:basedOn w:val="1"/>
    <w:qFormat/>
    <w:uiPriority w:val="0"/>
    <w:pPr>
      <w:keepNext/>
      <w:keepLines/>
      <w:tabs>
        <w:tab w:val="left" w:pos="709"/>
      </w:tabs>
      <w:autoSpaceDE w:val="0"/>
      <w:autoSpaceDN w:val="0"/>
      <w:adjustRightInd w:val="0"/>
      <w:spacing w:before="240"/>
      <w:ind w:left="709" w:hanging="709"/>
      <w:jc w:val="left"/>
    </w:pPr>
    <w:rPr>
      <w:rFonts w:ascii="宋体"/>
      <w:b/>
      <w:bCs/>
      <w:color w:val="000000"/>
      <w:kern w:val="0"/>
      <w:szCs w:val="21"/>
    </w:rPr>
  </w:style>
  <w:style w:type="paragraph" w:customStyle="1" w:styleId="344">
    <w:name w:val="xl112"/>
    <w:basedOn w:val="1"/>
    <w:qFormat/>
    <w:uiPriority w:val="0"/>
    <w:pPr>
      <w:widowControl/>
      <w:pBdr>
        <w:left w:val="single" w:color="auto" w:sz="8" w:space="0"/>
        <w:bottom w:val="single" w:color="auto" w:sz="8" w:space="0"/>
        <w:right w:val="single" w:color="auto" w:sz="8" w:space="0"/>
      </w:pBdr>
      <w:spacing w:before="100" w:beforeAutospacing="1" w:after="100" w:afterAutospacing="1"/>
    </w:pPr>
    <w:rPr>
      <w:rFonts w:ascii="Cambria" w:hAnsi="Cambria" w:cs="宋体"/>
      <w:b/>
      <w:bCs/>
      <w:color w:val="FF0000"/>
      <w:kern w:val="0"/>
      <w:szCs w:val="21"/>
    </w:rPr>
  </w:style>
  <w:style w:type="paragraph" w:customStyle="1" w:styleId="345">
    <w:name w:val="Char Char Char2"/>
    <w:basedOn w:val="1"/>
    <w:qFormat/>
    <w:uiPriority w:val="0"/>
    <w:rPr>
      <w:rFonts w:ascii="Tahoma" w:hAnsi="Tahoma"/>
      <w:sz w:val="24"/>
      <w:szCs w:val="20"/>
    </w:rPr>
  </w:style>
  <w:style w:type="paragraph" w:customStyle="1" w:styleId="346">
    <w:name w:val="WPSOffice手动目录 1"/>
    <w:qFormat/>
    <w:uiPriority w:val="0"/>
    <w:rPr>
      <w:rFonts w:ascii="Times New Roman" w:hAnsi="Times New Roman" w:eastAsia="宋体" w:cs="Times New Roman"/>
      <w:lang w:val="en-US" w:eastAsia="zh-CN" w:bidi="ar-SA"/>
    </w:rPr>
  </w:style>
  <w:style w:type="paragraph" w:customStyle="1" w:styleId="347">
    <w:name w:val="xl70"/>
    <w:basedOn w:val="1"/>
    <w:qFormat/>
    <w:uiPriority w:val="0"/>
    <w:pPr>
      <w:widowControl/>
      <w:pBdr>
        <w:right w:val="single" w:color="auto" w:sz="8" w:space="0"/>
      </w:pBdr>
      <w:spacing w:before="100" w:beforeAutospacing="1" w:after="100" w:afterAutospacing="1"/>
      <w:jc w:val="left"/>
    </w:pPr>
    <w:rPr>
      <w:rFonts w:ascii="Cambria" w:hAnsi="Cambria" w:cs="宋体"/>
      <w:kern w:val="0"/>
      <w:szCs w:val="21"/>
    </w:rPr>
  </w:style>
  <w:style w:type="paragraph" w:customStyle="1" w:styleId="348">
    <w:name w:val="xl154"/>
    <w:basedOn w:val="1"/>
    <w:qFormat/>
    <w:uiPriority w:val="0"/>
    <w:pPr>
      <w:widowControl/>
      <w:pBdr>
        <w:right w:val="single" w:color="auto" w:sz="8" w:space="0"/>
      </w:pBdr>
      <w:spacing w:before="100" w:beforeAutospacing="1" w:after="100" w:afterAutospacing="1"/>
      <w:jc w:val="center"/>
    </w:pPr>
    <w:rPr>
      <w:rFonts w:ascii="宋体" w:hAnsi="宋体" w:cs="宋体"/>
      <w:kern w:val="0"/>
      <w:szCs w:val="21"/>
    </w:rPr>
  </w:style>
  <w:style w:type="paragraph" w:customStyle="1" w:styleId="349">
    <w:name w:val="font9"/>
    <w:basedOn w:val="1"/>
    <w:qFormat/>
    <w:uiPriority w:val="0"/>
    <w:pPr>
      <w:widowControl/>
      <w:spacing w:before="100" w:beforeAutospacing="1" w:after="100" w:afterAutospacing="1"/>
      <w:jc w:val="left"/>
    </w:pPr>
    <w:rPr>
      <w:rFonts w:ascii="宋体" w:hAnsi="宋体" w:cs="宋体"/>
      <w:color w:val="008080"/>
      <w:kern w:val="0"/>
      <w:szCs w:val="21"/>
      <w:u w:val="single"/>
    </w:rPr>
  </w:style>
  <w:style w:type="paragraph" w:customStyle="1" w:styleId="350">
    <w:name w:val="xl129"/>
    <w:basedOn w:val="1"/>
    <w:qFormat/>
    <w:uiPriority w:val="0"/>
    <w:pPr>
      <w:widowControl/>
      <w:pBdr>
        <w:bottom w:val="single" w:color="auto" w:sz="8" w:space="0"/>
        <w:right w:val="single" w:color="auto" w:sz="8" w:space="0"/>
      </w:pBdr>
      <w:spacing w:before="100" w:beforeAutospacing="1" w:after="100" w:afterAutospacing="1"/>
    </w:pPr>
    <w:rPr>
      <w:rFonts w:ascii="Wingdings" w:hAnsi="Wingdings" w:cs="宋体"/>
      <w:kern w:val="0"/>
      <w:szCs w:val="21"/>
    </w:rPr>
  </w:style>
  <w:style w:type="paragraph" w:customStyle="1" w:styleId="351">
    <w:name w:val="xl146"/>
    <w:basedOn w:val="1"/>
    <w:qFormat/>
    <w:uiPriority w:val="0"/>
    <w:pPr>
      <w:widowControl/>
      <w:pBdr>
        <w:left w:val="single" w:color="auto" w:sz="8" w:space="0"/>
        <w:right w:val="single" w:color="000000" w:sz="8" w:space="0"/>
      </w:pBdr>
      <w:spacing w:before="100" w:beforeAutospacing="1" w:after="100" w:afterAutospacing="1"/>
      <w:jc w:val="center"/>
    </w:pPr>
    <w:rPr>
      <w:rFonts w:ascii="宋体" w:hAnsi="宋体" w:cs="宋体"/>
      <w:kern w:val="0"/>
      <w:szCs w:val="21"/>
    </w:rPr>
  </w:style>
  <w:style w:type="paragraph" w:customStyle="1" w:styleId="352">
    <w:name w:val="xl69"/>
    <w:basedOn w:val="1"/>
    <w:qFormat/>
    <w:uiPriority w:val="0"/>
    <w:pPr>
      <w:widowControl/>
      <w:pBdr>
        <w:bottom w:val="single" w:color="auto" w:sz="8" w:space="0"/>
        <w:right w:val="single" w:color="auto" w:sz="8" w:space="0"/>
      </w:pBdr>
      <w:spacing w:before="100" w:beforeAutospacing="1" w:after="100" w:afterAutospacing="1"/>
      <w:jc w:val="left"/>
    </w:pPr>
    <w:rPr>
      <w:rFonts w:ascii="宋体" w:hAnsi="宋体" w:cs="宋体"/>
      <w:kern w:val="0"/>
      <w:szCs w:val="21"/>
    </w:rPr>
  </w:style>
  <w:style w:type="paragraph" w:customStyle="1" w:styleId="353">
    <w:name w:val="xl113"/>
    <w:basedOn w:val="1"/>
    <w:qFormat/>
    <w:uiPriority w:val="0"/>
    <w:pPr>
      <w:widowControl/>
      <w:pBdr>
        <w:left w:val="single" w:color="auto" w:sz="8" w:space="0"/>
        <w:right w:val="single" w:color="auto" w:sz="8" w:space="0"/>
      </w:pBdr>
      <w:spacing w:before="100" w:beforeAutospacing="1" w:after="100" w:afterAutospacing="1"/>
    </w:pPr>
    <w:rPr>
      <w:rFonts w:ascii="宋体" w:hAnsi="宋体" w:cs="宋体"/>
      <w:b/>
      <w:bCs/>
      <w:kern w:val="0"/>
      <w:szCs w:val="21"/>
    </w:rPr>
  </w:style>
  <w:style w:type="paragraph" w:customStyle="1" w:styleId="354">
    <w:name w:val="xl48"/>
    <w:basedOn w:val="1"/>
    <w:qFormat/>
    <w:uiPriority w:val="0"/>
    <w:pPr>
      <w:widowControl/>
      <w:pBdr>
        <w:bottom w:val="single" w:color="auto" w:sz="4" w:space="0"/>
      </w:pBdr>
      <w:spacing w:before="100" w:beforeAutospacing="1" w:after="100" w:afterAutospacing="1"/>
      <w:jc w:val="center"/>
    </w:pPr>
    <w:rPr>
      <w:rFonts w:eastAsia="Arial Unicode MS"/>
      <w:kern w:val="0"/>
      <w:sz w:val="24"/>
    </w:rPr>
  </w:style>
  <w:style w:type="paragraph" w:customStyle="1" w:styleId="355">
    <w:name w:val="Char Char2 Char Char Char Char"/>
    <w:basedOn w:val="1"/>
    <w:qFormat/>
    <w:uiPriority w:val="0"/>
    <w:rPr>
      <w:kern w:val="0"/>
      <w:sz w:val="24"/>
      <w:szCs w:val="20"/>
    </w:rPr>
  </w:style>
  <w:style w:type="paragraph" w:customStyle="1" w:styleId="356">
    <w:name w:val="xl91"/>
    <w:basedOn w:val="1"/>
    <w:qFormat/>
    <w:uiPriority w:val="0"/>
    <w:pPr>
      <w:widowControl/>
      <w:pBdr>
        <w:left w:val="single" w:color="auto" w:sz="8" w:space="0"/>
        <w:bottom w:val="single" w:color="auto" w:sz="8" w:space="0"/>
        <w:right w:val="single" w:color="auto" w:sz="8" w:space="0"/>
      </w:pBdr>
      <w:spacing w:before="100" w:beforeAutospacing="1" w:after="100" w:afterAutospacing="1"/>
      <w:jc w:val="left"/>
    </w:pPr>
    <w:rPr>
      <w:rFonts w:ascii="Arial" w:hAnsi="Arial" w:cs="Arial"/>
      <w:kern w:val="0"/>
      <w:sz w:val="20"/>
      <w:szCs w:val="20"/>
    </w:rPr>
  </w:style>
  <w:style w:type="paragraph" w:customStyle="1" w:styleId="357">
    <w:name w:val="xl126"/>
    <w:basedOn w:val="1"/>
    <w:qFormat/>
    <w:uiPriority w:val="0"/>
    <w:pPr>
      <w:widowControl/>
      <w:pBdr>
        <w:left w:val="single" w:color="auto" w:sz="8" w:space="0"/>
        <w:bottom w:val="single" w:color="auto" w:sz="8" w:space="0"/>
        <w:right w:val="single" w:color="auto" w:sz="8" w:space="0"/>
      </w:pBdr>
      <w:spacing w:before="100" w:beforeAutospacing="1" w:after="100" w:afterAutospacing="1"/>
      <w:jc w:val="left"/>
    </w:pPr>
    <w:rPr>
      <w:rFonts w:ascii="Cambria" w:hAnsi="Cambria" w:cs="宋体"/>
      <w:color w:val="FF0000"/>
      <w:kern w:val="0"/>
      <w:szCs w:val="21"/>
    </w:rPr>
  </w:style>
  <w:style w:type="paragraph" w:customStyle="1" w:styleId="358">
    <w:name w:val="xl75"/>
    <w:basedOn w:val="1"/>
    <w:qFormat/>
    <w:uiPriority w:val="0"/>
    <w:pPr>
      <w:widowControl/>
      <w:pBdr>
        <w:bottom w:val="single" w:color="auto" w:sz="8" w:space="0"/>
        <w:right w:val="single" w:color="auto" w:sz="8" w:space="0"/>
      </w:pBdr>
      <w:spacing w:before="100" w:beforeAutospacing="1" w:after="100" w:afterAutospacing="1"/>
      <w:jc w:val="left"/>
    </w:pPr>
    <w:rPr>
      <w:rFonts w:ascii="宋体" w:hAnsi="宋体" w:cs="宋体"/>
      <w:color w:val="008080"/>
      <w:kern w:val="0"/>
      <w:szCs w:val="21"/>
      <w:u w:val="single"/>
    </w:rPr>
  </w:style>
  <w:style w:type="paragraph" w:customStyle="1" w:styleId="359">
    <w:name w:val="xl86"/>
    <w:basedOn w:val="1"/>
    <w:qFormat/>
    <w:uiPriority w:val="0"/>
    <w:pPr>
      <w:widowControl/>
      <w:pBdr>
        <w:top w:val="single" w:color="auto" w:sz="8" w:space="0"/>
        <w:left w:val="single" w:color="auto" w:sz="8" w:space="0"/>
        <w:right w:val="single" w:color="auto" w:sz="8" w:space="0"/>
      </w:pBdr>
      <w:spacing w:before="100" w:beforeAutospacing="1" w:after="100" w:afterAutospacing="1"/>
    </w:pPr>
    <w:rPr>
      <w:rFonts w:ascii="Cambria" w:hAnsi="Cambria" w:cs="宋体"/>
      <w:color w:val="FF0000"/>
      <w:kern w:val="0"/>
      <w:szCs w:val="21"/>
    </w:rPr>
  </w:style>
  <w:style w:type="paragraph" w:customStyle="1" w:styleId="360">
    <w:name w:val="xl105"/>
    <w:basedOn w:val="1"/>
    <w:qFormat/>
    <w:uiPriority w:val="0"/>
    <w:pPr>
      <w:widowControl/>
      <w:pBdr>
        <w:top w:val="single" w:color="auto" w:sz="8" w:space="0"/>
        <w:left w:val="single" w:color="auto" w:sz="8" w:space="0"/>
        <w:right w:val="single" w:color="auto" w:sz="8" w:space="0"/>
      </w:pBdr>
      <w:spacing w:before="100" w:beforeAutospacing="1" w:after="100" w:afterAutospacing="1"/>
      <w:jc w:val="left"/>
    </w:pPr>
    <w:rPr>
      <w:rFonts w:ascii="Arial" w:hAnsi="Arial" w:cs="Arial"/>
      <w:color w:val="FF0000"/>
      <w:kern w:val="0"/>
      <w:sz w:val="20"/>
      <w:szCs w:val="20"/>
    </w:rPr>
  </w:style>
  <w:style w:type="paragraph" w:customStyle="1" w:styleId="361">
    <w:name w:val="xl118"/>
    <w:basedOn w:val="1"/>
    <w:qFormat/>
    <w:uiPriority w:val="0"/>
    <w:pPr>
      <w:widowControl/>
      <w:pBdr>
        <w:right w:val="single" w:color="auto" w:sz="8" w:space="0"/>
      </w:pBdr>
      <w:shd w:val="clear" w:color="000000" w:fill="FFFFFF"/>
      <w:spacing w:before="100" w:beforeAutospacing="1" w:after="100" w:afterAutospacing="1"/>
      <w:jc w:val="left"/>
    </w:pPr>
    <w:rPr>
      <w:rFonts w:ascii="Cambria" w:hAnsi="Cambria" w:cs="宋体"/>
      <w:color w:val="FF0000"/>
      <w:kern w:val="0"/>
      <w:szCs w:val="21"/>
    </w:rPr>
  </w:style>
  <w:style w:type="paragraph" w:customStyle="1" w:styleId="362">
    <w:name w:val="font22"/>
    <w:basedOn w:val="1"/>
    <w:qFormat/>
    <w:uiPriority w:val="0"/>
    <w:pPr>
      <w:widowControl/>
      <w:spacing w:before="100" w:beforeAutospacing="1" w:after="100" w:afterAutospacing="1"/>
      <w:jc w:val="left"/>
    </w:pPr>
    <w:rPr>
      <w:rFonts w:ascii="新宋体" w:hAnsi="新宋体" w:eastAsia="新宋体" w:cs="宋体"/>
      <w:color w:val="FF0000"/>
      <w:kern w:val="0"/>
      <w:szCs w:val="21"/>
    </w:rPr>
  </w:style>
  <w:style w:type="paragraph" w:customStyle="1" w:styleId="363">
    <w:name w:val="xl68"/>
    <w:basedOn w:val="1"/>
    <w:qFormat/>
    <w:uiPriority w:val="0"/>
    <w:pPr>
      <w:widowControl/>
      <w:pBdr>
        <w:left w:val="single" w:color="auto" w:sz="8" w:space="0"/>
        <w:bottom w:val="single" w:color="auto" w:sz="8" w:space="0"/>
        <w:right w:val="single" w:color="auto" w:sz="8" w:space="0"/>
      </w:pBdr>
      <w:spacing w:before="100" w:beforeAutospacing="1" w:after="100" w:afterAutospacing="1"/>
      <w:jc w:val="left"/>
    </w:pPr>
    <w:rPr>
      <w:rFonts w:ascii="宋体" w:hAnsi="宋体" w:cs="宋体"/>
      <w:kern w:val="0"/>
      <w:szCs w:val="21"/>
    </w:rPr>
  </w:style>
  <w:style w:type="paragraph" w:customStyle="1" w:styleId="364">
    <w:name w:val="Char Char Char Char1"/>
    <w:basedOn w:val="1"/>
    <w:qFormat/>
    <w:uiPriority w:val="0"/>
    <w:rPr>
      <w:rFonts w:ascii="宋体" w:hAnsi="宋体"/>
      <w:color w:val="000000"/>
      <w:sz w:val="20"/>
    </w:rPr>
  </w:style>
  <w:style w:type="paragraph" w:customStyle="1" w:styleId="365">
    <w:name w:val="嘉定标题1"/>
    <w:basedOn w:val="1"/>
    <w:next w:val="1"/>
    <w:qFormat/>
    <w:uiPriority w:val="0"/>
    <w:pPr>
      <w:widowControl/>
      <w:tabs>
        <w:tab w:val="left" w:pos="1709"/>
      </w:tabs>
      <w:spacing w:after="160" w:line="240" w:lineRule="exact"/>
      <w:ind w:left="1709" w:hanging="431"/>
      <w:jc w:val="left"/>
    </w:pPr>
    <w:rPr>
      <w:rFonts w:ascii="宋体" w:hAnsi="Verdana"/>
      <w:b/>
      <w:kern w:val="0"/>
      <w:sz w:val="28"/>
      <w:szCs w:val="28"/>
      <w:lang w:eastAsia="en-US"/>
    </w:rPr>
  </w:style>
  <w:style w:type="paragraph" w:customStyle="1" w:styleId="366">
    <w:name w:val="列出段落21"/>
    <w:basedOn w:val="1"/>
    <w:qFormat/>
    <w:uiPriority w:val="0"/>
    <w:pPr>
      <w:ind w:firstLine="420" w:firstLineChars="200"/>
    </w:pPr>
  </w:style>
  <w:style w:type="paragraph" w:customStyle="1" w:styleId="367">
    <w:name w:val="无间隔2"/>
    <w:qFormat/>
    <w:uiPriority w:val="1"/>
    <w:pPr>
      <w:widowControl w:val="0"/>
      <w:jc w:val="both"/>
    </w:pPr>
    <w:rPr>
      <w:rFonts w:ascii="Calibri" w:hAnsi="Calibri" w:eastAsia="宋体" w:cs="Times New Roman"/>
      <w:kern w:val="2"/>
      <w:sz w:val="21"/>
      <w:szCs w:val="22"/>
      <w:lang w:val="en-US" w:eastAsia="zh-CN" w:bidi="ar-SA"/>
    </w:rPr>
  </w:style>
  <w:style w:type="paragraph" w:customStyle="1" w:styleId="368">
    <w:name w:val="列出段落3"/>
    <w:basedOn w:val="1"/>
    <w:link w:val="369"/>
    <w:qFormat/>
    <w:uiPriority w:val="0"/>
    <w:pPr>
      <w:ind w:firstLine="420" w:firstLineChars="200"/>
    </w:pPr>
  </w:style>
  <w:style w:type="character" w:customStyle="1" w:styleId="369">
    <w:name w:val="列出段落 Char1"/>
    <w:link w:val="368"/>
    <w:qFormat/>
    <w:uiPriority w:val="0"/>
    <w:rPr>
      <w:kern w:val="2"/>
      <w:sz w:val="21"/>
      <w:szCs w:val="24"/>
    </w:rPr>
  </w:style>
  <w:style w:type="paragraph" w:customStyle="1" w:styleId="370">
    <w:name w:val="标准文本"/>
    <w:basedOn w:val="1"/>
    <w:link w:val="371"/>
    <w:qFormat/>
    <w:uiPriority w:val="0"/>
    <w:pPr>
      <w:spacing w:line="360" w:lineRule="auto"/>
      <w:ind w:firstLine="480" w:firstLineChars="200"/>
    </w:pPr>
    <w:rPr>
      <w:kern w:val="0"/>
      <w:sz w:val="24"/>
      <w:szCs w:val="20"/>
    </w:rPr>
  </w:style>
  <w:style w:type="character" w:customStyle="1" w:styleId="371">
    <w:name w:val="标准文本 Char"/>
    <w:link w:val="370"/>
    <w:qFormat/>
    <w:uiPriority w:val="0"/>
    <w:rPr>
      <w:sz w:val="24"/>
    </w:rPr>
  </w:style>
  <w:style w:type="character" w:customStyle="1" w:styleId="372">
    <w:name w:val="纯文本 字符1"/>
    <w:qFormat/>
    <w:uiPriority w:val="0"/>
    <w:rPr>
      <w:rFonts w:ascii="宋体" w:hAnsi="Courier New" w:cs="Courier New"/>
      <w:szCs w:val="21"/>
    </w:rPr>
  </w:style>
  <w:style w:type="paragraph" w:customStyle="1" w:styleId="373">
    <w:name w:val="修订2"/>
    <w:unhideWhenUsed/>
    <w:qFormat/>
    <w:uiPriority w:val="99"/>
    <w:rPr>
      <w:rFonts w:ascii="Times New Roman" w:hAnsi="Times New Roman" w:eastAsia="宋体" w:cs="Times New Roman"/>
      <w:kern w:val="2"/>
      <w:sz w:val="21"/>
      <w:szCs w:val="24"/>
      <w:lang w:val="en-US" w:eastAsia="zh-CN" w:bidi="ar-SA"/>
    </w:rPr>
  </w:style>
  <w:style w:type="character" w:customStyle="1" w:styleId="374">
    <w:name w:val="普通(网站) 字符"/>
    <w:qFormat/>
    <w:locked/>
    <w:uiPriority w:val="99"/>
    <w:rPr>
      <w:rFonts w:ascii="Arial Unicode MS" w:hAnsi="Arial Unicode MS" w:eastAsia="Arial Unicode MS" w:cs="Arial Unicode MS"/>
      <w:sz w:val="24"/>
      <w:szCs w:val="24"/>
    </w:rPr>
  </w:style>
  <w:style w:type="character" w:customStyle="1" w:styleId="375">
    <w:name w:val="列表段落 字符"/>
    <w:qFormat/>
    <w:uiPriority w:val="34"/>
    <w:rPr>
      <w:rFonts w:cs="Times New Roman"/>
      <w:kern w:val="2"/>
      <w:sz w:val="21"/>
      <w:szCs w:val="22"/>
    </w:rPr>
  </w:style>
  <w:style w:type="character" w:customStyle="1" w:styleId="376">
    <w:name w:val="批注文字 字符"/>
    <w:qFormat/>
    <w:uiPriority w:val="99"/>
    <w:rPr>
      <w:kern w:val="2"/>
      <w:sz w:val="21"/>
      <w:szCs w:val="24"/>
    </w:rPr>
  </w:style>
  <w:style w:type="character" w:customStyle="1" w:styleId="377">
    <w:name w:val="批注文字 字符3"/>
    <w:qFormat/>
    <w:uiPriority w:val="99"/>
    <w:rPr>
      <w:szCs w:val="24"/>
    </w:rPr>
  </w:style>
  <w:style w:type="paragraph" w:customStyle="1" w:styleId="378">
    <w:name w:val="_Style 375"/>
    <w:basedOn w:val="1"/>
    <w:next w:val="1"/>
    <w:qFormat/>
    <w:uiPriority w:val="39"/>
    <w:pPr>
      <w:adjustRightInd w:val="0"/>
      <w:snapToGrid w:val="0"/>
      <w:spacing w:line="312" w:lineRule="auto"/>
      <w:ind w:firstLine="480" w:firstLineChars="200"/>
    </w:pPr>
    <w:rPr>
      <w:rFonts w:ascii="仿宋_GB2312" w:hAnsi="华文中宋" w:eastAsia="仿宋_GB2312"/>
      <w:bCs/>
      <w:kern w:val="0"/>
      <w:sz w:val="24"/>
      <w:szCs w:val="20"/>
    </w:rPr>
  </w:style>
  <w:style w:type="paragraph" w:customStyle="1" w:styleId="379">
    <w:name w:val="A 正文"/>
    <w:basedOn w:val="1"/>
    <w:link w:val="380"/>
    <w:qFormat/>
    <w:uiPriority w:val="0"/>
    <w:pPr>
      <w:spacing w:line="300" w:lineRule="auto"/>
      <w:ind w:firstLine="482"/>
    </w:pPr>
    <w:rPr>
      <w:rFonts w:ascii="宋体" w:hAnsi="宋体"/>
      <w:color w:val="000000"/>
      <w:kern w:val="0"/>
      <w:sz w:val="24"/>
    </w:rPr>
  </w:style>
  <w:style w:type="character" w:customStyle="1" w:styleId="380">
    <w:name w:val="A 正文 Char"/>
    <w:link w:val="379"/>
    <w:qFormat/>
    <w:uiPriority w:val="0"/>
    <w:rPr>
      <w:rFonts w:ascii="宋体" w:hAnsi="宋体" w:cs="Arial"/>
      <w:color w:val="000000"/>
      <w:sz w:val="24"/>
      <w:szCs w:val="24"/>
    </w:rPr>
  </w:style>
  <w:style w:type="paragraph" w:customStyle="1" w:styleId="381">
    <w:name w:val="修订3"/>
    <w:semiHidden/>
    <w:qFormat/>
    <w:uiPriority w:val="99"/>
    <w:rPr>
      <w:rFonts w:ascii="Times New Roman" w:hAnsi="Times New Roman" w:eastAsia="宋体" w:cs="Times New Roman"/>
      <w:kern w:val="2"/>
      <w:sz w:val="21"/>
      <w:szCs w:val="24"/>
      <w:lang w:val="en-US" w:eastAsia="zh-CN" w:bidi="ar-SA"/>
    </w:rPr>
  </w:style>
  <w:style w:type="paragraph" w:styleId="382">
    <w:name w:val="List Paragraph"/>
    <w:basedOn w:val="1"/>
    <w:qFormat/>
    <w:uiPriority w:val="34"/>
    <w:pPr>
      <w:ind w:firstLine="420" w:firstLineChars="200"/>
    </w:pPr>
  </w:style>
  <w:style w:type="character" w:customStyle="1" w:styleId="383">
    <w:name w:val="正文文本缩进 2 字符"/>
    <w:qFormat/>
    <w:uiPriority w:val="0"/>
    <w:rPr>
      <w:kern w:val="2"/>
      <w:sz w:val="21"/>
      <w:szCs w:val="24"/>
    </w:rPr>
  </w:style>
  <w:style w:type="character" w:customStyle="1" w:styleId="384">
    <w:name w:val="正文文本缩进 字符"/>
    <w:qFormat/>
    <w:uiPriority w:val="0"/>
    <w:rPr>
      <w:rFonts w:ascii="仿宋_GB2312" w:eastAsia="仿宋_GB2312"/>
      <w:kern w:val="2"/>
      <w:sz w:val="24"/>
      <w:szCs w:val="24"/>
    </w:rPr>
  </w:style>
  <w:style w:type="character" w:customStyle="1" w:styleId="385">
    <w:name w:val="纯文本 Char3"/>
    <w:qFormat/>
    <w:uiPriority w:val="0"/>
    <w:rPr>
      <w:rFonts w:ascii="宋体" w:hAnsi="Courier New" w:cs="Courier New"/>
      <w:szCs w:val="21"/>
    </w:rPr>
  </w:style>
  <w:style w:type="paragraph" w:customStyle="1" w:styleId="386">
    <w:name w:val="修订4"/>
    <w:semiHidden/>
    <w:qFormat/>
    <w:uiPriority w:val="99"/>
    <w:rPr>
      <w:rFonts w:ascii="Times New Roman" w:hAnsi="Times New Roman" w:eastAsia="宋体" w:cs="Times New Roman"/>
      <w:kern w:val="2"/>
      <w:sz w:val="21"/>
      <w:szCs w:val="24"/>
      <w:lang w:val="en-US" w:eastAsia="zh-CN" w:bidi="ar-SA"/>
    </w:rPr>
  </w:style>
  <w:style w:type="character" w:customStyle="1" w:styleId="387">
    <w:name w:val="页眉 Char2"/>
    <w:qFormat/>
    <w:uiPriority w:val="0"/>
    <w:rPr>
      <w:sz w:val="18"/>
      <w:szCs w:val="18"/>
    </w:rPr>
  </w:style>
  <w:style w:type="character" w:customStyle="1" w:styleId="388">
    <w:name w:val="页脚 Char2"/>
    <w:qFormat/>
    <w:uiPriority w:val="99"/>
    <w:rPr>
      <w:sz w:val="18"/>
      <w:szCs w:val="18"/>
    </w:rPr>
  </w:style>
  <w:style w:type="character" w:customStyle="1" w:styleId="389">
    <w:name w:val="prev"/>
    <w:qFormat/>
    <w:uiPriority w:val="0"/>
    <w:rPr>
      <w:rFonts w:ascii="微软雅黑" w:hAnsi="微软雅黑" w:eastAsia="微软雅黑" w:cs="微软雅黑"/>
      <w:sz w:val="21"/>
      <w:szCs w:val="21"/>
    </w:rPr>
  </w:style>
  <w:style w:type="character" w:customStyle="1" w:styleId="390">
    <w:name w:val="prev1"/>
    <w:qFormat/>
    <w:uiPriority w:val="0"/>
    <w:rPr>
      <w:color w:val="888888"/>
    </w:rPr>
  </w:style>
  <w:style w:type="character" w:customStyle="1" w:styleId="391">
    <w:name w:val="next2"/>
    <w:qFormat/>
    <w:uiPriority w:val="0"/>
    <w:rPr>
      <w:rFonts w:hint="eastAsia" w:ascii="微软雅黑" w:hAnsi="微软雅黑" w:eastAsia="微软雅黑" w:cs="微软雅黑"/>
      <w:sz w:val="21"/>
      <w:szCs w:val="21"/>
    </w:rPr>
  </w:style>
  <w:style w:type="character" w:customStyle="1" w:styleId="392">
    <w:name w:val="next3"/>
    <w:qFormat/>
    <w:uiPriority w:val="0"/>
    <w:rPr>
      <w:color w:val="888888"/>
    </w:rPr>
  </w:style>
  <w:style w:type="paragraph" w:customStyle="1" w:styleId="393">
    <w:name w:val="样式 标题 1 + 段后: 1 行"/>
    <w:basedOn w:val="3"/>
    <w:qFormat/>
    <w:uiPriority w:val="0"/>
    <w:pPr>
      <w:spacing w:after="240"/>
    </w:pPr>
    <w:rPr>
      <w:rFonts w:cs="宋体"/>
      <w:bCs w:val="0"/>
      <w:sz w:val="30"/>
      <w:szCs w:val="20"/>
    </w:rPr>
  </w:style>
  <w:style w:type="paragraph" w:customStyle="1" w:styleId="394">
    <w:name w:val="修订5"/>
    <w:hidden/>
    <w:semiHidden/>
    <w:qFormat/>
    <w:uiPriority w:val="99"/>
    <w:rPr>
      <w:rFonts w:ascii="Times New Roman" w:hAnsi="Times New Roman" w:eastAsia="宋体" w:cs="Times New Roman"/>
      <w:kern w:val="2"/>
      <w:sz w:val="21"/>
      <w:szCs w:val="24"/>
      <w:lang w:val="en-US" w:eastAsia="zh-CN" w:bidi="ar-SA"/>
    </w:rPr>
  </w:style>
  <w:style w:type="paragraph" w:customStyle="1" w:styleId="395">
    <w:name w:val="修订6"/>
    <w:hidden/>
    <w:semiHidden/>
    <w:qFormat/>
    <w:uiPriority w:val="99"/>
    <w:rPr>
      <w:rFonts w:ascii="Times New Roman" w:hAnsi="Times New Roman" w:eastAsia="宋体" w:cs="Times New Roman"/>
      <w:kern w:val="2"/>
      <w:sz w:val="21"/>
      <w:szCs w:val="24"/>
      <w:lang w:val="en-US" w:eastAsia="zh-CN" w:bidi="ar-SA"/>
    </w:rPr>
  </w:style>
  <w:style w:type="character" w:customStyle="1" w:styleId="396">
    <w:name w:val="未处理的提及1"/>
    <w:basedOn w:val="90"/>
    <w:semiHidden/>
    <w:unhideWhenUsed/>
    <w:qFormat/>
    <w:uiPriority w:val="99"/>
    <w:rPr>
      <w:color w:val="605E5C"/>
      <w:shd w:val="clear" w:color="auto" w:fill="E1DFDD"/>
    </w:rPr>
  </w:style>
  <w:style w:type="character" w:customStyle="1" w:styleId="397">
    <w:name w:val="cf01"/>
    <w:basedOn w:val="90"/>
    <w:qFormat/>
    <w:uiPriority w:val="0"/>
    <w:rPr>
      <w:rFonts w:hint="eastAsia" w:ascii="Microsoft YaHei UI" w:hAnsi="Microsoft YaHei UI" w:eastAsia="Microsoft YaHei UI"/>
      <w:sz w:val="18"/>
      <w:szCs w:val="18"/>
    </w:rPr>
  </w:style>
  <w:style w:type="paragraph" w:customStyle="1" w:styleId="398">
    <w:name w:val="修订7"/>
    <w:hidden/>
    <w:unhideWhenUsed/>
    <w:qFormat/>
    <w:uiPriority w:val="99"/>
    <w:rPr>
      <w:rFonts w:ascii="Times New Roman" w:hAnsi="Times New Roman" w:eastAsia="宋体" w:cs="Times New Roman"/>
      <w:kern w:val="2"/>
      <w:sz w:val="21"/>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theme" Target="theme/theme1.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Organization</Company>
  <Pages>69</Pages>
  <Words>23790</Words>
  <Characters>25306</Characters>
  <Lines>274</Lines>
  <Paragraphs>77</Paragraphs>
  <TotalTime>3</TotalTime>
  <ScaleCrop>false</ScaleCrop>
  <LinksUpToDate>false</LinksUpToDate>
  <CharactersWithSpaces>25962</CharactersWithSpaces>
  <Application>WPS Office_12.1.0.20305_F1E327BC-269C-435d-A152-05C5408002CA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2025-10-20T07:50:00Z</dcterms:created>
  <dc:creator>采购与招标管理办公室</dc:creator>
  <cp:lastModifiedBy>Administrator</cp:lastModifiedBy>
  <cp:lastPrinted>2025-11-14T07:54:00Z</cp:lastPrinted>
  <dcterms:modified xsi:type="dcterms:W3CDTF">2025-11-19T03:51:34Z</dcterms:modified>
  <dc:title>大连理工大学公开招标文件模板</dc:title>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2052-12.1.0.20305</vt:lpwstr>
  </property>
  <property fmtid="{D5CDD505-2E9C-101B-9397-08002B2CF9AE}" pid="3" name="ICV">
    <vt:lpwstr>5F6AF61C1231497EBB0CE8C676D14C52</vt:lpwstr>
  </property>
  <property fmtid="{D5CDD505-2E9C-101B-9397-08002B2CF9AE}" pid="4" name="KSOTemplateDocerSaveRecord">
    <vt:lpwstr>eyJoZGlkIjoiNjdkOGNiZjExZjM2ZjE1YjM0NTZhOWU0YjkxNzllOTgiLCJ1c2VySWQiOiIxNDc2MDM3OTIxIn0=</vt:lpwstr>
  </property>
</Properties>
</file>