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785019">
      <w:pPr>
        <w:spacing w:line="360" w:lineRule="auto"/>
        <w:rPr>
          <w:rFonts w:hint="eastAsia" w:ascii="宋体" w:hAnsi="宋体" w:eastAsia="宋体" w:cs="宋体"/>
          <w:color w:val="auto"/>
          <w:sz w:val="28"/>
          <w:szCs w:val="32"/>
          <w:highlight w:val="none"/>
        </w:rPr>
      </w:pPr>
    </w:p>
    <w:p w14:paraId="7336890F">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bCs/>
          <w:color w:val="auto"/>
          <w:sz w:val="52"/>
          <w:szCs w:val="52"/>
          <w:highlight w:val="none"/>
          <w:lang w:eastAsia="zh-CN"/>
        </w:rPr>
      </w:pPr>
      <w:r>
        <w:rPr>
          <w:rFonts w:hint="eastAsia" w:ascii="宋体" w:hAnsi="宋体" w:eastAsia="宋体" w:cs="宋体"/>
          <w:b/>
          <w:bCs/>
          <w:color w:val="auto"/>
          <w:sz w:val="52"/>
          <w:szCs w:val="52"/>
          <w:highlight w:val="none"/>
          <w:lang w:eastAsia="zh-CN"/>
        </w:rPr>
        <w:t>镇雄县2024年农作物秸秆综合利用重点县建设项目(秸秆腐熟剂采购及培训服务)</w:t>
      </w:r>
    </w:p>
    <w:p w14:paraId="0E34EB67">
      <w:pPr>
        <w:spacing w:line="360" w:lineRule="auto"/>
        <w:rPr>
          <w:rFonts w:hint="eastAsia" w:ascii="宋体" w:hAnsi="宋体" w:eastAsia="宋体" w:cs="宋体"/>
          <w:color w:val="auto"/>
          <w:sz w:val="28"/>
          <w:szCs w:val="32"/>
          <w:highlight w:val="none"/>
        </w:rPr>
      </w:pPr>
    </w:p>
    <w:p w14:paraId="791EBA8E">
      <w:pPr>
        <w:spacing w:line="360" w:lineRule="auto"/>
        <w:rPr>
          <w:rFonts w:hint="eastAsia" w:ascii="宋体" w:hAnsi="宋体" w:eastAsia="宋体" w:cs="宋体"/>
          <w:color w:val="auto"/>
          <w:sz w:val="28"/>
          <w:szCs w:val="32"/>
          <w:highlight w:val="none"/>
        </w:rPr>
      </w:pPr>
    </w:p>
    <w:p w14:paraId="1F379813">
      <w:pPr>
        <w:spacing w:line="360" w:lineRule="auto"/>
        <w:rPr>
          <w:rFonts w:hint="eastAsia" w:ascii="宋体" w:hAnsi="宋体" w:eastAsia="宋体" w:cs="宋体"/>
          <w:color w:val="auto"/>
          <w:sz w:val="28"/>
          <w:szCs w:val="32"/>
          <w:highlight w:val="none"/>
        </w:rPr>
      </w:pPr>
    </w:p>
    <w:p w14:paraId="32D1D995">
      <w:pPr>
        <w:spacing w:line="360" w:lineRule="auto"/>
        <w:rPr>
          <w:rFonts w:hint="eastAsia" w:ascii="宋体" w:hAnsi="宋体" w:eastAsia="宋体" w:cs="宋体"/>
          <w:color w:val="auto"/>
          <w:sz w:val="28"/>
          <w:szCs w:val="32"/>
          <w:highlight w:val="none"/>
        </w:rPr>
      </w:pPr>
    </w:p>
    <w:p w14:paraId="4EEA4938">
      <w:pPr>
        <w:spacing w:line="360" w:lineRule="auto"/>
        <w:rPr>
          <w:rFonts w:hint="eastAsia" w:ascii="宋体" w:hAnsi="宋体" w:eastAsia="宋体" w:cs="宋体"/>
          <w:color w:val="auto"/>
          <w:sz w:val="28"/>
          <w:szCs w:val="32"/>
          <w:highlight w:val="none"/>
        </w:rPr>
      </w:pPr>
    </w:p>
    <w:p w14:paraId="0DDCE5A0">
      <w:pPr>
        <w:spacing w:line="360" w:lineRule="auto"/>
        <w:rPr>
          <w:rFonts w:hint="eastAsia" w:ascii="宋体" w:hAnsi="宋体" w:eastAsia="宋体" w:cs="宋体"/>
          <w:color w:val="auto"/>
          <w:sz w:val="28"/>
          <w:szCs w:val="32"/>
          <w:highlight w:val="none"/>
        </w:rPr>
      </w:pPr>
    </w:p>
    <w:p w14:paraId="37950A50">
      <w:pPr>
        <w:spacing w:line="240" w:lineRule="auto"/>
        <w:jc w:val="center"/>
        <w:rPr>
          <w:rFonts w:hint="eastAsia" w:ascii="宋体" w:hAnsi="宋体" w:eastAsia="宋体" w:cs="宋体"/>
          <w:b/>
          <w:bCs/>
          <w:color w:val="auto"/>
          <w:sz w:val="72"/>
          <w:szCs w:val="112"/>
          <w:highlight w:val="none"/>
        </w:rPr>
      </w:pPr>
      <w:r>
        <w:rPr>
          <w:rFonts w:hint="eastAsia" w:ascii="宋体" w:hAnsi="宋体" w:eastAsia="宋体" w:cs="宋体"/>
          <w:b/>
          <w:bCs/>
          <w:color w:val="auto"/>
          <w:sz w:val="72"/>
          <w:szCs w:val="112"/>
          <w:highlight w:val="none"/>
        </w:rPr>
        <w:t>竞争性磋商文件</w:t>
      </w:r>
    </w:p>
    <w:p w14:paraId="5E322DEB">
      <w:pPr>
        <w:spacing w:line="240" w:lineRule="auto"/>
        <w:jc w:val="center"/>
        <w:rPr>
          <w:rFonts w:hint="eastAsia" w:ascii="宋体" w:hAnsi="宋体" w:eastAsia="宋体" w:cs="宋体"/>
          <w:b/>
          <w:bCs/>
          <w:color w:val="auto"/>
          <w:sz w:val="32"/>
          <w:szCs w:val="36"/>
          <w:highlight w:val="none"/>
          <w:lang w:eastAsia="zh-CN"/>
        </w:rPr>
      </w:pPr>
    </w:p>
    <w:p w14:paraId="2C06BE64">
      <w:pPr>
        <w:spacing w:line="240" w:lineRule="auto"/>
        <w:jc w:val="center"/>
        <w:rPr>
          <w:rFonts w:hint="eastAsia" w:ascii="宋体" w:hAnsi="宋体" w:eastAsia="宋体" w:cs="宋体"/>
          <w:b/>
          <w:bCs/>
          <w:color w:val="auto"/>
          <w:sz w:val="32"/>
          <w:szCs w:val="36"/>
          <w:highlight w:val="none"/>
          <w:lang w:eastAsia="zh-CN"/>
        </w:rPr>
      </w:pPr>
      <w:r>
        <w:rPr>
          <w:rFonts w:hint="eastAsia" w:ascii="宋体" w:hAnsi="宋体" w:eastAsia="宋体" w:cs="宋体"/>
          <w:b/>
          <w:bCs/>
          <w:color w:val="auto"/>
          <w:sz w:val="32"/>
          <w:szCs w:val="36"/>
          <w:highlight w:val="none"/>
          <w:lang w:eastAsia="zh-CN"/>
        </w:rPr>
        <w:t>项目编号：YNPZZB-2024-140</w:t>
      </w:r>
    </w:p>
    <w:p w14:paraId="19C2D534">
      <w:pPr>
        <w:spacing w:line="360" w:lineRule="auto"/>
        <w:rPr>
          <w:rFonts w:hint="eastAsia" w:ascii="宋体" w:hAnsi="宋体" w:eastAsia="宋体" w:cs="宋体"/>
          <w:color w:val="auto"/>
          <w:sz w:val="28"/>
          <w:szCs w:val="32"/>
          <w:highlight w:val="none"/>
        </w:rPr>
      </w:pPr>
    </w:p>
    <w:p w14:paraId="6279DB52">
      <w:pPr>
        <w:spacing w:line="360" w:lineRule="auto"/>
        <w:rPr>
          <w:rFonts w:hint="eastAsia" w:ascii="宋体" w:hAnsi="宋体" w:eastAsia="宋体" w:cs="宋体"/>
          <w:color w:val="auto"/>
          <w:sz w:val="28"/>
          <w:szCs w:val="32"/>
          <w:highlight w:val="none"/>
        </w:rPr>
      </w:pPr>
    </w:p>
    <w:p w14:paraId="5BB4FD95">
      <w:pPr>
        <w:spacing w:line="360" w:lineRule="auto"/>
        <w:rPr>
          <w:rFonts w:hint="eastAsia" w:ascii="宋体" w:hAnsi="宋体" w:eastAsia="宋体" w:cs="宋体"/>
          <w:color w:val="auto"/>
          <w:sz w:val="28"/>
          <w:szCs w:val="32"/>
          <w:highlight w:val="none"/>
        </w:rPr>
      </w:pPr>
    </w:p>
    <w:p w14:paraId="2F779ED8">
      <w:pPr>
        <w:spacing w:line="360" w:lineRule="auto"/>
        <w:rPr>
          <w:rFonts w:hint="eastAsia" w:ascii="宋体" w:hAnsi="宋体" w:eastAsia="宋体" w:cs="宋体"/>
          <w:color w:val="auto"/>
          <w:sz w:val="28"/>
          <w:szCs w:val="32"/>
          <w:highlight w:val="none"/>
        </w:rPr>
      </w:pPr>
    </w:p>
    <w:p w14:paraId="2786ACF3">
      <w:pPr>
        <w:spacing w:line="360" w:lineRule="auto"/>
        <w:rPr>
          <w:rFonts w:hint="eastAsia" w:ascii="宋体" w:hAnsi="宋体" w:eastAsia="宋体" w:cs="宋体"/>
          <w:color w:val="auto"/>
          <w:sz w:val="28"/>
          <w:szCs w:val="32"/>
          <w:highlight w:val="none"/>
        </w:rPr>
      </w:pPr>
    </w:p>
    <w:p w14:paraId="1387EE63">
      <w:pPr>
        <w:spacing w:line="360" w:lineRule="auto"/>
        <w:jc w:val="center"/>
        <w:rPr>
          <w:rFonts w:hint="eastAsia" w:ascii="宋体" w:hAnsi="宋体" w:eastAsia="宋体" w:cs="宋体"/>
          <w:color w:val="auto"/>
          <w:sz w:val="28"/>
          <w:szCs w:val="32"/>
          <w:highlight w:val="none"/>
          <w:u w:val="none"/>
        </w:rPr>
      </w:pPr>
    </w:p>
    <w:p w14:paraId="60D113F8">
      <w:pPr>
        <w:spacing w:line="360" w:lineRule="auto"/>
        <w:jc w:val="center"/>
        <w:rPr>
          <w:rFonts w:hint="eastAsia" w:ascii="宋体" w:hAnsi="宋体" w:eastAsia="宋体" w:cs="宋体"/>
          <w:b/>
          <w:bCs/>
          <w:color w:val="auto"/>
          <w:sz w:val="36"/>
          <w:szCs w:val="40"/>
          <w:highlight w:val="none"/>
          <w:u w:val="none"/>
          <w:lang w:eastAsia="zh-CN"/>
        </w:rPr>
      </w:pPr>
      <w:r>
        <w:rPr>
          <w:rFonts w:hint="eastAsia" w:ascii="宋体" w:hAnsi="宋体" w:eastAsia="宋体" w:cs="宋体"/>
          <w:b/>
          <w:bCs/>
          <w:color w:val="auto"/>
          <w:sz w:val="36"/>
          <w:szCs w:val="40"/>
          <w:highlight w:val="none"/>
          <w:u w:val="none"/>
        </w:rPr>
        <w:t>采购人：</w:t>
      </w:r>
      <w:r>
        <w:rPr>
          <w:rFonts w:hint="eastAsia" w:ascii="宋体" w:hAnsi="宋体" w:eastAsia="宋体" w:cs="宋体"/>
          <w:b/>
          <w:bCs/>
          <w:color w:val="auto"/>
          <w:sz w:val="36"/>
          <w:szCs w:val="40"/>
          <w:highlight w:val="none"/>
          <w:u w:val="none"/>
          <w:lang w:eastAsia="zh-CN"/>
        </w:rPr>
        <w:t>镇雄县农村能源建设与农业环境工作站</w:t>
      </w:r>
    </w:p>
    <w:p w14:paraId="4FF80049">
      <w:pPr>
        <w:spacing w:line="360" w:lineRule="auto"/>
        <w:jc w:val="center"/>
        <w:rPr>
          <w:rFonts w:hint="eastAsia" w:ascii="宋体" w:hAnsi="宋体" w:eastAsia="宋体" w:cs="宋体"/>
          <w:b/>
          <w:bCs/>
          <w:color w:val="auto"/>
          <w:sz w:val="32"/>
          <w:szCs w:val="36"/>
          <w:highlight w:val="none"/>
          <w:u w:val="none"/>
        </w:rPr>
      </w:pPr>
    </w:p>
    <w:p w14:paraId="782FDFA3">
      <w:pPr>
        <w:spacing w:line="360" w:lineRule="auto"/>
        <w:jc w:val="center"/>
        <w:rPr>
          <w:rFonts w:hint="eastAsia" w:ascii="宋体" w:hAnsi="宋体" w:eastAsia="宋体" w:cs="宋体"/>
          <w:b/>
          <w:bCs/>
          <w:color w:val="auto"/>
          <w:sz w:val="36"/>
          <w:szCs w:val="40"/>
          <w:highlight w:val="none"/>
          <w:u w:val="none"/>
          <w:lang w:eastAsia="zh-CN"/>
        </w:rPr>
      </w:pPr>
      <w:r>
        <w:rPr>
          <w:rFonts w:hint="eastAsia" w:ascii="宋体" w:hAnsi="宋体" w:eastAsia="宋体" w:cs="宋体"/>
          <w:b/>
          <w:bCs/>
          <w:color w:val="auto"/>
          <w:sz w:val="36"/>
          <w:szCs w:val="40"/>
          <w:highlight w:val="none"/>
          <w:u w:val="none"/>
        </w:rPr>
        <w:t>采购代理机构：</w:t>
      </w:r>
      <w:r>
        <w:rPr>
          <w:rFonts w:hint="eastAsia" w:ascii="宋体" w:hAnsi="宋体" w:eastAsia="宋体" w:cs="宋体"/>
          <w:b/>
          <w:bCs/>
          <w:color w:val="auto"/>
          <w:sz w:val="36"/>
          <w:szCs w:val="40"/>
          <w:highlight w:val="none"/>
          <w:u w:val="none"/>
          <w:lang w:eastAsia="zh-CN"/>
        </w:rPr>
        <w:t>云南品众招标咨询有限公司</w:t>
      </w:r>
    </w:p>
    <w:p w14:paraId="5FA3585D">
      <w:pPr>
        <w:spacing w:line="360" w:lineRule="auto"/>
        <w:jc w:val="center"/>
        <w:rPr>
          <w:rFonts w:hint="eastAsia" w:ascii="宋体" w:hAnsi="宋体" w:eastAsia="宋体" w:cs="宋体"/>
          <w:b/>
          <w:bCs/>
          <w:color w:val="auto"/>
          <w:sz w:val="32"/>
          <w:szCs w:val="36"/>
          <w:highlight w:val="none"/>
        </w:rPr>
      </w:pPr>
    </w:p>
    <w:p w14:paraId="39DBE4A5">
      <w:pPr>
        <w:spacing w:line="360" w:lineRule="auto"/>
        <w:jc w:val="center"/>
        <w:rPr>
          <w:rFonts w:hint="default" w:ascii="宋体" w:hAnsi="宋体" w:eastAsia="宋体" w:cs="宋体"/>
          <w:b/>
          <w:bCs/>
          <w:color w:val="auto"/>
          <w:sz w:val="36"/>
          <w:szCs w:val="40"/>
          <w:highlight w:val="none"/>
          <w:lang w:val="en-US" w:eastAsia="zh-CN"/>
        </w:rPr>
      </w:pPr>
      <w:r>
        <w:rPr>
          <w:rFonts w:hint="eastAsia" w:ascii="宋体" w:hAnsi="宋体" w:eastAsia="宋体" w:cs="宋体"/>
          <w:b/>
          <w:bCs/>
          <w:color w:val="auto"/>
          <w:sz w:val="36"/>
          <w:szCs w:val="40"/>
          <w:highlight w:val="none"/>
          <w:lang w:val="en-US" w:eastAsia="zh-CN"/>
        </w:rPr>
        <w:t>二〇二四年九月</w:t>
      </w:r>
    </w:p>
    <w:sdt>
      <w:sdtPr>
        <w:rPr>
          <w:rFonts w:hint="eastAsia" w:ascii="宋体" w:hAnsi="宋体" w:eastAsia="宋体" w:cs="宋体"/>
          <w:b/>
          <w:bCs/>
          <w:color w:val="auto"/>
          <w:kern w:val="2"/>
          <w:sz w:val="24"/>
          <w:szCs w:val="28"/>
          <w:highlight w:val="none"/>
          <w:lang w:val="zh-CN"/>
        </w:rPr>
        <w:id w:val="202456349"/>
        <w:docPartObj>
          <w:docPartGallery w:val="Table of Contents"/>
          <w:docPartUnique/>
        </w:docPartObj>
      </w:sdtPr>
      <w:sdtEndPr>
        <w:rPr>
          <w:rFonts w:hint="eastAsia" w:ascii="宋体" w:hAnsi="宋体" w:eastAsia="宋体" w:cs="宋体"/>
          <w:b/>
          <w:bCs/>
          <w:color w:val="auto"/>
          <w:kern w:val="2"/>
          <w:sz w:val="21"/>
          <w:szCs w:val="22"/>
          <w:highlight w:val="none"/>
          <w:lang w:val="zh-CN"/>
        </w:rPr>
      </w:sdtEndPr>
      <w:sdtContent>
        <w:p w14:paraId="6ABC8540">
          <w:pPr>
            <w:pStyle w:val="53"/>
            <w:jc w:val="center"/>
            <w:rPr>
              <w:rFonts w:hint="eastAsia" w:ascii="宋体" w:hAnsi="宋体" w:eastAsia="宋体" w:cs="宋体"/>
              <w:b/>
              <w:bCs/>
              <w:color w:val="auto"/>
              <w:kern w:val="2"/>
              <w:sz w:val="24"/>
              <w:szCs w:val="28"/>
              <w:highlight w:val="none"/>
              <w:lang w:val="zh-CN"/>
            </w:rPr>
          </w:pPr>
        </w:p>
        <w:p w14:paraId="627A3650">
          <w:pPr>
            <w:pStyle w:val="53"/>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lang w:val="zh-CN"/>
            </w:rPr>
            <w:t>目  录</w:t>
          </w:r>
        </w:p>
        <w:p w14:paraId="058276C7">
          <w:pPr>
            <w:pStyle w:val="29"/>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b/>
              <w:bCs/>
              <w:color w:val="auto"/>
              <w:sz w:val="28"/>
              <w:szCs w:val="32"/>
              <w:highlight w:val="none"/>
            </w:rPr>
          </w:pP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 TOC \o "1-3" \h \z \u </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 HYPERLINK \l "_Toc132208656" </w:instrText>
          </w:r>
          <w:r>
            <w:rPr>
              <w:rFonts w:hint="eastAsia" w:ascii="宋体" w:hAnsi="宋体" w:eastAsia="宋体" w:cs="宋体"/>
              <w:color w:val="auto"/>
              <w:sz w:val="28"/>
              <w:szCs w:val="32"/>
              <w:highlight w:val="none"/>
            </w:rPr>
            <w:fldChar w:fldCharType="separate"/>
          </w:r>
          <w:r>
            <w:rPr>
              <w:rStyle w:val="45"/>
              <w:rFonts w:hint="eastAsia" w:ascii="宋体" w:hAnsi="宋体" w:eastAsia="宋体" w:cs="宋体"/>
              <w:b/>
              <w:bCs/>
              <w:color w:val="auto"/>
              <w:sz w:val="28"/>
              <w:szCs w:val="32"/>
              <w:highlight w:val="none"/>
            </w:rPr>
            <w:t>第一章 竞争性磋商公告</w:t>
          </w:r>
          <w:r>
            <w:rPr>
              <w:rFonts w:hint="eastAsia" w:ascii="宋体" w:hAnsi="宋体" w:eastAsia="宋体" w:cs="宋体"/>
              <w:b/>
              <w:bCs/>
              <w:color w:val="auto"/>
              <w:sz w:val="28"/>
              <w:szCs w:val="32"/>
              <w:highlight w:val="none"/>
            </w:rPr>
            <w:tab/>
          </w:r>
          <w:r>
            <w:rPr>
              <w:rFonts w:hint="eastAsia" w:ascii="宋体" w:hAnsi="宋体" w:eastAsia="宋体" w:cs="宋体"/>
              <w:b/>
              <w:bCs/>
              <w:color w:val="auto"/>
              <w:sz w:val="28"/>
              <w:szCs w:val="32"/>
              <w:highlight w:val="none"/>
            </w:rPr>
            <w:fldChar w:fldCharType="begin"/>
          </w:r>
          <w:r>
            <w:rPr>
              <w:rFonts w:hint="eastAsia" w:ascii="宋体" w:hAnsi="宋体" w:eastAsia="宋体" w:cs="宋体"/>
              <w:b/>
              <w:bCs/>
              <w:color w:val="auto"/>
              <w:sz w:val="28"/>
              <w:szCs w:val="32"/>
              <w:highlight w:val="none"/>
            </w:rPr>
            <w:instrText xml:space="preserve"> PAGEREF _Toc132208656 \h </w:instrText>
          </w:r>
          <w:r>
            <w:rPr>
              <w:rFonts w:hint="eastAsia" w:ascii="宋体" w:hAnsi="宋体" w:eastAsia="宋体" w:cs="宋体"/>
              <w:b/>
              <w:bCs/>
              <w:color w:val="auto"/>
              <w:sz w:val="28"/>
              <w:szCs w:val="32"/>
              <w:highlight w:val="none"/>
            </w:rPr>
            <w:fldChar w:fldCharType="separate"/>
          </w:r>
          <w:r>
            <w:rPr>
              <w:rFonts w:hint="eastAsia" w:ascii="宋体" w:hAnsi="宋体" w:eastAsia="宋体" w:cs="宋体"/>
              <w:b/>
              <w:bCs/>
              <w:color w:val="auto"/>
              <w:sz w:val="28"/>
              <w:szCs w:val="32"/>
              <w:highlight w:val="none"/>
            </w:rPr>
            <w:t>- 1 -</w:t>
          </w:r>
          <w:r>
            <w:rPr>
              <w:rFonts w:hint="eastAsia" w:ascii="宋体" w:hAnsi="宋体" w:eastAsia="宋体" w:cs="宋体"/>
              <w:b/>
              <w:bCs/>
              <w:color w:val="auto"/>
              <w:sz w:val="28"/>
              <w:szCs w:val="32"/>
              <w:highlight w:val="none"/>
            </w:rPr>
            <w:fldChar w:fldCharType="end"/>
          </w:r>
          <w:r>
            <w:rPr>
              <w:rFonts w:hint="eastAsia" w:ascii="宋体" w:hAnsi="宋体" w:eastAsia="宋体" w:cs="宋体"/>
              <w:b/>
              <w:bCs/>
              <w:color w:val="auto"/>
              <w:sz w:val="28"/>
              <w:szCs w:val="32"/>
              <w:highlight w:val="none"/>
            </w:rPr>
            <w:fldChar w:fldCharType="end"/>
          </w:r>
        </w:p>
        <w:p w14:paraId="7913705A">
          <w:pPr>
            <w:pStyle w:val="29"/>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b/>
              <w:bCs/>
              <w:color w:val="auto"/>
              <w:sz w:val="28"/>
              <w:szCs w:val="32"/>
              <w:highlight w:val="none"/>
            </w:rPr>
          </w:pP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 HYPERLINK \l "_Toc132208665" </w:instrText>
          </w:r>
          <w:r>
            <w:rPr>
              <w:rFonts w:hint="eastAsia" w:ascii="宋体" w:hAnsi="宋体" w:eastAsia="宋体" w:cs="宋体"/>
              <w:color w:val="auto"/>
              <w:sz w:val="28"/>
              <w:szCs w:val="32"/>
              <w:highlight w:val="none"/>
            </w:rPr>
            <w:fldChar w:fldCharType="separate"/>
          </w:r>
          <w:r>
            <w:rPr>
              <w:rStyle w:val="45"/>
              <w:rFonts w:hint="eastAsia" w:ascii="宋体" w:hAnsi="宋体" w:eastAsia="宋体" w:cs="宋体"/>
              <w:b/>
              <w:bCs/>
              <w:color w:val="auto"/>
              <w:sz w:val="28"/>
              <w:szCs w:val="32"/>
              <w:highlight w:val="none"/>
            </w:rPr>
            <w:t>第二章 供应商须知</w:t>
          </w:r>
          <w:r>
            <w:rPr>
              <w:rFonts w:hint="eastAsia" w:ascii="宋体" w:hAnsi="宋体" w:eastAsia="宋体" w:cs="宋体"/>
              <w:b/>
              <w:bCs/>
              <w:color w:val="auto"/>
              <w:sz w:val="28"/>
              <w:szCs w:val="32"/>
              <w:highlight w:val="none"/>
            </w:rPr>
            <w:tab/>
          </w:r>
          <w:r>
            <w:rPr>
              <w:rFonts w:hint="eastAsia" w:ascii="宋体" w:hAnsi="宋体" w:eastAsia="宋体" w:cs="宋体"/>
              <w:b/>
              <w:bCs/>
              <w:color w:val="auto"/>
              <w:sz w:val="28"/>
              <w:szCs w:val="32"/>
              <w:highlight w:val="none"/>
            </w:rPr>
            <w:fldChar w:fldCharType="begin"/>
          </w:r>
          <w:r>
            <w:rPr>
              <w:rFonts w:hint="eastAsia" w:ascii="宋体" w:hAnsi="宋体" w:eastAsia="宋体" w:cs="宋体"/>
              <w:b/>
              <w:bCs/>
              <w:color w:val="auto"/>
              <w:sz w:val="28"/>
              <w:szCs w:val="32"/>
              <w:highlight w:val="none"/>
            </w:rPr>
            <w:instrText xml:space="preserve"> PAGEREF _Toc132208665 \h </w:instrText>
          </w:r>
          <w:r>
            <w:rPr>
              <w:rFonts w:hint="eastAsia" w:ascii="宋体" w:hAnsi="宋体" w:eastAsia="宋体" w:cs="宋体"/>
              <w:b/>
              <w:bCs/>
              <w:color w:val="auto"/>
              <w:sz w:val="28"/>
              <w:szCs w:val="32"/>
              <w:highlight w:val="none"/>
            </w:rPr>
            <w:fldChar w:fldCharType="separate"/>
          </w:r>
          <w:r>
            <w:rPr>
              <w:rFonts w:hint="eastAsia" w:ascii="宋体" w:hAnsi="宋体" w:eastAsia="宋体" w:cs="宋体"/>
              <w:b/>
              <w:bCs/>
              <w:color w:val="auto"/>
              <w:sz w:val="28"/>
              <w:szCs w:val="32"/>
              <w:highlight w:val="none"/>
            </w:rPr>
            <w:t>- 4 -</w:t>
          </w:r>
          <w:r>
            <w:rPr>
              <w:rFonts w:hint="eastAsia" w:ascii="宋体" w:hAnsi="宋体" w:eastAsia="宋体" w:cs="宋体"/>
              <w:b/>
              <w:bCs/>
              <w:color w:val="auto"/>
              <w:sz w:val="28"/>
              <w:szCs w:val="32"/>
              <w:highlight w:val="none"/>
            </w:rPr>
            <w:fldChar w:fldCharType="end"/>
          </w:r>
          <w:r>
            <w:rPr>
              <w:rFonts w:hint="eastAsia" w:ascii="宋体" w:hAnsi="宋体" w:eastAsia="宋体" w:cs="宋体"/>
              <w:b/>
              <w:bCs/>
              <w:color w:val="auto"/>
              <w:sz w:val="28"/>
              <w:szCs w:val="32"/>
              <w:highlight w:val="none"/>
            </w:rPr>
            <w:fldChar w:fldCharType="end"/>
          </w:r>
        </w:p>
        <w:p w14:paraId="79CA3882">
          <w:pPr>
            <w:pStyle w:val="29"/>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b/>
              <w:bCs/>
              <w:color w:val="auto"/>
              <w:sz w:val="28"/>
              <w:szCs w:val="32"/>
              <w:highlight w:val="none"/>
            </w:rPr>
          </w:pP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 HYPERLINK \l "_Toc132208728" </w:instrText>
          </w:r>
          <w:r>
            <w:rPr>
              <w:rFonts w:hint="eastAsia" w:ascii="宋体" w:hAnsi="宋体" w:eastAsia="宋体" w:cs="宋体"/>
              <w:color w:val="auto"/>
              <w:sz w:val="28"/>
              <w:szCs w:val="32"/>
              <w:highlight w:val="none"/>
            </w:rPr>
            <w:fldChar w:fldCharType="separate"/>
          </w:r>
          <w:r>
            <w:rPr>
              <w:rStyle w:val="45"/>
              <w:rFonts w:hint="eastAsia" w:ascii="宋体" w:hAnsi="宋体" w:eastAsia="宋体" w:cs="宋体"/>
              <w:b/>
              <w:bCs/>
              <w:color w:val="auto"/>
              <w:sz w:val="28"/>
              <w:szCs w:val="32"/>
              <w:highlight w:val="none"/>
            </w:rPr>
            <w:t>第三章 评审办法</w:t>
          </w:r>
          <w:r>
            <w:rPr>
              <w:rFonts w:hint="eastAsia" w:ascii="宋体" w:hAnsi="宋体" w:eastAsia="宋体" w:cs="宋体"/>
              <w:b/>
              <w:bCs/>
              <w:color w:val="auto"/>
              <w:sz w:val="28"/>
              <w:szCs w:val="32"/>
              <w:highlight w:val="none"/>
            </w:rPr>
            <w:tab/>
          </w:r>
          <w:r>
            <w:rPr>
              <w:rFonts w:hint="eastAsia" w:ascii="宋体" w:hAnsi="宋体" w:eastAsia="宋体" w:cs="宋体"/>
              <w:b/>
              <w:bCs/>
              <w:color w:val="auto"/>
              <w:sz w:val="28"/>
              <w:szCs w:val="32"/>
              <w:highlight w:val="none"/>
            </w:rPr>
            <w:fldChar w:fldCharType="begin"/>
          </w:r>
          <w:r>
            <w:rPr>
              <w:rFonts w:hint="eastAsia" w:ascii="宋体" w:hAnsi="宋体" w:eastAsia="宋体" w:cs="宋体"/>
              <w:b/>
              <w:bCs/>
              <w:color w:val="auto"/>
              <w:sz w:val="28"/>
              <w:szCs w:val="32"/>
              <w:highlight w:val="none"/>
            </w:rPr>
            <w:instrText xml:space="preserve"> PAGEREF _Toc132208728 \h </w:instrText>
          </w:r>
          <w:r>
            <w:rPr>
              <w:rFonts w:hint="eastAsia" w:ascii="宋体" w:hAnsi="宋体" w:eastAsia="宋体" w:cs="宋体"/>
              <w:b/>
              <w:bCs/>
              <w:color w:val="auto"/>
              <w:sz w:val="28"/>
              <w:szCs w:val="32"/>
              <w:highlight w:val="none"/>
            </w:rPr>
            <w:fldChar w:fldCharType="separate"/>
          </w:r>
          <w:r>
            <w:rPr>
              <w:rFonts w:hint="eastAsia" w:ascii="宋体" w:hAnsi="宋体" w:eastAsia="宋体" w:cs="宋体"/>
              <w:b/>
              <w:bCs/>
              <w:color w:val="auto"/>
              <w:sz w:val="28"/>
              <w:szCs w:val="32"/>
              <w:highlight w:val="none"/>
            </w:rPr>
            <w:t>- 22 -</w:t>
          </w:r>
          <w:r>
            <w:rPr>
              <w:rFonts w:hint="eastAsia" w:ascii="宋体" w:hAnsi="宋体" w:eastAsia="宋体" w:cs="宋体"/>
              <w:b/>
              <w:bCs/>
              <w:color w:val="auto"/>
              <w:sz w:val="28"/>
              <w:szCs w:val="32"/>
              <w:highlight w:val="none"/>
            </w:rPr>
            <w:fldChar w:fldCharType="end"/>
          </w:r>
          <w:r>
            <w:rPr>
              <w:rFonts w:hint="eastAsia" w:ascii="宋体" w:hAnsi="宋体" w:eastAsia="宋体" w:cs="宋体"/>
              <w:b/>
              <w:bCs/>
              <w:color w:val="auto"/>
              <w:sz w:val="28"/>
              <w:szCs w:val="32"/>
              <w:highlight w:val="none"/>
            </w:rPr>
            <w:fldChar w:fldCharType="end"/>
          </w:r>
        </w:p>
        <w:p w14:paraId="5DE6D154">
          <w:pPr>
            <w:pStyle w:val="29"/>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b/>
              <w:bCs/>
              <w:color w:val="auto"/>
              <w:sz w:val="28"/>
              <w:szCs w:val="32"/>
              <w:highlight w:val="none"/>
            </w:rPr>
          </w:pP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 HYPERLINK \l "_Toc132208740" </w:instrText>
          </w:r>
          <w:r>
            <w:rPr>
              <w:rFonts w:hint="eastAsia" w:ascii="宋体" w:hAnsi="宋体" w:eastAsia="宋体" w:cs="宋体"/>
              <w:color w:val="auto"/>
              <w:sz w:val="28"/>
              <w:szCs w:val="32"/>
              <w:highlight w:val="none"/>
            </w:rPr>
            <w:fldChar w:fldCharType="separate"/>
          </w:r>
          <w:r>
            <w:rPr>
              <w:rStyle w:val="45"/>
              <w:rFonts w:hint="eastAsia" w:ascii="宋体" w:hAnsi="宋体" w:eastAsia="宋体" w:cs="宋体"/>
              <w:b/>
              <w:bCs/>
              <w:color w:val="auto"/>
              <w:kern w:val="44"/>
              <w:sz w:val="28"/>
              <w:szCs w:val="32"/>
              <w:highlight w:val="none"/>
            </w:rPr>
            <w:t>第四章 合同草案</w:t>
          </w:r>
          <w:r>
            <w:rPr>
              <w:rFonts w:hint="eastAsia" w:ascii="宋体" w:hAnsi="宋体" w:eastAsia="宋体" w:cs="宋体"/>
              <w:b/>
              <w:bCs/>
              <w:color w:val="auto"/>
              <w:sz w:val="28"/>
              <w:szCs w:val="32"/>
              <w:highlight w:val="none"/>
            </w:rPr>
            <w:tab/>
          </w:r>
          <w:r>
            <w:rPr>
              <w:rFonts w:hint="eastAsia" w:ascii="宋体" w:hAnsi="宋体" w:eastAsia="宋体" w:cs="宋体"/>
              <w:b/>
              <w:bCs/>
              <w:color w:val="auto"/>
              <w:sz w:val="28"/>
              <w:szCs w:val="32"/>
              <w:highlight w:val="none"/>
            </w:rPr>
            <w:fldChar w:fldCharType="begin"/>
          </w:r>
          <w:r>
            <w:rPr>
              <w:rFonts w:hint="eastAsia" w:ascii="宋体" w:hAnsi="宋体" w:eastAsia="宋体" w:cs="宋体"/>
              <w:b/>
              <w:bCs/>
              <w:color w:val="auto"/>
              <w:sz w:val="28"/>
              <w:szCs w:val="32"/>
              <w:highlight w:val="none"/>
            </w:rPr>
            <w:instrText xml:space="preserve"> PAGEREF _Toc132208740 \h </w:instrText>
          </w:r>
          <w:r>
            <w:rPr>
              <w:rFonts w:hint="eastAsia" w:ascii="宋体" w:hAnsi="宋体" w:eastAsia="宋体" w:cs="宋体"/>
              <w:b/>
              <w:bCs/>
              <w:color w:val="auto"/>
              <w:sz w:val="28"/>
              <w:szCs w:val="32"/>
              <w:highlight w:val="none"/>
            </w:rPr>
            <w:fldChar w:fldCharType="separate"/>
          </w:r>
          <w:r>
            <w:rPr>
              <w:rFonts w:hint="eastAsia" w:ascii="宋体" w:hAnsi="宋体" w:eastAsia="宋体" w:cs="宋体"/>
              <w:b/>
              <w:bCs/>
              <w:color w:val="auto"/>
              <w:sz w:val="28"/>
              <w:szCs w:val="32"/>
              <w:highlight w:val="none"/>
            </w:rPr>
            <w:t>- 30 -</w:t>
          </w:r>
          <w:r>
            <w:rPr>
              <w:rFonts w:hint="eastAsia" w:ascii="宋体" w:hAnsi="宋体" w:eastAsia="宋体" w:cs="宋体"/>
              <w:b/>
              <w:bCs/>
              <w:color w:val="auto"/>
              <w:sz w:val="28"/>
              <w:szCs w:val="32"/>
              <w:highlight w:val="none"/>
            </w:rPr>
            <w:fldChar w:fldCharType="end"/>
          </w:r>
          <w:r>
            <w:rPr>
              <w:rFonts w:hint="eastAsia" w:ascii="宋体" w:hAnsi="宋体" w:eastAsia="宋体" w:cs="宋体"/>
              <w:b/>
              <w:bCs/>
              <w:color w:val="auto"/>
              <w:sz w:val="28"/>
              <w:szCs w:val="32"/>
              <w:highlight w:val="none"/>
            </w:rPr>
            <w:fldChar w:fldCharType="end"/>
          </w:r>
        </w:p>
        <w:p w14:paraId="7AF97853">
          <w:pPr>
            <w:pStyle w:val="29"/>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b/>
              <w:bCs/>
              <w:color w:val="auto"/>
              <w:sz w:val="28"/>
              <w:szCs w:val="32"/>
              <w:highlight w:val="none"/>
            </w:rPr>
          </w:pP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 HYPERLINK \l "_Toc132208741" </w:instrText>
          </w:r>
          <w:r>
            <w:rPr>
              <w:rFonts w:hint="eastAsia" w:ascii="宋体" w:hAnsi="宋体" w:eastAsia="宋体" w:cs="宋体"/>
              <w:color w:val="auto"/>
              <w:sz w:val="28"/>
              <w:szCs w:val="32"/>
              <w:highlight w:val="none"/>
            </w:rPr>
            <w:fldChar w:fldCharType="separate"/>
          </w:r>
          <w:r>
            <w:rPr>
              <w:rStyle w:val="45"/>
              <w:rFonts w:hint="eastAsia" w:ascii="宋体" w:hAnsi="宋体" w:eastAsia="宋体" w:cs="宋体"/>
              <w:b/>
              <w:bCs/>
              <w:color w:val="auto"/>
              <w:sz w:val="28"/>
              <w:szCs w:val="32"/>
              <w:highlight w:val="none"/>
            </w:rPr>
            <w:t>第五章 采购需求</w:t>
          </w:r>
          <w:r>
            <w:rPr>
              <w:rFonts w:hint="eastAsia" w:ascii="宋体" w:hAnsi="宋体" w:eastAsia="宋体" w:cs="宋体"/>
              <w:b/>
              <w:bCs/>
              <w:color w:val="auto"/>
              <w:sz w:val="28"/>
              <w:szCs w:val="32"/>
              <w:highlight w:val="none"/>
            </w:rPr>
            <w:tab/>
          </w:r>
          <w:r>
            <w:rPr>
              <w:rFonts w:hint="eastAsia" w:ascii="宋体" w:hAnsi="宋体" w:eastAsia="宋体" w:cs="宋体"/>
              <w:b/>
              <w:bCs/>
              <w:color w:val="auto"/>
              <w:sz w:val="28"/>
              <w:szCs w:val="32"/>
              <w:highlight w:val="none"/>
            </w:rPr>
            <w:fldChar w:fldCharType="begin"/>
          </w:r>
          <w:r>
            <w:rPr>
              <w:rFonts w:hint="eastAsia" w:ascii="宋体" w:hAnsi="宋体" w:eastAsia="宋体" w:cs="宋体"/>
              <w:b/>
              <w:bCs/>
              <w:color w:val="auto"/>
              <w:sz w:val="28"/>
              <w:szCs w:val="32"/>
              <w:highlight w:val="none"/>
            </w:rPr>
            <w:instrText xml:space="preserve"> PAGEREF _Toc132208740 \h </w:instrText>
          </w:r>
          <w:r>
            <w:rPr>
              <w:rFonts w:hint="eastAsia" w:ascii="宋体" w:hAnsi="宋体" w:eastAsia="宋体" w:cs="宋体"/>
              <w:b/>
              <w:bCs/>
              <w:color w:val="auto"/>
              <w:sz w:val="28"/>
              <w:szCs w:val="32"/>
              <w:highlight w:val="none"/>
            </w:rPr>
            <w:fldChar w:fldCharType="separate"/>
          </w:r>
          <w:r>
            <w:rPr>
              <w:rFonts w:hint="eastAsia" w:ascii="宋体" w:hAnsi="宋体" w:eastAsia="宋体" w:cs="宋体"/>
              <w:b/>
              <w:bCs/>
              <w:color w:val="auto"/>
              <w:sz w:val="28"/>
              <w:szCs w:val="32"/>
              <w:highlight w:val="none"/>
            </w:rPr>
            <w:t xml:space="preserve">- </w:t>
          </w:r>
          <w:r>
            <w:rPr>
              <w:rFonts w:hint="eastAsia" w:ascii="宋体" w:hAnsi="宋体" w:eastAsia="宋体" w:cs="宋体"/>
              <w:b/>
              <w:bCs/>
              <w:color w:val="auto"/>
              <w:sz w:val="28"/>
              <w:szCs w:val="32"/>
              <w:highlight w:val="none"/>
              <w:lang w:val="en-US" w:eastAsia="zh-CN"/>
            </w:rPr>
            <w:t>46</w:t>
          </w:r>
          <w:r>
            <w:rPr>
              <w:rFonts w:hint="eastAsia" w:ascii="宋体" w:hAnsi="宋体" w:eastAsia="宋体" w:cs="宋体"/>
              <w:b/>
              <w:bCs/>
              <w:color w:val="auto"/>
              <w:sz w:val="28"/>
              <w:szCs w:val="32"/>
              <w:highlight w:val="none"/>
            </w:rPr>
            <w:t xml:space="preserve"> -</w:t>
          </w:r>
          <w:r>
            <w:rPr>
              <w:rFonts w:hint="eastAsia" w:ascii="宋体" w:hAnsi="宋体" w:eastAsia="宋体" w:cs="宋体"/>
              <w:b/>
              <w:bCs/>
              <w:color w:val="auto"/>
              <w:sz w:val="28"/>
              <w:szCs w:val="32"/>
              <w:highlight w:val="none"/>
            </w:rPr>
            <w:fldChar w:fldCharType="end"/>
          </w:r>
          <w:r>
            <w:rPr>
              <w:rFonts w:hint="eastAsia" w:ascii="宋体" w:hAnsi="宋体" w:eastAsia="宋体" w:cs="宋体"/>
              <w:b/>
              <w:bCs/>
              <w:color w:val="auto"/>
              <w:sz w:val="28"/>
              <w:szCs w:val="32"/>
              <w:highlight w:val="none"/>
            </w:rPr>
            <w:fldChar w:fldCharType="end"/>
          </w:r>
        </w:p>
        <w:p w14:paraId="4F8A0F2C">
          <w:pPr>
            <w:pStyle w:val="29"/>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b/>
              <w:bCs/>
              <w:color w:val="auto"/>
              <w:sz w:val="28"/>
              <w:szCs w:val="32"/>
              <w:highlight w:val="none"/>
            </w:rPr>
          </w:pP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 HYPERLINK \l "_Toc132208742" </w:instrText>
          </w:r>
          <w:r>
            <w:rPr>
              <w:rFonts w:hint="eastAsia" w:ascii="宋体" w:hAnsi="宋体" w:eastAsia="宋体" w:cs="宋体"/>
              <w:color w:val="auto"/>
              <w:sz w:val="28"/>
              <w:szCs w:val="32"/>
              <w:highlight w:val="none"/>
            </w:rPr>
            <w:fldChar w:fldCharType="separate"/>
          </w:r>
          <w:r>
            <w:rPr>
              <w:rStyle w:val="45"/>
              <w:rFonts w:hint="eastAsia" w:ascii="宋体" w:hAnsi="宋体" w:eastAsia="宋体" w:cs="宋体"/>
              <w:b/>
              <w:bCs/>
              <w:color w:val="auto"/>
              <w:sz w:val="28"/>
              <w:szCs w:val="32"/>
              <w:highlight w:val="none"/>
            </w:rPr>
            <w:t>第六章 响应文件格式</w:t>
          </w:r>
          <w:r>
            <w:rPr>
              <w:rFonts w:hint="eastAsia" w:ascii="宋体" w:hAnsi="宋体" w:eastAsia="宋体" w:cs="宋体"/>
              <w:b/>
              <w:bCs/>
              <w:color w:val="auto"/>
              <w:sz w:val="28"/>
              <w:szCs w:val="32"/>
              <w:highlight w:val="none"/>
            </w:rPr>
            <w:tab/>
          </w:r>
          <w:r>
            <w:rPr>
              <w:rFonts w:hint="eastAsia" w:ascii="宋体" w:hAnsi="宋体" w:eastAsia="宋体" w:cs="宋体"/>
              <w:b/>
              <w:bCs/>
              <w:color w:val="auto"/>
              <w:sz w:val="28"/>
              <w:szCs w:val="32"/>
              <w:highlight w:val="none"/>
            </w:rPr>
            <w:fldChar w:fldCharType="begin"/>
          </w:r>
          <w:r>
            <w:rPr>
              <w:rFonts w:hint="eastAsia" w:ascii="宋体" w:hAnsi="宋体" w:eastAsia="宋体" w:cs="宋体"/>
              <w:b/>
              <w:bCs/>
              <w:color w:val="auto"/>
              <w:sz w:val="28"/>
              <w:szCs w:val="32"/>
              <w:highlight w:val="none"/>
            </w:rPr>
            <w:instrText xml:space="preserve"> PAGEREF _Toc132208742 \h </w:instrText>
          </w:r>
          <w:r>
            <w:rPr>
              <w:rFonts w:hint="eastAsia" w:ascii="宋体" w:hAnsi="宋体" w:eastAsia="宋体" w:cs="宋体"/>
              <w:b/>
              <w:bCs/>
              <w:color w:val="auto"/>
              <w:sz w:val="28"/>
              <w:szCs w:val="32"/>
              <w:highlight w:val="none"/>
            </w:rPr>
            <w:fldChar w:fldCharType="separate"/>
          </w:r>
          <w:r>
            <w:rPr>
              <w:rFonts w:hint="eastAsia" w:ascii="宋体" w:hAnsi="宋体" w:eastAsia="宋体" w:cs="宋体"/>
              <w:b/>
              <w:bCs/>
              <w:color w:val="auto"/>
              <w:sz w:val="28"/>
              <w:szCs w:val="32"/>
              <w:highlight w:val="none"/>
            </w:rPr>
            <w:t>- 47 -</w:t>
          </w:r>
          <w:r>
            <w:rPr>
              <w:rFonts w:hint="eastAsia" w:ascii="宋体" w:hAnsi="宋体" w:eastAsia="宋体" w:cs="宋体"/>
              <w:b/>
              <w:bCs/>
              <w:color w:val="auto"/>
              <w:sz w:val="28"/>
              <w:szCs w:val="32"/>
              <w:highlight w:val="none"/>
            </w:rPr>
            <w:fldChar w:fldCharType="end"/>
          </w:r>
          <w:r>
            <w:rPr>
              <w:rFonts w:hint="eastAsia" w:ascii="宋体" w:hAnsi="宋体" w:eastAsia="宋体" w:cs="宋体"/>
              <w:b/>
              <w:bCs/>
              <w:color w:val="auto"/>
              <w:sz w:val="28"/>
              <w:szCs w:val="32"/>
              <w:highlight w:val="none"/>
            </w:rPr>
            <w:fldChar w:fldCharType="end"/>
          </w:r>
        </w:p>
        <w:p w14:paraId="2694A488">
          <w:pPr>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color w:val="auto"/>
              <w:highlight w:val="none"/>
            </w:rPr>
          </w:pPr>
          <w:r>
            <w:rPr>
              <w:rFonts w:hint="eastAsia" w:ascii="宋体" w:hAnsi="宋体" w:eastAsia="宋体" w:cs="宋体"/>
              <w:b/>
              <w:bCs/>
              <w:color w:val="auto"/>
              <w:sz w:val="28"/>
              <w:szCs w:val="32"/>
              <w:highlight w:val="none"/>
              <w:lang w:val="zh-CN"/>
            </w:rPr>
            <w:fldChar w:fldCharType="end"/>
          </w:r>
        </w:p>
      </w:sdtContent>
    </w:sdt>
    <w:p w14:paraId="2F78CC40">
      <w:pPr>
        <w:tabs>
          <w:tab w:val="left" w:pos="3898"/>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ab/>
      </w:r>
    </w:p>
    <w:p w14:paraId="48407ABB">
      <w:pPr>
        <w:tabs>
          <w:tab w:val="left" w:pos="7803"/>
        </w:tabs>
        <w:rPr>
          <w:rFonts w:hint="eastAsia" w:ascii="宋体" w:hAnsi="宋体" w:eastAsia="宋体" w:cs="宋体"/>
          <w:color w:val="auto"/>
          <w:highlight w:val="none"/>
        </w:rPr>
      </w:pPr>
      <w:r>
        <w:rPr>
          <w:rFonts w:hint="eastAsia" w:ascii="宋体" w:hAnsi="宋体" w:eastAsia="宋体" w:cs="宋体"/>
          <w:color w:val="auto"/>
          <w:highlight w:val="none"/>
        </w:rPr>
        <w:tab/>
      </w:r>
    </w:p>
    <w:p w14:paraId="6CB13CB6">
      <w:pPr>
        <w:rPr>
          <w:rFonts w:hint="eastAsia" w:ascii="宋体" w:hAnsi="宋体" w:eastAsia="宋体" w:cs="宋体"/>
          <w:color w:val="auto"/>
          <w:highlight w:val="none"/>
        </w:rPr>
      </w:pPr>
    </w:p>
    <w:p w14:paraId="6672F7B8">
      <w:pPr>
        <w:rPr>
          <w:rFonts w:hint="eastAsia" w:ascii="宋体" w:hAnsi="宋体" w:eastAsia="宋体" w:cs="宋体"/>
          <w:color w:val="auto"/>
          <w:highlight w:val="none"/>
        </w:rPr>
      </w:pPr>
    </w:p>
    <w:p w14:paraId="38795005">
      <w:pPr>
        <w:rPr>
          <w:rFonts w:hint="eastAsia" w:ascii="宋体" w:hAnsi="宋体" w:eastAsia="宋体" w:cs="宋体"/>
          <w:color w:val="auto"/>
          <w:highlight w:val="none"/>
        </w:rPr>
        <w:sectPr>
          <w:headerReference r:id="rId4" w:type="default"/>
          <w:footerReference r:id="rId6" w:type="default"/>
          <w:headerReference r:id="rId5" w:type="even"/>
          <w:footerReference r:id="rId7" w:type="even"/>
          <w:pgSz w:w="11906" w:h="16838"/>
          <w:pgMar w:top="1418" w:right="1191" w:bottom="1418" w:left="1191" w:header="851" w:footer="992" w:gutter="0"/>
          <w:pgNumType w:fmt="lowerRoman" w:start="1"/>
          <w:cols w:space="425" w:num="1"/>
          <w:titlePg/>
          <w:docGrid w:linePitch="326" w:charSpace="48333"/>
        </w:sectPr>
      </w:pPr>
    </w:p>
    <w:p w14:paraId="143DA213">
      <w:pPr>
        <w:pStyle w:val="3"/>
        <w:spacing w:before="0" w:after="0" w:line="360" w:lineRule="auto"/>
        <w:jc w:val="center"/>
        <w:rPr>
          <w:rFonts w:hint="eastAsia" w:ascii="宋体" w:hAnsi="宋体" w:eastAsia="宋体" w:cs="宋体"/>
          <w:color w:val="auto"/>
          <w:sz w:val="32"/>
          <w:szCs w:val="32"/>
          <w:highlight w:val="none"/>
        </w:rPr>
      </w:pPr>
      <w:bookmarkStart w:id="0" w:name="_Toc132208656"/>
      <w:r>
        <w:rPr>
          <w:rFonts w:hint="eastAsia" w:ascii="宋体" w:hAnsi="宋体" w:eastAsia="宋体" w:cs="宋体"/>
          <w:color w:val="auto"/>
          <w:sz w:val="32"/>
          <w:szCs w:val="32"/>
          <w:highlight w:val="none"/>
        </w:rPr>
        <w:t>第一章 竞争性磋商公告</w:t>
      </w:r>
      <w:bookmarkEnd w:id="0"/>
    </w:p>
    <w:p w14:paraId="1880A2A2">
      <w:pPr>
        <w:spacing w:line="360" w:lineRule="auto"/>
        <w:jc w:val="center"/>
        <w:rPr>
          <w:rFonts w:hint="eastAsia" w:ascii="宋体" w:hAnsi="宋体" w:eastAsia="宋体" w:cs="宋体"/>
          <w:b/>
          <w:bCs/>
          <w:color w:val="auto"/>
          <w:sz w:val="32"/>
          <w:szCs w:val="36"/>
          <w:highlight w:val="none"/>
        </w:rPr>
      </w:pPr>
      <w:bookmarkStart w:id="1" w:name="_Hlk138760667"/>
      <w:bookmarkStart w:id="2" w:name="_Toc103961467"/>
      <w:bookmarkStart w:id="3" w:name="_Toc13783"/>
      <w:bookmarkStart w:id="4" w:name="_Toc70424822"/>
      <w:bookmarkStart w:id="5" w:name="_Toc132208663"/>
      <w:r>
        <w:rPr>
          <w:rFonts w:hint="eastAsia" w:ascii="宋体" w:hAnsi="宋体" w:eastAsia="宋体" w:cs="宋体"/>
          <w:b/>
          <w:bCs/>
          <w:color w:val="auto"/>
          <w:sz w:val="32"/>
          <w:szCs w:val="36"/>
          <w:highlight w:val="none"/>
          <w:lang w:eastAsia="zh-CN"/>
        </w:rPr>
        <w:t>镇雄县2024年农作物秸秆综合利用重点县建设项目(秸秆腐熟剂采购及培训服务)</w:t>
      </w:r>
      <w:r>
        <w:rPr>
          <w:rFonts w:hint="eastAsia" w:ascii="宋体" w:hAnsi="宋体" w:eastAsia="宋体" w:cs="宋体"/>
          <w:b/>
          <w:bCs/>
          <w:color w:val="auto"/>
          <w:sz w:val="32"/>
          <w:szCs w:val="36"/>
          <w:highlight w:val="none"/>
        </w:rPr>
        <w:t>竞争性磋商公告</w:t>
      </w:r>
    </w:p>
    <w:tbl>
      <w:tblPr>
        <w:tblStyle w:val="39"/>
        <w:tblW w:w="0" w:type="auto"/>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9540"/>
      </w:tblGrid>
      <w:tr w14:paraId="32AEDE0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14:paraId="19EBE291">
            <w:pPr>
              <w:pageBreakBefore w:val="0"/>
              <w:widowControl/>
              <w:kinsoku/>
              <w:overflowPunct/>
              <w:topLinePunct w:val="0"/>
              <w:autoSpaceDE/>
              <w:autoSpaceDN/>
              <w:bidi w:val="0"/>
              <w:spacing w:line="500" w:lineRule="exact"/>
              <w:textAlignment w:val="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项目概况</w:t>
            </w:r>
          </w:p>
          <w:p w14:paraId="095F939F">
            <w:pPr>
              <w:pageBreakBefore w:val="0"/>
              <w:widowControl/>
              <w:kinsoku/>
              <w:wordWrap w:val="0"/>
              <w:overflowPunct/>
              <w:topLinePunct w:val="0"/>
              <w:autoSpaceDE/>
              <w:autoSpaceDN/>
              <w:bidi w:val="0"/>
              <w:spacing w:line="500" w:lineRule="exact"/>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lang w:eastAsia="zh-CN"/>
              </w:rPr>
              <w:t>镇雄县2024年农作物秸秆综合利用重点县建设项目(秸秆腐熟剂采购及培训服务)</w:t>
            </w:r>
            <w:r>
              <w:rPr>
                <w:rFonts w:hint="eastAsia" w:ascii="宋体" w:hAnsi="宋体" w:eastAsia="宋体" w:cs="宋体"/>
                <w:color w:val="auto"/>
                <w:kern w:val="0"/>
                <w:szCs w:val="21"/>
                <w:highlight w:val="none"/>
              </w:rPr>
              <w:t>的潜在供应商应在</w:t>
            </w:r>
            <w:r>
              <w:rPr>
                <w:rFonts w:hint="eastAsia" w:ascii="宋体" w:hAnsi="宋体" w:eastAsia="宋体" w:cs="宋体"/>
                <w:color w:val="auto"/>
                <w:kern w:val="0"/>
                <w:szCs w:val="21"/>
                <w:highlight w:val="none"/>
                <w:u w:val="single"/>
              </w:rPr>
              <w:t>政府采购云平台（网址:https://www.zcygov.cn/）</w:t>
            </w:r>
            <w:r>
              <w:rPr>
                <w:rFonts w:hint="eastAsia" w:ascii="宋体" w:hAnsi="宋体" w:eastAsia="宋体" w:cs="宋体"/>
                <w:color w:val="auto"/>
                <w:kern w:val="0"/>
                <w:szCs w:val="21"/>
                <w:highlight w:val="none"/>
              </w:rPr>
              <w:t>获取采购文件，并于</w:t>
            </w:r>
            <w:r>
              <w:rPr>
                <w:rFonts w:hint="eastAsia" w:ascii="宋体" w:hAnsi="宋体" w:eastAsia="宋体" w:cs="宋体"/>
                <w:color w:val="auto"/>
                <w:kern w:val="0"/>
                <w:szCs w:val="21"/>
                <w:highlight w:val="none"/>
                <w:u w:val="single"/>
              </w:rPr>
              <w:t>2024-</w:t>
            </w:r>
            <w:r>
              <w:rPr>
                <w:rFonts w:hint="eastAsia" w:ascii="宋体" w:hAnsi="宋体" w:eastAsia="宋体" w:cs="宋体"/>
                <w:color w:val="auto"/>
                <w:kern w:val="0"/>
                <w:szCs w:val="21"/>
                <w:highlight w:val="none"/>
                <w:u w:val="single"/>
                <w:lang w:val="en-US" w:eastAsia="zh-CN"/>
              </w:rPr>
              <w:t>10</w:t>
            </w:r>
            <w:r>
              <w:rPr>
                <w:rFonts w:hint="eastAsia" w:ascii="宋体" w:hAnsi="宋体" w:eastAsia="宋体" w:cs="宋体"/>
                <w:color w:val="auto"/>
                <w:kern w:val="0"/>
                <w:szCs w:val="21"/>
                <w:highlight w:val="none"/>
                <w:u w:val="single"/>
              </w:rPr>
              <w:t>-</w:t>
            </w:r>
            <w:r>
              <w:rPr>
                <w:rFonts w:hint="eastAsia" w:ascii="宋体" w:hAnsi="宋体" w:eastAsia="宋体" w:cs="宋体"/>
                <w:color w:val="auto"/>
                <w:kern w:val="0"/>
                <w:szCs w:val="21"/>
                <w:highlight w:val="none"/>
                <w:u w:val="single"/>
                <w:lang w:val="en-US" w:eastAsia="zh-CN"/>
              </w:rPr>
              <w:t>08</w:t>
            </w:r>
            <w:r>
              <w:rPr>
                <w:rFonts w:hint="eastAsia" w:ascii="宋体" w:hAnsi="宋体" w:eastAsia="宋体" w:cs="宋体"/>
                <w:color w:val="auto"/>
                <w:kern w:val="0"/>
                <w:szCs w:val="21"/>
                <w:highlight w:val="none"/>
                <w:u w:val="single"/>
              </w:rPr>
              <w:t xml:space="preserve"> 1</w:t>
            </w:r>
            <w:r>
              <w:rPr>
                <w:rFonts w:hint="eastAsia" w:ascii="宋体" w:hAnsi="宋体" w:eastAsia="宋体" w:cs="宋体"/>
                <w:color w:val="auto"/>
                <w:kern w:val="0"/>
                <w:szCs w:val="21"/>
                <w:highlight w:val="none"/>
                <w:u w:val="single"/>
                <w:lang w:val="en-US" w:eastAsia="zh-CN"/>
              </w:rPr>
              <w:t>4</w:t>
            </w:r>
            <w:r>
              <w:rPr>
                <w:rFonts w:hint="eastAsia" w:ascii="宋体" w:hAnsi="宋体" w:eastAsia="宋体" w:cs="宋体"/>
                <w:color w:val="auto"/>
                <w:kern w:val="0"/>
                <w:szCs w:val="21"/>
                <w:highlight w:val="none"/>
                <w:u w:val="single"/>
              </w:rPr>
              <w:t>:00</w:t>
            </w:r>
            <w:r>
              <w:rPr>
                <w:rFonts w:hint="eastAsia" w:ascii="宋体" w:hAnsi="宋体" w:eastAsia="宋体" w:cs="宋体"/>
                <w:color w:val="auto"/>
                <w:kern w:val="0"/>
                <w:szCs w:val="21"/>
                <w:highlight w:val="none"/>
              </w:rPr>
              <w:t>（北京时间）前提交响应文件。</w:t>
            </w:r>
          </w:p>
        </w:tc>
      </w:tr>
    </w:tbl>
    <w:p w14:paraId="2C2A4B63">
      <w:pPr>
        <w:pStyle w:val="4"/>
        <w:pageBreakBefore w:val="0"/>
        <w:widowControl w:val="0"/>
        <w:kinsoku/>
        <w:overflowPunct/>
        <w:topLinePunct w:val="0"/>
        <w:autoSpaceDE/>
        <w:autoSpaceDN/>
        <w:bidi w:val="0"/>
        <w:spacing w:before="0" w:after="0" w:line="460" w:lineRule="exact"/>
        <w:textAlignment w:val="auto"/>
        <w:rPr>
          <w:rFonts w:hint="eastAsia" w:ascii="宋体" w:hAnsi="宋体" w:eastAsia="宋体" w:cs="宋体"/>
          <w:color w:val="auto"/>
          <w:sz w:val="21"/>
          <w:szCs w:val="21"/>
          <w:highlight w:val="none"/>
        </w:rPr>
      </w:pPr>
      <w:bookmarkStart w:id="6" w:name="_Toc70424816"/>
      <w:bookmarkStart w:id="7" w:name="_Toc138780008"/>
      <w:bookmarkStart w:id="8" w:name="_Toc10209"/>
      <w:r>
        <w:rPr>
          <w:rFonts w:hint="eastAsia" w:ascii="宋体" w:hAnsi="宋体" w:eastAsia="宋体" w:cs="宋体"/>
          <w:color w:val="auto"/>
          <w:sz w:val="21"/>
          <w:szCs w:val="21"/>
          <w:highlight w:val="none"/>
        </w:rPr>
        <w:t>一. 采购项目概况及采购范围</w:t>
      </w:r>
      <w:bookmarkEnd w:id="6"/>
      <w:bookmarkEnd w:id="7"/>
      <w:bookmarkEnd w:id="8"/>
    </w:p>
    <w:p w14:paraId="6D9ADF11">
      <w:pPr>
        <w:pageBreakBefore w:val="0"/>
        <w:widowControl w:val="0"/>
        <w:kinsoku/>
        <w:overflowPunct/>
        <w:topLinePunct w:val="0"/>
        <w:autoSpaceDE/>
        <w:autoSpaceDN/>
        <w:bidi w:val="0"/>
        <w:spacing w:line="460" w:lineRule="exact"/>
        <w:ind w:firstLine="42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项目编号：</w:t>
      </w:r>
      <w:r>
        <w:rPr>
          <w:rFonts w:hint="eastAsia" w:ascii="宋体" w:hAnsi="宋体" w:eastAsia="宋体" w:cs="宋体"/>
          <w:color w:val="auto"/>
          <w:highlight w:val="none"/>
          <w:lang w:eastAsia="zh-CN"/>
        </w:rPr>
        <w:t>项目编号：YNPZZB-2024-140</w:t>
      </w:r>
    </w:p>
    <w:p w14:paraId="696C81AA">
      <w:pPr>
        <w:pageBreakBefore w:val="0"/>
        <w:widowControl w:val="0"/>
        <w:kinsoku/>
        <w:overflowPunct/>
        <w:topLinePunct w:val="0"/>
        <w:autoSpaceDE/>
        <w:autoSpaceDN/>
        <w:bidi w:val="0"/>
        <w:spacing w:line="460" w:lineRule="exact"/>
        <w:ind w:firstLine="42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项目名称：</w:t>
      </w:r>
      <w:r>
        <w:rPr>
          <w:rFonts w:hint="eastAsia" w:ascii="宋体" w:hAnsi="宋体" w:eastAsia="宋体" w:cs="宋体"/>
          <w:color w:val="auto"/>
          <w:highlight w:val="none"/>
          <w:lang w:eastAsia="zh-CN"/>
        </w:rPr>
        <w:t>镇雄县2024年农作物秸秆综合利用重点县建设项目(秸秆腐熟剂采购及培训服务)</w:t>
      </w:r>
    </w:p>
    <w:p w14:paraId="02B74595">
      <w:pPr>
        <w:pageBreakBefore w:val="0"/>
        <w:widowControl w:val="0"/>
        <w:kinsoku/>
        <w:overflowPunct/>
        <w:topLinePunct w:val="0"/>
        <w:autoSpaceDE/>
        <w:autoSpaceDN/>
        <w:bidi w:val="0"/>
        <w:spacing w:line="460" w:lineRule="exact"/>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采购方式：竞争性磋商</w:t>
      </w:r>
    </w:p>
    <w:p w14:paraId="4BF50B0B">
      <w:pPr>
        <w:pageBreakBefore w:val="0"/>
        <w:widowControl w:val="0"/>
        <w:kinsoku/>
        <w:overflowPunct/>
        <w:topLinePunct w:val="0"/>
        <w:autoSpaceDE/>
        <w:autoSpaceDN/>
        <w:bidi w:val="0"/>
        <w:spacing w:line="460" w:lineRule="exact"/>
        <w:ind w:firstLine="420"/>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预算金额（万元）：</w:t>
      </w:r>
      <w:r>
        <w:rPr>
          <w:rFonts w:hint="eastAsia" w:ascii="宋体" w:hAnsi="宋体" w:eastAsia="宋体" w:cs="宋体"/>
          <w:color w:val="auto"/>
          <w:highlight w:val="none"/>
          <w:lang w:val="en-US" w:eastAsia="zh-CN"/>
        </w:rPr>
        <w:t>94.6</w:t>
      </w:r>
    </w:p>
    <w:p w14:paraId="2EEE627F">
      <w:pPr>
        <w:pageBreakBefore w:val="0"/>
        <w:widowControl w:val="0"/>
        <w:kinsoku/>
        <w:overflowPunct/>
        <w:topLinePunct w:val="0"/>
        <w:autoSpaceDE/>
        <w:autoSpaceDN/>
        <w:bidi w:val="0"/>
        <w:spacing w:line="460" w:lineRule="exact"/>
        <w:ind w:firstLine="420"/>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最高限价（万元）：</w:t>
      </w:r>
      <w:r>
        <w:rPr>
          <w:rFonts w:hint="eastAsia" w:ascii="宋体" w:hAnsi="宋体" w:eastAsia="宋体" w:cs="宋体"/>
          <w:color w:val="auto"/>
          <w:highlight w:val="none"/>
          <w:lang w:val="en-US" w:eastAsia="zh-CN"/>
        </w:rPr>
        <w:t>94.6（注：响应单位报价时应充分考虑自身成本，投标报价为包干价，包含但不限于货物成本、运输费用、投标费用、后续服务费用及税金等所有费用。）</w:t>
      </w:r>
    </w:p>
    <w:p w14:paraId="574B865D">
      <w:pPr>
        <w:pageBreakBefore w:val="0"/>
        <w:widowControl w:val="0"/>
        <w:kinsoku/>
        <w:overflowPunct/>
        <w:topLinePunct w:val="0"/>
        <w:autoSpaceDE/>
        <w:autoSpaceDN/>
        <w:bidi w:val="0"/>
        <w:spacing w:line="460" w:lineRule="exact"/>
        <w:ind w:firstLine="420"/>
        <w:textAlignment w:val="auto"/>
        <w:rPr>
          <w:rFonts w:hint="default" w:ascii="宋体" w:hAnsi="宋体" w:eastAsia="宋体" w:cs="宋体"/>
          <w:color w:val="auto"/>
          <w:highlight w:val="none"/>
          <w:lang w:val="en-US"/>
        </w:rPr>
      </w:pPr>
      <w:r>
        <w:rPr>
          <w:rFonts w:hint="eastAsia" w:ascii="宋体" w:hAnsi="宋体" w:eastAsia="宋体" w:cs="宋体"/>
          <w:color w:val="auto"/>
          <w:highlight w:val="none"/>
        </w:rPr>
        <w:t>采购需求：</w:t>
      </w:r>
      <w:r>
        <w:rPr>
          <w:rFonts w:hint="eastAsia" w:ascii="宋体" w:hAnsi="宋体" w:eastAsia="宋体" w:cs="宋体"/>
          <w:color w:val="auto"/>
          <w:highlight w:val="none"/>
          <w:lang w:val="en-US" w:eastAsia="zh-CN"/>
        </w:rPr>
        <w:t>完成</w:t>
      </w:r>
      <w:r>
        <w:rPr>
          <w:rFonts w:hint="eastAsia" w:ascii="宋体" w:hAnsi="宋体" w:eastAsia="宋体" w:cs="宋体"/>
          <w:color w:val="auto"/>
          <w:highlight w:val="none"/>
          <w:lang w:eastAsia="zh-CN"/>
        </w:rPr>
        <w:t>镇雄县2024年农作物秸秆综合利用重点县建设项目(秸秆腐熟剂采购及培训服务)，</w:t>
      </w:r>
      <w:r>
        <w:rPr>
          <w:rFonts w:hint="eastAsia" w:ascii="宋体" w:hAnsi="宋体" w:eastAsia="宋体" w:cs="宋体"/>
          <w:color w:val="auto"/>
          <w:highlight w:val="none"/>
          <w:lang w:val="en-US" w:eastAsia="zh-CN"/>
        </w:rPr>
        <w:t>秸秆腐熟剂86吨（包装规格：2kg/袋）；中标企业需派技术人员到项目地开展技术培训不少于1次，现场指导不少于3次。具体要求详见竞争性磋商文件“第五章 采购需求”。</w:t>
      </w:r>
    </w:p>
    <w:p w14:paraId="076E923A">
      <w:pPr>
        <w:pageBreakBefore w:val="0"/>
        <w:widowControl w:val="0"/>
        <w:kinsoku/>
        <w:overflowPunct/>
        <w:topLinePunct w:val="0"/>
        <w:autoSpaceDE/>
        <w:autoSpaceDN/>
        <w:bidi w:val="0"/>
        <w:spacing w:line="460" w:lineRule="exact"/>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质量要求：</w:t>
      </w:r>
      <w:r>
        <w:rPr>
          <w:rFonts w:hint="eastAsia" w:ascii="宋体" w:hAnsi="宋体" w:eastAsia="宋体" w:cs="宋体"/>
          <w:b w:val="0"/>
          <w:bCs w:val="0"/>
          <w:color w:val="auto"/>
          <w:highlight w:val="none"/>
          <w:lang w:eastAsia="zh-CN"/>
        </w:rPr>
        <w:t>符合国家标准（GB20287-2006）和达到采购人要求，一次性验收合格</w:t>
      </w:r>
      <w:r>
        <w:rPr>
          <w:rFonts w:hint="eastAsia" w:ascii="宋体" w:hAnsi="宋体" w:eastAsia="宋体" w:cs="宋体"/>
          <w:b w:val="0"/>
          <w:bCs w:val="0"/>
          <w:color w:val="auto"/>
          <w:highlight w:val="none"/>
        </w:rPr>
        <w:t>。</w:t>
      </w:r>
    </w:p>
    <w:p w14:paraId="37EC78E3">
      <w:pPr>
        <w:pageBreakBefore w:val="0"/>
        <w:widowControl w:val="0"/>
        <w:kinsoku/>
        <w:overflowPunct/>
        <w:topLinePunct w:val="0"/>
        <w:autoSpaceDE/>
        <w:autoSpaceDN/>
        <w:bidi w:val="0"/>
        <w:spacing w:line="460" w:lineRule="exact"/>
        <w:ind w:firstLine="420"/>
        <w:textAlignment w:val="auto"/>
        <w:rPr>
          <w:rFonts w:hint="eastAsia" w:ascii="宋体" w:hAnsi="宋体" w:eastAsia="宋体" w:cs="宋体"/>
          <w:color w:val="auto"/>
          <w:highlight w:val="none"/>
        </w:rPr>
      </w:pPr>
      <w:r>
        <w:rPr>
          <w:rFonts w:hint="eastAsia" w:ascii="宋体" w:hAnsi="宋体" w:eastAsia="宋体" w:cs="宋体"/>
          <w:b w:val="0"/>
          <w:bCs w:val="0"/>
          <w:color w:val="auto"/>
          <w:highlight w:val="none"/>
          <w:lang w:eastAsia="zh-CN"/>
        </w:rPr>
        <w:t>完成地点</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镇雄县农村能源建设与农业环境工作站指定地点</w:t>
      </w:r>
      <w:r>
        <w:rPr>
          <w:rFonts w:hint="eastAsia" w:ascii="宋体" w:hAnsi="宋体" w:eastAsia="宋体" w:cs="宋体"/>
          <w:color w:val="auto"/>
          <w:highlight w:val="none"/>
        </w:rPr>
        <w:t>。</w:t>
      </w:r>
    </w:p>
    <w:p w14:paraId="05E670B0">
      <w:pPr>
        <w:pageBreakBefore w:val="0"/>
        <w:widowControl w:val="0"/>
        <w:kinsoku/>
        <w:overflowPunct/>
        <w:topLinePunct w:val="0"/>
        <w:autoSpaceDE/>
        <w:autoSpaceDN/>
        <w:bidi w:val="0"/>
        <w:spacing w:line="460" w:lineRule="exact"/>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完成时间：合同签订之日起7日历天完成全部供货，技术培训及现场指导以采购人安排为准</w:t>
      </w:r>
      <w:r>
        <w:rPr>
          <w:rFonts w:hint="eastAsia" w:ascii="宋体" w:hAnsi="宋体" w:eastAsia="宋体" w:cs="宋体"/>
          <w:color w:val="auto"/>
          <w:highlight w:val="none"/>
        </w:rPr>
        <w:t>。</w:t>
      </w:r>
    </w:p>
    <w:p w14:paraId="747DC9B4">
      <w:pPr>
        <w:pageBreakBefore w:val="0"/>
        <w:widowControl w:val="0"/>
        <w:kinsoku/>
        <w:overflowPunct/>
        <w:topLinePunct w:val="0"/>
        <w:autoSpaceDE/>
        <w:autoSpaceDN/>
        <w:bidi w:val="0"/>
        <w:spacing w:line="460" w:lineRule="exact"/>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本项目（否）接受联合体投标。</w:t>
      </w:r>
    </w:p>
    <w:p w14:paraId="18B00052">
      <w:pPr>
        <w:pStyle w:val="4"/>
        <w:pageBreakBefore w:val="0"/>
        <w:widowControl w:val="0"/>
        <w:kinsoku/>
        <w:overflowPunct/>
        <w:topLinePunct w:val="0"/>
        <w:autoSpaceDE/>
        <w:autoSpaceDN/>
        <w:bidi w:val="0"/>
        <w:spacing w:before="0" w:after="0" w:line="460" w:lineRule="exact"/>
        <w:textAlignment w:val="auto"/>
        <w:rPr>
          <w:rFonts w:hint="eastAsia" w:ascii="宋体" w:hAnsi="宋体" w:eastAsia="宋体" w:cs="宋体"/>
          <w:color w:val="auto"/>
          <w:sz w:val="21"/>
          <w:szCs w:val="21"/>
          <w:highlight w:val="none"/>
        </w:rPr>
      </w:pPr>
      <w:bookmarkStart w:id="9" w:name="_Toc138780009"/>
      <w:bookmarkStart w:id="10" w:name="_Toc31368"/>
      <w:bookmarkStart w:id="11" w:name="_Toc70424817"/>
      <w:r>
        <w:rPr>
          <w:rFonts w:hint="eastAsia" w:ascii="宋体" w:hAnsi="宋体" w:eastAsia="宋体" w:cs="宋体"/>
          <w:color w:val="auto"/>
          <w:sz w:val="21"/>
          <w:szCs w:val="21"/>
          <w:highlight w:val="none"/>
        </w:rPr>
        <w:t>二. 供应商资格要求</w:t>
      </w:r>
      <w:bookmarkEnd w:id="9"/>
      <w:bookmarkEnd w:id="10"/>
      <w:bookmarkEnd w:id="11"/>
    </w:p>
    <w:p w14:paraId="3308FC11">
      <w:pPr>
        <w:pageBreakBefore w:val="0"/>
        <w:widowControl w:val="0"/>
        <w:kinsoku/>
        <w:overflowPunct/>
        <w:topLinePunct w:val="0"/>
        <w:autoSpaceDE/>
        <w:autoSpaceDN/>
        <w:bidi w:val="0"/>
        <w:spacing w:line="46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1.满足《中华人民共和国政府采购法》第二十二条规定；</w:t>
      </w:r>
    </w:p>
    <w:p w14:paraId="7ABAED71">
      <w:pPr>
        <w:pageBreakBefore w:val="0"/>
        <w:widowControl w:val="0"/>
        <w:kinsoku/>
        <w:overflowPunct/>
        <w:topLinePunct w:val="0"/>
        <w:autoSpaceDE/>
        <w:autoSpaceDN/>
        <w:bidi w:val="0"/>
        <w:spacing w:line="46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落实政府采购政策需满足的资格要求：无，本项目非专门面向中小企业采购。供应商若为中小微企业或监狱企业或残疾人福利性单位。需按要求提供《中小企业声明函》、残疾人福利性单位声明函、监狱企业证明文件，残疾人福利性单位、监狱企业视同小型或微型企业。</w:t>
      </w:r>
    </w:p>
    <w:p w14:paraId="1C7A5849">
      <w:pPr>
        <w:pageBreakBefore w:val="0"/>
        <w:widowControl w:val="0"/>
        <w:kinsoku/>
        <w:overflowPunct/>
        <w:topLinePunct w:val="0"/>
        <w:autoSpaceDE/>
        <w:autoSpaceDN/>
        <w:bidi w:val="0"/>
        <w:spacing w:line="46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3.</w:t>
      </w:r>
      <w:bookmarkStart w:id="12" w:name="_Hlk112171815"/>
      <w:r>
        <w:rPr>
          <w:rFonts w:hint="eastAsia" w:ascii="宋体" w:hAnsi="宋体" w:eastAsia="宋体" w:cs="宋体"/>
          <w:color w:val="auto"/>
          <w:szCs w:val="21"/>
          <w:highlight w:val="none"/>
        </w:rPr>
        <w:t>本项目的特定资格要求：</w:t>
      </w:r>
      <w:r>
        <w:rPr>
          <w:rFonts w:hint="eastAsia" w:ascii="宋体" w:hAnsi="宋体" w:eastAsia="宋体" w:cs="宋体"/>
          <w:color w:val="auto"/>
          <w:szCs w:val="21"/>
          <w:highlight w:val="none"/>
          <w:lang w:val="en-US" w:eastAsia="zh-CN"/>
        </w:rPr>
        <w:t>无</w:t>
      </w:r>
    </w:p>
    <w:p w14:paraId="36460C56">
      <w:pPr>
        <w:pageBreakBefore w:val="0"/>
        <w:widowControl w:val="0"/>
        <w:kinsoku/>
        <w:overflowPunct/>
        <w:topLinePunct w:val="0"/>
        <w:autoSpaceDE/>
        <w:autoSpaceDN/>
        <w:bidi w:val="0"/>
        <w:spacing w:line="46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供应商在递交响应文件截止时间前未被列入“信用中国”网站(www.creditchina.gov.cn)失信被执行人、重大税收违法案件当事人名单，中国政府采购网(www.ccgp.gov.cn) 政府采购严重违法失信行为记录名单。</w:t>
      </w:r>
    </w:p>
    <w:p w14:paraId="035BBFB2">
      <w:pPr>
        <w:pageBreakBefore w:val="0"/>
        <w:widowControl w:val="0"/>
        <w:kinsoku/>
        <w:overflowPunct/>
        <w:topLinePunct w:val="0"/>
        <w:autoSpaceDE/>
        <w:autoSpaceDN/>
        <w:bidi w:val="0"/>
        <w:spacing w:line="46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单位负责人为同一人或者存在控股、管理关系的不同单位，不得同时参加本采购项目投标。</w:t>
      </w:r>
    </w:p>
    <w:p w14:paraId="52A82083">
      <w:pPr>
        <w:pageBreakBefore w:val="0"/>
        <w:widowControl w:val="0"/>
        <w:kinsoku/>
        <w:overflowPunct/>
        <w:topLinePunct w:val="0"/>
        <w:autoSpaceDE/>
        <w:autoSpaceDN/>
        <w:bidi w:val="0"/>
        <w:spacing w:line="46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供应商不得存在下列情形之一：</w:t>
      </w:r>
    </w:p>
    <w:p w14:paraId="0C1D9EB3">
      <w:pPr>
        <w:pageBreakBefore w:val="0"/>
        <w:widowControl w:val="0"/>
        <w:kinsoku/>
        <w:overflowPunct/>
        <w:topLinePunct w:val="0"/>
        <w:autoSpaceDE/>
        <w:autoSpaceDN/>
        <w:bidi w:val="0"/>
        <w:spacing w:line="46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（1）被暂停、取消投标或禁止参加采购活动且处于有效期内的；</w:t>
      </w:r>
    </w:p>
    <w:p w14:paraId="20BC1D7B">
      <w:pPr>
        <w:pageBreakBefore w:val="0"/>
        <w:widowControl w:val="0"/>
        <w:kinsoku/>
        <w:overflowPunct/>
        <w:topLinePunct w:val="0"/>
        <w:autoSpaceDE/>
        <w:autoSpaceDN/>
        <w:bidi w:val="0"/>
        <w:spacing w:line="46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（2）处于被责令停产停业、暂扣或者吊销执照、暂扣或者吊销许可证、吊销资质证书状态；</w:t>
      </w:r>
    </w:p>
    <w:p w14:paraId="2E4029DA">
      <w:pPr>
        <w:pageBreakBefore w:val="0"/>
        <w:widowControl w:val="0"/>
        <w:kinsoku/>
        <w:overflowPunct/>
        <w:topLinePunct w:val="0"/>
        <w:autoSpaceDE/>
        <w:autoSpaceDN/>
        <w:bidi w:val="0"/>
        <w:spacing w:line="4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（3）进入清算程序，或被宣告破产，或其他丧失履约能力的情形。</w:t>
      </w:r>
      <w:bookmarkEnd w:id="12"/>
    </w:p>
    <w:p w14:paraId="6E925A12">
      <w:pPr>
        <w:pStyle w:val="4"/>
        <w:pageBreakBefore w:val="0"/>
        <w:widowControl w:val="0"/>
        <w:kinsoku/>
        <w:overflowPunct/>
        <w:topLinePunct w:val="0"/>
        <w:autoSpaceDE/>
        <w:autoSpaceDN/>
        <w:bidi w:val="0"/>
        <w:spacing w:before="0" w:after="0" w:line="460" w:lineRule="exact"/>
        <w:textAlignment w:val="auto"/>
        <w:rPr>
          <w:rFonts w:hint="eastAsia" w:ascii="宋体" w:hAnsi="宋体" w:eastAsia="宋体" w:cs="宋体"/>
          <w:color w:val="auto"/>
          <w:sz w:val="21"/>
          <w:szCs w:val="21"/>
          <w:highlight w:val="none"/>
        </w:rPr>
      </w:pPr>
      <w:bookmarkStart w:id="13" w:name="_Toc20880"/>
      <w:bookmarkStart w:id="14" w:name="_Toc70424818"/>
      <w:bookmarkStart w:id="15" w:name="_Toc138780010"/>
      <w:r>
        <w:rPr>
          <w:rFonts w:hint="eastAsia" w:ascii="宋体" w:hAnsi="宋体" w:eastAsia="宋体" w:cs="宋体"/>
          <w:color w:val="auto"/>
          <w:sz w:val="21"/>
          <w:szCs w:val="21"/>
          <w:highlight w:val="none"/>
        </w:rPr>
        <w:t xml:space="preserve">三. </w:t>
      </w:r>
      <w:bookmarkEnd w:id="13"/>
      <w:bookmarkEnd w:id="14"/>
      <w:r>
        <w:rPr>
          <w:rFonts w:hint="eastAsia" w:ascii="宋体" w:hAnsi="宋体" w:eastAsia="宋体" w:cs="宋体"/>
          <w:color w:val="auto"/>
          <w:sz w:val="21"/>
          <w:szCs w:val="21"/>
          <w:highlight w:val="none"/>
        </w:rPr>
        <w:t>获取采购文件</w:t>
      </w:r>
      <w:bookmarkEnd w:id="15"/>
    </w:p>
    <w:p w14:paraId="71AFA5B5">
      <w:pPr>
        <w:pageBreakBefore w:val="0"/>
        <w:widowControl w:val="0"/>
        <w:kinsoku/>
        <w:overflowPunct/>
        <w:topLinePunct w:val="0"/>
        <w:autoSpaceDE/>
        <w:autoSpaceDN/>
        <w:bidi w:val="0"/>
        <w:adjustRightInd w:val="0"/>
        <w:spacing w:line="4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时间：2024-0</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24</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23:59至2024-0</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30</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23:59，每天上午00:00至11:59，下午12:00至23:59（北京时间，法定节假日除外）</w:t>
      </w:r>
    </w:p>
    <w:p w14:paraId="7A74FCDF">
      <w:pPr>
        <w:pageBreakBefore w:val="0"/>
        <w:widowControl w:val="0"/>
        <w:kinsoku/>
        <w:overflowPunct/>
        <w:topLinePunct w:val="0"/>
        <w:autoSpaceDE/>
        <w:autoSpaceDN/>
        <w:bidi w:val="0"/>
        <w:adjustRightInd w:val="0"/>
        <w:spacing w:line="4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地点：政府采购云平台（网址：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"https://www.zcygov.cn/"</w:instrText>
      </w:r>
      <w:r>
        <w:rPr>
          <w:rFonts w:hint="eastAsia" w:ascii="宋体" w:hAnsi="宋体" w:eastAsia="宋体" w:cs="宋体"/>
          <w:color w:val="auto"/>
          <w:highlight w:val="none"/>
        </w:rPr>
        <w:fldChar w:fldCharType="separate"/>
      </w:r>
      <w:r>
        <w:rPr>
          <w:rStyle w:val="45"/>
          <w:rFonts w:hint="eastAsia" w:ascii="宋体" w:hAnsi="宋体" w:eastAsia="宋体" w:cs="宋体"/>
          <w:color w:val="auto"/>
          <w:highlight w:val="none"/>
        </w:rPr>
        <w:t>https://www.zcygov.cn/</w:t>
      </w:r>
      <w:r>
        <w:rPr>
          <w:rStyle w:val="45"/>
          <w:rFonts w:hint="eastAsia" w:ascii="宋体" w:hAnsi="宋体" w:eastAsia="宋体" w:cs="宋体"/>
          <w:color w:val="auto"/>
          <w:highlight w:val="none"/>
        </w:rPr>
        <w:fldChar w:fldCharType="end"/>
      </w:r>
      <w:r>
        <w:rPr>
          <w:rFonts w:hint="eastAsia" w:ascii="宋体" w:hAnsi="宋体" w:eastAsia="宋体" w:cs="宋体"/>
          <w:color w:val="auto"/>
          <w:highlight w:val="none"/>
        </w:rPr>
        <w:t>）</w:t>
      </w:r>
    </w:p>
    <w:p w14:paraId="7515FB68">
      <w:pPr>
        <w:pageBreakBefore w:val="0"/>
        <w:widowControl w:val="0"/>
        <w:kinsoku/>
        <w:wordWrap w:val="0"/>
        <w:overflowPunct/>
        <w:topLinePunct w:val="0"/>
        <w:autoSpaceDE/>
        <w:autoSpaceDN/>
        <w:bidi w:val="0"/>
        <w:adjustRightInd w:val="0"/>
        <w:spacing w:line="4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方式：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按上述要求获取文件的供应商视为合法获取了本项目采购文件，具备本项目的投标资格。</w:t>
      </w:r>
    </w:p>
    <w:p w14:paraId="529CF9CC">
      <w:pPr>
        <w:pageBreakBefore w:val="0"/>
        <w:widowControl w:val="0"/>
        <w:kinsoku/>
        <w:overflowPunct/>
        <w:topLinePunct w:val="0"/>
        <w:autoSpaceDE/>
        <w:autoSpaceDN/>
        <w:bidi w:val="0"/>
        <w:adjustRightInd w:val="0"/>
        <w:spacing w:line="4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售价（元）：0</w:t>
      </w:r>
    </w:p>
    <w:p w14:paraId="6B27E0CC">
      <w:pPr>
        <w:pStyle w:val="4"/>
        <w:pageBreakBefore w:val="0"/>
        <w:widowControl w:val="0"/>
        <w:kinsoku/>
        <w:overflowPunct/>
        <w:topLinePunct w:val="0"/>
        <w:autoSpaceDE/>
        <w:autoSpaceDN/>
        <w:bidi w:val="0"/>
        <w:spacing w:before="0" w:after="0" w:line="460" w:lineRule="exact"/>
        <w:textAlignment w:val="auto"/>
        <w:rPr>
          <w:rFonts w:hint="eastAsia" w:ascii="宋体" w:hAnsi="宋体" w:eastAsia="宋体" w:cs="宋体"/>
          <w:color w:val="auto"/>
          <w:sz w:val="21"/>
          <w:szCs w:val="21"/>
          <w:highlight w:val="none"/>
        </w:rPr>
      </w:pPr>
      <w:bookmarkStart w:id="16" w:name="_Toc138780011"/>
      <w:bookmarkStart w:id="17" w:name="_Toc26414"/>
      <w:bookmarkStart w:id="18" w:name="_Toc70424819"/>
      <w:r>
        <w:rPr>
          <w:rFonts w:hint="eastAsia" w:ascii="宋体" w:hAnsi="宋体" w:eastAsia="宋体" w:cs="宋体"/>
          <w:color w:val="auto"/>
          <w:sz w:val="21"/>
          <w:szCs w:val="21"/>
          <w:highlight w:val="none"/>
        </w:rPr>
        <w:t>四. 响应文件的递交</w:t>
      </w:r>
      <w:bookmarkEnd w:id="16"/>
      <w:bookmarkEnd w:id="17"/>
      <w:bookmarkEnd w:id="18"/>
    </w:p>
    <w:p w14:paraId="538B6AA5">
      <w:pPr>
        <w:pageBreakBefore w:val="0"/>
        <w:widowControl w:val="0"/>
        <w:kinsoku/>
        <w:overflowPunct/>
        <w:topLinePunct w:val="0"/>
        <w:autoSpaceDE/>
        <w:autoSpaceDN/>
        <w:bidi w:val="0"/>
        <w:spacing w:line="460" w:lineRule="exact"/>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截止时间：2024-</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08</w:t>
      </w:r>
      <w:r>
        <w:rPr>
          <w:rFonts w:hint="eastAsia" w:ascii="宋体" w:hAnsi="宋体" w:eastAsia="宋体" w:cs="宋体"/>
          <w:color w:val="auto"/>
          <w:highlight w:val="none"/>
        </w:rPr>
        <w:t xml:space="preserve"> 1</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:00（北京时间）</w:t>
      </w:r>
    </w:p>
    <w:p w14:paraId="20F7BEE3">
      <w:pPr>
        <w:pageBreakBefore w:val="0"/>
        <w:widowControl w:val="0"/>
        <w:kinsoku/>
        <w:overflowPunct/>
        <w:topLinePunct w:val="0"/>
        <w:autoSpaceDE/>
        <w:autoSpaceDN/>
        <w:bidi w:val="0"/>
        <w:spacing w:line="460" w:lineRule="exact"/>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地点：“政采云”平台开标大厅</w:t>
      </w:r>
    </w:p>
    <w:p w14:paraId="22E87B81">
      <w:pPr>
        <w:pageBreakBefore w:val="0"/>
        <w:widowControl w:val="0"/>
        <w:kinsoku/>
        <w:overflowPunct/>
        <w:topLinePunct w:val="0"/>
        <w:autoSpaceDE/>
        <w:autoSpaceDN/>
        <w:bidi w:val="0"/>
        <w:spacing w:line="460" w:lineRule="exact"/>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注：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及联系方式。</w:t>
      </w:r>
    </w:p>
    <w:p w14:paraId="5B62D804">
      <w:pPr>
        <w:pStyle w:val="4"/>
        <w:pageBreakBefore w:val="0"/>
        <w:widowControl w:val="0"/>
        <w:kinsoku/>
        <w:overflowPunct/>
        <w:topLinePunct w:val="0"/>
        <w:autoSpaceDE/>
        <w:autoSpaceDN/>
        <w:bidi w:val="0"/>
        <w:spacing w:before="0" w:after="0" w:line="460" w:lineRule="exact"/>
        <w:textAlignment w:val="auto"/>
        <w:rPr>
          <w:rFonts w:hint="eastAsia" w:ascii="宋体" w:hAnsi="宋体" w:eastAsia="宋体" w:cs="宋体"/>
          <w:color w:val="auto"/>
          <w:sz w:val="21"/>
          <w:szCs w:val="21"/>
          <w:highlight w:val="none"/>
        </w:rPr>
      </w:pPr>
      <w:bookmarkStart w:id="19" w:name="_Toc70424820"/>
      <w:bookmarkStart w:id="20" w:name="_Toc32548"/>
      <w:bookmarkStart w:id="21" w:name="_Toc138780012"/>
      <w:r>
        <w:rPr>
          <w:rFonts w:hint="eastAsia" w:ascii="宋体" w:hAnsi="宋体" w:eastAsia="宋体" w:cs="宋体"/>
          <w:color w:val="auto"/>
          <w:sz w:val="21"/>
          <w:szCs w:val="21"/>
          <w:highlight w:val="none"/>
        </w:rPr>
        <w:t xml:space="preserve">五. </w:t>
      </w:r>
      <w:bookmarkEnd w:id="19"/>
      <w:bookmarkEnd w:id="20"/>
      <w:r>
        <w:rPr>
          <w:rFonts w:hint="eastAsia" w:ascii="宋体" w:hAnsi="宋体" w:eastAsia="宋体" w:cs="宋体"/>
          <w:color w:val="auto"/>
          <w:sz w:val="21"/>
          <w:szCs w:val="21"/>
          <w:highlight w:val="none"/>
        </w:rPr>
        <w:t>开启</w:t>
      </w:r>
      <w:bookmarkEnd w:id="21"/>
    </w:p>
    <w:p w14:paraId="4DC7307C">
      <w:pPr>
        <w:pageBreakBefore w:val="0"/>
        <w:widowControl w:val="0"/>
        <w:kinsoku/>
        <w:overflowPunct/>
        <w:topLinePunct w:val="0"/>
        <w:autoSpaceDE/>
        <w:autoSpaceDN/>
        <w:bidi w:val="0"/>
        <w:spacing w:line="460" w:lineRule="exact"/>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时间：2024-</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08</w:t>
      </w:r>
      <w:r>
        <w:rPr>
          <w:rFonts w:hint="eastAsia" w:ascii="宋体" w:hAnsi="宋体" w:eastAsia="宋体" w:cs="宋体"/>
          <w:color w:val="auto"/>
          <w:highlight w:val="none"/>
        </w:rPr>
        <w:t xml:space="preserve"> 1</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:00（北京时间）</w:t>
      </w:r>
    </w:p>
    <w:p w14:paraId="501D8E0C">
      <w:pPr>
        <w:pageBreakBefore w:val="0"/>
        <w:widowControl w:val="0"/>
        <w:kinsoku/>
        <w:overflowPunct/>
        <w:topLinePunct w:val="0"/>
        <w:autoSpaceDE/>
        <w:autoSpaceDN/>
        <w:bidi w:val="0"/>
        <w:spacing w:line="460" w:lineRule="exact"/>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地点：“政采云”平台开标大厅</w:t>
      </w:r>
    </w:p>
    <w:p w14:paraId="18DF3FF3">
      <w:pPr>
        <w:pStyle w:val="4"/>
        <w:pageBreakBefore w:val="0"/>
        <w:widowControl w:val="0"/>
        <w:kinsoku/>
        <w:overflowPunct/>
        <w:topLinePunct w:val="0"/>
        <w:autoSpaceDE/>
        <w:autoSpaceDN/>
        <w:bidi w:val="0"/>
        <w:spacing w:before="0" w:after="0" w:line="460" w:lineRule="exact"/>
        <w:textAlignment w:val="auto"/>
        <w:rPr>
          <w:rFonts w:hint="eastAsia" w:ascii="宋体" w:hAnsi="宋体" w:eastAsia="宋体" w:cs="宋体"/>
          <w:color w:val="auto"/>
          <w:sz w:val="21"/>
          <w:szCs w:val="21"/>
          <w:highlight w:val="none"/>
        </w:rPr>
      </w:pPr>
      <w:bookmarkStart w:id="22" w:name="_Toc29188"/>
      <w:bookmarkStart w:id="23" w:name="_Toc70424821"/>
      <w:bookmarkStart w:id="24" w:name="_Toc138780013"/>
      <w:r>
        <w:rPr>
          <w:rFonts w:hint="eastAsia" w:ascii="宋体" w:hAnsi="宋体" w:eastAsia="宋体" w:cs="宋体"/>
          <w:color w:val="auto"/>
          <w:sz w:val="21"/>
          <w:szCs w:val="21"/>
          <w:highlight w:val="none"/>
        </w:rPr>
        <w:t xml:space="preserve">六. </w:t>
      </w:r>
      <w:bookmarkEnd w:id="22"/>
      <w:bookmarkEnd w:id="23"/>
      <w:r>
        <w:rPr>
          <w:rFonts w:hint="eastAsia" w:ascii="宋体" w:hAnsi="宋体" w:eastAsia="宋体" w:cs="宋体"/>
          <w:color w:val="auto"/>
          <w:sz w:val="21"/>
          <w:szCs w:val="21"/>
          <w:highlight w:val="none"/>
        </w:rPr>
        <w:t>公告期限</w:t>
      </w:r>
      <w:bookmarkEnd w:id="24"/>
    </w:p>
    <w:p w14:paraId="47A4FBBC">
      <w:pPr>
        <w:pageBreakBefore w:val="0"/>
        <w:widowControl w:val="0"/>
        <w:kinsoku/>
        <w:overflowPunct/>
        <w:topLinePunct w:val="0"/>
        <w:autoSpaceDE/>
        <w:autoSpaceDN/>
        <w:bidi w:val="0"/>
        <w:spacing w:line="460" w:lineRule="exact"/>
        <w:ind w:firstLine="420" w:firstLineChars="200"/>
        <w:textAlignment w:val="auto"/>
        <w:rPr>
          <w:rFonts w:hint="eastAsia" w:ascii="宋体" w:hAnsi="宋体" w:eastAsia="宋体" w:cs="宋体"/>
          <w:color w:val="auto"/>
          <w:highlight w:val="none"/>
        </w:rPr>
      </w:pPr>
      <w:bookmarkStart w:id="25" w:name="_Toc138780014"/>
      <w:bookmarkStart w:id="26" w:name="_Toc22927"/>
      <w:r>
        <w:rPr>
          <w:rFonts w:hint="eastAsia" w:ascii="宋体" w:hAnsi="宋体" w:eastAsia="宋体" w:cs="宋体"/>
          <w:color w:val="auto"/>
          <w:highlight w:val="none"/>
        </w:rPr>
        <w:t>自本公告发布之日起5个工作日。</w:t>
      </w:r>
      <w:bookmarkEnd w:id="25"/>
    </w:p>
    <w:p w14:paraId="1F5A2674">
      <w:pPr>
        <w:pStyle w:val="4"/>
        <w:pageBreakBefore w:val="0"/>
        <w:widowControl w:val="0"/>
        <w:kinsoku/>
        <w:overflowPunct/>
        <w:topLinePunct w:val="0"/>
        <w:autoSpaceDE/>
        <w:autoSpaceDN/>
        <w:bidi w:val="0"/>
        <w:spacing w:before="0" w:after="0" w:line="460" w:lineRule="exact"/>
        <w:textAlignment w:val="auto"/>
        <w:rPr>
          <w:rFonts w:hint="eastAsia" w:ascii="宋体" w:hAnsi="宋体" w:eastAsia="宋体" w:cs="宋体"/>
          <w:color w:val="auto"/>
          <w:sz w:val="21"/>
          <w:szCs w:val="21"/>
          <w:highlight w:val="none"/>
        </w:rPr>
      </w:pPr>
      <w:bookmarkStart w:id="27" w:name="_Toc138780015"/>
      <w:r>
        <w:rPr>
          <w:rFonts w:hint="eastAsia" w:ascii="宋体" w:hAnsi="宋体" w:eastAsia="宋体" w:cs="宋体"/>
          <w:color w:val="auto"/>
          <w:sz w:val="21"/>
          <w:szCs w:val="21"/>
          <w:highlight w:val="none"/>
        </w:rPr>
        <w:t xml:space="preserve">七. </w:t>
      </w:r>
      <w:bookmarkEnd w:id="26"/>
      <w:r>
        <w:rPr>
          <w:rFonts w:hint="eastAsia" w:ascii="宋体" w:hAnsi="宋体" w:eastAsia="宋体" w:cs="宋体"/>
          <w:color w:val="auto"/>
          <w:sz w:val="21"/>
          <w:szCs w:val="21"/>
          <w:highlight w:val="none"/>
        </w:rPr>
        <w:t>其他补充事宜</w:t>
      </w:r>
      <w:bookmarkEnd w:id="27"/>
    </w:p>
    <w:p w14:paraId="61565B2E">
      <w:pPr>
        <w:pageBreakBefore w:val="0"/>
        <w:widowControl w:val="0"/>
        <w:kinsoku/>
        <w:overflowPunct/>
        <w:topLinePunct w:val="0"/>
        <w:autoSpaceDE/>
        <w:autoSpaceDN/>
        <w:bidi w:val="0"/>
        <w:spacing w:line="460" w:lineRule="exact"/>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开标方式：网上开标</w:t>
      </w:r>
    </w:p>
    <w:p w14:paraId="48F4D0FF">
      <w:pPr>
        <w:pageBreakBefore w:val="0"/>
        <w:widowControl w:val="0"/>
        <w:kinsoku/>
        <w:overflowPunct/>
        <w:topLinePunct w:val="0"/>
        <w:autoSpaceDE/>
        <w:autoSpaceDN/>
        <w:bidi w:val="0"/>
        <w:spacing w:line="460" w:lineRule="exact"/>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是否需要缴纳投标保证金：否</w:t>
      </w:r>
    </w:p>
    <w:p w14:paraId="09252694">
      <w:pPr>
        <w:pageBreakBefore w:val="0"/>
        <w:widowControl w:val="0"/>
        <w:kinsoku/>
        <w:overflowPunct/>
        <w:topLinePunct w:val="0"/>
        <w:autoSpaceDE/>
        <w:autoSpaceDN/>
        <w:bidi w:val="0"/>
        <w:adjustRightInd w:val="0"/>
        <w:snapToGrid w:val="0"/>
        <w:spacing w:line="4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本项目为不见面招标，供应商无需到达现场；</w:t>
      </w:r>
    </w:p>
    <w:p w14:paraId="7145AF17">
      <w:pPr>
        <w:pageBreakBefore w:val="0"/>
        <w:widowControl w:val="0"/>
        <w:kinsoku/>
        <w:overflowPunct/>
        <w:topLinePunct w:val="0"/>
        <w:autoSpaceDE/>
        <w:autoSpaceDN/>
        <w:bidi w:val="0"/>
        <w:adjustRightInd w:val="0"/>
        <w:snapToGrid w:val="0"/>
        <w:spacing w:line="4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本项目实行网上投标，采用电子投标文件；</w:t>
      </w:r>
    </w:p>
    <w:p w14:paraId="195AEF75">
      <w:pPr>
        <w:pageBreakBefore w:val="0"/>
        <w:widowControl w:val="0"/>
        <w:kinsoku/>
        <w:wordWrap w:val="0"/>
        <w:overflowPunct/>
        <w:topLinePunct w:val="0"/>
        <w:autoSpaceDE/>
        <w:autoSpaceDN/>
        <w:bidi w:val="0"/>
        <w:adjustRightInd w:val="0"/>
        <w:snapToGrid w:val="0"/>
        <w:spacing w:line="4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各供应商应在采购前应确保成为政采云平台供应商，并完成CA数字证书申领。因未注册入库、未办理CA数字证书等原因造成无法投标或投标失败等后果由供应商自行承担。凡有意参加投标的供应商，须在政采云平台办理数字证书（CA）CA申领链接：https://middle.zcygov.cn/ca/apply/list?_app_=zcy.sys，并通过政采云绑定数字证书（CA）后在网上获取采购文件及其它采购资料，数字证书（CA）详见其办理流程；</w:t>
      </w:r>
    </w:p>
    <w:p w14:paraId="50A116C6">
      <w:pPr>
        <w:pageBreakBefore w:val="0"/>
        <w:widowControl w:val="0"/>
        <w:kinsoku/>
        <w:wordWrap w:val="0"/>
        <w:overflowPunct/>
        <w:topLinePunct w:val="0"/>
        <w:autoSpaceDE/>
        <w:autoSpaceDN/>
        <w:bidi w:val="0"/>
        <w:adjustRightInd w:val="0"/>
        <w:snapToGrid w:val="0"/>
        <w:spacing w:line="4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CA操作问题，请致电CA</w:t>
      </w:r>
      <w:r>
        <w:rPr>
          <w:rFonts w:hint="eastAsia" w:ascii="宋体" w:hAnsi="宋体" w:eastAsia="宋体" w:cs="宋体"/>
          <w:color w:val="auto"/>
          <w:highlight w:val="none"/>
          <w:lang w:val="en-US" w:eastAsia="zh-CN"/>
        </w:rPr>
        <w:t>办理机构</w:t>
      </w:r>
      <w:r>
        <w:rPr>
          <w:rFonts w:hint="eastAsia" w:ascii="宋体" w:hAnsi="宋体" w:eastAsia="宋体" w:cs="宋体"/>
          <w:color w:val="auto"/>
          <w:highlight w:val="none"/>
        </w:rPr>
        <w:t>。如因供应商自身原因导致在规定时间内无法正常解密的（如：浏览器故障、未安装相关驱动、网络故障、加密CA与解密CA不一致等），代理机构不予异常处理，视为供应商自动弃标。</w:t>
      </w:r>
    </w:p>
    <w:p w14:paraId="7741B116">
      <w:pPr>
        <w:pageBreakBefore w:val="0"/>
        <w:widowControl w:val="0"/>
        <w:kinsoku/>
        <w:overflowPunct/>
        <w:topLinePunct w:val="0"/>
        <w:autoSpaceDE/>
        <w:autoSpaceDN/>
        <w:bidi w:val="0"/>
        <w:adjustRightInd w:val="0"/>
        <w:spacing w:line="4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本次公告在云南省政府采购网（网址：http://www.yngp.com/）上发布，我公司对其他网站或媒体转载的公告及公告内容不承担任何责任。</w:t>
      </w:r>
    </w:p>
    <w:p w14:paraId="2E339AD8">
      <w:pPr>
        <w:pageBreakBefore w:val="0"/>
        <w:kinsoku/>
        <w:overflowPunct/>
        <w:topLinePunct w:val="0"/>
        <w:autoSpaceDE/>
        <w:autoSpaceDN/>
        <w:bidi w:val="0"/>
        <w:spacing w:line="500" w:lineRule="exact"/>
        <w:textAlignment w:val="auto"/>
        <w:rPr>
          <w:rFonts w:hint="eastAsia" w:ascii="宋体" w:hAnsi="宋体" w:eastAsia="宋体" w:cs="宋体"/>
          <w:b/>
          <w:bCs/>
          <w:color w:val="auto"/>
          <w:szCs w:val="20"/>
          <w:highlight w:val="none"/>
        </w:rPr>
      </w:pPr>
      <w:r>
        <w:rPr>
          <w:rFonts w:hint="eastAsia" w:ascii="宋体" w:hAnsi="宋体" w:eastAsia="宋体" w:cs="宋体"/>
          <w:b/>
          <w:bCs/>
          <w:color w:val="auto"/>
          <w:szCs w:val="20"/>
          <w:highlight w:val="none"/>
        </w:rPr>
        <w:t>八. 凡对本次采购提出询问，请按以下方式联系</w:t>
      </w:r>
    </w:p>
    <w:p w14:paraId="0CC82212">
      <w:pPr>
        <w:pageBreakBefore w:val="0"/>
        <w:kinsoku/>
        <w:overflowPunct/>
        <w:topLinePunct w:val="0"/>
        <w:autoSpaceDE/>
        <w:autoSpaceDN/>
        <w:bidi w:val="0"/>
        <w:spacing w:line="500" w:lineRule="exact"/>
        <w:ind w:firstLine="420" w:firstLineChars="200"/>
        <w:textAlignment w:val="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t>1.采购人信息</w:t>
      </w:r>
    </w:p>
    <w:p w14:paraId="5ADD8200">
      <w:pPr>
        <w:pageBreakBefore w:val="0"/>
        <w:kinsoku/>
        <w:overflowPunct/>
        <w:topLinePunct w:val="0"/>
        <w:autoSpaceDE/>
        <w:autoSpaceDN/>
        <w:bidi w:val="0"/>
        <w:spacing w:line="500" w:lineRule="exact"/>
        <w:ind w:firstLine="420" w:firstLineChars="200"/>
        <w:textAlignment w:val="auto"/>
        <w:rPr>
          <w:rFonts w:hint="eastAsia" w:ascii="宋体" w:hAnsi="宋体" w:eastAsia="宋体" w:cs="宋体"/>
          <w:color w:val="auto"/>
          <w:szCs w:val="20"/>
          <w:highlight w:val="none"/>
          <w:lang w:eastAsia="zh-CN"/>
        </w:rPr>
      </w:pPr>
      <w:r>
        <w:rPr>
          <w:rFonts w:hint="eastAsia" w:ascii="宋体" w:hAnsi="宋体" w:eastAsia="宋体" w:cs="宋体"/>
          <w:color w:val="auto"/>
          <w:szCs w:val="20"/>
          <w:highlight w:val="none"/>
        </w:rPr>
        <w:t>名  称：</w:t>
      </w:r>
      <w:r>
        <w:rPr>
          <w:rFonts w:hint="eastAsia" w:ascii="宋体" w:hAnsi="宋体" w:eastAsia="宋体" w:cs="宋体"/>
          <w:color w:val="auto"/>
          <w:szCs w:val="20"/>
          <w:highlight w:val="none"/>
          <w:lang w:eastAsia="zh-CN"/>
        </w:rPr>
        <w:t>镇雄县农村能源建设与农业环境工作站</w:t>
      </w:r>
    </w:p>
    <w:p w14:paraId="7ED11EA0">
      <w:pPr>
        <w:pageBreakBefore w:val="0"/>
        <w:kinsoku/>
        <w:overflowPunct/>
        <w:topLinePunct w:val="0"/>
        <w:autoSpaceDE/>
        <w:autoSpaceDN/>
        <w:bidi w:val="0"/>
        <w:spacing w:line="500" w:lineRule="exact"/>
        <w:ind w:firstLine="420" w:firstLineChars="200"/>
        <w:textAlignment w:val="auto"/>
        <w:rPr>
          <w:rFonts w:hint="eastAsia" w:ascii="宋体" w:hAnsi="宋体" w:eastAsia="宋体" w:cs="宋体"/>
          <w:color w:val="auto"/>
          <w:szCs w:val="20"/>
          <w:highlight w:val="none"/>
          <w:lang w:eastAsia="zh-CN"/>
        </w:rPr>
      </w:pPr>
      <w:r>
        <w:rPr>
          <w:rFonts w:hint="eastAsia" w:ascii="宋体" w:hAnsi="宋体" w:eastAsia="宋体" w:cs="宋体"/>
          <w:color w:val="auto"/>
          <w:szCs w:val="20"/>
          <w:highlight w:val="none"/>
        </w:rPr>
        <w:t>地  址：</w:t>
      </w:r>
      <w:r>
        <w:rPr>
          <w:rFonts w:hint="eastAsia" w:ascii="宋体" w:hAnsi="宋体" w:eastAsia="宋体" w:cs="宋体"/>
          <w:color w:val="auto"/>
          <w:szCs w:val="20"/>
          <w:highlight w:val="none"/>
          <w:lang w:eastAsia="zh-CN"/>
        </w:rPr>
        <w:t>镇雄县中山路138号</w:t>
      </w:r>
    </w:p>
    <w:p w14:paraId="1F7650EB">
      <w:pPr>
        <w:pageBreakBefore w:val="0"/>
        <w:kinsoku/>
        <w:overflowPunct/>
        <w:topLinePunct w:val="0"/>
        <w:autoSpaceDE/>
        <w:autoSpaceDN/>
        <w:bidi w:val="0"/>
        <w:spacing w:line="500" w:lineRule="exact"/>
        <w:ind w:firstLine="420" w:firstLineChars="200"/>
        <w:textAlignment w:val="auto"/>
        <w:rPr>
          <w:rFonts w:hint="eastAsia" w:ascii="宋体" w:hAnsi="宋体" w:eastAsia="宋体" w:cs="宋体"/>
          <w:color w:val="auto"/>
          <w:szCs w:val="20"/>
          <w:highlight w:val="none"/>
          <w:lang w:eastAsia="zh-CN"/>
        </w:rPr>
      </w:pPr>
      <w:r>
        <w:rPr>
          <w:rFonts w:hint="eastAsia" w:ascii="宋体" w:hAnsi="宋体" w:eastAsia="宋体" w:cs="宋体"/>
          <w:color w:val="auto"/>
          <w:szCs w:val="20"/>
          <w:highlight w:val="none"/>
        </w:rPr>
        <w:t>电  话：</w:t>
      </w:r>
      <w:r>
        <w:rPr>
          <w:rFonts w:hint="eastAsia" w:ascii="宋体" w:hAnsi="宋体" w:eastAsia="宋体" w:cs="宋体"/>
          <w:color w:val="auto"/>
          <w:szCs w:val="20"/>
          <w:highlight w:val="none"/>
          <w:lang w:eastAsia="zh-CN"/>
        </w:rPr>
        <w:t>13388700239</w:t>
      </w:r>
    </w:p>
    <w:p w14:paraId="190AF77A">
      <w:pPr>
        <w:pageBreakBefore w:val="0"/>
        <w:kinsoku/>
        <w:overflowPunct/>
        <w:topLinePunct w:val="0"/>
        <w:autoSpaceDE/>
        <w:autoSpaceDN/>
        <w:bidi w:val="0"/>
        <w:spacing w:line="500" w:lineRule="exact"/>
        <w:ind w:firstLine="420" w:firstLineChars="200"/>
        <w:textAlignment w:val="auto"/>
        <w:rPr>
          <w:rFonts w:hint="eastAsia" w:ascii="宋体" w:hAnsi="宋体" w:eastAsia="宋体" w:cs="宋体"/>
          <w:color w:val="auto"/>
          <w:szCs w:val="20"/>
          <w:highlight w:val="none"/>
        </w:rPr>
      </w:pPr>
    </w:p>
    <w:p w14:paraId="54C4CE53">
      <w:pPr>
        <w:pageBreakBefore w:val="0"/>
        <w:kinsoku/>
        <w:overflowPunct/>
        <w:topLinePunct w:val="0"/>
        <w:autoSpaceDE/>
        <w:autoSpaceDN/>
        <w:bidi w:val="0"/>
        <w:spacing w:line="500" w:lineRule="exact"/>
        <w:ind w:firstLine="420" w:firstLineChars="200"/>
        <w:textAlignment w:val="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t>2.采购代理机构信息</w:t>
      </w:r>
    </w:p>
    <w:p w14:paraId="0093766B">
      <w:pPr>
        <w:pageBreakBefore w:val="0"/>
        <w:kinsoku/>
        <w:overflowPunct/>
        <w:topLinePunct w:val="0"/>
        <w:autoSpaceDE/>
        <w:autoSpaceDN/>
        <w:bidi w:val="0"/>
        <w:spacing w:line="500" w:lineRule="exact"/>
        <w:ind w:firstLine="420" w:firstLineChars="200"/>
        <w:textAlignment w:val="auto"/>
        <w:rPr>
          <w:rFonts w:hint="eastAsia" w:ascii="宋体" w:hAnsi="宋体" w:eastAsia="宋体" w:cs="宋体"/>
          <w:color w:val="auto"/>
          <w:szCs w:val="20"/>
          <w:highlight w:val="none"/>
          <w:lang w:eastAsia="zh-CN"/>
        </w:rPr>
      </w:pPr>
      <w:r>
        <w:rPr>
          <w:rFonts w:hint="eastAsia" w:ascii="宋体" w:hAnsi="宋体" w:eastAsia="宋体" w:cs="宋体"/>
          <w:color w:val="auto"/>
          <w:szCs w:val="20"/>
          <w:highlight w:val="none"/>
        </w:rPr>
        <w:t>名  称：</w:t>
      </w:r>
      <w:r>
        <w:rPr>
          <w:rFonts w:hint="eastAsia" w:ascii="宋体" w:hAnsi="宋体" w:eastAsia="宋体" w:cs="宋体"/>
          <w:color w:val="auto"/>
          <w:szCs w:val="20"/>
          <w:highlight w:val="none"/>
          <w:lang w:eastAsia="zh-CN"/>
        </w:rPr>
        <w:t>云南品众招标咨询有限公司</w:t>
      </w:r>
    </w:p>
    <w:p w14:paraId="34328D63">
      <w:pPr>
        <w:pageBreakBefore w:val="0"/>
        <w:kinsoku/>
        <w:overflowPunct/>
        <w:topLinePunct w:val="0"/>
        <w:autoSpaceDE/>
        <w:autoSpaceDN/>
        <w:bidi w:val="0"/>
        <w:spacing w:line="500" w:lineRule="exact"/>
        <w:ind w:firstLine="420" w:firstLineChars="200"/>
        <w:textAlignment w:val="auto"/>
        <w:rPr>
          <w:rFonts w:hint="eastAsia" w:ascii="宋体" w:hAnsi="宋体" w:eastAsia="宋体" w:cs="宋体"/>
          <w:color w:val="auto"/>
          <w:szCs w:val="20"/>
          <w:highlight w:val="none"/>
          <w:lang w:eastAsia="zh-CN"/>
        </w:rPr>
      </w:pPr>
      <w:r>
        <w:rPr>
          <w:rFonts w:hint="eastAsia" w:ascii="宋体" w:hAnsi="宋体" w:eastAsia="宋体" w:cs="宋体"/>
          <w:color w:val="auto"/>
          <w:szCs w:val="20"/>
          <w:highlight w:val="none"/>
        </w:rPr>
        <w:t>地  址：</w:t>
      </w:r>
      <w:r>
        <w:rPr>
          <w:rFonts w:hint="eastAsia" w:ascii="宋体" w:hAnsi="宋体" w:eastAsia="宋体" w:cs="宋体"/>
          <w:color w:val="auto"/>
          <w:szCs w:val="20"/>
          <w:highlight w:val="none"/>
          <w:lang w:eastAsia="zh-CN"/>
        </w:rPr>
        <w:t>昭通市昭阳区龙韵雅苑29栋一单元602室</w:t>
      </w:r>
    </w:p>
    <w:p w14:paraId="72928D40">
      <w:pPr>
        <w:pageBreakBefore w:val="0"/>
        <w:kinsoku/>
        <w:overflowPunct/>
        <w:topLinePunct w:val="0"/>
        <w:autoSpaceDE/>
        <w:autoSpaceDN/>
        <w:bidi w:val="0"/>
        <w:spacing w:line="500" w:lineRule="exact"/>
        <w:ind w:firstLine="420" w:firstLineChars="200"/>
        <w:textAlignment w:val="auto"/>
        <w:rPr>
          <w:rFonts w:hint="eastAsia" w:ascii="宋体" w:hAnsi="宋体" w:eastAsia="宋体" w:cs="宋体"/>
          <w:color w:val="auto"/>
          <w:szCs w:val="20"/>
          <w:highlight w:val="none"/>
          <w:lang w:eastAsia="zh-CN"/>
        </w:rPr>
      </w:pPr>
      <w:r>
        <w:rPr>
          <w:rFonts w:hint="eastAsia" w:ascii="宋体" w:hAnsi="宋体" w:eastAsia="宋体" w:cs="宋体"/>
          <w:color w:val="auto"/>
          <w:szCs w:val="20"/>
          <w:highlight w:val="none"/>
        </w:rPr>
        <w:t>电  话：</w:t>
      </w:r>
      <w:r>
        <w:rPr>
          <w:rFonts w:hint="eastAsia" w:ascii="宋体" w:hAnsi="宋体" w:eastAsia="宋体" w:cs="宋体"/>
          <w:color w:val="auto"/>
          <w:szCs w:val="20"/>
          <w:highlight w:val="none"/>
          <w:lang w:eastAsia="zh-CN"/>
        </w:rPr>
        <w:t>18587352888/0870-8122322</w:t>
      </w:r>
    </w:p>
    <w:p w14:paraId="7B41C91B">
      <w:pPr>
        <w:pageBreakBefore w:val="0"/>
        <w:kinsoku/>
        <w:overflowPunct/>
        <w:topLinePunct w:val="0"/>
        <w:autoSpaceDE/>
        <w:autoSpaceDN/>
        <w:bidi w:val="0"/>
        <w:spacing w:line="500" w:lineRule="exact"/>
        <w:ind w:firstLine="420" w:firstLineChars="200"/>
        <w:textAlignment w:val="auto"/>
        <w:rPr>
          <w:rFonts w:hint="eastAsia" w:ascii="宋体" w:hAnsi="宋体" w:eastAsia="宋体" w:cs="宋体"/>
          <w:color w:val="auto"/>
          <w:szCs w:val="20"/>
          <w:highlight w:val="none"/>
        </w:rPr>
      </w:pPr>
    </w:p>
    <w:p w14:paraId="25CD1090">
      <w:pPr>
        <w:pageBreakBefore w:val="0"/>
        <w:kinsoku/>
        <w:overflowPunct/>
        <w:topLinePunct w:val="0"/>
        <w:autoSpaceDE/>
        <w:autoSpaceDN/>
        <w:bidi w:val="0"/>
        <w:spacing w:line="500" w:lineRule="exact"/>
        <w:ind w:firstLine="420" w:firstLineChars="200"/>
        <w:textAlignment w:val="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t>3.项目联系方式</w:t>
      </w:r>
    </w:p>
    <w:p w14:paraId="4701329D">
      <w:pPr>
        <w:pageBreakBefore w:val="0"/>
        <w:kinsoku/>
        <w:overflowPunct/>
        <w:topLinePunct w:val="0"/>
        <w:autoSpaceDE/>
        <w:autoSpaceDN/>
        <w:bidi w:val="0"/>
        <w:spacing w:line="500" w:lineRule="exact"/>
        <w:ind w:firstLine="420" w:firstLineChars="200"/>
        <w:textAlignment w:val="auto"/>
        <w:rPr>
          <w:rFonts w:hint="eastAsia" w:ascii="宋体" w:hAnsi="宋体" w:eastAsia="宋体" w:cs="宋体"/>
          <w:color w:val="auto"/>
          <w:szCs w:val="20"/>
          <w:highlight w:val="none"/>
          <w:lang w:eastAsia="zh-CN"/>
        </w:rPr>
      </w:pPr>
      <w:r>
        <w:rPr>
          <w:rFonts w:hint="eastAsia" w:ascii="宋体" w:hAnsi="宋体" w:eastAsia="宋体" w:cs="宋体"/>
          <w:color w:val="auto"/>
          <w:szCs w:val="20"/>
          <w:highlight w:val="none"/>
        </w:rPr>
        <w:t>项目联系人：</w:t>
      </w:r>
      <w:r>
        <w:rPr>
          <w:rFonts w:hint="eastAsia" w:ascii="宋体" w:hAnsi="宋体" w:eastAsia="宋体" w:cs="宋体"/>
          <w:color w:val="auto"/>
          <w:szCs w:val="20"/>
          <w:highlight w:val="none"/>
          <w:lang w:eastAsia="zh-CN"/>
        </w:rPr>
        <w:t>杨付祥</w:t>
      </w:r>
    </w:p>
    <w:p w14:paraId="13FF83C2">
      <w:pPr>
        <w:pageBreakBefore w:val="0"/>
        <w:kinsoku/>
        <w:overflowPunct/>
        <w:topLinePunct w:val="0"/>
        <w:autoSpaceDE/>
        <w:autoSpaceDN/>
        <w:bidi w:val="0"/>
        <w:spacing w:line="500" w:lineRule="exact"/>
        <w:ind w:firstLine="420" w:firstLineChars="200"/>
        <w:textAlignment w:val="auto"/>
        <w:rPr>
          <w:rFonts w:hint="eastAsia" w:ascii="宋体" w:hAnsi="宋体" w:eastAsia="宋体" w:cs="宋体"/>
          <w:color w:val="auto"/>
          <w:szCs w:val="20"/>
          <w:highlight w:val="none"/>
          <w:lang w:eastAsia="zh-CN"/>
        </w:rPr>
      </w:pPr>
      <w:r>
        <w:rPr>
          <w:rFonts w:hint="eastAsia" w:ascii="宋体" w:hAnsi="宋体" w:eastAsia="宋体" w:cs="宋体"/>
          <w:color w:val="auto"/>
          <w:szCs w:val="20"/>
          <w:highlight w:val="none"/>
        </w:rPr>
        <w:t>电话：</w:t>
      </w:r>
      <w:bookmarkEnd w:id="1"/>
      <w:r>
        <w:rPr>
          <w:rFonts w:hint="eastAsia" w:ascii="宋体" w:hAnsi="宋体" w:eastAsia="宋体" w:cs="宋体"/>
          <w:color w:val="auto"/>
          <w:szCs w:val="20"/>
          <w:highlight w:val="none"/>
          <w:lang w:eastAsia="zh-CN"/>
        </w:rPr>
        <w:t>18587352888/0870-8122322</w:t>
      </w:r>
    </w:p>
    <w:p w14:paraId="7AC14AED">
      <w:pPr>
        <w:rPr>
          <w:rFonts w:hint="eastAsia" w:ascii="宋体" w:hAnsi="宋体" w:eastAsia="宋体" w:cs="宋体"/>
          <w:color w:val="auto"/>
          <w:highlight w:val="none"/>
        </w:rPr>
        <w:sectPr>
          <w:footerReference r:id="rId8" w:type="default"/>
          <w:footerReference r:id="rId9" w:type="even"/>
          <w:pgSz w:w="11906" w:h="16838"/>
          <w:pgMar w:top="1418" w:right="1191" w:bottom="1418" w:left="1191" w:header="851" w:footer="992" w:gutter="0"/>
          <w:pgNumType w:fmt="numberInDash" w:start="1"/>
          <w:cols w:space="425" w:num="1"/>
          <w:docGrid w:linePitch="326" w:charSpace="48333"/>
        </w:sectPr>
      </w:pPr>
    </w:p>
    <w:bookmarkEnd w:id="2"/>
    <w:bookmarkEnd w:id="3"/>
    <w:bookmarkEnd w:id="4"/>
    <w:bookmarkEnd w:id="5"/>
    <w:p w14:paraId="7BD61013">
      <w:pPr>
        <w:pStyle w:val="3"/>
        <w:spacing w:before="0" w:after="0" w:line="360" w:lineRule="auto"/>
        <w:jc w:val="center"/>
        <w:rPr>
          <w:rFonts w:hint="eastAsia" w:ascii="宋体" w:hAnsi="宋体" w:eastAsia="宋体" w:cs="宋体"/>
          <w:color w:val="auto"/>
          <w:sz w:val="36"/>
          <w:szCs w:val="36"/>
          <w:highlight w:val="none"/>
        </w:rPr>
      </w:pPr>
      <w:bookmarkStart w:id="28" w:name="_Toc132208665"/>
      <w:r>
        <w:rPr>
          <w:rFonts w:hint="eastAsia" w:ascii="宋体" w:hAnsi="宋体" w:eastAsia="宋体" w:cs="宋体"/>
          <w:color w:val="auto"/>
          <w:sz w:val="36"/>
          <w:szCs w:val="36"/>
          <w:highlight w:val="none"/>
        </w:rPr>
        <w:t>第二章 供应商须知</w:t>
      </w:r>
      <w:bookmarkEnd w:id="28"/>
    </w:p>
    <w:p w14:paraId="2D3B3C66">
      <w:pPr>
        <w:pStyle w:val="4"/>
        <w:spacing w:before="0" w:after="0" w:line="360" w:lineRule="auto"/>
        <w:jc w:val="center"/>
        <w:rPr>
          <w:rFonts w:hint="eastAsia" w:ascii="宋体" w:hAnsi="宋体" w:eastAsia="宋体" w:cs="宋体"/>
          <w:color w:val="auto"/>
          <w:highlight w:val="none"/>
        </w:rPr>
      </w:pPr>
      <w:bookmarkStart w:id="29" w:name="_Toc70424824"/>
      <w:bookmarkStart w:id="30" w:name="_Toc132208666"/>
      <w:bookmarkStart w:id="31" w:name="_Toc103961469"/>
      <w:r>
        <w:rPr>
          <w:rFonts w:hint="eastAsia" w:ascii="宋体" w:hAnsi="宋体" w:eastAsia="宋体" w:cs="宋体"/>
          <w:color w:val="auto"/>
          <w:sz w:val="28"/>
          <w:szCs w:val="28"/>
          <w:highlight w:val="none"/>
        </w:rPr>
        <w:t>供应商须知前附表</w:t>
      </w:r>
      <w:bookmarkEnd w:id="29"/>
      <w:bookmarkEnd w:id="30"/>
      <w:bookmarkEnd w:id="31"/>
    </w:p>
    <w:tbl>
      <w:tblPr>
        <w:tblStyle w:val="39"/>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17"/>
        <w:gridCol w:w="2191"/>
        <w:gridCol w:w="6540"/>
      </w:tblGrid>
      <w:tr w14:paraId="23EE6D0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17" w:type="dxa"/>
            <w:vAlign w:val="center"/>
          </w:tcPr>
          <w:p w14:paraId="663AAAA3">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条款号</w:t>
            </w:r>
          </w:p>
        </w:tc>
        <w:tc>
          <w:tcPr>
            <w:tcW w:w="2191" w:type="dxa"/>
            <w:vAlign w:val="center"/>
          </w:tcPr>
          <w:p w14:paraId="73B10C4F">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条款内容</w:t>
            </w:r>
          </w:p>
        </w:tc>
        <w:tc>
          <w:tcPr>
            <w:tcW w:w="6540" w:type="dxa"/>
            <w:vAlign w:val="center"/>
          </w:tcPr>
          <w:p w14:paraId="6A323A2B">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编列内容</w:t>
            </w:r>
          </w:p>
        </w:tc>
      </w:tr>
      <w:tr w14:paraId="7AC98E7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0CDA2EA5">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191" w:type="dxa"/>
            <w:vAlign w:val="center"/>
          </w:tcPr>
          <w:p w14:paraId="293C15C8">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采购人</w:t>
            </w:r>
          </w:p>
        </w:tc>
        <w:tc>
          <w:tcPr>
            <w:tcW w:w="6540" w:type="dxa"/>
            <w:vAlign w:val="center"/>
          </w:tcPr>
          <w:p w14:paraId="011C6916">
            <w:pPr>
              <w:spacing w:before="120"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名  称：</w:t>
            </w:r>
            <w:r>
              <w:rPr>
                <w:rFonts w:hint="eastAsia" w:ascii="宋体" w:hAnsi="宋体" w:eastAsia="宋体" w:cs="宋体"/>
                <w:color w:val="auto"/>
                <w:highlight w:val="none"/>
                <w:lang w:eastAsia="zh-CN"/>
              </w:rPr>
              <w:t>镇雄县农村能源建设与农业环境工作站</w:t>
            </w:r>
          </w:p>
          <w:p w14:paraId="39F812C9">
            <w:pPr>
              <w:spacing w:before="120"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地  址：</w:t>
            </w:r>
            <w:r>
              <w:rPr>
                <w:rFonts w:hint="eastAsia" w:ascii="宋体" w:hAnsi="宋体" w:eastAsia="宋体" w:cs="宋体"/>
                <w:color w:val="auto"/>
                <w:highlight w:val="none"/>
                <w:lang w:eastAsia="zh-CN"/>
              </w:rPr>
              <w:t>镇雄县中山路138号</w:t>
            </w:r>
          </w:p>
          <w:p w14:paraId="7CF57FC9">
            <w:pPr>
              <w:spacing w:before="120"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eastAsia="zh-CN"/>
              </w:rPr>
              <w:t>朱绍清</w:t>
            </w:r>
          </w:p>
          <w:p w14:paraId="7134345C">
            <w:pPr>
              <w:spacing w:before="120"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电  话：</w:t>
            </w:r>
            <w:r>
              <w:rPr>
                <w:rFonts w:hint="eastAsia" w:ascii="宋体" w:hAnsi="宋体" w:eastAsia="宋体" w:cs="宋体"/>
                <w:color w:val="auto"/>
                <w:highlight w:val="none"/>
                <w:lang w:eastAsia="zh-CN"/>
              </w:rPr>
              <w:t>13388700239</w:t>
            </w:r>
          </w:p>
        </w:tc>
      </w:tr>
      <w:tr w14:paraId="5158387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216ADAAC">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1.1.3</w:t>
            </w:r>
          </w:p>
        </w:tc>
        <w:tc>
          <w:tcPr>
            <w:tcW w:w="2191" w:type="dxa"/>
            <w:vAlign w:val="center"/>
          </w:tcPr>
          <w:p w14:paraId="1B53CCEE">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采购代理机构</w:t>
            </w:r>
          </w:p>
        </w:tc>
        <w:tc>
          <w:tcPr>
            <w:tcW w:w="6540" w:type="dxa"/>
            <w:vAlign w:val="center"/>
          </w:tcPr>
          <w:p w14:paraId="78E99522">
            <w:pPr>
              <w:spacing w:before="120"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采购代理机构：</w:t>
            </w:r>
            <w:r>
              <w:rPr>
                <w:rFonts w:hint="eastAsia" w:ascii="宋体" w:hAnsi="宋体" w:eastAsia="宋体" w:cs="宋体"/>
                <w:color w:val="auto"/>
                <w:highlight w:val="none"/>
                <w:lang w:eastAsia="zh-CN"/>
              </w:rPr>
              <w:t>云南品众招标咨询有限公司</w:t>
            </w:r>
          </w:p>
          <w:p w14:paraId="340B2EEA">
            <w:pPr>
              <w:spacing w:before="120"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地  址：</w:t>
            </w:r>
            <w:r>
              <w:rPr>
                <w:rFonts w:hint="eastAsia" w:ascii="宋体" w:hAnsi="宋体" w:eastAsia="宋体" w:cs="宋体"/>
                <w:color w:val="auto"/>
                <w:highlight w:val="none"/>
                <w:lang w:eastAsia="zh-CN"/>
              </w:rPr>
              <w:t>昭通市昭阳区龙韵雅苑29栋一单元602室</w:t>
            </w:r>
          </w:p>
          <w:p w14:paraId="2C13A0B3">
            <w:pPr>
              <w:spacing w:before="120"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eastAsia="zh-CN"/>
              </w:rPr>
              <w:t>杨付祥</w:t>
            </w:r>
          </w:p>
          <w:p w14:paraId="0808B6C4">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电  话：</w:t>
            </w:r>
            <w:r>
              <w:rPr>
                <w:rFonts w:hint="eastAsia" w:ascii="宋体" w:hAnsi="宋体" w:eastAsia="宋体" w:cs="宋体"/>
                <w:color w:val="auto"/>
                <w:highlight w:val="none"/>
                <w:lang w:eastAsia="zh-CN"/>
              </w:rPr>
              <w:t>18587352888/0870-8122322</w:t>
            </w:r>
          </w:p>
        </w:tc>
      </w:tr>
      <w:tr w14:paraId="73018D2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407B476F">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1.1.4</w:t>
            </w:r>
          </w:p>
        </w:tc>
        <w:tc>
          <w:tcPr>
            <w:tcW w:w="2191" w:type="dxa"/>
            <w:vAlign w:val="center"/>
          </w:tcPr>
          <w:p w14:paraId="5470401E">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采购项目名称</w:t>
            </w:r>
          </w:p>
        </w:tc>
        <w:tc>
          <w:tcPr>
            <w:tcW w:w="6540" w:type="dxa"/>
            <w:vAlign w:val="center"/>
          </w:tcPr>
          <w:p w14:paraId="7158B415">
            <w:pPr>
              <w:spacing w:before="120"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镇雄县2024年农作物秸秆综合利用重点县建设项目(秸秆腐熟剂采购及培训服务)</w:t>
            </w:r>
          </w:p>
        </w:tc>
      </w:tr>
      <w:tr w14:paraId="556246E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1D8FFC70">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1.1.5</w:t>
            </w:r>
          </w:p>
        </w:tc>
        <w:tc>
          <w:tcPr>
            <w:tcW w:w="2191" w:type="dxa"/>
            <w:vAlign w:val="center"/>
          </w:tcPr>
          <w:p w14:paraId="37D4193F">
            <w:pPr>
              <w:spacing w:before="120" w:beforeLines="50" w:line="36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完成地点</w:t>
            </w:r>
          </w:p>
        </w:tc>
        <w:tc>
          <w:tcPr>
            <w:tcW w:w="6540" w:type="dxa"/>
            <w:vAlign w:val="center"/>
          </w:tcPr>
          <w:p w14:paraId="5ED96771">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镇雄县农村能源建设与农业环境工作站指定地点</w:t>
            </w:r>
            <w:r>
              <w:rPr>
                <w:rFonts w:hint="eastAsia" w:ascii="宋体" w:hAnsi="宋体" w:eastAsia="宋体" w:cs="宋体"/>
                <w:color w:val="auto"/>
                <w:highlight w:val="none"/>
              </w:rPr>
              <w:t>。</w:t>
            </w:r>
          </w:p>
        </w:tc>
      </w:tr>
      <w:tr w14:paraId="3A7717B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3647A2A7">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1.2.1</w:t>
            </w:r>
          </w:p>
        </w:tc>
        <w:tc>
          <w:tcPr>
            <w:tcW w:w="2191" w:type="dxa"/>
            <w:vAlign w:val="center"/>
          </w:tcPr>
          <w:p w14:paraId="7537AF1D">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资金来源</w:t>
            </w:r>
          </w:p>
        </w:tc>
        <w:tc>
          <w:tcPr>
            <w:tcW w:w="6540" w:type="dxa"/>
            <w:vAlign w:val="center"/>
          </w:tcPr>
          <w:p w14:paraId="7445F28E">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财政资金</w:t>
            </w:r>
          </w:p>
        </w:tc>
      </w:tr>
      <w:tr w14:paraId="5F93C67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05D59124">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1.2.2</w:t>
            </w:r>
          </w:p>
        </w:tc>
        <w:tc>
          <w:tcPr>
            <w:tcW w:w="2191" w:type="dxa"/>
            <w:vAlign w:val="center"/>
          </w:tcPr>
          <w:p w14:paraId="6D2DB465">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资金落实情况</w:t>
            </w:r>
          </w:p>
        </w:tc>
        <w:tc>
          <w:tcPr>
            <w:tcW w:w="6540" w:type="dxa"/>
            <w:vAlign w:val="center"/>
          </w:tcPr>
          <w:p w14:paraId="0D6E67E0">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已落实</w:t>
            </w:r>
          </w:p>
        </w:tc>
      </w:tr>
      <w:tr w14:paraId="3DA5A74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433228D0">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1.3.1</w:t>
            </w:r>
          </w:p>
        </w:tc>
        <w:tc>
          <w:tcPr>
            <w:tcW w:w="2191" w:type="dxa"/>
            <w:vAlign w:val="center"/>
          </w:tcPr>
          <w:p w14:paraId="76547C04">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采购需求</w:t>
            </w:r>
          </w:p>
        </w:tc>
        <w:tc>
          <w:tcPr>
            <w:tcW w:w="6540" w:type="dxa"/>
            <w:vAlign w:val="center"/>
          </w:tcPr>
          <w:p w14:paraId="22269818">
            <w:pPr>
              <w:adjustRightIn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详见竞争性磋商文件“第五章 采购需求”</w:t>
            </w:r>
            <w:r>
              <w:rPr>
                <w:rFonts w:hint="eastAsia" w:ascii="宋体" w:hAnsi="宋体" w:eastAsia="宋体" w:cs="宋体"/>
                <w:color w:val="auto"/>
                <w:highlight w:val="none"/>
              </w:rPr>
              <w:t>。</w:t>
            </w:r>
          </w:p>
        </w:tc>
      </w:tr>
      <w:tr w14:paraId="79EF123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170E8750">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1.3.2</w:t>
            </w:r>
          </w:p>
        </w:tc>
        <w:tc>
          <w:tcPr>
            <w:tcW w:w="2191" w:type="dxa"/>
            <w:vAlign w:val="center"/>
          </w:tcPr>
          <w:p w14:paraId="2369D6F7">
            <w:pPr>
              <w:spacing w:before="120" w:beforeLines="50" w:line="36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完成时间</w:t>
            </w:r>
          </w:p>
        </w:tc>
        <w:tc>
          <w:tcPr>
            <w:tcW w:w="6540" w:type="dxa"/>
            <w:vAlign w:val="center"/>
          </w:tcPr>
          <w:p w14:paraId="2E687F79">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合同签订之日起7日历天完成全部供货，技术培训及现场指导以采购人安排为准</w:t>
            </w:r>
            <w:r>
              <w:rPr>
                <w:rFonts w:hint="eastAsia" w:ascii="宋体" w:hAnsi="宋体" w:eastAsia="宋体" w:cs="宋体"/>
                <w:color w:val="auto"/>
                <w:highlight w:val="none"/>
              </w:rPr>
              <w:t>。</w:t>
            </w:r>
          </w:p>
        </w:tc>
      </w:tr>
      <w:tr w14:paraId="4470050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639A5F82">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1.3.3</w:t>
            </w:r>
          </w:p>
        </w:tc>
        <w:tc>
          <w:tcPr>
            <w:tcW w:w="2191" w:type="dxa"/>
            <w:vAlign w:val="center"/>
          </w:tcPr>
          <w:p w14:paraId="344ED991">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质量标准</w:t>
            </w:r>
          </w:p>
        </w:tc>
        <w:tc>
          <w:tcPr>
            <w:tcW w:w="6540" w:type="dxa"/>
            <w:vAlign w:val="center"/>
          </w:tcPr>
          <w:p w14:paraId="4FFD5343">
            <w:pPr>
              <w:spacing w:before="120"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符合国家标准（GB20287-2006）和达到采购人要求，一次性验收合格。</w:t>
            </w:r>
          </w:p>
        </w:tc>
      </w:tr>
      <w:tr w14:paraId="1269555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187DFFFE">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1.4.1</w:t>
            </w:r>
          </w:p>
        </w:tc>
        <w:tc>
          <w:tcPr>
            <w:tcW w:w="2191" w:type="dxa"/>
            <w:vAlign w:val="center"/>
          </w:tcPr>
          <w:p w14:paraId="34D25EF5">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供应商资格要求</w:t>
            </w:r>
          </w:p>
        </w:tc>
        <w:tc>
          <w:tcPr>
            <w:tcW w:w="6540" w:type="dxa"/>
            <w:vAlign w:val="center"/>
          </w:tcPr>
          <w:p w14:paraId="0591B2E0">
            <w:pPr>
              <w:widowControl/>
              <w:shd w:val="clear" w:color="auto" w:fill="FFFFFF"/>
              <w:spacing w:after="128"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（一）满足《中华人民共和国政府采购法》第二十二条规定：</w:t>
            </w:r>
          </w:p>
          <w:p w14:paraId="4187F4FF">
            <w:pPr>
              <w:widowControl/>
              <w:shd w:val="clear" w:color="auto" w:fill="FFFFFF"/>
              <w:spacing w:after="128"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1.1具有独立承担民事责任的能力。</w:t>
            </w:r>
          </w:p>
          <w:p w14:paraId="17CEA844">
            <w:pPr>
              <w:widowControl/>
              <w:shd w:val="clear" w:color="auto" w:fill="FFFFFF"/>
              <w:spacing w:after="128"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1.2具有良好的商业信誉和健全的财务会计制度。</w:t>
            </w:r>
          </w:p>
          <w:p w14:paraId="6E19F312">
            <w:pPr>
              <w:widowControl/>
              <w:shd w:val="clear" w:color="auto" w:fill="FFFFFF"/>
              <w:spacing w:after="128"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1.3具有履行合同所必需的设备和专业技术能力。</w:t>
            </w:r>
          </w:p>
          <w:p w14:paraId="748EE67B">
            <w:pPr>
              <w:widowControl/>
              <w:shd w:val="clear" w:color="auto" w:fill="FFFFFF"/>
              <w:spacing w:after="128"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1.4有依法缴纳税收和社会保障资金的良好记录。</w:t>
            </w:r>
          </w:p>
          <w:p w14:paraId="292D0115">
            <w:pPr>
              <w:widowControl/>
              <w:shd w:val="clear" w:color="auto" w:fill="FFFFFF"/>
              <w:spacing w:after="128"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1.5参加政府采购活动前三年内，在经营活动中没有重大违法记录。</w:t>
            </w:r>
          </w:p>
          <w:p w14:paraId="3E8F5AF8">
            <w:pPr>
              <w:widowControl/>
              <w:shd w:val="clear" w:color="auto" w:fill="FFFFFF"/>
              <w:spacing w:after="128"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1.6法律、行政法规规定的其他条件。</w:t>
            </w:r>
          </w:p>
          <w:p w14:paraId="2DE4DE66">
            <w:pPr>
              <w:widowControl/>
              <w:shd w:val="clear" w:color="auto" w:fill="FFFFFF"/>
              <w:spacing w:after="128"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落实政府采购政策需满足的资格要求：无，本项目非专门面向中小企业采购。供应商若为中小微企业或监狱企业或残疾人福利性单位。需按要求提供《中小企业声明函》、残疾人福利性单位声明函、监狱企业证明文件，残疾人福利性单位、监狱企业视同小型或微型企业。</w:t>
            </w:r>
          </w:p>
          <w:p w14:paraId="4034C60C">
            <w:pPr>
              <w:widowControl/>
              <w:shd w:val="clear" w:color="auto" w:fill="FFFFFF"/>
              <w:spacing w:after="128" w:line="360" w:lineRule="auto"/>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（三）本项目的特定资格要求：</w:t>
            </w:r>
            <w:r>
              <w:rPr>
                <w:rFonts w:hint="eastAsia" w:ascii="宋体" w:hAnsi="宋体" w:eastAsia="宋体" w:cs="宋体"/>
                <w:color w:val="auto"/>
                <w:kern w:val="0"/>
                <w:szCs w:val="21"/>
                <w:highlight w:val="none"/>
                <w:lang w:val="en-US" w:eastAsia="zh-CN"/>
              </w:rPr>
              <w:t>无</w:t>
            </w:r>
          </w:p>
          <w:p w14:paraId="2793285F">
            <w:pPr>
              <w:widowControl/>
              <w:shd w:val="clear" w:color="auto" w:fill="FFFFFF"/>
              <w:wordWrap w:val="0"/>
              <w:spacing w:after="128"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bookmarkStart w:id="32" w:name="_Hlk174378700"/>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rPr>
              <w:t>供应商在递交响应文件截止时间前未被列入“信用中国”网站(www.creditchina.gov.cn)失信被执行人、重大税收违法案件当事人名单，中国政府采购网(www.ccgp.gov.cn) 政府采购严重违法失信行为记录名单。</w:t>
            </w:r>
          </w:p>
          <w:bookmarkEnd w:id="32"/>
          <w:p w14:paraId="53807CA2">
            <w:pPr>
              <w:widowControl/>
              <w:shd w:val="clear" w:color="auto" w:fill="FFFFFF"/>
              <w:spacing w:after="128"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单位负责人为同一人或者存在控股、管理关系的不同单位，不得同时参加本采购项目投标。</w:t>
            </w:r>
          </w:p>
          <w:p w14:paraId="033A2E91">
            <w:pPr>
              <w:widowControl/>
              <w:shd w:val="clear" w:color="auto" w:fill="FFFFFF"/>
              <w:spacing w:after="128"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rPr>
              <w:t>供应商不得存在下列情形之一：</w:t>
            </w:r>
          </w:p>
          <w:p w14:paraId="6A1930BD">
            <w:pPr>
              <w:widowControl/>
              <w:shd w:val="clear" w:color="auto" w:fill="FFFFFF"/>
              <w:spacing w:after="128"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（1）被暂停、取消投标或禁止参加采购活动且处于有效期内的；</w:t>
            </w:r>
          </w:p>
          <w:p w14:paraId="636FA81D">
            <w:pPr>
              <w:widowControl/>
              <w:shd w:val="clear" w:color="auto" w:fill="FFFFFF"/>
              <w:spacing w:after="128"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（2）处于被责令停产停业、暂扣或者吊销执照、暂扣或者吊销许可证、吊销资质证书状态；</w:t>
            </w:r>
          </w:p>
          <w:p w14:paraId="39732BEF">
            <w:pPr>
              <w:widowControl/>
              <w:shd w:val="clear" w:color="auto" w:fill="FFFFFF"/>
              <w:spacing w:after="128"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（3）进入清算程序，或被宣告破产，或其他丧失履约能力的情形。</w:t>
            </w:r>
          </w:p>
        </w:tc>
      </w:tr>
      <w:tr w14:paraId="03113A3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6DFC3C41">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1.4.2</w:t>
            </w:r>
          </w:p>
        </w:tc>
        <w:tc>
          <w:tcPr>
            <w:tcW w:w="2191" w:type="dxa"/>
            <w:vAlign w:val="center"/>
          </w:tcPr>
          <w:p w14:paraId="00A06C4C">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是否接受联合体</w:t>
            </w:r>
          </w:p>
        </w:tc>
        <w:tc>
          <w:tcPr>
            <w:tcW w:w="6540" w:type="dxa"/>
            <w:vAlign w:val="center"/>
          </w:tcPr>
          <w:p w14:paraId="25675BA1">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■不接受</w:t>
            </w:r>
          </w:p>
          <w:p w14:paraId="0932F5ED">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□接受，应满足下列要求</w:t>
            </w:r>
          </w:p>
        </w:tc>
      </w:tr>
      <w:tr w14:paraId="06BCDA8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325B3CCE">
            <w:pPr>
              <w:spacing w:before="120" w:beforeLines="50" w:line="360" w:lineRule="auto"/>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1.5</w:t>
            </w:r>
          </w:p>
        </w:tc>
        <w:tc>
          <w:tcPr>
            <w:tcW w:w="2191" w:type="dxa"/>
            <w:vAlign w:val="center"/>
          </w:tcPr>
          <w:p w14:paraId="29778464">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证明材料的真实性、完整性及合法性</w:t>
            </w:r>
          </w:p>
        </w:tc>
        <w:tc>
          <w:tcPr>
            <w:tcW w:w="6540" w:type="dxa"/>
            <w:vAlign w:val="center"/>
          </w:tcPr>
          <w:p w14:paraId="716E5E0C">
            <w:pPr>
              <w:spacing w:before="156" w:beforeLines="5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供应商应对所提交的所有证明材料的真实性、完整性及合法性负责，采购人将对成交供应商相关证明材料原件的真实性、完整性及合法性进行核实，若发现所提供的证明材料虚假或有问题的，采购人将取消其成交供应商资格，并向相关部门报告不良行为，供应商将自行承担相关后果及法律责任。</w:t>
            </w:r>
          </w:p>
          <w:p w14:paraId="4543B12E">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供应商提供证明材料的原件扫描件必需清晰，若材料模糊导致关键信息无法识别，导致无效投标等后果，由供应商自行承担。</w:t>
            </w:r>
          </w:p>
        </w:tc>
      </w:tr>
      <w:tr w14:paraId="07F4281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46F1FE4B">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1.9.1</w:t>
            </w:r>
          </w:p>
        </w:tc>
        <w:tc>
          <w:tcPr>
            <w:tcW w:w="2191" w:type="dxa"/>
            <w:vAlign w:val="center"/>
          </w:tcPr>
          <w:p w14:paraId="4CB563F1">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踏勘现场</w:t>
            </w:r>
          </w:p>
        </w:tc>
        <w:tc>
          <w:tcPr>
            <w:tcW w:w="6540" w:type="dxa"/>
            <w:vAlign w:val="center"/>
          </w:tcPr>
          <w:p w14:paraId="65C801CB">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■不组织</w:t>
            </w:r>
          </w:p>
          <w:p w14:paraId="44F9C281">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□组织，踏勘时间：</w:t>
            </w:r>
          </w:p>
          <w:p w14:paraId="3CA7AF12">
            <w:pPr>
              <w:spacing w:before="120" w:beforeLines="50" w:line="360" w:lineRule="auto"/>
              <w:ind w:firstLine="840" w:firstLineChars="400"/>
              <w:rPr>
                <w:rFonts w:hint="eastAsia" w:ascii="宋体" w:hAnsi="宋体" w:eastAsia="宋体" w:cs="宋体"/>
                <w:color w:val="auto"/>
                <w:highlight w:val="none"/>
              </w:rPr>
            </w:pPr>
            <w:r>
              <w:rPr>
                <w:rFonts w:hint="eastAsia" w:ascii="宋体" w:hAnsi="宋体" w:eastAsia="宋体" w:cs="宋体"/>
                <w:color w:val="auto"/>
                <w:highlight w:val="none"/>
              </w:rPr>
              <w:t>踏勘集中地点：</w:t>
            </w:r>
          </w:p>
        </w:tc>
      </w:tr>
      <w:tr w14:paraId="2AF4FAA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3CB20EE9">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1.10</w:t>
            </w:r>
          </w:p>
        </w:tc>
        <w:tc>
          <w:tcPr>
            <w:tcW w:w="2191" w:type="dxa"/>
            <w:vAlign w:val="center"/>
          </w:tcPr>
          <w:p w14:paraId="15F2C85B">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竞争性磋商采购预备会</w:t>
            </w:r>
          </w:p>
        </w:tc>
        <w:tc>
          <w:tcPr>
            <w:tcW w:w="6540" w:type="dxa"/>
            <w:vAlign w:val="center"/>
          </w:tcPr>
          <w:p w14:paraId="1DFCF805">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■不召开</w:t>
            </w:r>
          </w:p>
          <w:p w14:paraId="0CC38AB2">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□召开，召开时间：</w:t>
            </w:r>
          </w:p>
          <w:p w14:paraId="44AC8EF4">
            <w:pPr>
              <w:spacing w:before="120" w:beforeLines="50" w:line="360" w:lineRule="auto"/>
              <w:ind w:firstLine="840" w:firstLineChars="400"/>
              <w:rPr>
                <w:rFonts w:hint="eastAsia" w:ascii="宋体" w:hAnsi="宋体" w:eastAsia="宋体" w:cs="宋体"/>
                <w:color w:val="auto"/>
                <w:highlight w:val="none"/>
              </w:rPr>
            </w:pPr>
            <w:r>
              <w:rPr>
                <w:rFonts w:hint="eastAsia" w:ascii="宋体" w:hAnsi="宋体" w:eastAsia="宋体" w:cs="宋体"/>
                <w:color w:val="auto"/>
                <w:highlight w:val="none"/>
              </w:rPr>
              <w:t>召开地点：</w:t>
            </w:r>
          </w:p>
        </w:tc>
      </w:tr>
      <w:tr w14:paraId="0DF9582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13400A72">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1.11</w:t>
            </w:r>
          </w:p>
        </w:tc>
        <w:tc>
          <w:tcPr>
            <w:tcW w:w="2191" w:type="dxa"/>
            <w:vAlign w:val="center"/>
          </w:tcPr>
          <w:p w14:paraId="1ADD78FB">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分包</w:t>
            </w:r>
          </w:p>
        </w:tc>
        <w:tc>
          <w:tcPr>
            <w:tcW w:w="6540" w:type="dxa"/>
            <w:vAlign w:val="center"/>
          </w:tcPr>
          <w:p w14:paraId="3D76E630">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不得分包的内容：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w:t>
            </w:r>
            <w:r>
              <w:rPr>
                <w:rFonts w:hint="eastAsia" w:ascii="宋体" w:hAnsi="宋体" w:eastAsia="宋体" w:cs="宋体"/>
                <w:color w:val="auto"/>
                <w:highlight w:val="none"/>
                <w:u w:val="single"/>
              </w:rPr>
              <w:t xml:space="preserve"> </w:t>
            </w:r>
          </w:p>
          <w:p w14:paraId="15699156">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对分包供应商的要求：</w:t>
            </w:r>
            <w:r>
              <w:rPr>
                <w:rFonts w:hint="eastAsia" w:ascii="宋体" w:hAnsi="宋体" w:eastAsia="宋体" w:cs="宋体"/>
                <w:color w:val="auto"/>
                <w:highlight w:val="none"/>
                <w:u w:val="single"/>
              </w:rPr>
              <w:t xml:space="preserve"> / </w:t>
            </w:r>
          </w:p>
        </w:tc>
      </w:tr>
      <w:tr w14:paraId="4EF81FC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31B87836">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1.12.2</w:t>
            </w:r>
          </w:p>
        </w:tc>
        <w:tc>
          <w:tcPr>
            <w:tcW w:w="2191" w:type="dxa"/>
            <w:vAlign w:val="center"/>
          </w:tcPr>
          <w:p w14:paraId="0CE87C7F">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对非关键条款的偏差</w:t>
            </w:r>
          </w:p>
        </w:tc>
        <w:tc>
          <w:tcPr>
            <w:tcW w:w="6540" w:type="dxa"/>
            <w:vAlign w:val="center"/>
          </w:tcPr>
          <w:p w14:paraId="4DFCD58C">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允许偏差的范围：</w:t>
            </w:r>
            <w:r>
              <w:rPr>
                <w:rFonts w:hint="eastAsia" w:ascii="宋体" w:hAnsi="宋体" w:eastAsia="宋体" w:cs="宋体"/>
                <w:color w:val="auto"/>
                <w:highlight w:val="none"/>
                <w:u w:val="single"/>
              </w:rPr>
              <w:t>/</w:t>
            </w:r>
          </w:p>
          <w:p w14:paraId="77994BA6">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允许偏差的项数：</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项</w:t>
            </w:r>
          </w:p>
        </w:tc>
      </w:tr>
      <w:tr w14:paraId="6CA3038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1FE90F75">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2191" w:type="dxa"/>
            <w:vAlign w:val="center"/>
          </w:tcPr>
          <w:p w14:paraId="4B02CB61">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构成采购文件的其他资料</w:t>
            </w:r>
          </w:p>
        </w:tc>
        <w:tc>
          <w:tcPr>
            <w:tcW w:w="6540" w:type="dxa"/>
            <w:vAlign w:val="center"/>
          </w:tcPr>
          <w:p w14:paraId="454113D7">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资料名称：</w:t>
            </w:r>
            <w:r>
              <w:rPr>
                <w:rFonts w:hint="eastAsia" w:ascii="宋体" w:hAnsi="宋体" w:eastAsia="宋体" w:cs="宋体"/>
                <w:color w:val="auto"/>
                <w:highlight w:val="none"/>
                <w:u w:val="single"/>
              </w:rPr>
              <w:t xml:space="preserve"> 澄清、修改等补充文件 </w:t>
            </w:r>
          </w:p>
        </w:tc>
      </w:tr>
      <w:tr w14:paraId="3FA7F33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44CA7B5A">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2.2.3</w:t>
            </w:r>
          </w:p>
        </w:tc>
        <w:tc>
          <w:tcPr>
            <w:tcW w:w="2191" w:type="dxa"/>
            <w:vAlign w:val="center"/>
          </w:tcPr>
          <w:p w14:paraId="26EAFF8B">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供应商要求澄清采购文件的时间</w:t>
            </w:r>
          </w:p>
        </w:tc>
        <w:tc>
          <w:tcPr>
            <w:tcW w:w="6540" w:type="dxa"/>
            <w:vAlign w:val="center"/>
          </w:tcPr>
          <w:p w14:paraId="205A34CA">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截止时间：</w:t>
            </w:r>
            <w:r>
              <w:rPr>
                <w:rFonts w:hint="eastAsia" w:ascii="宋体" w:hAnsi="宋体" w:eastAsia="宋体" w:cs="宋体"/>
                <w:color w:val="auto"/>
                <w:highlight w:val="none"/>
                <w:u w:val="single"/>
              </w:rPr>
              <w:t xml:space="preserve"> 提交首次响应文件截止时间5日前 </w:t>
            </w:r>
          </w:p>
        </w:tc>
      </w:tr>
      <w:tr w14:paraId="5286DEC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29294F0E">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2.2.5</w:t>
            </w:r>
          </w:p>
        </w:tc>
        <w:tc>
          <w:tcPr>
            <w:tcW w:w="2191" w:type="dxa"/>
            <w:vAlign w:val="center"/>
          </w:tcPr>
          <w:p w14:paraId="30CAA507">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供应商确认收到采购文件补充文件</w:t>
            </w:r>
          </w:p>
        </w:tc>
        <w:tc>
          <w:tcPr>
            <w:tcW w:w="6540" w:type="dxa"/>
            <w:vAlign w:val="center"/>
          </w:tcPr>
          <w:p w14:paraId="6929C852">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确认的最晚时间：</w:t>
            </w:r>
            <w:r>
              <w:rPr>
                <w:rFonts w:hint="eastAsia" w:ascii="宋体" w:hAnsi="宋体" w:eastAsia="宋体" w:cs="宋体"/>
                <w:color w:val="auto"/>
                <w:highlight w:val="none"/>
                <w:u w:val="single"/>
              </w:rPr>
              <w:t xml:space="preserve"> 收到补充文件后2日内 </w:t>
            </w:r>
          </w:p>
          <w:p w14:paraId="02F6D646">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确认的方式：</w:t>
            </w:r>
            <w:r>
              <w:rPr>
                <w:rFonts w:hint="eastAsia" w:ascii="宋体" w:hAnsi="宋体" w:eastAsia="宋体" w:cs="宋体"/>
                <w:color w:val="auto"/>
                <w:highlight w:val="none"/>
                <w:u w:val="single"/>
              </w:rPr>
              <w:t xml:space="preserve"> 邮件、传真 </w:t>
            </w:r>
          </w:p>
        </w:tc>
      </w:tr>
      <w:tr w14:paraId="2733604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917" w:type="dxa"/>
            <w:vAlign w:val="center"/>
          </w:tcPr>
          <w:p w14:paraId="1B1E07C3">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3.2.3</w:t>
            </w:r>
          </w:p>
        </w:tc>
        <w:tc>
          <w:tcPr>
            <w:tcW w:w="2191" w:type="dxa"/>
            <w:vAlign w:val="center"/>
          </w:tcPr>
          <w:p w14:paraId="6A1C918A">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最高限价或其计算方法</w:t>
            </w:r>
          </w:p>
        </w:tc>
        <w:tc>
          <w:tcPr>
            <w:tcW w:w="6540" w:type="dxa"/>
            <w:vAlign w:val="center"/>
          </w:tcPr>
          <w:p w14:paraId="650842D5">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□无</w:t>
            </w:r>
          </w:p>
          <w:p w14:paraId="08F8CE35">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■有，最高限价或其计算方法：</w:t>
            </w:r>
          </w:p>
          <w:p w14:paraId="4C0B7F26">
            <w:pPr>
              <w:spacing w:before="120" w:beforeLines="50" w:line="360" w:lineRule="auto"/>
              <w:ind w:firstLine="210" w:firstLineChars="100"/>
              <w:rPr>
                <w:rFonts w:hint="eastAsia" w:ascii="宋体" w:hAnsi="宋体" w:eastAsia="宋体" w:cs="宋体"/>
                <w:b w:val="0"/>
                <w:bCs w:val="0"/>
                <w:color w:val="auto"/>
                <w:highlight w:val="none"/>
                <w:u w:val="none"/>
              </w:rPr>
            </w:pPr>
            <w:r>
              <w:rPr>
                <w:rFonts w:hint="eastAsia" w:ascii="宋体" w:hAnsi="宋体" w:eastAsia="宋体" w:cs="宋体"/>
                <w:b w:val="0"/>
                <w:bCs w:val="0"/>
                <w:color w:val="auto"/>
                <w:highlight w:val="none"/>
                <w:u w:val="none"/>
              </w:rPr>
              <w:t>最高限价：总报价控制上限为</w:t>
            </w:r>
            <w:r>
              <w:rPr>
                <w:rFonts w:hint="eastAsia" w:ascii="宋体" w:hAnsi="宋体" w:eastAsia="宋体" w:cs="宋体"/>
                <w:b w:val="0"/>
                <w:bCs w:val="0"/>
                <w:color w:val="auto"/>
                <w:highlight w:val="none"/>
                <w:u w:val="none"/>
                <w:lang w:val="en-US" w:eastAsia="zh-CN"/>
              </w:rPr>
              <w:t>946000.00</w:t>
            </w:r>
            <w:r>
              <w:rPr>
                <w:rFonts w:hint="eastAsia" w:ascii="宋体" w:hAnsi="宋体" w:eastAsia="宋体" w:cs="宋体"/>
                <w:b w:val="0"/>
                <w:bCs w:val="0"/>
                <w:color w:val="auto"/>
                <w:highlight w:val="none"/>
                <w:u w:val="none"/>
              </w:rPr>
              <w:t>元（大写：人民币</w:t>
            </w:r>
            <w:r>
              <w:rPr>
                <w:rFonts w:hint="eastAsia" w:ascii="宋体" w:hAnsi="宋体" w:eastAsia="宋体" w:cs="宋体"/>
                <w:b w:val="0"/>
                <w:bCs w:val="0"/>
                <w:color w:val="auto"/>
                <w:highlight w:val="none"/>
                <w:u w:val="none"/>
                <w:lang w:val="en-US" w:eastAsia="zh-CN"/>
              </w:rPr>
              <w:t>玖拾肆万陆仟元整</w:t>
            </w:r>
            <w:r>
              <w:rPr>
                <w:rFonts w:hint="eastAsia" w:ascii="宋体" w:hAnsi="宋体" w:eastAsia="宋体" w:cs="宋体"/>
                <w:b w:val="0"/>
                <w:bCs w:val="0"/>
                <w:color w:val="auto"/>
                <w:highlight w:val="none"/>
                <w:u w:val="none"/>
              </w:rPr>
              <w:t>）</w:t>
            </w:r>
          </w:p>
          <w:p w14:paraId="7019C1F9">
            <w:pPr>
              <w:spacing w:before="120" w:beforeLines="50" w:line="360" w:lineRule="auto"/>
              <w:ind w:firstLine="210" w:firstLineChars="100"/>
              <w:rPr>
                <w:rFonts w:hint="eastAsia" w:ascii="宋体" w:hAnsi="宋体" w:eastAsia="宋体" w:cs="宋体"/>
                <w:color w:val="auto"/>
                <w:highlight w:val="none"/>
                <w:u w:val="single"/>
              </w:rPr>
            </w:pPr>
            <w:r>
              <w:rPr>
                <w:rFonts w:hint="eastAsia" w:ascii="宋体" w:hAnsi="宋体" w:eastAsia="宋体" w:cs="宋体"/>
                <w:b w:val="0"/>
                <w:bCs w:val="0"/>
                <w:color w:val="auto"/>
                <w:highlight w:val="none"/>
                <w:u w:val="none"/>
              </w:rPr>
              <w:t>供应商投标报价应不高于最高限价，否则其响应文件将被视为无效。</w:t>
            </w:r>
          </w:p>
        </w:tc>
      </w:tr>
      <w:tr w14:paraId="64D5528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79003536">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3.2.4</w:t>
            </w:r>
          </w:p>
        </w:tc>
        <w:tc>
          <w:tcPr>
            <w:tcW w:w="2191" w:type="dxa"/>
            <w:vAlign w:val="center"/>
          </w:tcPr>
          <w:p w14:paraId="18066124">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报价的其他要求</w:t>
            </w:r>
          </w:p>
        </w:tc>
        <w:tc>
          <w:tcPr>
            <w:tcW w:w="6540" w:type="dxa"/>
            <w:vAlign w:val="center"/>
          </w:tcPr>
          <w:p w14:paraId="3E4AE375">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（1）报价应包括为完成合同范围内所有</w:t>
            </w:r>
            <w:r>
              <w:rPr>
                <w:rFonts w:hint="eastAsia" w:ascii="宋体" w:hAnsi="宋体" w:eastAsia="宋体" w:cs="宋体"/>
                <w:color w:val="auto"/>
                <w:highlight w:val="none"/>
                <w:lang w:val="en-US" w:eastAsia="zh-CN"/>
              </w:rPr>
              <w:t>费用</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包含</w:t>
            </w:r>
            <w:r>
              <w:rPr>
                <w:rFonts w:hint="eastAsia" w:ascii="宋体" w:hAnsi="宋体" w:eastAsia="宋体" w:cs="宋体"/>
                <w:color w:val="auto"/>
                <w:highlight w:val="none"/>
              </w:rPr>
              <w:t>人工费、</w:t>
            </w:r>
            <w:r>
              <w:rPr>
                <w:rFonts w:hint="eastAsia" w:ascii="宋体" w:hAnsi="宋体" w:eastAsia="宋体" w:cs="宋体"/>
                <w:color w:val="auto"/>
                <w:highlight w:val="none"/>
                <w:lang w:val="en-US" w:eastAsia="zh-CN"/>
              </w:rPr>
              <w:t>设备</w:t>
            </w:r>
            <w:r>
              <w:rPr>
                <w:rFonts w:hint="eastAsia" w:ascii="宋体" w:hAnsi="宋体" w:eastAsia="宋体" w:cs="宋体"/>
                <w:color w:val="auto"/>
                <w:highlight w:val="none"/>
              </w:rPr>
              <w:t>材料费、安装调试费、培训费、服务费（含质保期内售后）、管理费、利润、税金、保险等有可能产生的一切费用。合同履行过程中，采购人不另行支付其他费用（合同另有约定除外）。</w:t>
            </w:r>
          </w:p>
          <w:p w14:paraId="374CFED8">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应依据</w:t>
            </w:r>
            <w:r>
              <w:rPr>
                <w:rFonts w:hint="eastAsia" w:ascii="宋体" w:hAnsi="宋体" w:eastAsia="宋体" w:cs="宋体"/>
                <w:color w:val="auto"/>
                <w:highlight w:val="none"/>
                <w:lang w:eastAsia="zh-CN"/>
              </w:rPr>
              <w:t>竞争性磋商文件</w:t>
            </w:r>
            <w:r>
              <w:rPr>
                <w:rFonts w:hint="eastAsia" w:ascii="宋体" w:hAnsi="宋体" w:eastAsia="宋体" w:cs="宋体"/>
                <w:color w:val="auto"/>
                <w:highlight w:val="none"/>
              </w:rPr>
              <w:t>要求，按国家及行业现行标准及规范，结合</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自身实力情况自行测算出满足采购需求的报价。</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所报的各分项投标单价在合同执行期间是固定不变的，不得以任何理由予以变更。任何包含价格调整要求的投标将被认定为非实质响应</w:t>
            </w:r>
            <w:r>
              <w:rPr>
                <w:rFonts w:hint="eastAsia" w:ascii="宋体" w:hAnsi="宋体" w:eastAsia="宋体" w:cs="宋体"/>
                <w:color w:val="auto"/>
                <w:highlight w:val="none"/>
                <w:lang w:eastAsia="zh-CN"/>
              </w:rPr>
              <w:t>竞争性磋商文件</w:t>
            </w:r>
            <w:r>
              <w:rPr>
                <w:rFonts w:hint="eastAsia" w:ascii="宋体" w:hAnsi="宋体" w:eastAsia="宋体" w:cs="宋体"/>
                <w:color w:val="auto"/>
                <w:highlight w:val="none"/>
              </w:rPr>
              <w:t>而被否决。</w:t>
            </w:r>
          </w:p>
          <w:p w14:paraId="5BCE5AD9">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（3）评标委员会经过对</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的报价进行比较或基于专业经验认为某一</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的报价过低，可能对其履约造成影响时，应当要求该</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作出书面说明并提供相应的证明材料，如成本构成表，包含但不限于生产成本（如原材成本、生产设备损耗成本、安装成本等）、管理成本（人员工资、福利、社保等）、运输成本（汽油、过路费等）、税费等，并列明计算过程。</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不能合理说明或者不能提供相应证明材料的，其投标文件将被视为无效。</w:t>
            </w:r>
          </w:p>
        </w:tc>
      </w:tr>
      <w:tr w14:paraId="5A62CDE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66CB18C5">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3.3.1</w:t>
            </w:r>
          </w:p>
        </w:tc>
        <w:tc>
          <w:tcPr>
            <w:tcW w:w="2191" w:type="dxa"/>
            <w:vAlign w:val="center"/>
          </w:tcPr>
          <w:p w14:paraId="18822BB7">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响应文件有效期</w:t>
            </w:r>
          </w:p>
        </w:tc>
        <w:tc>
          <w:tcPr>
            <w:tcW w:w="6540" w:type="dxa"/>
            <w:vAlign w:val="center"/>
          </w:tcPr>
          <w:p w14:paraId="54D3BF68">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90日历天</w:t>
            </w:r>
          </w:p>
        </w:tc>
      </w:tr>
      <w:tr w14:paraId="536D3F1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1B81D795">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3.4.1</w:t>
            </w:r>
          </w:p>
        </w:tc>
        <w:tc>
          <w:tcPr>
            <w:tcW w:w="2191" w:type="dxa"/>
            <w:vAlign w:val="center"/>
          </w:tcPr>
          <w:p w14:paraId="5F383F9A">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响应保证金</w:t>
            </w:r>
          </w:p>
        </w:tc>
        <w:tc>
          <w:tcPr>
            <w:tcW w:w="6540" w:type="dxa"/>
            <w:vAlign w:val="center"/>
          </w:tcPr>
          <w:p w14:paraId="0BECD3EF">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■不要求递交</w:t>
            </w:r>
          </w:p>
          <w:p w14:paraId="178B3B43">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□要求递交</w:t>
            </w:r>
          </w:p>
        </w:tc>
      </w:tr>
      <w:tr w14:paraId="156B425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211A800B">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3.4.3</w:t>
            </w:r>
          </w:p>
        </w:tc>
        <w:tc>
          <w:tcPr>
            <w:tcW w:w="2191" w:type="dxa"/>
            <w:vAlign w:val="center"/>
          </w:tcPr>
          <w:p w14:paraId="10AEF74C">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退还响应保证金的时间</w:t>
            </w:r>
          </w:p>
        </w:tc>
        <w:tc>
          <w:tcPr>
            <w:tcW w:w="6540" w:type="dxa"/>
            <w:vAlign w:val="center"/>
          </w:tcPr>
          <w:p w14:paraId="2351D529">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未成交供应商的响应保证金在成交通知书发出后5个工作日内退还，成交供应商的响应保证金在采购合同签订后5个工作日内退还。</w:t>
            </w:r>
          </w:p>
        </w:tc>
      </w:tr>
      <w:tr w14:paraId="15FDE51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4EDDB3AA">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3.4.4</w:t>
            </w:r>
          </w:p>
        </w:tc>
        <w:tc>
          <w:tcPr>
            <w:tcW w:w="2191" w:type="dxa"/>
            <w:vAlign w:val="center"/>
          </w:tcPr>
          <w:p w14:paraId="2A425E58">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不退还响应保证金的其他情形</w:t>
            </w:r>
          </w:p>
        </w:tc>
        <w:tc>
          <w:tcPr>
            <w:tcW w:w="6540" w:type="dxa"/>
            <w:vAlign w:val="center"/>
          </w:tcPr>
          <w:p w14:paraId="4F2A2AC9">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（1）供应商在响应文件中提供虚假材料的；</w:t>
            </w:r>
          </w:p>
          <w:p w14:paraId="1FB8528A">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（2）供应商与采购人、其他供应商或者采购代理机构恶意串通的；</w:t>
            </w:r>
          </w:p>
          <w:p w14:paraId="7D4332B9">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（3）法律法规规定的其他情形。</w:t>
            </w:r>
          </w:p>
        </w:tc>
      </w:tr>
      <w:tr w14:paraId="2631308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4849420C">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3.7.2</w:t>
            </w:r>
          </w:p>
        </w:tc>
        <w:tc>
          <w:tcPr>
            <w:tcW w:w="2191" w:type="dxa"/>
            <w:vAlign w:val="center"/>
          </w:tcPr>
          <w:p w14:paraId="3D7798C8">
            <w:pPr>
              <w:spacing w:before="120" w:beforeLines="5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响应文件所附证书证件要求、响应文件签字或盖章要求</w:t>
            </w:r>
          </w:p>
        </w:tc>
        <w:tc>
          <w:tcPr>
            <w:tcW w:w="6540" w:type="dxa"/>
            <w:vAlign w:val="center"/>
          </w:tcPr>
          <w:p w14:paraId="302D0301">
            <w:p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响应文件所附证书证件要求：原件扫描件</w:t>
            </w:r>
          </w:p>
          <w:p w14:paraId="49D908BE">
            <w:pPr>
              <w:spacing w:before="120"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响应文件签字或盖章要求：签字或加盖电子签章</w:t>
            </w:r>
          </w:p>
        </w:tc>
      </w:tr>
      <w:tr w14:paraId="0CA02F5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481F53CE">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3.7.3</w:t>
            </w:r>
          </w:p>
        </w:tc>
        <w:tc>
          <w:tcPr>
            <w:tcW w:w="2191" w:type="dxa"/>
            <w:vAlign w:val="center"/>
          </w:tcPr>
          <w:p w14:paraId="74DED87B">
            <w:pPr>
              <w:spacing w:before="120" w:beforeLines="5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电子响应文件格式</w:t>
            </w:r>
          </w:p>
        </w:tc>
        <w:tc>
          <w:tcPr>
            <w:tcW w:w="6540" w:type="dxa"/>
            <w:vAlign w:val="center"/>
          </w:tcPr>
          <w:p w14:paraId="2423CDF0">
            <w:pPr>
              <w:spacing w:before="120"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响应文件全部采用电子文档，供应商应安装客户端软件—“政采云电子交易客户端”，并按照竞争性磋商文件和政采云电子交易平台的要求编制</w:t>
            </w:r>
          </w:p>
        </w:tc>
      </w:tr>
      <w:tr w14:paraId="07B40C2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78456E40">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4.1.1</w:t>
            </w:r>
          </w:p>
        </w:tc>
        <w:tc>
          <w:tcPr>
            <w:tcW w:w="2191" w:type="dxa"/>
            <w:vAlign w:val="center"/>
          </w:tcPr>
          <w:p w14:paraId="1AA3964C">
            <w:pPr>
              <w:spacing w:before="120" w:beforeLines="5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响应文件加密要求</w:t>
            </w:r>
          </w:p>
        </w:tc>
        <w:tc>
          <w:tcPr>
            <w:tcW w:w="6540" w:type="dxa"/>
            <w:vAlign w:val="center"/>
          </w:tcPr>
          <w:p w14:paraId="10C99DA1">
            <w:p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（1）供应商进行电子交易应安装客户端软件—“政采云电子交易客户端”，并按照磋商文件和电子交易平台的要求编制并加密响应文件。供应商未按规定加密的响应文件，电子交易平台将拒收并提示；</w:t>
            </w:r>
          </w:p>
          <w:p w14:paraId="21B0EFEC">
            <w:p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（2）使用“政采云电子交易客户端”需要提前申领CA数字证书，申领流程见该项目采购公告附件；</w:t>
            </w:r>
          </w:p>
          <w:p w14:paraId="1BF100AF">
            <w:pPr>
              <w:spacing w:before="120"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（3）为确保网上操作合法、有效和安全，供应商应当在响应文件提交截止时间前完成在“政府采购云平台”的身份认证，确保在电子交易过程中能够对相关数据电文进行加密和使用电子签名。</w:t>
            </w:r>
          </w:p>
        </w:tc>
      </w:tr>
      <w:tr w14:paraId="6AA06C3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2142C7BA">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4.2.1</w:t>
            </w:r>
          </w:p>
        </w:tc>
        <w:tc>
          <w:tcPr>
            <w:tcW w:w="2191" w:type="dxa"/>
            <w:vAlign w:val="center"/>
          </w:tcPr>
          <w:p w14:paraId="19F4EDB5">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递交响应文件截止时间和地点</w:t>
            </w:r>
          </w:p>
        </w:tc>
        <w:tc>
          <w:tcPr>
            <w:tcW w:w="6540" w:type="dxa"/>
            <w:vAlign w:val="center"/>
          </w:tcPr>
          <w:p w14:paraId="64500900">
            <w:pPr>
              <w:wordWrap w:val="0"/>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递交时间：同递交响应文件截止时间</w:t>
            </w:r>
          </w:p>
          <w:p w14:paraId="6D763371">
            <w:pPr>
              <w:wordWrap w:val="0"/>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递交地点：政府采购云平台（网址：https://www.zcygov.cn/）。</w:t>
            </w:r>
          </w:p>
        </w:tc>
      </w:tr>
      <w:tr w14:paraId="6D08FD3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27643EB1">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4.2.2</w:t>
            </w:r>
          </w:p>
        </w:tc>
        <w:tc>
          <w:tcPr>
            <w:tcW w:w="2191" w:type="dxa"/>
            <w:vAlign w:val="center"/>
          </w:tcPr>
          <w:p w14:paraId="4BC5D56E">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是否退还响应文件</w:t>
            </w:r>
          </w:p>
        </w:tc>
        <w:tc>
          <w:tcPr>
            <w:tcW w:w="6540" w:type="dxa"/>
            <w:vAlign w:val="center"/>
          </w:tcPr>
          <w:p w14:paraId="7F99C196">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■否</w:t>
            </w:r>
          </w:p>
          <w:p w14:paraId="48A49585">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□是，退还时间：</w:t>
            </w:r>
            <w:r>
              <w:rPr>
                <w:rFonts w:hint="eastAsia" w:ascii="宋体" w:hAnsi="宋体" w:eastAsia="宋体" w:cs="宋体"/>
                <w:color w:val="auto"/>
                <w:highlight w:val="none"/>
                <w:u w:val="single"/>
              </w:rPr>
              <w:t xml:space="preserve"> / </w:t>
            </w:r>
          </w:p>
        </w:tc>
      </w:tr>
      <w:tr w14:paraId="4CABDA7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0CE7D28C">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2191" w:type="dxa"/>
            <w:vAlign w:val="center"/>
          </w:tcPr>
          <w:p w14:paraId="34850021">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是否公开开启响应文件</w:t>
            </w:r>
          </w:p>
        </w:tc>
        <w:tc>
          <w:tcPr>
            <w:tcW w:w="6540" w:type="dxa"/>
            <w:vAlign w:val="center"/>
          </w:tcPr>
          <w:p w14:paraId="6D62BF76">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□否</w:t>
            </w:r>
          </w:p>
          <w:p w14:paraId="00580B08">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■是</w:t>
            </w:r>
          </w:p>
        </w:tc>
      </w:tr>
      <w:tr w14:paraId="5C4C78B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77E80527">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5.1</w:t>
            </w:r>
          </w:p>
        </w:tc>
        <w:tc>
          <w:tcPr>
            <w:tcW w:w="2191" w:type="dxa"/>
            <w:vAlign w:val="center"/>
          </w:tcPr>
          <w:p w14:paraId="1B1AAB2C">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开启地点</w:t>
            </w:r>
          </w:p>
        </w:tc>
        <w:tc>
          <w:tcPr>
            <w:tcW w:w="6540" w:type="dxa"/>
            <w:vAlign w:val="center"/>
          </w:tcPr>
          <w:p w14:paraId="69257027">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政府采购云平台（网址：https://www.zcygov.cn/）。</w:t>
            </w:r>
          </w:p>
        </w:tc>
      </w:tr>
      <w:tr w14:paraId="3871598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7CBFB136">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5.2</w:t>
            </w:r>
          </w:p>
        </w:tc>
        <w:tc>
          <w:tcPr>
            <w:tcW w:w="2191" w:type="dxa"/>
            <w:vAlign w:val="center"/>
          </w:tcPr>
          <w:p w14:paraId="60FE4F50">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开启程序</w:t>
            </w:r>
          </w:p>
        </w:tc>
        <w:tc>
          <w:tcPr>
            <w:tcW w:w="6540" w:type="dxa"/>
            <w:vAlign w:val="center"/>
          </w:tcPr>
          <w:p w14:paraId="1735A315">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开启顺序：</w:t>
            </w:r>
            <w:r>
              <w:rPr>
                <w:rFonts w:hint="eastAsia" w:ascii="宋体" w:hAnsi="宋体" w:eastAsia="宋体" w:cs="宋体"/>
                <w:color w:val="auto"/>
                <w:highlight w:val="none"/>
                <w:u w:val="single"/>
              </w:rPr>
              <w:t xml:space="preserve"> 随机 </w:t>
            </w:r>
          </w:p>
          <w:p w14:paraId="7FBE0922">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其他应公布的信息：</w:t>
            </w:r>
            <w:r>
              <w:rPr>
                <w:rFonts w:hint="eastAsia" w:ascii="宋体" w:hAnsi="宋体" w:eastAsia="宋体" w:cs="宋体"/>
                <w:color w:val="auto"/>
                <w:highlight w:val="none"/>
                <w:u w:val="single"/>
              </w:rPr>
              <w:t xml:space="preserve"> 响应文件中报价一览表上的信息（首轮报价不公布） </w:t>
            </w:r>
          </w:p>
        </w:tc>
      </w:tr>
      <w:tr w14:paraId="328C9B0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6F83A950">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6.3.1</w:t>
            </w:r>
          </w:p>
        </w:tc>
        <w:tc>
          <w:tcPr>
            <w:tcW w:w="2191" w:type="dxa"/>
            <w:vAlign w:val="center"/>
          </w:tcPr>
          <w:p w14:paraId="29036125">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磋商轮次及磋商顺序</w:t>
            </w:r>
          </w:p>
        </w:tc>
        <w:tc>
          <w:tcPr>
            <w:tcW w:w="6540" w:type="dxa"/>
            <w:vAlign w:val="center"/>
          </w:tcPr>
          <w:p w14:paraId="01B27E52">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磋商轮次：</w:t>
            </w:r>
          </w:p>
          <w:p w14:paraId="37A4B3E8">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■本项目共进行</w:t>
            </w:r>
            <w:r>
              <w:rPr>
                <w:rFonts w:hint="eastAsia" w:ascii="宋体" w:hAnsi="宋体" w:eastAsia="宋体" w:cs="宋体"/>
                <w:color w:val="auto"/>
                <w:highlight w:val="none"/>
                <w:u w:val="single"/>
              </w:rPr>
              <w:t xml:space="preserve"> 1 </w:t>
            </w:r>
            <w:r>
              <w:rPr>
                <w:rFonts w:hint="eastAsia" w:ascii="宋体" w:hAnsi="宋体" w:eastAsia="宋体" w:cs="宋体"/>
                <w:color w:val="auto"/>
                <w:highlight w:val="none"/>
              </w:rPr>
              <w:t>轮磋商</w:t>
            </w:r>
          </w:p>
          <w:p w14:paraId="449693E4">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□磋商小组在首轮磋商前告知被邀请参加磋商的供应商磋商轮次</w:t>
            </w:r>
          </w:p>
          <w:p w14:paraId="5FB45CAE">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□本项目不事先确定磋商轮次，磋商小组根据磋商情况确定，并在最后一轮磋商前告知供应商</w:t>
            </w:r>
          </w:p>
          <w:p w14:paraId="25546AA9">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磋商顺序：</w:t>
            </w:r>
            <w:r>
              <w:rPr>
                <w:rFonts w:hint="eastAsia" w:ascii="宋体" w:hAnsi="宋体" w:eastAsia="宋体" w:cs="宋体"/>
                <w:color w:val="auto"/>
                <w:highlight w:val="none"/>
                <w:u w:val="single"/>
              </w:rPr>
              <w:t xml:space="preserve"> 供应商现场抽签顺序 </w:t>
            </w:r>
          </w:p>
        </w:tc>
      </w:tr>
      <w:tr w14:paraId="50C9EF0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57234563">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6.3.2</w:t>
            </w:r>
          </w:p>
        </w:tc>
        <w:tc>
          <w:tcPr>
            <w:tcW w:w="2191" w:type="dxa"/>
            <w:vAlign w:val="center"/>
          </w:tcPr>
          <w:p w14:paraId="7F29C080">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选择磋商供应商</w:t>
            </w:r>
          </w:p>
        </w:tc>
        <w:tc>
          <w:tcPr>
            <w:tcW w:w="6540" w:type="dxa"/>
            <w:vAlign w:val="center"/>
          </w:tcPr>
          <w:p w14:paraId="7FCAF106">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预定参加磋商的供应商数量：</w:t>
            </w:r>
            <w:r>
              <w:rPr>
                <w:rFonts w:hint="eastAsia" w:ascii="宋体" w:hAnsi="宋体" w:eastAsia="宋体" w:cs="宋体"/>
                <w:color w:val="auto"/>
                <w:highlight w:val="none"/>
                <w:u w:val="single"/>
              </w:rPr>
              <w:t xml:space="preserve"> 所有通过初步评审的供应商 </w:t>
            </w:r>
          </w:p>
          <w:p w14:paraId="278D5D34">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选择方法：</w:t>
            </w:r>
            <w:r>
              <w:rPr>
                <w:rFonts w:hint="eastAsia" w:ascii="宋体" w:hAnsi="宋体" w:eastAsia="宋体" w:cs="宋体"/>
                <w:color w:val="auto"/>
                <w:highlight w:val="none"/>
                <w:u w:val="single"/>
              </w:rPr>
              <w:t xml:space="preserve"> / </w:t>
            </w:r>
          </w:p>
          <w:p w14:paraId="753D6EA0">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退还未被选择的供应商的响应保证金的时间：</w:t>
            </w:r>
            <w:r>
              <w:rPr>
                <w:rFonts w:hint="eastAsia" w:ascii="宋体" w:hAnsi="宋体" w:eastAsia="宋体" w:cs="宋体"/>
                <w:color w:val="auto"/>
                <w:highlight w:val="none"/>
                <w:u w:val="single"/>
              </w:rPr>
              <w:t xml:space="preserve"> / </w:t>
            </w:r>
          </w:p>
        </w:tc>
      </w:tr>
      <w:tr w14:paraId="3CEC13C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6DE4BA89">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6.3.4</w:t>
            </w:r>
          </w:p>
        </w:tc>
        <w:tc>
          <w:tcPr>
            <w:tcW w:w="2191" w:type="dxa"/>
            <w:vAlign w:val="center"/>
          </w:tcPr>
          <w:p w14:paraId="7AD4FA6C">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是否允许未准时参加某一轮次磋商的供应商参加后续磋商采购活动</w:t>
            </w:r>
          </w:p>
        </w:tc>
        <w:tc>
          <w:tcPr>
            <w:tcW w:w="6540" w:type="dxa"/>
            <w:vAlign w:val="center"/>
          </w:tcPr>
          <w:p w14:paraId="57980DB9">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□允许</w:t>
            </w:r>
          </w:p>
          <w:p w14:paraId="7F536239">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■不允许</w:t>
            </w:r>
          </w:p>
        </w:tc>
      </w:tr>
      <w:tr w14:paraId="383DF1B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47BE8E15">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6.6</w:t>
            </w:r>
          </w:p>
        </w:tc>
        <w:tc>
          <w:tcPr>
            <w:tcW w:w="2191" w:type="dxa"/>
            <w:vAlign w:val="center"/>
          </w:tcPr>
          <w:p w14:paraId="745D9398">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是否公开开启最终报价</w:t>
            </w:r>
          </w:p>
        </w:tc>
        <w:tc>
          <w:tcPr>
            <w:tcW w:w="6540" w:type="dxa"/>
            <w:vAlign w:val="center"/>
          </w:tcPr>
          <w:p w14:paraId="44F41180">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■否</w:t>
            </w:r>
          </w:p>
          <w:p w14:paraId="625028E6">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□是</w:t>
            </w:r>
          </w:p>
        </w:tc>
      </w:tr>
      <w:tr w14:paraId="377FB5B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3B6FFF55">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6.7.2</w:t>
            </w:r>
          </w:p>
        </w:tc>
        <w:tc>
          <w:tcPr>
            <w:tcW w:w="2191" w:type="dxa"/>
            <w:vAlign w:val="center"/>
          </w:tcPr>
          <w:p w14:paraId="52A33CA4">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推荐候选成交供应商的排序及数量</w:t>
            </w:r>
          </w:p>
        </w:tc>
        <w:tc>
          <w:tcPr>
            <w:tcW w:w="6540" w:type="dxa"/>
            <w:vAlign w:val="center"/>
          </w:tcPr>
          <w:p w14:paraId="5B5A3478">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是否排序：</w:t>
            </w:r>
          </w:p>
          <w:p w14:paraId="2E9BD814">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■排序</w:t>
            </w:r>
          </w:p>
          <w:p w14:paraId="2BBD541A">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□不排序</w:t>
            </w:r>
          </w:p>
          <w:p w14:paraId="1950454F">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数量：</w:t>
            </w:r>
            <w:r>
              <w:rPr>
                <w:rFonts w:hint="eastAsia" w:ascii="宋体" w:hAnsi="宋体" w:eastAsia="宋体" w:cs="宋体"/>
                <w:color w:val="auto"/>
                <w:highlight w:val="none"/>
                <w:u w:val="single"/>
              </w:rPr>
              <w:t xml:space="preserve"> 3 </w:t>
            </w:r>
          </w:p>
        </w:tc>
      </w:tr>
      <w:tr w14:paraId="7270765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396A713D">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7.3</w:t>
            </w:r>
          </w:p>
        </w:tc>
        <w:tc>
          <w:tcPr>
            <w:tcW w:w="2191" w:type="dxa"/>
            <w:vAlign w:val="center"/>
          </w:tcPr>
          <w:p w14:paraId="43870980">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成交结果公告</w:t>
            </w:r>
          </w:p>
        </w:tc>
        <w:tc>
          <w:tcPr>
            <w:tcW w:w="6540" w:type="dxa"/>
            <w:vAlign w:val="center"/>
          </w:tcPr>
          <w:p w14:paraId="2E845342">
            <w:pPr>
              <w:spacing w:before="120" w:beforeLines="5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公示媒介：</w:t>
            </w:r>
            <w:r>
              <w:rPr>
                <w:rFonts w:hint="eastAsia" w:ascii="宋体" w:hAnsi="宋体" w:eastAsia="宋体" w:cs="宋体"/>
                <w:color w:val="auto"/>
                <w:highlight w:val="none"/>
                <w:u w:val="single"/>
              </w:rPr>
              <w:t>在《云南省政府采购网》、《政府采购云平台》上发布。</w:t>
            </w:r>
          </w:p>
          <w:p w14:paraId="257AEA10">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公示期限：</w:t>
            </w:r>
            <w:r>
              <w:rPr>
                <w:rFonts w:hint="eastAsia" w:ascii="宋体" w:hAnsi="宋体" w:eastAsia="宋体" w:cs="宋体"/>
                <w:color w:val="auto"/>
                <w:highlight w:val="none"/>
                <w:u w:val="single"/>
              </w:rPr>
              <w:t xml:space="preserve"> 1个工作日 </w:t>
            </w:r>
          </w:p>
          <w:p w14:paraId="77722E8B">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其他应公示的内容：</w:t>
            </w:r>
            <w:r>
              <w:rPr>
                <w:rFonts w:hint="eastAsia" w:ascii="宋体" w:hAnsi="宋体" w:eastAsia="宋体" w:cs="宋体"/>
                <w:color w:val="auto"/>
                <w:highlight w:val="none"/>
                <w:u w:val="single"/>
              </w:rPr>
              <w:t xml:space="preserve"> / </w:t>
            </w:r>
          </w:p>
        </w:tc>
      </w:tr>
      <w:tr w14:paraId="4B57E1B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5F77E9F3">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7.5</w:t>
            </w:r>
          </w:p>
        </w:tc>
        <w:tc>
          <w:tcPr>
            <w:tcW w:w="2191" w:type="dxa"/>
            <w:vAlign w:val="center"/>
          </w:tcPr>
          <w:p w14:paraId="1656F81B">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履约保证金</w:t>
            </w:r>
          </w:p>
        </w:tc>
        <w:tc>
          <w:tcPr>
            <w:tcW w:w="6540" w:type="dxa"/>
            <w:vAlign w:val="center"/>
          </w:tcPr>
          <w:p w14:paraId="2178DBB5">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■不要求递交</w:t>
            </w:r>
          </w:p>
          <w:p w14:paraId="34917590">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□要求递交</w:t>
            </w:r>
          </w:p>
        </w:tc>
      </w:tr>
      <w:tr w14:paraId="056917B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057BF3FE">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7.6.4</w:t>
            </w:r>
          </w:p>
        </w:tc>
        <w:tc>
          <w:tcPr>
            <w:tcW w:w="2191" w:type="dxa"/>
            <w:vAlign w:val="center"/>
          </w:tcPr>
          <w:p w14:paraId="7F4C1310">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签约合同价</w:t>
            </w:r>
          </w:p>
        </w:tc>
        <w:tc>
          <w:tcPr>
            <w:tcW w:w="6540" w:type="dxa"/>
            <w:vAlign w:val="center"/>
          </w:tcPr>
          <w:p w14:paraId="24844B12">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成交供应商最终报价。</w:t>
            </w:r>
          </w:p>
          <w:p w14:paraId="0240A791">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注：最终报价有算术错误或其他错误的，最终报价进行修正后，若修正后的最终报价小于评审价格，则签订合同时以修正后的最终报价为准；若修正后的最终报价大于评审价格，则签订合同时以评审价格为准，同时按比例修正相应子目的单价或合价（采购文件不允许调整的费率和金额除外）。</w:t>
            </w:r>
          </w:p>
        </w:tc>
      </w:tr>
      <w:tr w14:paraId="5CECE77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2BC0214D">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10.1</w:t>
            </w:r>
          </w:p>
        </w:tc>
        <w:tc>
          <w:tcPr>
            <w:tcW w:w="2191" w:type="dxa"/>
            <w:vAlign w:val="center"/>
          </w:tcPr>
          <w:p w14:paraId="04CA5292">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采购代理服务费</w:t>
            </w:r>
          </w:p>
        </w:tc>
        <w:tc>
          <w:tcPr>
            <w:tcW w:w="6540" w:type="dxa"/>
            <w:vAlign w:val="center"/>
          </w:tcPr>
          <w:p w14:paraId="60CE59D5">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□不要求承担</w:t>
            </w:r>
          </w:p>
          <w:p w14:paraId="675917B5">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■要求承担</w:t>
            </w:r>
          </w:p>
          <w:p w14:paraId="5FEF5C4F">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费用标准或金额：</w:t>
            </w:r>
            <w:r>
              <w:rPr>
                <w:rFonts w:hint="eastAsia" w:ascii="宋体" w:hAnsi="宋体" w:eastAsia="宋体" w:cs="宋体"/>
                <w:color w:val="auto"/>
                <w:highlight w:val="none"/>
                <w:u w:val="single"/>
              </w:rPr>
              <w:t>根据云建招协〔2023〕51号文附件《云南省建设工程招标代理服务收费指导意见（试行）》标准计算后，由成交人支付。</w:t>
            </w:r>
          </w:p>
          <w:p w14:paraId="7CB52F91">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交费时间：</w:t>
            </w:r>
            <w:r>
              <w:rPr>
                <w:rFonts w:hint="eastAsia" w:ascii="宋体" w:hAnsi="宋体" w:eastAsia="宋体" w:cs="宋体"/>
                <w:color w:val="auto"/>
                <w:highlight w:val="none"/>
                <w:u w:val="single"/>
              </w:rPr>
              <w:t xml:space="preserve"> 成交供应商领取成交通知书前一次性足额支付给采购代理机构 </w:t>
            </w:r>
          </w:p>
          <w:p w14:paraId="4DEECAF5">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交费方式：</w:t>
            </w:r>
            <w:r>
              <w:rPr>
                <w:rFonts w:hint="eastAsia" w:ascii="宋体" w:hAnsi="宋体" w:eastAsia="宋体" w:cs="宋体"/>
                <w:color w:val="auto"/>
                <w:highlight w:val="none"/>
                <w:u w:val="single"/>
              </w:rPr>
              <w:t xml:space="preserve"> 现金或银行转账</w:t>
            </w:r>
          </w:p>
        </w:tc>
      </w:tr>
      <w:tr w14:paraId="173F1B0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17" w:type="dxa"/>
            <w:vAlign w:val="center"/>
          </w:tcPr>
          <w:p w14:paraId="07782DCD">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10.2</w:t>
            </w:r>
          </w:p>
        </w:tc>
        <w:tc>
          <w:tcPr>
            <w:tcW w:w="8731" w:type="dxa"/>
            <w:gridSpan w:val="2"/>
            <w:vAlign w:val="center"/>
          </w:tcPr>
          <w:p w14:paraId="2881D117">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需要补充的其他内容</w:t>
            </w:r>
          </w:p>
        </w:tc>
      </w:tr>
      <w:tr w14:paraId="0DA2F88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648" w:type="dxa"/>
            <w:gridSpan w:val="3"/>
            <w:vAlign w:val="center"/>
          </w:tcPr>
          <w:p w14:paraId="6AFB98F4">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10.2.1小微企业优惠：</w:t>
            </w:r>
          </w:p>
          <w:p w14:paraId="5127AD32">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价格扣除</w:t>
            </w:r>
          </w:p>
          <w:p w14:paraId="7A2C2802">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1.根据《政府采购促进中小企业发展暂行办法》（财库〔2020〕46号）、《财政部 司法部关于政府采购支持监狱企业发展有关问题的通知》（财库〔2014〕68号）和《财政部 民政部 中国残疾人联合会关于促进残疾人就业政府采购政策的通知》（财库〔2017〕141号）的规定，对符合规定的小微企业（监狱企业、残疾人福利性单位）报价给予10%的扣除，用扣除后的价格参加评审。</w:t>
            </w:r>
          </w:p>
          <w:p w14:paraId="0B07D48F">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2.不享受本条规定的价格扣除情形：</w:t>
            </w:r>
          </w:p>
          <w:p w14:paraId="467220EE">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（1）中小企业参加政府采购活动，未出具《中小企业声明函》的，或供应商提供的货物既有中小企业制造货物，也有大型企业制造货物的；</w:t>
            </w:r>
          </w:p>
          <w:p w14:paraId="23662008">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（2）监狱企业未出具省级以上监狱管理局、戒毒管理局（含新疆生产建设兵团）出具的属于监狱企业的证明文件的；</w:t>
            </w:r>
          </w:p>
          <w:p w14:paraId="1FE79705">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（3）残疾人福利性单位未出具《残疾人福利性单位声明函》的。</w:t>
            </w:r>
          </w:p>
          <w:p w14:paraId="12995291">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3.对于同时属于小微企业、监狱企业或残疾人福利性单位的，不重复享受价格扣除。</w:t>
            </w:r>
          </w:p>
          <w:p w14:paraId="1F013D8C">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4.供应商提供声明函内容不实的，属于提供虚假材料谋取中标、成交，依照《中华人民共和国政府采购法》等国家有关规定追究相应责任。</w:t>
            </w:r>
          </w:p>
        </w:tc>
      </w:tr>
    </w:tbl>
    <w:p w14:paraId="6EAD5AF5">
      <w:pPr>
        <w:spacing w:line="360" w:lineRule="auto"/>
        <w:rPr>
          <w:rFonts w:hint="eastAsia" w:ascii="宋体" w:hAnsi="宋体" w:eastAsia="宋体" w:cs="宋体"/>
          <w:color w:val="auto"/>
          <w:highlight w:val="none"/>
        </w:rPr>
      </w:pPr>
    </w:p>
    <w:p w14:paraId="0B876A1C">
      <w:pPr>
        <w:pStyle w:val="4"/>
        <w:spacing w:before="0" w:after="0" w:line="360" w:lineRule="auto"/>
        <w:rPr>
          <w:rFonts w:hint="eastAsia" w:ascii="宋体" w:hAnsi="宋体" w:eastAsia="宋体" w:cs="宋体"/>
          <w:color w:val="auto"/>
          <w:sz w:val="21"/>
          <w:szCs w:val="21"/>
          <w:highlight w:val="none"/>
        </w:rPr>
      </w:pPr>
      <w:bookmarkStart w:id="33" w:name="_Toc70424825"/>
      <w:bookmarkStart w:id="34" w:name="_Toc151027050"/>
      <w:bookmarkStart w:id="35" w:name="_Toc29562"/>
      <w:r>
        <w:rPr>
          <w:rFonts w:hint="eastAsia" w:ascii="宋体" w:hAnsi="宋体" w:eastAsia="宋体" w:cs="宋体"/>
          <w:color w:val="auto"/>
          <w:sz w:val="21"/>
          <w:szCs w:val="21"/>
          <w:highlight w:val="none"/>
        </w:rPr>
        <w:t>1. 总则</w:t>
      </w:r>
      <w:bookmarkEnd w:id="33"/>
      <w:bookmarkEnd w:id="34"/>
      <w:bookmarkEnd w:id="35"/>
    </w:p>
    <w:p w14:paraId="64FE6672">
      <w:pPr>
        <w:pStyle w:val="5"/>
        <w:spacing w:before="0" w:after="0" w:line="360" w:lineRule="auto"/>
        <w:rPr>
          <w:rFonts w:hint="eastAsia" w:ascii="宋体" w:hAnsi="宋体" w:eastAsia="宋体" w:cs="宋体"/>
          <w:color w:val="auto"/>
          <w:sz w:val="21"/>
          <w:szCs w:val="21"/>
          <w:highlight w:val="none"/>
        </w:rPr>
      </w:pPr>
      <w:bookmarkStart w:id="36" w:name="_Toc12377"/>
      <w:bookmarkStart w:id="37" w:name="_Toc151027051"/>
      <w:bookmarkStart w:id="38" w:name="_Toc70424826"/>
      <w:r>
        <w:rPr>
          <w:rFonts w:hint="eastAsia" w:ascii="宋体" w:hAnsi="宋体" w:eastAsia="宋体" w:cs="宋体"/>
          <w:color w:val="auto"/>
          <w:sz w:val="21"/>
          <w:szCs w:val="21"/>
          <w:highlight w:val="none"/>
        </w:rPr>
        <w:t>1.1 项目概况</w:t>
      </w:r>
      <w:bookmarkEnd w:id="36"/>
      <w:bookmarkEnd w:id="37"/>
      <w:bookmarkEnd w:id="38"/>
    </w:p>
    <w:p w14:paraId="0EAD1F0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1.1.1 根据《中华人民共和国政府采购法》、《中华人民共和国政府采购法实施条例》等有关法律、法规和规章的规定，本项目已具备采购条件，现对本项目进行竞争性磋商采购活动。</w:t>
      </w:r>
    </w:p>
    <w:p w14:paraId="228CDDF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1.1.2 采购人：见供应商须知前附表。</w:t>
      </w:r>
    </w:p>
    <w:p w14:paraId="112BEE9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1.1.3 采购代理机构：见供应商须知前附表。</w:t>
      </w:r>
    </w:p>
    <w:p w14:paraId="5D6D415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1.1.4 采购项目名称：见供应商须知前附表。</w:t>
      </w:r>
    </w:p>
    <w:p w14:paraId="436FA32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1.1.5 </w:t>
      </w:r>
      <w:r>
        <w:rPr>
          <w:rFonts w:hint="eastAsia" w:ascii="宋体" w:hAnsi="宋体" w:eastAsia="宋体" w:cs="宋体"/>
          <w:color w:val="auto"/>
          <w:highlight w:val="none"/>
          <w:lang w:eastAsia="zh-CN"/>
        </w:rPr>
        <w:t>完成地点</w:t>
      </w:r>
      <w:r>
        <w:rPr>
          <w:rFonts w:hint="eastAsia" w:ascii="宋体" w:hAnsi="宋体" w:eastAsia="宋体" w:cs="宋体"/>
          <w:color w:val="auto"/>
          <w:highlight w:val="none"/>
        </w:rPr>
        <w:t>：见供应商须知前附表。</w:t>
      </w:r>
    </w:p>
    <w:p w14:paraId="2CD404FD">
      <w:pPr>
        <w:pStyle w:val="5"/>
        <w:spacing w:before="0" w:after="0" w:line="360" w:lineRule="auto"/>
        <w:rPr>
          <w:rFonts w:hint="eastAsia" w:ascii="宋体" w:hAnsi="宋体" w:eastAsia="宋体" w:cs="宋体"/>
          <w:color w:val="auto"/>
          <w:sz w:val="21"/>
          <w:szCs w:val="21"/>
          <w:highlight w:val="none"/>
        </w:rPr>
      </w:pPr>
      <w:bookmarkStart w:id="39" w:name="_Toc11386"/>
      <w:bookmarkStart w:id="40" w:name="_Toc151027052"/>
      <w:bookmarkStart w:id="41" w:name="_Toc70424827"/>
      <w:r>
        <w:rPr>
          <w:rFonts w:hint="eastAsia" w:ascii="宋体" w:hAnsi="宋体" w:eastAsia="宋体" w:cs="宋体"/>
          <w:color w:val="auto"/>
          <w:sz w:val="21"/>
          <w:szCs w:val="21"/>
          <w:highlight w:val="none"/>
        </w:rPr>
        <w:t>1.2 采购项目的资金来源及落实情况</w:t>
      </w:r>
      <w:bookmarkEnd w:id="39"/>
      <w:bookmarkEnd w:id="40"/>
      <w:bookmarkEnd w:id="41"/>
    </w:p>
    <w:p w14:paraId="5CD0194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1.2.1 资金来源：见供应商须知前附表。</w:t>
      </w:r>
    </w:p>
    <w:p w14:paraId="3665A70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1.2.2 资金落实情况：见供应商须知前附表。</w:t>
      </w:r>
    </w:p>
    <w:p w14:paraId="74C6B91F">
      <w:pPr>
        <w:pStyle w:val="5"/>
        <w:spacing w:before="0" w:after="0" w:line="360" w:lineRule="auto"/>
        <w:rPr>
          <w:rFonts w:hint="eastAsia" w:ascii="宋体" w:hAnsi="宋体" w:eastAsia="宋体" w:cs="宋体"/>
          <w:color w:val="auto"/>
          <w:sz w:val="21"/>
          <w:szCs w:val="21"/>
          <w:highlight w:val="none"/>
        </w:rPr>
      </w:pPr>
      <w:bookmarkStart w:id="42" w:name="_Toc70424828"/>
      <w:bookmarkStart w:id="43" w:name="_Toc151027053"/>
      <w:bookmarkStart w:id="44" w:name="_Toc20170"/>
      <w:r>
        <w:rPr>
          <w:rFonts w:hint="eastAsia" w:ascii="宋体" w:hAnsi="宋体" w:eastAsia="宋体" w:cs="宋体"/>
          <w:color w:val="auto"/>
          <w:sz w:val="21"/>
          <w:szCs w:val="21"/>
          <w:highlight w:val="none"/>
        </w:rPr>
        <w:t>1.3 采购范围、</w:t>
      </w:r>
      <w:r>
        <w:rPr>
          <w:rFonts w:hint="eastAsia" w:ascii="宋体" w:hAnsi="宋体" w:eastAsia="宋体" w:cs="宋体"/>
          <w:color w:val="auto"/>
          <w:sz w:val="21"/>
          <w:szCs w:val="21"/>
          <w:highlight w:val="none"/>
          <w:lang w:eastAsia="zh-CN"/>
        </w:rPr>
        <w:t>完成时间</w:t>
      </w:r>
      <w:r>
        <w:rPr>
          <w:rFonts w:hint="eastAsia" w:ascii="宋体" w:hAnsi="宋体" w:eastAsia="宋体" w:cs="宋体"/>
          <w:color w:val="auto"/>
          <w:sz w:val="21"/>
          <w:szCs w:val="21"/>
          <w:highlight w:val="none"/>
        </w:rPr>
        <w:t>、质量标准</w:t>
      </w:r>
      <w:bookmarkEnd w:id="42"/>
      <w:bookmarkEnd w:id="43"/>
      <w:bookmarkEnd w:id="44"/>
    </w:p>
    <w:p w14:paraId="06B8CFD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1.3.1 采购范围：见供应商须知前附表。</w:t>
      </w:r>
    </w:p>
    <w:p w14:paraId="7B09AB5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1.3.2 </w:t>
      </w:r>
      <w:r>
        <w:rPr>
          <w:rFonts w:hint="eastAsia" w:ascii="宋体" w:hAnsi="宋体" w:eastAsia="宋体" w:cs="宋体"/>
          <w:color w:val="auto"/>
          <w:highlight w:val="none"/>
          <w:lang w:eastAsia="zh-CN"/>
        </w:rPr>
        <w:t>完成时间</w:t>
      </w:r>
      <w:r>
        <w:rPr>
          <w:rFonts w:hint="eastAsia" w:ascii="宋体" w:hAnsi="宋体" w:eastAsia="宋体" w:cs="宋体"/>
          <w:color w:val="auto"/>
          <w:highlight w:val="none"/>
        </w:rPr>
        <w:t xml:space="preserve"> ：见供应商须知前附表。</w:t>
      </w:r>
    </w:p>
    <w:p w14:paraId="3CFF12B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1.3.3 质量标准：见供应商须知前附表。</w:t>
      </w:r>
    </w:p>
    <w:p w14:paraId="207D6506">
      <w:pPr>
        <w:pStyle w:val="5"/>
        <w:spacing w:before="0" w:after="0" w:line="360" w:lineRule="auto"/>
        <w:rPr>
          <w:rFonts w:hint="eastAsia" w:ascii="宋体" w:hAnsi="宋体" w:eastAsia="宋体" w:cs="宋体"/>
          <w:color w:val="auto"/>
          <w:sz w:val="21"/>
          <w:szCs w:val="21"/>
          <w:highlight w:val="none"/>
        </w:rPr>
      </w:pPr>
      <w:bookmarkStart w:id="45" w:name="_Toc22257"/>
      <w:bookmarkStart w:id="46" w:name="_Toc151027054"/>
      <w:bookmarkStart w:id="47" w:name="_Toc70424829"/>
      <w:r>
        <w:rPr>
          <w:rFonts w:hint="eastAsia" w:ascii="宋体" w:hAnsi="宋体" w:eastAsia="宋体" w:cs="宋体"/>
          <w:color w:val="auto"/>
          <w:sz w:val="21"/>
          <w:szCs w:val="21"/>
          <w:highlight w:val="none"/>
        </w:rPr>
        <w:t>1.4 供应商资格要求</w:t>
      </w:r>
      <w:bookmarkEnd w:id="45"/>
      <w:bookmarkEnd w:id="46"/>
      <w:bookmarkEnd w:id="47"/>
    </w:p>
    <w:p w14:paraId="059964A9">
      <w:pPr>
        <w:spacing w:line="360" w:lineRule="auto"/>
        <w:ind w:firstLine="420" w:firstLineChars="200"/>
        <w:rPr>
          <w:rFonts w:hint="eastAsia" w:ascii="宋体" w:hAnsi="宋体" w:eastAsia="宋体" w:cs="宋体"/>
          <w:color w:val="auto"/>
          <w:highlight w:val="none"/>
        </w:rPr>
      </w:pPr>
      <w:bookmarkStart w:id="48" w:name="_Toc70424830"/>
      <w:bookmarkStart w:id="49" w:name="_Toc151027055"/>
      <w:bookmarkStart w:id="50" w:name="_Toc6054"/>
      <w:r>
        <w:rPr>
          <w:rFonts w:hint="eastAsia" w:ascii="宋体" w:hAnsi="宋体" w:eastAsia="宋体" w:cs="宋体"/>
          <w:color w:val="auto"/>
          <w:highlight w:val="none"/>
        </w:rPr>
        <w:t>1.4.1 供应商资格要求：见供应商须知前附表。</w:t>
      </w:r>
    </w:p>
    <w:p w14:paraId="68B753D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需要提交的相关证明材料见本章第3.5款的规定。</w:t>
      </w:r>
    </w:p>
    <w:p w14:paraId="5C17BAD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1.4.2 供应商须知前附表规定接受联合体投标的，联合体除应符合本章第1.4.1项和供应商须知前附表的要求外，还应遵守以下规定：</w:t>
      </w:r>
    </w:p>
    <w:p w14:paraId="1567A73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（1）联合体各方应按采购文件提供的格式签订联合体协议书，明确联合体牵头人和各方权利义务，并承诺就中标项目向采购人承担连带责任；</w:t>
      </w:r>
    </w:p>
    <w:p w14:paraId="4487C6E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（2）由同一专业的单位组成的联合体，按照资质等级较低的单位确定资质等级；</w:t>
      </w:r>
    </w:p>
    <w:p w14:paraId="27E6231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（3）联合体各方不得再以自己名义单独或参加其他联合体在本采购项目中投标，否则各相关投标均无效。</w:t>
      </w:r>
    </w:p>
    <w:p w14:paraId="42DC4840">
      <w:pPr>
        <w:pStyle w:val="5"/>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费用承担</w:t>
      </w:r>
      <w:bookmarkEnd w:id="48"/>
      <w:bookmarkEnd w:id="49"/>
      <w:bookmarkEnd w:id="50"/>
    </w:p>
    <w:p w14:paraId="17CC898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供应商准备和参加竞争性磋商采购活动所发生的各种费用由供应商自行承担。</w:t>
      </w:r>
    </w:p>
    <w:p w14:paraId="1CC3F3EE">
      <w:pPr>
        <w:pStyle w:val="5"/>
        <w:spacing w:before="0" w:after="0" w:line="360" w:lineRule="auto"/>
        <w:rPr>
          <w:rFonts w:hint="eastAsia" w:ascii="宋体" w:hAnsi="宋体" w:eastAsia="宋体" w:cs="宋体"/>
          <w:color w:val="auto"/>
          <w:sz w:val="21"/>
          <w:szCs w:val="21"/>
          <w:highlight w:val="none"/>
        </w:rPr>
      </w:pPr>
      <w:bookmarkStart w:id="51" w:name="_Toc5814"/>
      <w:bookmarkStart w:id="52" w:name="_Toc151027056"/>
      <w:bookmarkStart w:id="53" w:name="_Toc70424831"/>
      <w:r>
        <w:rPr>
          <w:rFonts w:hint="eastAsia" w:ascii="宋体" w:hAnsi="宋体" w:eastAsia="宋体" w:cs="宋体"/>
          <w:color w:val="auto"/>
          <w:sz w:val="21"/>
          <w:szCs w:val="21"/>
          <w:highlight w:val="none"/>
        </w:rPr>
        <w:t>1.6 保密</w:t>
      </w:r>
      <w:bookmarkEnd w:id="51"/>
      <w:bookmarkEnd w:id="52"/>
      <w:bookmarkEnd w:id="53"/>
    </w:p>
    <w:p w14:paraId="2471B1A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参加竞争性磋商采购活动的各方应对采购文件和响应文件中的商业和技术等秘密保密，否则应承担相应的法律责任。</w:t>
      </w:r>
    </w:p>
    <w:p w14:paraId="38BA06E0">
      <w:pPr>
        <w:pStyle w:val="5"/>
        <w:spacing w:before="0" w:after="0" w:line="360" w:lineRule="auto"/>
        <w:rPr>
          <w:rFonts w:hint="eastAsia" w:ascii="宋体" w:hAnsi="宋体" w:eastAsia="宋体" w:cs="宋体"/>
          <w:color w:val="auto"/>
          <w:sz w:val="21"/>
          <w:szCs w:val="21"/>
          <w:highlight w:val="none"/>
        </w:rPr>
      </w:pPr>
      <w:bookmarkStart w:id="54" w:name="_Toc70424832"/>
      <w:bookmarkStart w:id="55" w:name="_Toc12269"/>
      <w:bookmarkStart w:id="56" w:name="_Toc151027057"/>
      <w:r>
        <w:rPr>
          <w:rFonts w:hint="eastAsia" w:ascii="宋体" w:hAnsi="宋体" w:eastAsia="宋体" w:cs="宋体"/>
          <w:color w:val="auto"/>
          <w:sz w:val="21"/>
          <w:szCs w:val="21"/>
          <w:highlight w:val="none"/>
        </w:rPr>
        <w:t>1.7 语言文字</w:t>
      </w:r>
      <w:bookmarkEnd w:id="54"/>
      <w:bookmarkEnd w:id="55"/>
      <w:bookmarkEnd w:id="56"/>
    </w:p>
    <w:p w14:paraId="53A68EB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采购文件和响应文件使用的语言文字为中文。专用术语使用外文的，应附有中文注释。</w:t>
      </w:r>
    </w:p>
    <w:p w14:paraId="37BE36C2">
      <w:pPr>
        <w:pStyle w:val="5"/>
        <w:spacing w:before="0" w:after="0" w:line="360" w:lineRule="auto"/>
        <w:rPr>
          <w:rFonts w:hint="eastAsia" w:ascii="宋体" w:hAnsi="宋体" w:eastAsia="宋体" w:cs="宋体"/>
          <w:color w:val="auto"/>
          <w:sz w:val="21"/>
          <w:szCs w:val="21"/>
          <w:highlight w:val="none"/>
        </w:rPr>
      </w:pPr>
      <w:bookmarkStart w:id="57" w:name="_Toc151027058"/>
      <w:bookmarkStart w:id="58" w:name="_Toc70424833"/>
      <w:bookmarkStart w:id="59" w:name="_Toc21316"/>
      <w:r>
        <w:rPr>
          <w:rFonts w:hint="eastAsia" w:ascii="宋体" w:hAnsi="宋体" w:eastAsia="宋体" w:cs="宋体"/>
          <w:color w:val="auto"/>
          <w:sz w:val="21"/>
          <w:szCs w:val="21"/>
          <w:highlight w:val="none"/>
        </w:rPr>
        <w:t>1.8 计量单位</w:t>
      </w:r>
      <w:bookmarkEnd w:id="57"/>
      <w:bookmarkEnd w:id="58"/>
      <w:bookmarkEnd w:id="59"/>
    </w:p>
    <w:p w14:paraId="17478B5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所有计量均采用中华人民共和国法定计量单位。</w:t>
      </w:r>
    </w:p>
    <w:p w14:paraId="2EBA554A">
      <w:pPr>
        <w:pStyle w:val="5"/>
        <w:spacing w:before="0" w:after="0" w:line="360" w:lineRule="auto"/>
        <w:rPr>
          <w:rFonts w:hint="eastAsia" w:ascii="宋体" w:hAnsi="宋体" w:eastAsia="宋体" w:cs="宋体"/>
          <w:color w:val="auto"/>
          <w:sz w:val="21"/>
          <w:szCs w:val="21"/>
          <w:highlight w:val="none"/>
        </w:rPr>
      </w:pPr>
      <w:bookmarkStart w:id="60" w:name="_Toc151027059"/>
      <w:bookmarkStart w:id="61" w:name="_Toc70424834"/>
      <w:bookmarkStart w:id="62" w:name="_Toc17853"/>
      <w:r>
        <w:rPr>
          <w:rFonts w:hint="eastAsia" w:ascii="宋体" w:hAnsi="宋体" w:eastAsia="宋体" w:cs="宋体"/>
          <w:color w:val="auto"/>
          <w:sz w:val="21"/>
          <w:szCs w:val="21"/>
          <w:highlight w:val="none"/>
        </w:rPr>
        <w:t>1.9 踏勘现场</w:t>
      </w:r>
      <w:bookmarkEnd w:id="60"/>
      <w:bookmarkEnd w:id="61"/>
      <w:bookmarkEnd w:id="62"/>
    </w:p>
    <w:p w14:paraId="3D66BDF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1.9.1 供应商须知前附表规定组织踏勘现场的，采购人按供应商须知前附表规定的时间、地点组织供应商踏勘项目现场。部分供应商未按时参加踏勘现场的，不影响踏勘现场的正常进行。</w:t>
      </w:r>
    </w:p>
    <w:p w14:paraId="29919A0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1.9.2 供应商可自愿参加踏勘现场活动。除采购人的原因外，采购人对供应商参加踏勘现场中所发生的人员伤亡和财产损失不承担责任。</w:t>
      </w:r>
    </w:p>
    <w:p w14:paraId="51CE98F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1.9.3 采购人在踏勘现场中介绍的工程场地和相关的周边环境情况，仅作为供应商编制响应文件的参考，采购人不对供应商据此作出的判断和决策负责。</w:t>
      </w:r>
    </w:p>
    <w:p w14:paraId="7DD026AE">
      <w:pPr>
        <w:pStyle w:val="5"/>
        <w:spacing w:before="0" w:after="0" w:line="360" w:lineRule="auto"/>
        <w:rPr>
          <w:rFonts w:hint="eastAsia" w:ascii="宋体" w:hAnsi="宋体" w:eastAsia="宋体" w:cs="宋体"/>
          <w:color w:val="auto"/>
          <w:sz w:val="21"/>
          <w:szCs w:val="21"/>
          <w:highlight w:val="none"/>
        </w:rPr>
      </w:pPr>
      <w:bookmarkStart w:id="63" w:name="_Toc70424835"/>
      <w:bookmarkStart w:id="64" w:name="_Toc7306"/>
      <w:bookmarkStart w:id="65" w:name="_Toc151027060"/>
      <w:r>
        <w:rPr>
          <w:rFonts w:hint="eastAsia" w:ascii="宋体" w:hAnsi="宋体" w:eastAsia="宋体" w:cs="宋体"/>
          <w:color w:val="auto"/>
          <w:sz w:val="21"/>
          <w:szCs w:val="21"/>
          <w:highlight w:val="none"/>
        </w:rPr>
        <w:t>1.10 竞争性磋商采购预备会</w:t>
      </w:r>
      <w:bookmarkEnd w:id="63"/>
      <w:bookmarkEnd w:id="64"/>
      <w:bookmarkEnd w:id="65"/>
    </w:p>
    <w:p w14:paraId="3568DC5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供应商须知前附表规定召开竞争性磋商采购预备会的，采购人按供应商须知前附表规定的时间和地点召开竞争性磋商采购预备会。</w:t>
      </w:r>
    </w:p>
    <w:p w14:paraId="12D8FA0D">
      <w:pPr>
        <w:pStyle w:val="5"/>
        <w:spacing w:before="0" w:after="0" w:line="360" w:lineRule="auto"/>
        <w:rPr>
          <w:rFonts w:hint="eastAsia" w:ascii="宋体" w:hAnsi="宋体" w:eastAsia="宋体" w:cs="宋体"/>
          <w:color w:val="auto"/>
          <w:sz w:val="21"/>
          <w:szCs w:val="21"/>
          <w:highlight w:val="none"/>
        </w:rPr>
      </w:pPr>
      <w:bookmarkStart w:id="66" w:name="_Toc151027061"/>
      <w:bookmarkStart w:id="67" w:name="_Toc70424836"/>
      <w:bookmarkStart w:id="68" w:name="_Toc615"/>
      <w:r>
        <w:rPr>
          <w:rFonts w:hint="eastAsia" w:ascii="宋体" w:hAnsi="宋体" w:eastAsia="宋体" w:cs="宋体"/>
          <w:color w:val="auto"/>
          <w:sz w:val="21"/>
          <w:szCs w:val="21"/>
          <w:highlight w:val="none"/>
        </w:rPr>
        <w:t>1.11 分包</w:t>
      </w:r>
      <w:bookmarkEnd w:id="66"/>
      <w:bookmarkEnd w:id="67"/>
      <w:bookmarkEnd w:id="68"/>
    </w:p>
    <w:p w14:paraId="28FD8A6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供应商拟在成交后将成交项目的部分工作进行分包的，应符合供应商须知前附表的规定，并在响应文件中作出说明。</w:t>
      </w:r>
    </w:p>
    <w:p w14:paraId="21B38EC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分包供应商不得将分包项目再次分包。成交供应商应当就分包项目向采购人负责，分包供应商就分包项目承担连带责任。</w:t>
      </w:r>
    </w:p>
    <w:p w14:paraId="0079175A">
      <w:pPr>
        <w:pStyle w:val="5"/>
        <w:spacing w:before="0" w:after="0" w:line="360" w:lineRule="auto"/>
        <w:rPr>
          <w:rFonts w:hint="eastAsia" w:ascii="宋体" w:hAnsi="宋体" w:eastAsia="宋体" w:cs="宋体"/>
          <w:color w:val="auto"/>
          <w:sz w:val="21"/>
          <w:szCs w:val="21"/>
          <w:highlight w:val="none"/>
        </w:rPr>
      </w:pPr>
      <w:bookmarkStart w:id="69" w:name="_Toc29485"/>
      <w:bookmarkStart w:id="70" w:name="_Toc151027062"/>
      <w:bookmarkStart w:id="71" w:name="_Toc70424837"/>
      <w:r>
        <w:rPr>
          <w:rFonts w:hint="eastAsia" w:ascii="宋体" w:hAnsi="宋体" w:eastAsia="宋体" w:cs="宋体"/>
          <w:color w:val="auto"/>
          <w:sz w:val="21"/>
          <w:szCs w:val="21"/>
          <w:highlight w:val="none"/>
        </w:rPr>
        <w:t>1.12 响应和偏差</w:t>
      </w:r>
      <w:bookmarkEnd w:id="69"/>
      <w:bookmarkEnd w:id="70"/>
      <w:bookmarkEnd w:id="71"/>
    </w:p>
    <w:p w14:paraId="40818DD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1.12.1响应文件应当对采购需求和合同草案中的关键条款作出满足性或更有利于采购人的响应，否则，供应商的响应文件将被视为无效。</w:t>
      </w:r>
    </w:p>
    <w:p w14:paraId="452C640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1.12.2 供应商须知前附表规定了对非关键条款允许偏差的范围和可以偏差的项数的，如响应文件存在的偏差超出上述范围或项数，将被视为无效。</w:t>
      </w:r>
    </w:p>
    <w:p w14:paraId="53053DF3">
      <w:pPr>
        <w:pStyle w:val="4"/>
        <w:spacing w:before="0" w:after="0" w:line="360" w:lineRule="auto"/>
        <w:rPr>
          <w:rFonts w:hint="eastAsia" w:ascii="宋体" w:hAnsi="宋体" w:eastAsia="宋体" w:cs="宋体"/>
          <w:color w:val="auto"/>
          <w:sz w:val="21"/>
          <w:szCs w:val="21"/>
          <w:highlight w:val="none"/>
        </w:rPr>
      </w:pPr>
      <w:bookmarkStart w:id="72" w:name="_Toc22070"/>
      <w:bookmarkStart w:id="73" w:name="_Toc70424838"/>
      <w:bookmarkStart w:id="74" w:name="_Toc151027063"/>
      <w:r>
        <w:rPr>
          <w:rFonts w:hint="eastAsia" w:ascii="宋体" w:hAnsi="宋体" w:eastAsia="宋体" w:cs="宋体"/>
          <w:color w:val="auto"/>
          <w:sz w:val="21"/>
          <w:szCs w:val="21"/>
          <w:highlight w:val="none"/>
        </w:rPr>
        <w:t>2. 采购文件</w:t>
      </w:r>
      <w:bookmarkEnd w:id="72"/>
      <w:bookmarkEnd w:id="73"/>
      <w:bookmarkEnd w:id="74"/>
    </w:p>
    <w:p w14:paraId="0B2666FA">
      <w:pPr>
        <w:pStyle w:val="5"/>
        <w:spacing w:before="0" w:after="0" w:line="360" w:lineRule="auto"/>
        <w:rPr>
          <w:rFonts w:hint="eastAsia" w:ascii="宋体" w:hAnsi="宋体" w:eastAsia="宋体" w:cs="宋体"/>
          <w:color w:val="auto"/>
          <w:sz w:val="21"/>
          <w:szCs w:val="21"/>
          <w:highlight w:val="none"/>
        </w:rPr>
      </w:pPr>
      <w:bookmarkStart w:id="75" w:name="_Toc30650"/>
      <w:bookmarkStart w:id="76" w:name="_Toc70424839"/>
      <w:bookmarkStart w:id="77" w:name="_Toc151027064"/>
      <w:r>
        <w:rPr>
          <w:rFonts w:hint="eastAsia" w:ascii="宋体" w:hAnsi="宋体" w:eastAsia="宋体" w:cs="宋体"/>
          <w:color w:val="auto"/>
          <w:sz w:val="21"/>
          <w:szCs w:val="21"/>
          <w:highlight w:val="none"/>
        </w:rPr>
        <w:t>2.1 采购文件的组成</w:t>
      </w:r>
      <w:bookmarkEnd w:id="75"/>
      <w:bookmarkEnd w:id="76"/>
      <w:bookmarkEnd w:id="77"/>
    </w:p>
    <w:p w14:paraId="5B49342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本采购文件包括：</w:t>
      </w:r>
    </w:p>
    <w:p w14:paraId="2263746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（1）竞争性磋商公告；</w:t>
      </w:r>
    </w:p>
    <w:p w14:paraId="5C751C8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（2）供应商须知；</w:t>
      </w:r>
    </w:p>
    <w:p w14:paraId="13D579E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（3）评审办法；</w:t>
      </w:r>
    </w:p>
    <w:p w14:paraId="7FB3937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（4）合同草案；</w:t>
      </w:r>
    </w:p>
    <w:p w14:paraId="272C838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（5）采购需求；</w:t>
      </w:r>
    </w:p>
    <w:p w14:paraId="71BDFF3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（6）响应文件格式；</w:t>
      </w:r>
    </w:p>
    <w:p w14:paraId="20F5F8B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（7）供应商须知前附表规定的其他资料。</w:t>
      </w:r>
    </w:p>
    <w:p w14:paraId="1754576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采购人依照本章规定，对采购文件所作的澄清、修改，构成采购文件的组成部分。</w:t>
      </w:r>
    </w:p>
    <w:p w14:paraId="19A91396">
      <w:pPr>
        <w:pStyle w:val="5"/>
        <w:spacing w:before="0" w:after="0" w:line="360" w:lineRule="auto"/>
        <w:rPr>
          <w:rFonts w:hint="eastAsia" w:ascii="宋体" w:hAnsi="宋体" w:eastAsia="宋体" w:cs="宋体"/>
          <w:color w:val="auto"/>
          <w:sz w:val="21"/>
          <w:szCs w:val="21"/>
          <w:highlight w:val="none"/>
        </w:rPr>
      </w:pPr>
      <w:bookmarkStart w:id="78" w:name="_Toc70424840"/>
      <w:bookmarkStart w:id="79" w:name="_Toc13122"/>
      <w:bookmarkStart w:id="80" w:name="_Toc151027065"/>
      <w:r>
        <w:rPr>
          <w:rFonts w:hint="eastAsia" w:ascii="宋体" w:hAnsi="宋体" w:eastAsia="宋体" w:cs="宋体"/>
          <w:color w:val="auto"/>
          <w:sz w:val="21"/>
          <w:szCs w:val="21"/>
          <w:highlight w:val="none"/>
        </w:rPr>
        <w:t>2.2 采购文件的澄清和修改</w:t>
      </w:r>
      <w:bookmarkEnd w:id="78"/>
      <w:bookmarkEnd w:id="79"/>
      <w:bookmarkEnd w:id="80"/>
    </w:p>
    <w:p w14:paraId="066111D3">
      <w:pPr>
        <w:spacing w:line="360" w:lineRule="auto"/>
        <w:ind w:firstLine="420" w:firstLineChars="200"/>
        <w:rPr>
          <w:rFonts w:hint="eastAsia" w:ascii="宋体" w:hAnsi="宋体" w:eastAsia="宋体" w:cs="宋体"/>
          <w:color w:val="auto"/>
          <w:highlight w:val="none"/>
        </w:rPr>
      </w:pPr>
      <w:bookmarkStart w:id="81" w:name="_Toc151027066"/>
      <w:bookmarkStart w:id="82" w:name="_Toc24739"/>
      <w:bookmarkStart w:id="83" w:name="_Toc70424841"/>
      <w:r>
        <w:rPr>
          <w:rFonts w:hint="eastAsia" w:ascii="宋体" w:hAnsi="宋体" w:eastAsia="宋体" w:cs="宋体"/>
          <w:color w:val="auto"/>
          <w:highlight w:val="none"/>
        </w:rPr>
        <w:t>2.2.1供应商应仔细阅读和检查竞争性磋商文件的全部内容。如发现缺页或附件不全，应及时向采购代理机构提出，以便补齐。</w:t>
      </w:r>
    </w:p>
    <w:p w14:paraId="54F5853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2.2.2 采购人、采购代理机构可以对已发出的竞争性磋商文件等进行必要的澄清或者修改。澄清或者修改的内容为竞争性磋商文件的组成部分。澄清或者修改应当在原公告发布媒体上发布更正公告。</w:t>
      </w:r>
    </w:p>
    <w:p w14:paraId="6A03BC2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2.2.3竞争性磋商文件的澄清或者修改以供应商须知前附表规定的形式发给所有获取竞争性磋商文件的供应商，但不指明澄清问题的来源。澄清或者修改发出的时间距本章第4.2.1项规定的首次响应文件递交截止之日不足5日的，应当顺延提交首次响应文件截止之日。</w:t>
      </w:r>
    </w:p>
    <w:p w14:paraId="2C573BE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2.2.4竞争性磋商文件中有不一致的，有澄清的部分以最终的澄清更正内容为准；未澄清的，以供应商须知前附表为准；供应商须知前附表不涉及的内容，以编排在后的最后描述为准。</w:t>
      </w:r>
    </w:p>
    <w:p w14:paraId="29A2DFA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2.2.5供应商在收到澄清通知后，应按供应商须知前附表规定的时间和形式通知采购人，确认已收到该澄清。</w:t>
      </w:r>
    </w:p>
    <w:p w14:paraId="686B8487">
      <w:pPr>
        <w:pStyle w:val="4"/>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响应文件</w:t>
      </w:r>
      <w:bookmarkEnd w:id="81"/>
      <w:bookmarkEnd w:id="82"/>
      <w:bookmarkEnd w:id="83"/>
    </w:p>
    <w:p w14:paraId="7FC80DF9">
      <w:pPr>
        <w:pStyle w:val="5"/>
        <w:spacing w:before="0" w:after="0" w:line="360" w:lineRule="auto"/>
        <w:rPr>
          <w:rFonts w:hint="eastAsia" w:ascii="宋体" w:hAnsi="宋体" w:eastAsia="宋体" w:cs="宋体"/>
          <w:color w:val="auto"/>
          <w:sz w:val="21"/>
          <w:szCs w:val="21"/>
          <w:highlight w:val="none"/>
        </w:rPr>
      </w:pPr>
      <w:bookmarkStart w:id="84" w:name="_Toc151027067"/>
      <w:bookmarkStart w:id="85" w:name="_Toc14341"/>
      <w:bookmarkStart w:id="86" w:name="_Toc70424842"/>
      <w:r>
        <w:rPr>
          <w:rFonts w:hint="eastAsia" w:ascii="宋体" w:hAnsi="宋体" w:eastAsia="宋体" w:cs="宋体"/>
          <w:color w:val="auto"/>
          <w:sz w:val="21"/>
          <w:szCs w:val="21"/>
          <w:highlight w:val="none"/>
        </w:rPr>
        <w:t>3.1 响应文件的组成</w:t>
      </w:r>
      <w:bookmarkEnd w:id="84"/>
      <w:bookmarkEnd w:id="85"/>
      <w:bookmarkEnd w:id="86"/>
    </w:p>
    <w:p w14:paraId="38CD0EFB">
      <w:pPr>
        <w:spacing w:line="360" w:lineRule="auto"/>
        <w:ind w:firstLine="420" w:firstLineChars="200"/>
        <w:rPr>
          <w:rFonts w:hint="eastAsia" w:ascii="宋体" w:hAnsi="宋体" w:eastAsia="宋体" w:cs="宋体"/>
          <w:color w:val="auto"/>
          <w:highlight w:val="none"/>
        </w:rPr>
      </w:pPr>
      <w:bookmarkStart w:id="87" w:name="_Toc151027068"/>
      <w:bookmarkStart w:id="88" w:name="_Toc21761"/>
      <w:bookmarkStart w:id="89" w:name="_Toc70424843"/>
      <w:r>
        <w:rPr>
          <w:rFonts w:hint="eastAsia" w:ascii="宋体" w:hAnsi="宋体" w:eastAsia="宋体" w:cs="宋体"/>
          <w:color w:val="auto"/>
          <w:highlight w:val="none"/>
        </w:rPr>
        <w:t>3.1.1 响应文件资格审查部分详见第六章“响应文件格式”资格审查部分中的内容。</w:t>
      </w:r>
    </w:p>
    <w:p w14:paraId="2DC4810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3.1.2 响应文件商务技术部分详见第六章“响应文件格式”商务技术部分中的内容。</w:t>
      </w:r>
    </w:p>
    <w:p w14:paraId="6697058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供应商在评审过程中作出的符合法律法规和竞争性磋商文件规定的澄清确认，构成响应文件的组成部分。</w:t>
      </w:r>
    </w:p>
    <w:p w14:paraId="4ABC861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3.1.3 供应商须知前附表未要求提交磋商保证金的，响应文件不包括第六章“响应文件格式”商务技术部分中所指的磋商保证金。</w:t>
      </w:r>
    </w:p>
    <w:p w14:paraId="3D708C46">
      <w:pPr>
        <w:pStyle w:val="5"/>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报价</w:t>
      </w:r>
      <w:bookmarkEnd w:id="87"/>
      <w:bookmarkEnd w:id="88"/>
      <w:bookmarkEnd w:id="89"/>
    </w:p>
    <w:p w14:paraId="21C23F8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3.2.1 供应商应按采购文件提供的格式（见第六章“响应文件格式”）在响应函和报价表中进行报价。响应函中报价应为包含国家规定的增值税在内的含税价格，同时应列明不含税价格和增值税税额。采购人将根据项目情况，在第三章“评审办法”第3.1.1项中选择按含税价格或不含税价格对供应商进行价格评审。</w:t>
      </w:r>
    </w:p>
    <w:p w14:paraId="340D1A8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3.2.2 供应商应充分了解采购项目的总体情况以及影响报价的其他因素。对于货物和服务采购项目，采购人在签署采购合同时及合同履行过程中，有权在供应商须知前附表规定的幅度内对采购标的的数量进行增加或减少。</w:t>
      </w:r>
    </w:p>
    <w:p w14:paraId="75BF951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3.2.3 采购人设有最高限价的，供应商的报价不得超过最高限价。最高限价或最高限价计算方法在供应商须知前附表中载明。</w:t>
      </w:r>
    </w:p>
    <w:p w14:paraId="51C8853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3.2.4 报价的其他要求见供应商须知前附表。</w:t>
      </w:r>
    </w:p>
    <w:p w14:paraId="14AAE58C">
      <w:pPr>
        <w:pStyle w:val="5"/>
        <w:spacing w:before="0" w:after="0" w:line="360" w:lineRule="auto"/>
        <w:rPr>
          <w:rFonts w:hint="eastAsia" w:ascii="宋体" w:hAnsi="宋体" w:eastAsia="宋体" w:cs="宋体"/>
          <w:color w:val="auto"/>
          <w:sz w:val="21"/>
          <w:szCs w:val="21"/>
          <w:highlight w:val="none"/>
        </w:rPr>
      </w:pPr>
      <w:bookmarkStart w:id="90" w:name="_Toc151027069"/>
      <w:bookmarkStart w:id="91" w:name="_Toc3991"/>
      <w:bookmarkStart w:id="92" w:name="_Toc70424844"/>
      <w:r>
        <w:rPr>
          <w:rFonts w:hint="eastAsia" w:ascii="宋体" w:hAnsi="宋体" w:eastAsia="宋体" w:cs="宋体"/>
          <w:color w:val="auto"/>
          <w:sz w:val="21"/>
          <w:szCs w:val="21"/>
          <w:highlight w:val="none"/>
        </w:rPr>
        <w:t>3.3 响应文件有效期</w:t>
      </w:r>
      <w:bookmarkEnd w:id="90"/>
      <w:bookmarkEnd w:id="91"/>
      <w:bookmarkEnd w:id="92"/>
    </w:p>
    <w:p w14:paraId="7B34F489">
      <w:pPr>
        <w:spacing w:line="360" w:lineRule="auto"/>
        <w:ind w:firstLine="420" w:firstLineChars="200"/>
        <w:rPr>
          <w:rFonts w:hint="eastAsia" w:ascii="宋体" w:hAnsi="宋体" w:eastAsia="宋体" w:cs="宋体"/>
          <w:color w:val="auto"/>
          <w:highlight w:val="none"/>
        </w:rPr>
      </w:pPr>
      <w:bookmarkStart w:id="93" w:name="_Toc151027070"/>
      <w:bookmarkStart w:id="94" w:name="_Toc70424845"/>
      <w:bookmarkStart w:id="95" w:name="_Toc31334"/>
      <w:r>
        <w:rPr>
          <w:rFonts w:hint="eastAsia" w:ascii="宋体" w:hAnsi="宋体" w:eastAsia="宋体" w:cs="宋体"/>
          <w:color w:val="auto"/>
          <w:highlight w:val="none"/>
        </w:rPr>
        <w:t>3.3.1磋商有效期见供应商须知前附表。</w:t>
      </w:r>
    </w:p>
    <w:p w14:paraId="3996335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3.3.2在磋商有效期内，供应商撤销或修改其响应文件的，应承担竞争性磋商文件和法律规定的责任。</w:t>
      </w:r>
    </w:p>
    <w:p w14:paraId="523B748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3.3.3 出现特殊情况需要延长磋商有效期的，采购人以书面形式通知所有供应商延长磋商有效期。供应商应予以书面答复，同意延长的，应相应延长其磋商保证金的有效期，但不得要求或被允许修改其响应文件；供应商拒绝延长的，其磋商失效，但供应商有权收回其磋商保证金。</w:t>
      </w:r>
    </w:p>
    <w:p w14:paraId="4DF25188">
      <w:pPr>
        <w:pStyle w:val="5"/>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 响应保证金</w:t>
      </w:r>
      <w:bookmarkEnd w:id="93"/>
      <w:bookmarkEnd w:id="94"/>
      <w:bookmarkEnd w:id="95"/>
    </w:p>
    <w:p w14:paraId="642EBD3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3.4.1供应商在递交响应文件的同时，应按供应商须知前附表规定的金额、形式和第六章“响应文件格式”规定的磋商保证金格式递交磋商保证金，并作为其响应文件的组成部分。应当从其基本账户转出并在响应文件中附上开户许可证或基本存款账户信息或磋商保证金缴纳凭证。联合体磋商的，其磋商保证金可以由牵头人递交。</w:t>
      </w:r>
    </w:p>
    <w:p w14:paraId="701E265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3.4.2 供应商不按本章第3.4.1 项要求提交磋商保证金的，其磋商将被视为无效磋商。</w:t>
      </w:r>
    </w:p>
    <w:p w14:paraId="4FB1FAB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3.4.3 采购人或者采购代理机构应当自成交通知书发出之日起5个工作日内退还未成交供应商的磋商保证金，自采购合同签订之日起5个工作日内退还成交供应商的磋商保证金。</w:t>
      </w:r>
    </w:p>
    <w:p w14:paraId="79EC75A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3.4.4有下列情形之一的，响应保证金将不予退还：</w:t>
      </w:r>
    </w:p>
    <w:p w14:paraId="7F6B725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（1）供应商在响应文件有效期内撤销响应文件；</w:t>
      </w:r>
    </w:p>
    <w:p w14:paraId="580D930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（2）成交供应商在收到成交通知书后，无正当理由不与采购人订立合同，在签订合同时向采购人提出附加条件，或者不按照采购文件要求递交履约保证金；</w:t>
      </w:r>
    </w:p>
    <w:p w14:paraId="1BCE21E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（3）发生供应商须知前附表规定的其他不予退还响应保证金的情形。</w:t>
      </w:r>
    </w:p>
    <w:p w14:paraId="4DF84548">
      <w:pPr>
        <w:pStyle w:val="5"/>
        <w:spacing w:before="0" w:after="0" w:line="360" w:lineRule="auto"/>
        <w:rPr>
          <w:rFonts w:hint="eastAsia" w:ascii="宋体" w:hAnsi="宋体" w:eastAsia="宋体" w:cs="宋体"/>
          <w:color w:val="auto"/>
          <w:sz w:val="21"/>
          <w:szCs w:val="21"/>
          <w:highlight w:val="none"/>
        </w:rPr>
      </w:pPr>
      <w:bookmarkStart w:id="96" w:name="_Toc70424846"/>
      <w:bookmarkStart w:id="97" w:name="_Toc151027071"/>
      <w:bookmarkStart w:id="98" w:name="_Toc15540"/>
      <w:r>
        <w:rPr>
          <w:rFonts w:hint="eastAsia" w:ascii="宋体" w:hAnsi="宋体" w:eastAsia="宋体" w:cs="宋体"/>
          <w:color w:val="auto"/>
          <w:sz w:val="21"/>
          <w:szCs w:val="21"/>
          <w:highlight w:val="none"/>
        </w:rPr>
        <w:t>3.5 资格审查资料</w:t>
      </w:r>
      <w:bookmarkEnd w:id="96"/>
      <w:bookmarkEnd w:id="97"/>
      <w:bookmarkEnd w:id="98"/>
    </w:p>
    <w:p w14:paraId="4886C03C">
      <w:pPr>
        <w:spacing w:line="360" w:lineRule="auto"/>
        <w:ind w:firstLine="420" w:firstLineChars="200"/>
        <w:rPr>
          <w:rFonts w:hint="eastAsia" w:ascii="宋体" w:hAnsi="宋体" w:eastAsia="宋体" w:cs="宋体"/>
          <w:color w:val="auto"/>
          <w:highlight w:val="none"/>
        </w:rPr>
      </w:pPr>
      <w:bookmarkStart w:id="99" w:name="_Toc70424847"/>
      <w:bookmarkStart w:id="100" w:name="_Toc13898"/>
      <w:r>
        <w:rPr>
          <w:rFonts w:hint="eastAsia" w:ascii="宋体" w:hAnsi="宋体" w:eastAsia="宋体" w:cs="宋体"/>
          <w:color w:val="auto"/>
          <w:highlight w:val="none"/>
        </w:rPr>
        <w:t>除供应商须知前附表另有规定外，供应商应按下列规定提供资格审查资料，以证明其满足本章第1.4款规定的各项资格要求。</w:t>
      </w:r>
    </w:p>
    <w:p w14:paraId="748998E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3.5.1 满足《中华人民共和国政府采购法》第二十二条规定：见供应商须知前附表第1.4.1项。</w:t>
      </w:r>
    </w:p>
    <w:p w14:paraId="5DBBF7B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3.5.2 特定资格要求：见供应商须知前附表第1.4.1项。</w:t>
      </w:r>
    </w:p>
    <w:p w14:paraId="0F19FB1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3.5.3 供应商须知前附表规定接受联合体投标的，本章第3.5.1项至第3.5.2项规定的表格和资料应包括联合体各方相关情况。</w:t>
      </w:r>
    </w:p>
    <w:p w14:paraId="72C1BD19">
      <w:pPr>
        <w:pStyle w:val="5"/>
        <w:spacing w:before="0" w:after="0" w:line="360" w:lineRule="auto"/>
        <w:rPr>
          <w:rFonts w:hint="eastAsia" w:ascii="宋体" w:hAnsi="宋体" w:eastAsia="宋体" w:cs="宋体"/>
          <w:color w:val="auto"/>
          <w:sz w:val="21"/>
          <w:szCs w:val="21"/>
          <w:highlight w:val="none"/>
        </w:rPr>
      </w:pPr>
      <w:bookmarkStart w:id="101" w:name="_Toc151027072"/>
      <w:r>
        <w:rPr>
          <w:rFonts w:hint="eastAsia" w:ascii="宋体" w:hAnsi="宋体" w:eastAsia="宋体" w:cs="宋体"/>
          <w:color w:val="auto"/>
          <w:sz w:val="21"/>
          <w:szCs w:val="21"/>
          <w:highlight w:val="none"/>
        </w:rPr>
        <w:t>3.6 响应方案</w:t>
      </w:r>
      <w:bookmarkEnd w:id="99"/>
      <w:bookmarkEnd w:id="100"/>
      <w:bookmarkEnd w:id="101"/>
    </w:p>
    <w:p w14:paraId="0D8066F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3.6.1 响应文件应当对采购文件中的实质性内容作出响应。</w:t>
      </w:r>
    </w:p>
    <w:p w14:paraId="11F9CC9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3.6.2 除供应商须知前附表规定供应商只能提出唯一响应方案外，供应商可在首次递交的响应文件中提出多个响应方案。供应商在最终报价前应确定一个最终方案，并针对最终方案提出最终报价。</w:t>
      </w:r>
    </w:p>
    <w:p w14:paraId="372AC10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3.6.3 响应文件对采购文件的全部偏差，均应在响应文件的商务偏差表中列明。响应文件偏差表中未列明的内容，将视为响应采购文件的要求；但如发现响应文件的其他部分与商务偏差表的描述不一致或供应商的响应缺乏支持性文件，则磋商小组有权要求供应商对相关问题进行澄清，并根据澄清结果对供应商的响应文件进行评审。</w:t>
      </w:r>
    </w:p>
    <w:p w14:paraId="7E3C1343">
      <w:pPr>
        <w:pStyle w:val="5"/>
        <w:spacing w:before="0" w:after="0" w:line="360" w:lineRule="auto"/>
        <w:rPr>
          <w:rFonts w:hint="eastAsia" w:ascii="宋体" w:hAnsi="宋体" w:eastAsia="宋体" w:cs="宋体"/>
          <w:color w:val="auto"/>
          <w:sz w:val="21"/>
          <w:szCs w:val="21"/>
          <w:highlight w:val="none"/>
        </w:rPr>
      </w:pPr>
      <w:bookmarkStart w:id="102" w:name="_Toc151027073"/>
      <w:bookmarkStart w:id="103" w:name="_Toc28150"/>
      <w:bookmarkStart w:id="104" w:name="_Toc70424848"/>
      <w:r>
        <w:rPr>
          <w:rFonts w:hint="eastAsia" w:ascii="宋体" w:hAnsi="宋体" w:eastAsia="宋体" w:cs="宋体"/>
          <w:color w:val="auto"/>
          <w:sz w:val="21"/>
          <w:szCs w:val="21"/>
          <w:highlight w:val="none"/>
        </w:rPr>
        <w:t>3.7 响应文件的编制</w:t>
      </w:r>
      <w:bookmarkEnd w:id="102"/>
      <w:bookmarkEnd w:id="103"/>
      <w:bookmarkEnd w:id="104"/>
    </w:p>
    <w:p w14:paraId="61BBFCDB">
      <w:pPr>
        <w:spacing w:line="360" w:lineRule="auto"/>
        <w:ind w:firstLine="420" w:firstLineChars="200"/>
        <w:rPr>
          <w:rFonts w:hint="eastAsia" w:ascii="宋体" w:hAnsi="宋体" w:eastAsia="宋体" w:cs="宋体"/>
          <w:color w:val="auto"/>
          <w:highlight w:val="none"/>
        </w:rPr>
      </w:pPr>
      <w:bookmarkStart w:id="105" w:name="_Toc151027074"/>
      <w:bookmarkStart w:id="106" w:name="_Toc70424849"/>
      <w:bookmarkStart w:id="107" w:name="_Toc26584"/>
      <w:r>
        <w:rPr>
          <w:rFonts w:hint="eastAsia" w:ascii="宋体" w:hAnsi="宋体" w:eastAsia="宋体" w:cs="宋体"/>
          <w:color w:val="auto"/>
          <w:highlight w:val="none"/>
        </w:rPr>
        <w:t>3.7.1 响应文件应按第六章“响应文件格式”进行编写。</w:t>
      </w:r>
    </w:p>
    <w:p w14:paraId="03E03FC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3.7.2响应文件全部采用电子文档，除供应商须知前附表另有规定外，响应文件所附证书证件均为原件扫描件，并采用单位和个人数字证书，按竞争性磋商文件要求在相应位置加盖电子签章。由供应商的法定代表人(单位负责人)签字或加盖电子签章的，应附法定代表人(单位负责人)身份证明，由代理人签字或加盖电子签章的，应附由法定代表人(单位负责人)签署的授权委托书。</w:t>
      </w:r>
    </w:p>
    <w:p w14:paraId="4CFC073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3.7.3电子响应文件的格式见供应商须知前附表。</w:t>
      </w:r>
    </w:p>
    <w:p w14:paraId="7BAEADB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3.7.4如供应商提交的电子标书不符合3.5.3要求或开启时无法读取导入或解密，其响应文件将不予受理。</w:t>
      </w:r>
    </w:p>
    <w:p w14:paraId="774B174D">
      <w:pPr>
        <w:pStyle w:val="4"/>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响应文件的递交</w:t>
      </w:r>
      <w:bookmarkEnd w:id="105"/>
      <w:bookmarkEnd w:id="106"/>
      <w:bookmarkEnd w:id="107"/>
    </w:p>
    <w:p w14:paraId="16C9CC4D">
      <w:pPr>
        <w:pStyle w:val="5"/>
        <w:spacing w:before="0" w:after="0" w:line="360" w:lineRule="auto"/>
        <w:rPr>
          <w:rFonts w:hint="eastAsia" w:ascii="宋体" w:hAnsi="宋体" w:eastAsia="宋体" w:cs="宋体"/>
          <w:color w:val="auto"/>
          <w:sz w:val="21"/>
          <w:szCs w:val="21"/>
          <w:highlight w:val="none"/>
        </w:rPr>
      </w:pPr>
      <w:bookmarkStart w:id="108" w:name="_Toc151027075"/>
      <w:bookmarkStart w:id="109" w:name="_Toc70424850"/>
      <w:bookmarkStart w:id="110" w:name="_Toc11504"/>
      <w:r>
        <w:rPr>
          <w:rFonts w:hint="eastAsia" w:ascii="宋体" w:hAnsi="宋体" w:eastAsia="宋体" w:cs="宋体"/>
          <w:color w:val="auto"/>
          <w:sz w:val="21"/>
          <w:szCs w:val="21"/>
          <w:highlight w:val="none"/>
        </w:rPr>
        <w:t>4.1 响应文件的密封与标记</w:t>
      </w:r>
      <w:bookmarkEnd w:id="108"/>
      <w:bookmarkEnd w:id="109"/>
      <w:bookmarkEnd w:id="110"/>
    </w:p>
    <w:p w14:paraId="56AF6C08">
      <w:pPr>
        <w:spacing w:line="440" w:lineRule="exact"/>
        <w:ind w:firstLine="367" w:firstLineChars="175"/>
        <w:rPr>
          <w:rFonts w:hint="eastAsia" w:ascii="宋体" w:hAnsi="宋体" w:eastAsia="宋体" w:cs="宋体"/>
          <w:color w:val="auto"/>
          <w:highlight w:val="none"/>
        </w:rPr>
      </w:pPr>
      <w:r>
        <w:rPr>
          <w:rFonts w:hint="eastAsia" w:ascii="宋体" w:hAnsi="宋体" w:eastAsia="宋体" w:cs="宋体"/>
          <w:color w:val="auto"/>
          <w:highlight w:val="none"/>
        </w:rPr>
        <w:t>4.1.1供应商进行电子交易应安装客户端软件—“政采云电子交易客户端”，并按照磋商文件和电子交易平台的要求编制并加密响应文件。供应商未按规定加密的响应文件，电子交易平台将拒收并提示。</w:t>
      </w:r>
    </w:p>
    <w:p w14:paraId="22D04261">
      <w:pPr>
        <w:spacing w:line="440" w:lineRule="exact"/>
        <w:ind w:firstLine="367" w:firstLineChars="175"/>
        <w:rPr>
          <w:rFonts w:hint="eastAsia" w:ascii="宋体" w:hAnsi="宋体" w:eastAsia="宋体" w:cs="宋体"/>
          <w:color w:val="auto"/>
          <w:highlight w:val="none"/>
        </w:rPr>
      </w:pPr>
      <w:r>
        <w:rPr>
          <w:rFonts w:hint="eastAsia" w:ascii="宋体" w:hAnsi="宋体" w:eastAsia="宋体" w:cs="宋体"/>
          <w:color w:val="auto"/>
          <w:highlight w:val="none"/>
        </w:rPr>
        <w:t>4.1.2使用“政采云电子交易客户端”需要提前申领CA数字证书，申领流程见该项目采购公告附件。</w:t>
      </w:r>
    </w:p>
    <w:p w14:paraId="2A8F440E">
      <w:pPr>
        <w:spacing w:line="440" w:lineRule="exact"/>
        <w:ind w:firstLine="367" w:firstLineChars="175"/>
        <w:rPr>
          <w:rFonts w:hint="eastAsia" w:ascii="宋体" w:hAnsi="宋体" w:eastAsia="宋体" w:cs="宋体"/>
          <w:color w:val="auto"/>
          <w:highlight w:val="none"/>
        </w:rPr>
      </w:pPr>
      <w:r>
        <w:rPr>
          <w:rFonts w:hint="eastAsia" w:ascii="宋体" w:hAnsi="宋体" w:eastAsia="宋体" w:cs="宋体"/>
          <w:color w:val="auto"/>
          <w:highlight w:val="none"/>
        </w:rPr>
        <w:t>4.1.3为确保网上操作合法、有效和安全，供应商应当在响应文件提交截止时间前完成在“政府采购云平台”的身份认证，确保在电子交易过程中能够对相关数据电文进行加密和使用电子签名。</w:t>
      </w:r>
    </w:p>
    <w:p w14:paraId="55328522">
      <w:pPr>
        <w:pStyle w:val="5"/>
        <w:spacing w:before="0" w:after="0" w:line="360" w:lineRule="auto"/>
        <w:rPr>
          <w:rFonts w:hint="eastAsia" w:ascii="宋体" w:hAnsi="宋体" w:eastAsia="宋体" w:cs="宋体"/>
          <w:color w:val="auto"/>
          <w:sz w:val="21"/>
          <w:szCs w:val="21"/>
          <w:highlight w:val="none"/>
        </w:rPr>
      </w:pPr>
      <w:bookmarkStart w:id="111" w:name="_Toc151027076"/>
      <w:bookmarkStart w:id="112" w:name="_Toc70424851"/>
      <w:bookmarkStart w:id="113" w:name="_Toc17699"/>
      <w:r>
        <w:rPr>
          <w:rFonts w:hint="eastAsia" w:ascii="宋体" w:hAnsi="宋体" w:eastAsia="宋体" w:cs="宋体"/>
          <w:color w:val="auto"/>
          <w:sz w:val="21"/>
          <w:szCs w:val="21"/>
          <w:highlight w:val="none"/>
        </w:rPr>
        <w:t>4.2 响应文件的递交</w:t>
      </w:r>
      <w:bookmarkEnd w:id="111"/>
      <w:bookmarkEnd w:id="112"/>
      <w:bookmarkEnd w:id="113"/>
    </w:p>
    <w:p w14:paraId="0E2A3E1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4.2.1 供应商应在供应商须知前附表规定的递交响应文件的截止时间前，将响应文件递交到供应商须知前附表规定的地点。逾期送达的或者未送达指定地点的响应文件，采购人将拒绝接收。采购人收到响应文件后，向供应商出具接收凭证。</w:t>
      </w:r>
    </w:p>
    <w:p w14:paraId="059D094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4.2.2 除供应商须知前附表另有规定外，供应商所递交的响应文件不予退还。</w:t>
      </w:r>
    </w:p>
    <w:p w14:paraId="74795AC7">
      <w:pPr>
        <w:pStyle w:val="5"/>
        <w:spacing w:before="0" w:after="0" w:line="360" w:lineRule="auto"/>
        <w:rPr>
          <w:rFonts w:hint="eastAsia" w:ascii="宋体" w:hAnsi="宋体" w:eastAsia="宋体" w:cs="宋体"/>
          <w:color w:val="auto"/>
          <w:sz w:val="21"/>
          <w:szCs w:val="21"/>
          <w:highlight w:val="none"/>
        </w:rPr>
      </w:pPr>
      <w:bookmarkStart w:id="114" w:name="_Toc70424852"/>
      <w:bookmarkStart w:id="115" w:name="_Toc1800"/>
      <w:bookmarkStart w:id="116" w:name="_Toc151027077"/>
      <w:r>
        <w:rPr>
          <w:rFonts w:hint="eastAsia" w:ascii="宋体" w:hAnsi="宋体" w:eastAsia="宋体" w:cs="宋体"/>
          <w:color w:val="auto"/>
          <w:sz w:val="21"/>
          <w:szCs w:val="21"/>
          <w:highlight w:val="none"/>
        </w:rPr>
        <w:t>4.3 响应文件的修改与撤回</w:t>
      </w:r>
      <w:bookmarkEnd w:id="114"/>
      <w:bookmarkEnd w:id="115"/>
      <w:bookmarkEnd w:id="116"/>
    </w:p>
    <w:p w14:paraId="6E9C85C4">
      <w:pPr>
        <w:spacing w:line="560" w:lineRule="exact"/>
        <w:ind w:firstLine="420" w:firstLineChars="200"/>
        <w:rPr>
          <w:rFonts w:hint="eastAsia" w:ascii="宋体" w:hAnsi="宋体" w:eastAsia="宋体" w:cs="宋体"/>
          <w:color w:val="auto"/>
          <w:highlight w:val="none"/>
        </w:rPr>
      </w:pPr>
      <w:bookmarkStart w:id="117" w:name="_Toc151027078"/>
      <w:bookmarkStart w:id="118" w:name="_Toc70424853"/>
      <w:bookmarkStart w:id="119" w:name="_Toc7950"/>
      <w:r>
        <w:rPr>
          <w:rFonts w:hint="eastAsia" w:ascii="宋体" w:hAnsi="宋体" w:eastAsia="宋体" w:cs="宋体"/>
          <w:color w:val="auto"/>
          <w:highlight w:val="none"/>
        </w:rPr>
        <w:t>4.3.1在响应文件递交截止时间前，供应商可以撤回在网上已递交的响应文件，修改后重新递交。</w:t>
      </w:r>
    </w:p>
    <w:p w14:paraId="05C4AB9D">
      <w:pPr>
        <w:spacing w:line="5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4.3.2修改的响应文件应按照《电子投标文件编制及报送要求》规定进行编制、加密递交。</w:t>
      </w:r>
    </w:p>
    <w:p w14:paraId="64F85FCE">
      <w:pPr>
        <w:pStyle w:val="4"/>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开启响应文件</w:t>
      </w:r>
      <w:bookmarkEnd w:id="117"/>
      <w:bookmarkEnd w:id="118"/>
      <w:bookmarkEnd w:id="119"/>
    </w:p>
    <w:p w14:paraId="27803D6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采购人根据采购项目的市场供应情况确定是否公开开启响应文件。供应商须知前附表规定公开开启响应文件的，开启活动应按本条规定进行。</w:t>
      </w:r>
    </w:p>
    <w:p w14:paraId="7DC04A8B">
      <w:pPr>
        <w:pStyle w:val="5"/>
        <w:spacing w:before="0" w:after="0" w:line="360" w:lineRule="auto"/>
        <w:rPr>
          <w:rFonts w:hint="eastAsia" w:ascii="宋体" w:hAnsi="宋体" w:eastAsia="宋体" w:cs="宋体"/>
          <w:color w:val="auto"/>
          <w:sz w:val="21"/>
          <w:szCs w:val="21"/>
          <w:highlight w:val="none"/>
        </w:rPr>
      </w:pPr>
      <w:bookmarkStart w:id="120" w:name="_Toc151027079"/>
      <w:bookmarkStart w:id="121" w:name="_Toc1607"/>
      <w:bookmarkStart w:id="122" w:name="_Toc70424854"/>
      <w:r>
        <w:rPr>
          <w:rFonts w:hint="eastAsia" w:ascii="宋体" w:hAnsi="宋体" w:eastAsia="宋体" w:cs="宋体"/>
          <w:color w:val="auto"/>
          <w:sz w:val="21"/>
          <w:szCs w:val="21"/>
          <w:highlight w:val="none"/>
        </w:rPr>
        <w:t>5.1 开启响应文件的时间和地点</w:t>
      </w:r>
      <w:bookmarkEnd w:id="120"/>
      <w:bookmarkEnd w:id="121"/>
      <w:bookmarkEnd w:id="122"/>
    </w:p>
    <w:p w14:paraId="54F8A43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在本章第4.2.1项规定的递交响应文件的截止时间和供应商须知前附表规定的地点公开开启响应文件，并邀请所有供应商的法定代表人（单位负责人）或其授权的代理人参加开启会议，供应商未派代表参加的，视为默认开启结果。</w:t>
      </w:r>
    </w:p>
    <w:p w14:paraId="61BFC2A4">
      <w:pPr>
        <w:pStyle w:val="5"/>
        <w:spacing w:before="0" w:after="0" w:line="360" w:lineRule="auto"/>
        <w:rPr>
          <w:rFonts w:hint="eastAsia" w:ascii="宋体" w:hAnsi="宋体" w:eastAsia="宋体" w:cs="宋体"/>
          <w:color w:val="auto"/>
          <w:sz w:val="21"/>
          <w:szCs w:val="21"/>
          <w:highlight w:val="none"/>
        </w:rPr>
      </w:pPr>
      <w:bookmarkStart w:id="123" w:name="_Toc10606"/>
      <w:bookmarkStart w:id="124" w:name="_Toc151027080"/>
      <w:bookmarkStart w:id="125" w:name="_Toc70424855"/>
      <w:r>
        <w:rPr>
          <w:rFonts w:hint="eastAsia" w:ascii="宋体" w:hAnsi="宋体" w:eastAsia="宋体" w:cs="宋体"/>
          <w:color w:val="auto"/>
          <w:sz w:val="21"/>
          <w:szCs w:val="21"/>
          <w:highlight w:val="none"/>
        </w:rPr>
        <w:t>5.2 开启程序</w:t>
      </w:r>
      <w:bookmarkEnd w:id="123"/>
      <w:bookmarkEnd w:id="124"/>
      <w:bookmarkEnd w:id="125"/>
    </w:p>
    <w:p w14:paraId="149AFB6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主持人按下列程序公开开启响应文件：</w:t>
      </w:r>
    </w:p>
    <w:p w14:paraId="18AC430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（1）宣布开启会议纪律；</w:t>
      </w:r>
    </w:p>
    <w:p w14:paraId="2393AFB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（2）宣布参加开启会议的工作人员姓名；</w:t>
      </w:r>
    </w:p>
    <w:p w14:paraId="73C7FED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（3）供应商代表检查确认响应文件的密封情况（如需要）；</w:t>
      </w:r>
    </w:p>
    <w:p w14:paraId="5A87E99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（4）按照供应商须知前附表规定的开启顺序开启响应文件，公布递交响应文件的供应商名称及供应商须知前附表规定的其他应公布的信息，并记录在案；</w:t>
      </w:r>
    </w:p>
    <w:p w14:paraId="2B188F3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（5）供应商代表及相关工作人员等在响应文件开启记录上签字确认；</w:t>
      </w:r>
    </w:p>
    <w:p w14:paraId="683BBAA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（6）宣布磋商有关安排和注意事项；</w:t>
      </w:r>
    </w:p>
    <w:p w14:paraId="56755C6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（7）开启会议结束。</w:t>
      </w:r>
    </w:p>
    <w:p w14:paraId="6F67E324">
      <w:pPr>
        <w:pStyle w:val="4"/>
        <w:spacing w:before="0" w:after="0" w:line="360" w:lineRule="auto"/>
        <w:rPr>
          <w:rFonts w:hint="eastAsia" w:ascii="宋体" w:hAnsi="宋体" w:eastAsia="宋体" w:cs="宋体"/>
          <w:color w:val="auto"/>
          <w:sz w:val="21"/>
          <w:szCs w:val="21"/>
          <w:highlight w:val="none"/>
        </w:rPr>
      </w:pPr>
      <w:bookmarkStart w:id="126" w:name="_Toc70424856"/>
      <w:bookmarkStart w:id="127" w:name="_Toc16755"/>
      <w:bookmarkStart w:id="128" w:name="_Toc151027081"/>
      <w:r>
        <w:rPr>
          <w:rFonts w:hint="eastAsia" w:ascii="宋体" w:hAnsi="宋体" w:eastAsia="宋体" w:cs="宋体"/>
          <w:color w:val="auto"/>
          <w:sz w:val="21"/>
          <w:szCs w:val="21"/>
          <w:highlight w:val="none"/>
        </w:rPr>
        <w:t>6. 磋商和评审</w:t>
      </w:r>
      <w:bookmarkEnd w:id="126"/>
      <w:bookmarkEnd w:id="127"/>
      <w:bookmarkEnd w:id="128"/>
    </w:p>
    <w:p w14:paraId="7F81CD97">
      <w:pPr>
        <w:pStyle w:val="5"/>
        <w:spacing w:before="0" w:after="0" w:line="360" w:lineRule="auto"/>
        <w:rPr>
          <w:rFonts w:hint="eastAsia" w:ascii="宋体" w:hAnsi="宋体" w:eastAsia="宋体" w:cs="宋体"/>
          <w:color w:val="auto"/>
          <w:sz w:val="21"/>
          <w:szCs w:val="21"/>
          <w:highlight w:val="none"/>
        </w:rPr>
      </w:pPr>
      <w:bookmarkStart w:id="129" w:name="_Toc4391"/>
      <w:bookmarkStart w:id="130" w:name="_Toc151027082"/>
      <w:bookmarkStart w:id="131" w:name="_Toc70424857"/>
      <w:r>
        <w:rPr>
          <w:rFonts w:hint="eastAsia" w:ascii="宋体" w:hAnsi="宋体" w:eastAsia="宋体" w:cs="宋体"/>
          <w:color w:val="auto"/>
          <w:sz w:val="21"/>
          <w:szCs w:val="21"/>
          <w:highlight w:val="none"/>
        </w:rPr>
        <w:t>6.1 磋商小组</w:t>
      </w:r>
      <w:bookmarkEnd w:id="129"/>
      <w:bookmarkEnd w:id="130"/>
      <w:bookmarkEnd w:id="131"/>
    </w:p>
    <w:p w14:paraId="31B9214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6.1.1 采购人将组建磋商小组，由磋商小组按照本条规定的程序以及第三章“评审办法”的规定与供应商进行磋商、对响应文件进行评审和比较。</w:t>
      </w:r>
    </w:p>
    <w:p w14:paraId="263D76C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6.1.2 磋商小组成员有下列情形之一的，应当回避：</w:t>
      </w:r>
    </w:p>
    <w:p w14:paraId="1F02AB0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（1）供应商主要负责人或供应商主要负责人的近亲属；</w:t>
      </w:r>
    </w:p>
    <w:p w14:paraId="4467F34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（2）与供应商有经济利益关系或其他利害关系，可能影响公正评审的；</w:t>
      </w:r>
    </w:p>
    <w:p w14:paraId="62EBB19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6.1.3 磋商小组组建后，磋商小组成员共同推选或由采购人指定磋商小组组长，磋商小组组长负责组织磋商及评审工作。</w:t>
      </w:r>
    </w:p>
    <w:p w14:paraId="0708074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6.1.4 在磋商和评审过程中，磋商小组成员对需要共同认定的事项存在争议的，将按照少数服从多数的原则作出结论。持不同意见的磋商小组成员应当在评审报告上签署不同意见及理由，否则视为同意评审报告。</w:t>
      </w:r>
    </w:p>
    <w:p w14:paraId="5A0C1572">
      <w:pPr>
        <w:pStyle w:val="5"/>
        <w:spacing w:before="0" w:after="0" w:line="360" w:lineRule="auto"/>
        <w:rPr>
          <w:rFonts w:hint="eastAsia" w:ascii="宋体" w:hAnsi="宋体" w:eastAsia="宋体" w:cs="宋体"/>
          <w:color w:val="auto"/>
          <w:sz w:val="21"/>
          <w:szCs w:val="21"/>
          <w:highlight w:val="none"/>
        </w:rPr>
      </w:pPr>
      <w:bookmarkStart w:id="132" w:name="_Toc17968"/>
      <w:bookmarkStart w:id="133" w:name="_Toc70424858"/>
      <w:bookmarkStart w:id="134" w:name="_Toc151027083"/>
      <w:r>
        <w:rPr>
          <w:rFonts w:hint="eastAsia" w:ascii="宋体" w:hAnsi="宋体" w:eastAsia="宋体" w:cs="宋体"/>
          <w:color w:val="auto"/>
          <w:sz w:val="21"/>
          <w:szCs w:val="21"/>
          <w:highlight w:val="none"/>
        </w:rPr>
        <w:t>6.2 初步评审</w:t>
      </w:r>
      <w:bookmarkEnd w:id="132"/>
      <w:bookmarkEnd w:id="133"/>
      <w:bookmarkEnd w:id="134"/>
    </w:p>
    <w:p w14:paraId="1C9F8A6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6.2.1 磋商小组按照第三章“评审办法”规定的评审标准和程序对供应商递交的响应文件进行初步评审。初步评审主要对响应文件的形式、供应商的资格和响应文件的响应性进行审查，以判断响应文件的形式是否符合要求、供应商是否符合资格条件、响应文件是否实质性响应采购文件的要求。</w:t>
      </w:r>
    </w:p>
    <w:p w14:paraId="2F8DA96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6.2.2 响应文件的形式或供应商资格不符合采购文件的要求、响应文件未实质性响应采购文件的要求，或响应文件中有含义不明确、同类问题表述不一致或有明显文字和计算错误的内容，磋商小组应要求供应商在规定时间内进行澄清、说明和补正。供应商澄清、说明和补正的内容应由法定代表人（单位负责人）或其授权的代理人签字或加盖单位章。澄清、说明和补正的内容作为响应文件的组成部分。</w:t>
      </w:r>
    </w:p>
    <w:p w14:paraId="68A7896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6.2.3 只有形式评审和资格评审合格且实质性响应采购文件要求的供应商才可通过初步评审。经供应商澄清、说明和补正后仍未通过初步评审的响应文件将被视为无效，磋商小组应告知有关供应商。</w:t>
      </w:r>
    </w:p>
    <w:p w14:paraId="7E50650D">
      <w:pPr>
        <w:pStyle w:val="5"/>
        <w:spacing w:before="0" w:after="0" w:line="360" w:lineRule="auto"/>
        <w:rPr>
          <w:rFonts w:hint="eastAsia" w:ascii="宋体" w:hAnsi="宋体" w:eastAsia="宋体" w:cs="宋体"/>
          <w:color w:val="auto"/>
          <w:sz w:val="21"/>
          <w:szCs w:val="21"/>
          <w:highlight w:val="none"/>
        </w:rPr>
      </w:pPr>
      <w:bookmarkStart w:id="135" w:name="_Toc14425"/>
      <w:bookmarkStart w:id="136" w:name="_Toc151027084"/>
      <w:bookmarkStart w:id="137" w:name="_Toc70424859"/>
      <w:r>
        <w:rPr>
          <w:rFonts w:hint="eastAsia" w:ascii="宋体" w:hAnsi="宋体" w:eastAsia="宋体" w:cs="宋体"/>
          <w:color w:val="auto"/>
          <w:sz w:val="21"/>
          <w:szCs w:val="21"/>
          <w:highlight w:val="none"/>
        </w:rPr>
        <w:t>6.3 磋商</w:t>
      </w:r>
      <w:bookmarkEnd w:id="135"/>
      <w:bookmarkEnd w:id="136"/>
      <w:bookmarkEnd w:id="137"/>
    </w:p>
    <w:p w14:paraId="6D419BF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6.3.1 磋商小组应按照供应商须知前附表规定的磋商轮次及磋商顺序与通过初步评审的供应商逐一进行磋商。</w:t>
      </w:r>
    </w:p>
    <w:p w14:paraId="0909DA8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6.3.2 通过公告方式邀请供应商且通过初步评审的供应商数量超过供应商须知前附表规定的预定参加磋商的供应商数量的，磋商小组按照供应商须知前附表规定的选择方式，从通过初步评审的供应商中选择预定数量的供应商进行磋商。未被选择的供应商不再参加后续的磋商活动，磋商小组应对其进行告知；除供应商须知前附表另有规定外，其响应保证金应在5日内原额退还。</w:t>
      </w:r>
    </w:p>
    <w:p w14:paraId="5A12427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6.3.3 磋商小组所有成员应集中与单一供应商逐一进行磋商，并给予所有参加磋商的供应商平等的磋商机会。供应商的法定代表人（单位负责人）或其授权的代理人应参加磋商。供应商的法定代表人（单位负责人）或其授权的代理人在磋商中做出的承诺构成响应文件的组成部分。</w:t>
      </w:r>
    </w:p>
    <w:p w14:paraId="098DAB8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6.3.4 除供应商须知前附表另有规定外，递交响应文件的供应商未准时参加某一轮次磋商的，视为其放弃参加该轮次磋商，但其仍有权参加后续磋商采购活动。</w:t>
      </w:r>
    </w:p>
    <w:p w14:paraId="1AF90B2B">
      <w:pPr>
        <w:pStyle w:val="5"/>
        <w:spacing w:before="0" w:after="0" w:line="360" w:lineRule="auto"/>
        <w:rPr>
          <w:rFonts w:hint="eastAsia" w:ascii="宋体" w:hAnsi="宋体" w:eastAsia="宋体" w:cs="宋体"/>
          <w:color w:val="auto"/>
          <w:sz w:val="21"/>
          <w:szCs w:val="21"/>
          <w:highlight w:val="none"/>
        </w:rPr>
      </w:pPr>
      <w:bookmarkStart w:id="138" w:name="_Toc70424860"/>
      <w:bookmarkStart w:id="139" w:name="_Toc29950"/>
      <w:bookmarkStart w:id="140" w:name="_Toc151027085"/>
      <w:r>
        <w:rPr>
          <w:rFonts w:hint="eastAsia" w:ascii="宋体" w:hAnsi="宋体" w:eastAsia="宋体" w:cs="宋体"/>
          <w:color w:val="auto"/>
          <w:sz w:val="21"/>
          <w:szCs w:val="21"/>
          <w:highlight w:val="none"/>
        </w:rPr>
        <w:t>6.4 递交补充响应文件</w:t>
      </w:r>
      <w:bookmarkEnd w:id="138"/>
      <w:bookmarkEnd w:id="139"/>
      <w:bookmarkEnd w:id="140"/>
    </w:p>
    <w:p w14:paraId="5F2E36E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6.4.1 在磋商过程中，磋商小组可根据磋商情况修改和补充采购文件中采购需求部分的技术、服务要求以及合同草案条款等内容，但不得实质性改变评审标准或改变可能影响初步评审结果的内容。磋商小组修改和补充采购文件的，应当以书面形式将修改和补充的内容通知所有参加磋商的供应商。修改和补充的内容构成采购文件的组成部分。</w:t>
      </w:r>
    </w:p>
    <w:p w14:paraId="0AFD244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6.4.2 磋商小组修改和补充采购文件后，应要求供应商修改和补充响应文件。供应商应按照采购文件修改和补充的内容及要求相应地对已经递交的响应文件进行修改和补充（即补充响应文件）。补充响应文件应由供应商的法定代表人（单位负责人）或其授权的代理人签字或加盖单位章，并对采购文件修改和补充的内容作出实质性的响应。补充响应文件与首次递交的响应文件共同构成供应商响应文件的组成部分，二者内容不一致的，以补充响应文件内容为准。</w:t>
      </w:r>
    </w:p>
    <w:p w14:paraId="2C662C1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6.4.3 磋商小组审查供应商补充响应文件，对其响应性进行评审。补充响应文件实质性响应采购文件及其修改和补充内容的，磋商小组应要求供应商在规定时间内递交最终报价；补充响应文件未能实质性响应采购文件及其修改和补充内容的，该响应文件将被视为无效，磋商小组应取消供应商的磋商资格并对其进行告知。</w:t>
      </w:r>
    </w:p>
    <w:p w14:paraId="66B51AFB">
      <w:pPr>
        <w:pStyle w:val="5"/>
        <w:spacing w:before="0" w:after="0" w:line="360" w:lineRule="auto"/>
        <w:rPr>
          <w:rFonts w:hint="eastAsia" w:ascii="宋体" w:hAnsi="宋体" w:eastAsia="宋体" w:cs="宋体"/>
          <w:color w:val="auto"/>
          <w:sz w:val="21"/>
          <w:szCs w:val="21"/>
          <w:highlight w:val="none"/>
        </w:rPr>
      </w:pPr>
      <w:bookmarkStart w:id="141" w:name="_Toc70424861"/>
      <w:bookmarkStart w:id="142" w:name="_Toc28892"/>
      <w:bookmarkStart w:id="143" w:name="_Toc151027086"/>
      <w:r>
        <w:rPr>
          <w:rFonts w:hint="eastAsia" w:ascii="宋体" w:hAnsi="宋体" w:eastAsia="宋体" w:cs="宋体"/>
          <w:color w:val="auto"/>
          <w:sz w:val="21"/>
          <w:szCs w:val="21"/>
          <w:highlight w:val="none"/>
        </w:rPr>
        <w:t>6.5 递交最终报价</w:t>
      </w:r>
      <w:bookmarkEnd w:id="141"/>
      <w:bookmarkEnd w:id="142"/>
      <w:bookmarkEnd w:id="143"/>
    </w:p>
    <w:p w14:paraId="4CD8FFB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磋商小组在磋商中未修改或补充采购文件的，磋商结束后，磋商小组将要求所有参加磋商的供应商在规定时间内递交最终报价；磋商小组修改和补充了采购文件的，磋商小组应要求按照本章第6.4款规定递交了实质性响应的补充响应文件的供应商在规定时间内递交最终报价。最终报价应由供应商的法定代表人（单位负责人）或其授权的代理人签字或加盖单位章。最终报价是供应商响应文件的组成部分。</w:t>
      </w:r>
    </w:p>
    <w:p w14:paraId="3BD755AB">
      <w:pPr>
        <w:pStyle w:val="5"/>
        <w:spacing w:before="0" w:after="0" w:line="360" w:lineRule="auto"/>
        <w:rPr>
          <w:rFonts w:hint="eastAsia" w:ascii="宋体" w:hAnsi="宋体" w:eastAsia="宋体" w:cs="宋体"/>
          <w:color w:val="auto"/>
          <w:sz w:val="21"/>
          <w:szCs w:val="21"/>
          <w:highlight w:val="none"/>
        </w:rPr>
      </w:pPr>
      <w:bookmarkStart w:id="144" w:name="_Toc26188"/>
      <w:bookmarkStart w:id="145" w:name="_Toc151027087"/>
      <w:bookmarkStart w:id="146" w:name="_Toc70424862"/>
      <w:r>
        <w:rPr>
          <w:rFonts w:hint="eastAsia" w:ascii="宋体" w:hAnsi="宋体" w:eastAsia="宋体" w:cs="宋体"/>
          <w:color w:val="auto"/>
          <w:sz w:val="21"/>
          <w:szCs w:val="21"/>
          <w:highlight w:val="none"/>
        </w:rPr>
        <w:t>6.6 公开开启最终报价</w:t>
      </w:r>
      <w:bookmarkEnd w:id="144"/>
      <w:bookmarkEnd w:id="145"/>
      <w:bookmarkEnd w:id="146"/>
    </w:p>
    <w:p w14:paraId="4EFE457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供应商须知前附表规定公开开启最终报价的，采购人将在供应商递交最终报价的截止时间，公开开启并公布所有供应商的最终报价。</w:t>
      </w:r>
    </w:p>
    <w:p w14:paraId="0BBB6629">
      <w:pPr>
        <w:pStyle w:val="5"/>
        <w:spacing w:before="0" w:after="0" w:line="360" w:lineRule="auto"/>
        <w:rPr>
          <w:rFonts w:hint="eastAsia" w:ascii="宋体" w:hAnsi="宋体" w:eastAsia="宋体" w:cs="宋体"/>
          <w:color w:val="auto"/>
          <w:sz w:val="21"/>
          <w:szCs w:val="21"/>
          <w:highlight w:val="none"/>
        </w:rPr>
      </w:pPr>
      <w:bookmarkStart w:id="147" w:name="_Toc70424863"/>
      <w:bookmarkStart w:id="148" w:name="_Toc151027088"/>
      <w:bookmarkStart w:id="149" w:name="_Toc3985"/>
      <w:r>
        <w:rPr>
          <w:rFonts w:hint="eastAsia" w:ascii="宋体" w:hAnsi="宋体" w:eastAsia="宋体" w:cs="宋体"/>
          <w:color w:val="auto"/>
          <w:sz w:val="21"/>
          <w:szCs w:val="21"/>
          <w:highlight w:val="none"/>
        </w:rPr>
        <w:t>6.7 详细评审及推荐候选成交供应商</w:t>
      </w:r>
      <w:bookmarkEnd w:id="147"/>
      <w:bookmarkEnd w:id="148"/>
      <w:bookmarkEnd w:id="149"/>
    </w:p>
    <w:p w14:paraId="2F4ADF6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6.7.1 磋商小组按照第三章“评审办法”规定的评审方法、评审因素、评审标准和程序对响应文件进行详细评审。第三章“评审办法”没有规定的方法、因素和标准，不作为评审依据。</w:t>
      </w:r>
    </w:p>
    <w:p w14:paraId="6669483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6.7.2 评审完成后，磋商小组应当向采购人提交书面评审报告和候选成交供应商名单。磋商小组推荐候选成交供应商的排序要求及数量件供应商须知前附表。</w:t>
      </w:r>
    </w:p>
    <w:p w14:paraId="700418A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6.7.3 所有供应商最终报价均明显不合理的，采购人将终止磋商活动。</w:t>
      </w:r>
    </w:p>
    <w:p w14:paraId="6831D099">
      <w:pPr>
        <w:pStyle w:val="5"/>
        <w:spacing w:before="0" w:after="0" w:line="360" w:lineRule="auto"/>
        <w:rPr>
          <w:rFonts w:hint="eastAsia" w:ascii="宋体" w:hAnsi="宋体" w:eastAsia="宋体" w:cs="宋体"/>
          <w:color w:val="auto"/>
          <w:sz w:val="21"/>
          <w:szCs w:val="21"/>
          <w:highlight w:val="none"/>
        </w:rPr>
      </w:pPr>
      <w:bookmarkStart w:id="150" w:name="_Toc70424864"/>
      <w:bookmarkStart w:id="151" w:name="_Toc26870"/>
      <w:bookmarkStart w:id="152" w:name="_Toc151027089"/>
      <w:r>
        <w:rPr>
          <w:rFonts w:hint="eastAsia" w:ascii="宋体" w:hAnsi="宋体" w:eastAsia="宋体" w:cs="宋体"/>
          <w:color w:val="auto"/>
          <w:sz w:val="21"/>
          <w:szCs w:val="21"/>
          <w:highlight w:val="none"/>
        </w:rPr>
        <w:t>6.8 特殊情形处理</w:t>
      </w:r>
      <w:bookmarkEnd w:id="150"/>
      <w:bookmarkEnd w:id="151"/>
      <w:bookmarkEnd w:id="152"/>
    </w:p>
    <w:p w14:paraId="5A1C5E0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通过初步评审的供应商或递交最终报价的供应商数量与采购文件规定的成交供应商数量相等时，采购人可根据不同的情况决定继续或终止磋商活动；通过初步评审的供应商或递交最终报价的供应商数量少于采购文件规定的成交供应商数量的，采购人将终止磋商活动。</w:t>
      </w:r>
    </w:p>
    <w:p w14:paraId="0D4F908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决定终止磋商活动的，采购人将向磋商小组出具停止磋商通知书。</w:t>
      </w:r>
    </w:p>
    <w:p w14:paraId="4068530D">
      <w:pPr>
        <w:pStyle w:val="4"/>
        <w:spacing w:before="0" w:after="0" w:line="360" w:lineRule="auto"/>
        <w:rPr>
          <w:rFonts w:hint="eastAsia" w:ascii="宋体" w:hAnsi="宋体" w:eastAsia="宋体" w:cs="宋体"/>
          <w:color w:val="auto"/>
          <w:sz w:val="21"/>
          <w:szCs w:val="21"/>
          <w:highlight w:val="none"/>
        </w:rPr>
      </w:pPr>
      <w:bookmarkStart w:id="153" w:name="_Toc151027090"/>
      <w:bookmarkStart w:id="154" w:name="_Toc18265"/>
      <w:bookmarkStart w:id="155" w:name="_Toc70424865"/>
      <w:r>
        <w:rPr>
          <w:rFonts w:hint="eastAsia" w:ascii="宋体" w:hAnsi="宋体" w:eastAsia="宋体" w:cs="宋体"/>
          <w:color w:val="auto"/>
          <w:sz w:val="21"/>
          <w:szCs w:val="21"/>
          <w:highlight w:val="none"/>
        </w:rPr>
        <w:t>7. 合同授予</w:t>
      </w:r>
      <w:bookmarkEnd w:id="153"/>
      <w:bookmarkEnd w:id="154"/>
      <w:bookmarkEnd w:id="155"/>
    </w:p>
    <w:p w14:paraId="7D46E28D">
      <w:pPr>
        <w:pStyle w:val="5"/>
        <w:spacing w:before="0" w:after="0" w:line="360" w:lineRule="auto"/>
        <w:rPr>
          <w:rFonts w:hint="eastAsia" w:ascii="宋体" w:hAnsi="宋体" w:eastAsia="宋体" w:cs="宋体"/>
          <w:color w:val="auto"/>
          <w:sz w:val="21"/>
          <w:szCs w:val="21"/>
          <w:highlight w:val="none"/>
        </w:rPr>
      </w:pPr>
      <w:bookmarkStart w:id="156" w:name="_Toc28139"/>
      <w:bookmarkStart w:id="157" w:name="_Toc70424866"/>
      <w:bookmarkStart w:id="158" w:name="_Toc151027091"/>
      <w:r>
        <w:rPr>
          <w:rFonts w:hint="eastAsia" w:ascii="宋体" w:hAnsi="宋体" w:eastAsia="宋体" w:cs="宋体"/>
          <w:color w:val="auto"/>
          <w:sz w:val="21"/>
          <w:szCs w:val="21"/>
          <w:highlight w:val="none"/>
        </w:rPr>
        <w:t>7.1 候选成交供应商履约能力核查</w:t>
      </w:r>
      <w:bookmarkEnd w:id="156"/>
      <w:bookmarkEnd w:id="157"/>
      <w:bookmarkEnd w:id="158"/>
    </w:p>
    <w:p w14:paraId="236E2A5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采购人可对候选成交供应商的相关证明材料原件进行核验或组织现场考察，以确认候选成交供应商的生产经营、财务等实际状况与响应文件是否一致以及是否存在其他可能影响供应商履约能力的情况。</w:t>
      </w:r>
    </w:p>
    <w:p w14:paraId="545B33D4">
      <w:pPr>
        <w:pStyle w:val="5"/>
        <w:spacing w:before="0" w:after="0" w:line="360" w:lineRule="auto"/>
        <w:rPr>
          <w:rFonts w:hint="eastAsia" w:ascii="宋体" w:hAnsi="宋体" w:eastAsia="宋体" w:cs="宋体"/>
          <w:color w:val="auto"/>
          <w:sz w:val="21"/>
          <w:szCs w:val="21"/>
          <w:highlight w:val="none"/>
        </w:rPr>
      </w:pPr>
      <w:bookmarkStart w:id="159" w:name="_Toc28851"/>
      <w:bookmarkStart w:id="160" w:name="_Toc151027092"/>
      <w:bookmarkStart w:id="161" w:name="_Toc70424867"/>
      <w:r>
        <w:rPr>
          <w:rFonts w:hint="eastAsia" w:ascii="宋体" w:hAnsi="宋体" w:eastAsia="宋体" w:cs="宋体"/>
          <w:color w:val="auto"/>
          <w:sz w:val="21"/>
          <w:szCs w:val="21"/>
          <w:highlight w:val="none"/>
        </w:rPr>
        <w:t>7.2 确定成交供应商</w:t>
      </w:r>
      <w:bookmarkEnd w:id="159"/>
      <w:bookmarkEnd w:id="160"/>
      <w:bookmarkEnd w:id="161"/>
    </w:p>
    <w:p w14:paraId="49E03F4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采购人将依据评审报告提出的成交候选供应商按照排序由高到低的原则确定成交供应商。</w:t>
      </w:r>
    </w:p>
    <w:p w14:paraId="3AE78864">
      <w:pPr>
        <w:pStyle w:val="5"/>
        <w:spacing w:before="0" w:after="0" w:line="360" w:lineRule="auto"/>
        <w:rPr>
          <w:rFonts w:hint="eastAsia" w:ascii="宋体" w:hAnsi="宋体" w:eastAsia="宋体" w:cs="宋体"/>
          <w:color w:val="auto"/>
          <w:sz w:val="21"/>
          <w:szCs w:val="21"/>
          <w:highlight w:val="none"/>
        </w:rPr>
      </w:pPr>
      <w:bookmarkStart w:id="162" w:name="_Toc4560"/>
      <w:bookmarkStart w:id="163" w:name="_Toc70424868"/>
      <w:bookmarkStart w:id="164" w:name="_Toc151027093"/>
      <w:r>
        <w:rPr>
          <w:rFonts w:hint="eastAsia" w:ascii="宋体" w:hAnsi="宋体" w:eastAsia="宋体" w:cs="宋体"/>
          <w:color w:val="auto"/>
          <w:sz w:val="21"/>
          <w:szCs w:val="21"/>
          <w:highlight w:val="none"/>
        </w:rPr>
        <w:t>7.3 发布成交结果公告</w:t>
      </w:r>
      <w:bookmarkEnd w:id="162"/>
      <w:bookmarkEnd w:id="163"/>
      <w:bookmarkEnd w:id="164"/>
    </w:p>
    <w:p w14:paraId="5F682DC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采购人将在供应商须知前附表规定的公告媒介发布成交结果公告，公告信息包括成交供应商名称、响应价格及服务期限、成交份额（如有）及供应商须知前附表规定的其他内容。</w:t>
      </w:r>
    </w:p>
    <w:p w14:paraId="3AB0459E">
      <w:pPr>
        <w:pStyle w:val="5"/>
        <w:spacing w:before="0" w:after="0" w:line="360" w:lineRule="auto"/>
        <w:rPr>
          <w:rFonts w:hint="eastAsia" w:ascii="宋体" w:hAnsi="宋体" w:eastAsia="宋体" w:cs="宋体"/>
          <w:color w:val="auto"/>
          <w:sz w:val="21"/>
          <w:szCs w:val="21"/>
          <w:highlight w:val="none"/>
        </w:rPr>
      </w:pPr>
      <w:bookmarkStart w:id="165" w:name="_Toc19275"/>
      <w:bookmarkStart w:id="166" w:name="_Toc151027094"/>
      <w:bookmarkStart w:id="167" w:name="_Toc70424869"/>
      <w:r>
        <w:rPr>
          <w:rFonts w:hint="eastAsia" w:ascii="宋体" w:hAnsi="宋体" w:eastAsia="宋体" w:cs="宋体"/>
          <w:color w:val="auto"/>
          <w:sz w:val="21"/>
          <w:szCs w:val="21"/>
          <w:highlight w:val="none"/>
        </w:rPr>
        <w:t>7.4 发出成交通知书</w:t>
      </w:r>
      <w:bookmarkEnd w:id="165"/>
      <w:bookmarkEnd w:id="166"/>
      <w:bookmarkEnd w:id="167"/>
    </w:p>
    <w:p w14:paraId="176B859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发布成交结果公告的同时，在本章第3.3款规定的响应文件有效期内，采购人以书面形式向成交供应商发出成交通知书。</w:t>
      </w:r>
    </w:p>
    <w:p w14:paraId="12F06E0A">
      <w:pPr>
        <w:pStyle w:val="5"/>
        <w:spacing w:before="0" w:after="0" w:line="360" w:lineRule="auto"/>
        <w:rPr>
          <w:rFonts w:hint="eastAsia" w:ascii="宋体" w:hAnsi="宋体" w:eastAsia="宋体" w:cs="宋体"/>
          <w:color w:val="auto"/>
          <w:sz w:val="21"/>
          <w:szCs w:val="21"/>
          <w:highlight w:val="none"/>
        </w:rPr>
      </w:pPr>
      <w:bookmarkStart w:id="168" w:name="_Toc70424870"/>
      <w:bookmarkStart w:id="169" w:name="_Toc15570"/>
      <w:bookmarkStart w:id="170" w:name="_Toc151027095"/>
      <w:r>
        <w:rPr>
          <w:rFonts w:hint="eastAsia" w:ascii="宋体" w:hAnsi="宋体" w:eastAsia="宋体" w:cs="宋体"/>
          <w:color w:val="auto"/>
          <w:sz w:val="21"/>
          <w:szCs w:val="21"/>
          <w:highlight w:val="none"/>
        </w:rPr>
        <w:t>7.5 履约保证金</w:t>
      </w:r>
      <w:bookmarkEnd w:id="168"/>
      <w:bookmarkEnd w:id="169"/>
      <w:bookmarkEnd w:id="170"/>
    </w:p>
    <w:p w14:paraId="2CBA1EF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供应商须知前附表规定递交履约保证金的，成交供应商应按供应商须知前附表规定的形式、有效期限和递交时间向采购人递交履约保证金。除供应商须知前附表另有规定外，履约保证金为采购合同金额的5%。</w:t>
      </w:r>
    </w:p>
    <w:p w14:paraId="7B43DA4D">
      <w:pPr>
        <w:pStyle w:val="5"/>
        <w:spacing w:before="0" w:after="0" w:line="360" w:lineRule="auto"/>
        <w:rPr>
          <w:rFonts w:hint="eastAsia" w:ascii="宋体" w:hAnsi="宋体" w:eastAsia="宋体" w:cs="宋体"/>
          <w:color w:val="auto"/>
          <w:sz w:val="21"/>
          <w:szCs w:val="21"/>
          <w:highlight w:val="none"/>
        </w:rPr>
      </w:pPr>
      <w:bookmarkStart w:id="171" w:name="_Toc70424871"/>
      <w:bookmarkStart w:id="172" w:name="_Toc151027096"/>
      <w:bookmarkStart w:id="173" w:name="_Toc28932"/>
      <w:r>
        <w:rPr>
          <w:rFonts w:hint="eastAsia" w:ascii="宋体" w:hAnsi="宋体" w:eastAsia="宋体" w:cs="宋体"/>
          <w:color w:val="auto"/>
          <w:sz w:val="21"/>
          <w:szCs w:val="21"/>
          <w:highlight w:val="none"/>
        </w:rPr>
        <w:t>7.6 签订合同</w:t>
      </w:r>
      <w:bookmarkEnd w:id="171"/>
      <w:bookmarkEnd w:id="172"/>
      <w:bookmarkEnd w:id="173"/>
    </w:p>
    <w:p w14:paraId="751AA89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7.6.1 采购人和成交供应商应当在成交通知书规定的期限内，根据采购文件和成交供应商的响应文件订立书面合同。成交供应商无正当理由拒绝签订合同，在签订合同时向采购人提出附加条件，或者不按照采购文件要求递交履约保证金的，采购人取消其成交资格，其响应保证金不予退还；给采购人造成的损失超过响应保证金数额的，成交供应商还应当对超过部分予以赔偿。</w:t>
      </w:r>
    </w:p>
    <w:p w14:paraId="1AC39DE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7.6.2 发出成交通知书后，采购人无正当理由拒绝签订合同，或者在签订合同时向成交供应商提出附加条件的，采购人向成交供应商退还响应保证金；给成交供应商造成损失的，还应当赔偿损失。</w:t>
      </w:r>
    </w:p>
    <w:p w14:paraId="5D8E4F8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7.6.3 联合体成交的，联合体各方应当共同与采购人签订合同，就成交项目向采购人承担连带责任。</w:t>
      </w:r>
    </w:p>
    <w:p w14:paraId="378EFF3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7.6.4 除供应商须知前附表另有规定外，按照第三章“评审办法”第3.1.4项规定对最终报价进行修正后，若修正后的最终报价小于按照第三章“评审办法”第3.1.1项规定确定的评审价格，则签订合同时以修正后的最终报价为准；若修正后的最终报价大于评审价格，则签订合同时以评审价格为准，同时按比例修正相应子目的单价或合价（采购文件不允许调整的费率和金额除外）。</w:t>
      </w:r>
    </w:p>
    <w:p w14:paraId="03E1816E">
      <w:pPr>
        <w:pStyle w:val="5"/>
        <w:spacing w:before="0" w:after="0" w:line="360" w:lineRule="auto"/>
        <w:rPr>
          <w:rFonts w:hint="eastAsia" w:ascii="宋体" w:hAnsi="宋体" w:eastAsia="宋体" w:cs="宋体"/>
          <w:color w:val="auto"/>
          <w:sz w:val="21"/>
          <w:szCs w:val="21"/>
          <w:highlight w:val="none"/>
        </w:rPr>
      </w:pPr>
      <w:bookmarkStart w:id="174" w:name="_Toc151027097"/>
      <w:bookmarkStart w:id="175" w:name="_Toc21007"/>
      <w:bookmarkStart w:id="176" w:name="_Toc70424872"/>
      <w:r>
        <w:rPr>
          <w:rFonts w:hint="eastAsia" w:ascii="宋体" w:hAnsi="宋体" w:eastAsia="宋体" w:cs="宋体"/>
          <w:color w:val="auto"/>
          <w:sz w:val="21"/>
          <w:szCs w:val="21"/>
          <w:highlight w:val="none"/>
        </w:rPr>
        <w:t>7.7 特殊情形处理</w:t>
      </w:r>
      <w:bookmarkEnd w:id="174"/>
      <w:bookmarkEnd w:id="175"/>
      <w:bookmarkEnd w:id="176"/>
    </w:p>
    <w:p w14:paraId="7D2EFF0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因供应商对成交结果提出异议、成交供应商无正当理由拒绝签订合同、成交供应商在签订合同时向采购人提出附加条件或者不按照采购文件要求递交履约保证金等导致采购人变更成交结果的，采购人应按照本条规定的程序重新选择确定成交供应商并进行公告。</w:t>
      </w:r>
    </w:p>
    <w:p w14:paraId="0EFA6D83">
      <w:pPr>
        <w:pStyle w:val="4"/>
        <w:spacing w:before="0" w:after="0" w:line="360" w:lineRule="auto"/>
        <w:rPr>
          <w:rFonts w:hint="eastAsia" w:ascii="宋体" w:hAnsi="宋体" w:eastAsia="宋体" w:cs="宋体"/>
          <w:color w:val="auto"/>
          <w:sz w:val="21"/>
          <w:szCs w:val="21"/>
          <w:highlight w:val="none"/>
        </w:rPr>
      </w:pPr>
      <w:bookmarkStart w:id="177" w:name="_Toc11835"/>
      <w:bookmarkStart w:id="178" w:name="_Toc70424873"/>
      <w:bookmarkStart w:id="179" w:name="_Toc151027098"/>
      <w:r>
        <w:rPr>
          <w:rFonts w:hint="eastAsia" w:ascii="宋体" w:hAnsi="宋体" w:eastAsia="宋体" w:cs="宋体"/>
          <w:color w:val="auto"/>
          <w:sz w:val="21"/>
          <w:szCs w:val="21"/>
          <w:highlight w:val="none"/>
        </w:rPr>
        <w:t>8. 异议</w:t>
      </w:r>
      <w:bookmarkEnd w:id="177"/>
      <w:bookmarkEnd w:id="178"/>
      <w:bookmarkEnd w:id="179"/>
    </w:p>
    <w:p w14:paraId="3847F675">
      <w:pPr>
        <w:pStyle w:val="5"/>
        <w:spacing w:before="0" w:after="0" w:line="360" w:lineRule="auto"/>
        <w:rPr>
          <w:rFonts w:hint="eastAsia" w:ascii="宋体" w:hAnsi="宋体" w:eastAsia="宋体" w:cs="宋体"/>
          <w:color w:val="auto"/>
          <w:sz w:val="21"/>
          <w:szCs w:val="21"/>
          <w:highlight w:val="none"/>
        </w:rPr>
      </w:pPr>
      <w:bookmarkStart w:id="180" w:name="_Toc151027099"/>
      <w:bookmarkStart w:id="181" w:name="_Toc70424874"/>
      <w:bookmarkStart w:id="182" w:name="_Toc29500"/>
      <w:r>
        <w:rPr>
          <w:rFonts w:hint="eastAsia" w:ascii="宋体" w:hAnsi="宋体" w:eastAsia="宋体" w:cs="宋体"/>
          <w:color w:val="auto"/>
          <w:sz w:val="21"/>
          <w:szCs w:val="21"/>
          <w:highlight w:val="none"/>
        </w:rPr>
        <w:t>8.1 提出异议</w:t>
      </w:r>
      <w:bookmarkEnd w:id="180"/>
      <w:bookmarkEnd w:id="181"/>
      <w:bookmarkEnd w:id="182"/>
    </w:p>
    <w:p w14:paraId="3BC6C55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供应商或者其他利害关系人可以对成交结果提出异议。异议应在成交结果公告期间向采购人（采购代理机构）提出，并递交异议函和必要的证明材料。异议函包括但不限于下列内容：</w:t>
      </w:r>
    </w:p>
    <w:p w14:paraId="538E58F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（1）异议人名称、地址、邮政编码、联系人及联系电话；</w:t>
      </w:r>
    </w:p>
    <w:p w14:paraId="16F840A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（2）具体、明确的异议事项、事实依据及与异议事项相关的请求。</w:t>
      </w:r>
    </w:p>
    <w:p w14:paraId="4CD4BAE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异议应由异议人的法定代表人（单位负责人）或其授权的代理人签字并加盖单位章。</w:t>
      </w:r>
    </w:p>
    <w:p w14:paraId="18131C44">
      <w:pPr>
        <w:pStyle w:val="5"/>
        <w:spacing w:before="0" w:after="0" w:line="360" w:lineRule="auto"/>
        <w:rPr>
          <w:rFonts w:hint="eastAsia" w:ascii="宋体" w:hAnsi="宋体" w:eastAsia="宋体" w:cs="宋体"/>
          <w:color w:val="auto"/>
          <w:sz w:val="21"/>
          <w:szCs w:val="21"/>
          <w:highlight w:val="none"/>
        </w:rPr>
      </w:pPr>
      <w:bookmarkStart w:id="183" w:name="_Toc70424875"/>
      <w:bookmarkStart w:id="184" w:name="_Toc20833"/>
      <w:bookmarkStart w:id="185" w:name="_Toc151027100"/>
      <w:r>
        <w:rPr>
          <w:rFonts w:hint="eastAsia" w:ascii="宋体" w:hAnsi="宋体" w:eastAsia="宋体" w:cs="宋体"/>
          <w:color w:val="auto"/>
          <w:sz w:val="21"/>
          <w:szCs w:val="21"/>
          <w:highlight w:val="none"/>
        </w:rPr>
        <w:t>8.2 异议处理</w:t>
      </w:r>
      <w:bookmarkEnd w:id="183"/>
      <w:bookmarkEnd w:id="184"/>
      <w:bookmarkEnd w:id="185"/>
    </w:p>
    <w:p w14:paraId="3030293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采购人将针对异议事项进行核查，经过核查，发现异议人对相关问题理解有误的，应作出解释；发现采购活动中确实存在错误或不当行为的，应及时予以改正或补救。</w:t>
      </w:r>
    </w:p>
    <w:p w14:paraId="42A99B3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异议人与采购人对异议事项无法达成一致的，异议人可向有关行业组织或专业咨询机构申请调解或进行反映。</w:t>
      </w:r>
    </w:p>
    <w:p w14:paraId="7FB35E7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采购人认为异议不成立或不影响采购结果的，可以继续进行采购活动。</w:t>
      </w:r>
    </w:p>
    <w:p w14:paraId="1F3C203A">
      <w:pPr>
        <w:pStyle w:val="4"/>
        <w:spacing w:before="0" w:after="0" w:line="360" w:lineRule="auto"/>
        <w:rPr>
          <w:rFonts w:hint="eastAsia" w:ascii="宋体" w:hAnsi="宋体" w:eastAsia="宋体" w:cs="宋体"/>
          <w:color w:val="auto"/>
          <w:sz w:val="21"/>
          <w:szCs w:val="21"/>
          <w:highlight w:val="none"/>
        </w:rPr>
      </w:pPr>
      <w:bookmarkStart w:id="186" w:name="_Toc151027101"/>
      <w:bookmarkStart w:id="187" w:name="_Toc17001"/>
      <w:bookmarkStart w:id="188" w:name="_Toc70424876"/>
      <w:r>
        <w:rPr>
          <w:rFonts w:hint="eastAsia" w:ascii="宋体" w:hAnsi="宋体" w:eastAsia="宋体" w:cs="宋体"/>
          <w:color w:val="auto"/>
          <w:sz w:val="21"/>
          <w:szCs w:val="21"/>
          <w:highlight w:val="none"/>
        </w:rPr>
        <w:t>9. 纪律要求</w:t>
      </w:r>
      <w:bookmarkEnd w:id="186"/>
      <w:bookmarkEnd w:id="187"/>
      <w:bookmarkEnd w:id="188"/>
    </w:p>
    <w:p w14:paraId="60AD03A5">
      <w:pPr>
        <w:pStyle w:val="5"/>
        <w:spacing w:before="0" w:after="0" w:line="360" w:lineRule="auto"/>
        <w:rPr>
          <w:rFonts w:hint="eastAsia" w:ascii="宋体" w:hAnsi="宋体" w:eastAsia="宋体" w:cs="宋体"/>
          <w:color w:val="auto"/>
          <w:sz w:val="21"/>
          <w:szCs w:val="21"/>
          <w:highlight w:val="none"/>
        </w:rPr>
      </w:pPr>
      <w:bookmarkStart w:id="189" w:name="_Toc151027102"/>
      <w:bookmarkStart w:id="190" w:name="_Toc21530"/>
      <w:bookmarkStart w:id="191" w:name="_Toc70424877"/>
      <w:r>
        <w:rPr>
          <w:rFonts w:hint="eastAsia" w:ascii="宋体" w:hAnsi="宋体" w:eastAsia="宋体" w:cs="宋体"/>
          <w:color w:val="auto"/>
          <w:sz w:val="21"/>
          <w:szCs w:val="21"/>
          <w:highlight w:val="none"/>
        </w:rPr>
        <w:t>9.1 对采购人的纪律要求</w:t>
      </w:r>
      <w:bookmarkEnd w:id="189"/>
      <w:bookmarkEnd w:id="190"/>
      <w:bookmarkEnd w:id="191"/>
    </w:p>
    <w:p w14:paraId="6871C21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采购人不得泄露竞争性磋商活动中应当保密的情况和资料，不得与供应商串通损害国家利益、社会公共利益或者他人合法利益。</w:t>
      </w:r>
    </w:p>
    <w:p w14:paraId="6F2F841B">
      <w:pPr>
        <w:pStyle w:val="5"/>
        <w:spacing w:before="0" w:after="0" w:line="360" w:lineRule="auto"/>
        <w:rPr>
          <w:rFonts w:hint="eastAsia" w:ascii="宋体" w:hAnsi="宋体" w:eastAsia="宋体" w:cs="宋体"/>
          <w:color w:val="auto"/>
          <w:sz w:val="21"/>
          <w:szCs w:val="21"/>
          <w:highlight w:val="none"/>
        </w:rPr>
      </w:pPr>
      <w:bookmarkStart w:id="192" w:name="_Toc151027103"/>
      <w:bookmarkStart w:id="193" w:name="_Toc70424878"/>
      <w:bookmarkStart w:id="194" w:name="_Toc6942"/>
      <w:r>
        <w:rPr>
          <w:rFonts w:hint="eastAsia" w:ascii="宋体" w:hAnsi="宋体" w:eastAsia="宋体" w:cs="宋体"/>
          <w:color w:val="auto"/>
          <w:sz w:val="21"/>
          <w:szCs w:val="21"/>
          <w:highlight w:val="none"/>
        </w:rPr>
        <w:t>9.2 对供应商的纪律要求</w:t>
      </w:r>
      <w:bookmarkEnd w:id="192"/>
      <w:bookmarkEnd w:id="193"/>
      <w:bookmarkEnd w:id="194"/>
    </w:p>
    <w:p w14:paraId="0CEBEFE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供应商不得相互串通或者与采购人串通，不得向采购人或者磋商小组成员行贿谋取成交，不得以他人名义参加采购活动或者以其他方式弄虚作假骗取成交；供应商不得以任何方式干扰、影响评审工作。</w:t>
      </w:r>
    </w:p>
    <w:p w14:paraId="525F4091">
      <w:pPr>
        <w:pStyle w:val="5"/>
        <w:spacing w:before="0" w:after="0" w:line="360" w:lineRule="auto"/>
        <w:rPr>
          <w:rFonts w:hint="eastAsia" w:ascii="宋体" w:hAnsi="宋体" w:eastAsia="宋体" w:cs="宋体"/>
          <w:color w:val="auto"/>
          <w:sz w:val="21"/>
          <w:szCs w:val="21"/>
          <w:highlight w:val="none"/>
        </w:rPr>
      </w:pPr>
      <w:bookmarkStart w:id="195" w:name="_Toc70424879"/>
      <w:bookmarkStart w:id="196" w:name="_Toc4729"/>
      <w:bookmarkStart w:id="197" w:name="_Toc151027104"/>
      <w:r>
        <w:rPr>
          <w:rFonts w:hint="eastAsia" w:ascii="宋体" w:hAnsi="宋体" w:eastAsia="宋体" w:cs="宋体"/>
          <w:color w:val="auto"/>
          <w:sz w:val="21"/>
          <w:szCs w:val="21"/>
          <w:highlight w:val="none"/>
        </w:rPr>
        <w:t>9.3 对磋商小组成员的纪律要求</w:t>
      </w:r>
      <w:bookmarkEnd w:id="195"/>
      <w:bookmarkEnd w:id="196"/>
      <w:bookmarkEnd w:id="197"/>
    </w:p>
    <w:p w14:paraId="2B3CD7B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磋商小组成员不得收受他人的财物或者其他好处，不得向他人透漏对响应文件的评审和比较、候选成交供应商的推荐情况以及评审有关的其他情况。在磋商活动中，磋商小组成员应当客观、公正地履行职责，遵守职业道德，不得擅离职守、影响磋商工作正常进行，不得使用第三章“评审办法”没有规定的评审因素和标准进行评审。</w:t>
      </w:r>
    </w:p>
    <w:p w14:paraId="582D3810">
      <w:pPr>
        <w:pStyle w:val="5"/>
        <w:spacing w:before="0" w:after="0" w:line="360" w:lineRule="auto"/>
        <w:rPr>
          <w:rFonts w:hint="eastAsia" w:ascii="宋体" w:hAnsi="宋体" w:eastAsia="宋体" w:cs="宋体"/>
          <w:color w:val="auto"/>
          <w:sz w:val="21"/>
          <w:szCs w:val="21"/>
          <w:highlight w:val="none"/>
        </w:rPr>
      </w:pPr>
      <w:bookmarkStart w:id="198" w:name="_Toc70424880"/>
      <w:bookmarkStart w:id="199" w:name="_Toc17701"/>
      <w:bookmarkStart w:id="200" w:name="_Toc151027105"/>
      <w:r>
        <w:rPr>
          <w:rFonts w:hint="eastAsia" w:ascii="宋体" w:hAnsi="宋体" w:eastAsia="宋体" w:cs="宋体"/>
          <w:color w:val="auto"/>
          <w:sz w:val="21"/>
          <w:szCs w:val="21"/>
          <w:highlight w:val="none"/>
        </w:rPr>
        <w:t>9.4 对与磋商活动有关的工作人员的纪律要求</w:t>
      </w:r>
      <w:bookmarkEnd w:id="198"/>
      <w:bookmarkEnd w:id="199"/>
      <w:bookmarkEnd w:id="200"/>
    </w:p>
    <w:p w14:paraId="59CCA5D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与磋商活动有关的工作人员不得收受他人的财物或者其他好处，不得向他人透露对响应文件的评审和比较、候选成交供应商的推荐情况以及磋商有关的其他情况。在磋商活动中，与磋商活动有关的工作人员不得擅离职守，影响磋商工作正常进行。</w:t>
      </w:r>
    </w:p>
    <w:p w14:paraId="1B01FAE6">
      <w:pPr>
        <w:pStyle w:val="4"/>
        <w:spacing w:before="0" w:after="0" w:line="360" w:lineRule="auto"/>
        <w:rPr>
          <w:rFonts w:hint="eastAsia" w:ascii="宋体" w:hAnsi="宋体" w:eastAsia="宋体" w:cs="宋体"/>
          <w:color w:val="auto"/>
          <w:sz w:val="21"/>
          <w:szCs w:val="21"/>
          <w:highlight w:val="none"/>
        </w:rPr>
      </w:pPr>
      <w:bookmarkStart w:id="201" w:name="_Toc10525"/>
      <w:bookmarkStart w:id="202" w:name="_Toc151027106"/>
      <w:bookmarkStart w:id="203" w:name="_Toc70424881"/>
      <w:r>
        <w:rPr>
          <w:rFonts w:hint="eastAsia" w:ascii="宋体" w:hAnsi="宋体" w:eastAsia="宋体" w:cs="宋体"/>
          <w:color w:val="auto"/>
          <w:sz w:val="21"/>
          <w:szCs w:val="21"/>
          <w:highlight w:val="none"/>
        </w:rPr>
        <w:t>10. 需要补充的其他内容</w:t>
      </w:r>
      <w:bookmarkEnd w:id="201"/>
      <w:bookmarkEnd w:id="202"/>
      <w:bookmarkEnd w:id="203"/>
    </w:p>
    <w:p w14:paraId="36031755">
      <w:pPr>
        <w:pStyle w:val="5"/>
        <w:spacing w:before="0" w:after="0" w:line="360" w:lineRule="auto"/>
        <w:rPr>
          <w:rFonts w:hint="eastAsia" w:ascii="宋体" w:hAnsi="宋体" w:eastAsia="宋体" w:cs="宋体"/>
          <w:color w:val="auto"/>
          <w:sz w:val="21"/>
          <w:szCs w:val="21"/>
          <w:highlight w:val="none"/>
        </w:rPr>
      </w:pPr>
      <w:bookmarkStart w:id="204" w:name="_Toc30383"/>
      <w:bookmarkStart w:id="205" w:name="_Toc70424882"/>
      <w:bookmarkStart w:id="206" w:name="_Toc151027107"/>
      <w:r>
        <w:rPr>
          <w:rFonts w:hint="eastAsia" w:ascii="宋体" w:hAnsi="宋体" w:eastAsia="宋体" w:cs="宋体"/>
          <w:color w:val="auto"/>
          <w:sz w:val="21"/>
          <w:szCs w:val="21"/>
          <w:highlight w:val="none"/>
        </w:rPr>
        <w:t>10.1 采购代理服务费</w:t>
      </w:r>
      <w:bookmarkEnd w:id="204"/>
      <w:bookmarkEnd w:id="205"/>
      <w:bookmarkEnd w:id="206"/>
    </w:p>
    <w:p w14:paraId="2FA2E03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供应商须知前附表规定由供应商承担采购代理服务费的，供应商应按照供应商须知前附表规定的费用标准或金额、交费时间和方式向采购代理机构支付代理服务费。</w:t>
      </w:r>
    </w:p>
    <w:p w14:paraId="167F4FC8">
      <w:pPr>
        <w:pStyle w:val="5"/>
        <w:spacing w:before="0" w:after="0" w:line="360" w:lineRule="auto"/>
        <w:rPr>
          <w:rFonts w:hint="eastAsia" w:ascii="宋体" w:hAnsi="宋体" w:eastAsia="宋体" w:cs="宋体"/>
          <w:color w:val="auto"/>
          <w:sz w:val="21"/>
          <w:szCs w:val="21"/>
          <w:highlight w:val="none"/>
        </w:rPr>
      </w:pPr>
      <w:bookmarkStart w:id="207" w:name="_Toc70424883"/>
      <w:bookmarkStart w:id="208" w:name="_Toc6457"/>
      <w:bookmarkStart w:id="209" w:name="_Toc151027108"/>
      <w:r>
        <w:rPr>
          <w:rFonts w:hint="eastAsia" w:ascii="宋体" w:hAnsi="宋体" w:eastAsia="宋体" w:cs="宋体"/>
          <w:color w:val="auto"/>
          <w:sz w:val="21"/>
          <w:szCs w:val="21"/>
          <w:highlight w:val="none"/>
        </w:rPr>
        <w:t>10.2 其他</w:t>
      </w:r>
      <w:bookmarkEnd w:id="207"/>
      <w:bookmarkEnd w:id="208"/>
      <w:bookmarkEnd w:id="209"/>
    </w:p>
    <w:p w14:paraId="2D2463E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需要补充的其他内容：见供应商须知前附表。</w:t>
      </w:r>
    </w:p>
    <w:p w14:paraId="5488CEE6">
      <w:pPr>
        <w:spacing w:line="360" w:lineRule="auto"/>
        <w:rPr>
          <w:rFonts w:hint="eastAsia" w:ascii="宋体" w:hAnsi="宋体" w:eastAsia="宋体" w:cs="宋体"/>
          <w:color w:val="auto"/>
          <w:highlight w:val="none"/>
        </w:rPr>
      </w:pPr>
    </w:p>
    <w:p w14:paraId="1F763016">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41F905D">
      <w:pPr>
        <w:pStyle w:val="3"/>
        <w:spacing w:before="0" w:after="0" w:line="360" w:lineRule="auto"/>
        <w:jc w:val="center"/>
        <w:rPr>
          <w:rFonts w:hint="eastAsia" w:ascii="宋体" w:hAnsi="宋体" w:eastAsia="宋体" w:cs="宋体"/>
          <w:color w:val="auto"/>
          <w:sz w:val="36"/>
          <w:szCs w:val="36"/>
          <w:highlight w:val="none"/>
        </w:rPr>
      </w:pPr>
      <w:bookmarkStart w:id="210" w:name="_Toc132208728"/>
      <w:r>
        <w:rPr>
          <w:rFonts w:hint="eastAsia" w:ascii="宋体" w:hAnsi="宋体" w:eastAsia="宋体" w:cs="宋体"/>
          <w:color w:val="auto"/>
          <w:sz w:val="36"/>
          <w:szCs w:val="36"/>
          <w:highlight w:val="none"/>
        </w:rPr>
        <w:t>第三章 评审办法</w:t>
      </w:r>
      <w:bookmarkEnd w:id="210"/>
    </w:p>
    <w:p w14:paraId="19F2077F">
      <w:pPr>
        <w:pStyle w:val="4"/>
        <w:spacing w:before="0" w:after="0" w:line="360" w:lineRule="auto"/>
        <w:jc w:val="center"/>
        <w:rPr>
          <w:rFonts w:hint="eastAsia" w:ascii="宋体" w:hAnsi="宋体" w:eastAsia="宋体" w:cs="宋体"/>
          <w:color w:val="auto"/>
          <w:sz w:val="28"/>
          <w:szCs w:val="28"/>
          <w:highlight w:val="none"/>
        </w:rPr>
      </w:pPr>
      <w:bookmarkStart w:id="211" w:name="_Toc132208729"/>
      <w:bookmarkStart w:id="212" w:name="_Toc70424885"/>
      <w:bookmarkStart w:id="213" w:name="_Toc103961531"/>
      <w:r>
        <w:rPr>
          <w:rFonts w:hint="eastAsia" w:ascii="宋体" w:hAnsi="宋体" w:eastAsia="宋体" w:cs="宋体"/>
          <w:color w:val="auto"/>
          <w:sz w:val="28"/>
          <w:szCs w:val="28"/>
          <w:highlight w:val="none"/>
        </w:rPr>
        <w:t>评审办法前附表</w:t>
      </w:r>
      <w:bookmarkEnd w:id="211"/>
      <w:bookmarkEnd w:id="212"/>
      <w:bookmarkEnd w:id="213"/>
    </w:p>
    <w:p w14:paraId="562AAACE">
      <w:pPr>
        <w:pStyle w:val="18"/>
        <w:widowControl/>
        <w:spacing w:line="240" w:lineRule="auto"/>
        <w:ind w:left="0" w:leftChars="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资格审查</w:t>
      </w:r>
    </w:p>
    <w:p w14:paraId="3DE7907B">
      <w:pPr>
        <w:pStyle w:val="18"/>
        <w:widowControl/>
        <w:spacing w:line="560" w:lineRule="exact"/>
        <w:ind w:left="0" w:leftChars="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磋商小组依据资格审查标准对各供应商的响应文件进行资格审查，未实质性响应磋商文件的响应文件按无效响应处理，磋商小组应当告知提交响应文件的供应商。</w:t>
      </w:r>
    </w:p>
    <w:tbl>
      <w:tblPr>
        <w:tblStyle w:val="39"/>
        <w:tblW w:w="4802" w:type="pct"/>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299"/>
        <w:gridCol w:w="2084"/>
        <w:gridCol w:w="6185"/>
      </w:tblGrid>
      <w:tr w14:paraId="323EB03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679" w:type="pct"/>
            <w:vAlign w:val="center"/>
          </w:tcPr>
          <w:p w14:paraId="779E9659">
            <w:pPr>
              <w:keepNext w:val="0"/>
              <w:keepLines w:val="0"/>
              <w:pageBreakBefore w:val="0"/>
              <w:widowControl w:val="0"/>
              <w:kinsoku/>
              <w:wordWrap w:val="0"/>
              <w:overflowPunct/>
              <w:topLinePunct w:val="0"/>
              <w:autoSpaceDE/>
              <w:autoSpaceDN/>
              <w:bidi w:val="0"/>
              <w:snapToGrid/>
              <w:spacing w:before="96" w:beforeLines="40" w:line="44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审查内容</w:t>
            </w:r>
          </w:p>
        </w:tc>
        <w:tc>
          <w:tcPr>
            <w:tcW w:w="1089" w:type="pct"/>
            <w:vAlign w:val="center"/>
          </w:tcPr>
          <w:p w14:paraId="19FAC21B">
            <w:pPr>
              <w:pStyle w:val="18"/>
              <w:keepNext w:val="0"/>
              <w:keepLines w:val="0"/>
              <w:pageBreakBefore w:val="0"/>
              <w:widowControl w:val="0"/>
              <w:kinsoku/>
              <w:overflowPunct/>
              <w:topLinePunct w:val="0"/>
              <w:autoSpaceDE/>
              <w:autoSpaceDN/>
              <w:bidi w:val="0"/>
              <w:snapToGrid/>
              <w:spacing w:line="44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评审因素</w:t>
            </w:r>
          </w:p>
        </w:tc>
        <w:tc>
          <w:tcPr>
            <w:tcW w:w="3232" w:type="pct"/>
            <w:vAlign w:val="center"/>
          </w:tcPr>
          <w:p w14:paraId="43F53D55">
            <w:pPr>
              <w:pStyle w:val="18"/>
              <w:keepNext w:val="0"/>
              <w:keepLines w:val="0"/>
              <w:pageBreakBefore w:val="0"/>
              <w:widowControl w:val="0"/>
              <w:kinsoku/>
              <w:overflowPunct/>
              <w:topLinePunct w:val="0"/>
              <w:autoSpaceDE/>
              <w:autoSpaceDN/>
              <w:bidi w:val="0"/>
              <w:snapToGrid/>
              <w:spacing w:line="44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评审标准</w:t>
            </w:r>
          </w:p>
        </w:tc>
      </w:tr>
      <w:tr w14:paraId="5551AF0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679" w:type="pct"/>
            <w:vMerge w:val="restart"/>
            <w:vAlign w:val="center"/>
          </w:tcPr>
          <w:p w14:paraId="29FAC24A">
            <w:pPr>
              <w:keepNext w:val="0"/>
              <w:keepLines w:val="0"/>
              <w:pageBreakBefore w:val="0"/>
              <w:widowControl w:val="0"/>
              <w:kinsoku/>
              <w:overflowPunct/>
              <w:topLinePunct w:val="0"/>
              <w:autoSpaceDE/>
              <w:autoSpaceDN/>
              <w:bidi w:val="0"/>
              <w:snapToGrid/>
              <w:spacing w:before="96" w:beforeLines="40" w:line="440" w:lineRule="exact"/>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资格审查标准</w:t>
            </w:r>
          </w:p>
        </w:tc>
        <w:tc>
          <w:tcPr>
            <w:tcW w:w="1089" w:type="pct"/>
            <w:vAlign w:val="center"/>
          </w:tcPr>
          <w:p w14:paraId="13FC4CFA">
            <w:pPr>
              <w:keepNext w:val="0"/>
              <w:keepLines w:val="0"/>
              <w:pageBreakBefore w:val="0"/>
              <w:widowControl w:val="0"/>
              <w:kinsoku/>
              <w:wordWrap w:val="0"/>
              <w:overflowPunct/>
              <w:topLinePunct w:val="0"/>
              <w:autoSpaceDE/>
              <w:autoSpaceDN/>
              <w:bidi w:val="0"/>
              <w:snapToGrid/>
              <w:spacing w:before="96" w:beforeLines="40" w:line="440" w:lineRule="exact"/>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满足《中华人民共和国政府采购法》第二十二条规定</w:t>
            </w:r>
          </w:p>
        </w:tc>
        <w:tc>
          <w:tcPr>
            <w:tcW w:w="3232" w:type="pct"/>
            <w:vAlign w:val="center"/>
          </w:tcPr>
          <w:p w14:paraId="0ED3A575">
            <w:pPr>
              <w:keepNext w:val="0"/>
              <w:keepLines w:val="0"/>
              <w:pageBreakBefore w:val="0"/>
              <w:widowControl w:val="0"/>
              <w:kinsoku/>
              <w:overflowPunct/>
              <w:topLinePunct w:val="0"/>
              <w:autoSpaceDE/>
              <w:autoSpaceDN/>
              <w:bidi w:val="0"/>
              <w:adjustRightInd w:val="0"/>
              <w:snapToGrid/>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1.具有独立承担民事责任的能力。</w:t>
            </w:r>
          </w:p>
          <w:p w14:paraId="5F3A2E89">
            <w:pPr>
              <w:keepNext w:val="0"/>
              <w:keepLines w:val="0"/>
              <w:pageBreakBefore w:val="0"/>
              <w:widowControl w:val="0"/>
              <w:kinsoku/>
              <w:overflowPunct/>
              <w:topLinePunct w:val="0"/>
              <w:autoSpaceDE/>
              <w:autoSpaceDN/>
              <w:bidi w:val="0"/>
              <w:adjustRightInd w:val="0"/>
              <w:snapToGrid/>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2.具有良好的商业信誉和健全的财务会计制度。</w:t>
            </w:r>
          </w:p>
          <w:p w14:paraId="56181B94">
            <w:pPr>
              <w:keepNext w:val="0"/>
              <w:keepLines w:val="0"/>
              <w:pageBreakBefore w:val="0"/>
              <w:widowControl w:val="0"/>
              <w:kinsoku/>
              <w:overflowPunct/>
              <w:topLinePunct w:val="0"/>
              <w:autoSpaceDE/>
              <w:autoSpaceDN/>
              <w:bidi w:val="0"/>
              <w:adjustRightInd w:val="0"/>
              <w:snapToGrid/>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3.具有履行合同所必需的设备和专业技术能力。</w:t>
            </w:r>
          </w:p>
          <w:p w14:paraId="75E6E67D">
            <w:pPr>
              <w:keepNext w:val="0"/>
              <w:keepLines w:val="0"/>
              <w:pageBreakBefore w:val="0"/>
              <w:widowControl w:val="0"/>
              <w:kinsoku/>
              <w:overflowPunct/>
              <w:topLinePunct w:val="0"/>
              <w:autoSpaceDE/>
              <w:autoSpaceDN/>
              <w:bidi w:val="0"/>
              <w:adjustRightInd w:val="0"/>
              <w:snapToGrid/>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4.有依法缴纳税收和社会保障资金的良好记录。</w:t>
            </w:r>
          </w:p>
          <w:p w14:paraId="1EC6CA12">
            <w:pPr>
              <w:keepNext w:val="0"/>
              <w:keepLines w:val="0"/>
              <w:pageBreakBefore w:val="0"/>
              <w:widowControl w:val="0"/>
              <w:kinsoku/>
              <w:overflowPunct/>
              <w:topLinePunct w:val="0"/>
              <w:autoSpaceDE/>
              <w:autoSpaceDN/>
              <w:bidi w:val="0"/>
              <w:adjustRightInd w:val="0"/>
              <w:snapToGrid/>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5.参加政府采购活动前三年内，在经营活动中没有重大违法记录。</w:t>
            </w:r>
          </w:p>
          <w:p w14:paraId="352486BC">
            <w:pPr>
              <w:keepNext w:val="0"/>
              <w:keepLines w:val="0"/>
              <w:pageBreakBefore w:val="0"/>
              <w:widowControl w:val="0"/>
              <w:kinsoku/>
              <w:overflowPunct/>
              <w:topLinePunct w:val="0"/>
              <w:autoSpaceDE/>
              <w:autoSpaceDN/>
              <w:bidi w:val="0"/>
              <w:adjustRightInd w:val="0"/>
              <w:snapToGrid/>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6.法律、行政法规规定的其他条件。</w:t>
            </w:r>
          </w:p>
        </w:tc>
      </w:tr>
      <w:tr w14:paraId="42A93F2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679" w:type="pct"/>
            <w:vMerge w:val="continue"/>
            <w:vAlign w:val="center"/>
          </w:tcPr>
          <w:p w14:paraId="39B4FD2E">
            <w:pPr>
              <w:keepNext w:val="0"/>
              <w:keepLines w:val="0"/>
              <w:pageBreakBefore w:val="0"/>
              <w:widowControl w:val="0"/>
              <w:kinsoku/>
              <w:wordWrap w:val="0"/>
              <w:overflowPunct/>
              <w:topLinePunct w:val="0"/>
              <w:autoSpaceDE/>
              <w:autoSpaceDN/>
              <w:bidi w:val="0"/>
              <w:snapToGrid/>
              <w:spacing w:before="96" w:beforeLines="40" w:line="440" w:lineRule="exact"/>
              <w:jc w:val="left"/>
              <w:textAlignment w:val="auto"/>
              <w:rPr>
                <w:rFonts w:hint="eastAsia" w:ascii="宋体" w:hAnsi="宋体" w:eastAsia="宋体" w:cs="宋体"/>
                <w:color w:val="auto"/>
                <w:highlight w:val="none"/>
              </w:rPr>
            </w:pPr>
          </w:p>
        </w:tc>
        <w:tc>
          <w:tcPr>
            <w:tcW w:w="1089" w:type="pct"/>
            <w:vAlign w:val="center"/>
          </w:tcPr>
          <w:p w14:paraId="6F61B2C9">
            <w:pPr>
              <w:keepNext w:val="0"/>
              <w:keepLines w:val="0"/>
              <w:pageBreakBefore w:val="0"/>
              <w:widowControl w:val="0"/>
              <w:kinsoku/>
              <w:wordWrap w:val="0"/>
              <w:overflowPunct/>
              <w:topLinePunct w:val="0"/>
              <w:autoSpaceDE/>
              <w:autoSpaceDN/>
              <w:bidi w:val="0"/>
              <w:snapToGrid/>
              <w:spacing w:before="96" w:beforeLines="40" w:line="440" w:lineRule="exact"/>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落实政府采购政策需满足的资格要求</w:t>
            </w:r>
          </w:p>
        </w:tc>
        <w:tc>
          <w:tcPr>
            <w:tcW w:w="3232" w:type="pct"/>
            <w:vAlign w:val="center"/>
          </w:tcPr>
          <w:p w14:paraId="1214CA80">
            <w:pPr>
              <w:keepNext w:val="0"/>
              <w:keepLines w:val="0"/>
              <w:pageBreakBefore w:val="0"/>
              <w:widowControl w:val="0"/>
              <w:kinsoku/>
              <w:wordWrap w:val="0"/>
              <w:overflowPunct/>
              <w:topLinePunct w:val="0"/>
              <w:autoSpaceDE/>
              <w:autoSpaceDN/>
              <w:bidi w:val="0"/>
              <w:snapToGrid/>
              <w:spacing w:before="96" w:beforeLines="40" w:line="440" w:lineRule="exact"/>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无，本项目非专门面向中小企业采购。供应商若为中小微企业或监狱企业或残疾人福利性单位。需按要求提供《中小企业声明函》、残疾人福利性单位声明函、监狱企业证明文件，残疾人福利性单位、监狱企业视同小型或微型企业。</w:t>
            </w:r>
          </w:p>
        </w:tc>
      </w:tr>
      <w:tr w14:paraId="7D362C6D">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679" w:type="pct"/>
            <w:vMerge w:val="continue"/>
            <w:vAlign w:val="center"/>
          </w:tcPr>
          <w:p w14:paraId="71E9A7C4">
            <w:pPr>
              <w:keepNext w:val="0"/>
              <w:keepLines w:val="0"/>
              <w:pageBreakBefore w:val="0"/>
              <w:widowControl w:val="0"/>
              <w:kinsoku/>
              <w:wordWrap w:val="0"/>
              <w:overflowPunct/>
              <w:topLinePunct w:val="0"/>
              <w:autoSpaceDE/>
              <w:autoSpaceDN/>
              <w:bidi w:val="0"/>
              <w:snapToGrid/>
              <w:spacing w:before="96" w:beforeLines="40" w:line="440" w:lineRule="exact"/>
              <w:jc w:val="left"/>
              <w:textAlignment w:val="auto"/>
              <w:rPr>
                <w:rFonts w:hint="eastAsia" w:ascii="宋体" w:hAnsi="宋体" w:eastAsia="宋体" w:cs="宋体"/>
                <w:color w:val="auto"/>
                <w:highlight w:val="none"/>
              </w:rPr>
            </w:pPr>
          </w:p>
        </w:tc>
        <w:tc>
          <w:tcPr>
            <w:tcW w:w="1089" w:type="pct"/>
            <w:vAlign w:val="center"/>
          </w:tcPr>
          <w:p w14:paraId="2BD60529">
            <w:pPr>
              <w:keepNext w:val="0"/>
              <w:keepLines w:val="0"/>
              <w:pageBreakBefore w:val="0"/>
              <w:widowControl w:val="0"/>
              <w:kinsoku/>
              <w:wordWrap w:val="0"/>
              <w:overflowPunct/>
              <w:topLinePunct w:val="0"/>
              <w:autoSpaceDE/>
              <w:autoSpaceDN/>
              <w:bidi w:val="0"/>
              <w:snapToGrid/>
              <w:spacing w:before="96" w:beforeLines="40" w:line="440" w:lineRule="exact"/>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本项目的特定资格要求</w:t>
            </w:r>
          </w:p>
        </w:tc>
        <w:tc>
          <w:tcPr>
            <w:tcW w:w="3232" w:type="pct"/>
            <w:vAlign w:val="center"/>
          </w:tcPr>
          <w:p w14:paraId="2159EBD9">
            <w:pPr>
              <w:keepNext w:val="0"/>
              <w:keepLines w:val="0"/>
              <w:pageBreakBefore w:val="0"/>
              <w:widowControl w:val="0"/>
              <w:kinsoku/>
              <w:wordWrap w:val="0"/>
              <w:overflowPunct/>
              <w:topLinePunct w:val="0"/>
              <w:autoSpaceDE/>
              <w:autoSpaceDN/>
              <w:bidi w:val="0"/>
              <w:adjustRightInd w:val="0"/>
              <w:snapToGrid/>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.供应商在递交响应文件截止时间前未被列入“信用中国”网站(www.creditchina.gov.cn)失信被执行人、重大税收违法案件当事人名单，中国政府采购网(www.ccgp.gov.cn) 政府采购严重违法失信行为记录名单。</w:t>
            </w:r>
          </w:p>
          <w:p w14:paraId="11B9B6A2">
            <w:pPr>
              <w:keepNext w:val="0"/>
              <w:keepLines w:val="0"/>
              <w:pageBreakBefore w:val="0"/>
              <w:widowControl w:val="0"/>
              <w:kinsoku/>
              <w:wordWrap w:val="0"/>
              <w:overflowPunct/>
              <w:topLinePunct w:val="0"/>
              <w:autoSpaceDE/>
              <w:autoSpaceDN/>
              <w:bidi w:val="0"/>
              <w:adjustRightInd w:val="0"/>
              <w:snapToGrid/>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.单位负责人为同一人或者存在控股、管理关系的不同单位，不得同时参加本采购项目投标。</w:t>
            </w:r>
          </w:p>
          <w:p w14:paraId="1CA00D51">
            <w:pPr>
              <w:keepNext w:val="0"/>
              <w:keepLines w:val="0"/>
              <w:pageBreakBefore w:val="0"/>
              <w:widowControl w:val="0"/>
              <w:kinsoku/>
              <w:wordWrap w:val="0"/>
              <w:overflowPunct/>
              <w:topLinePunct w:val="0"/>
              <w:autoSpaceDE/>
              <w:autoSpaceDN/>
              <w:bidi w:val="0"/>
              <w:adjustRightInd w:val="0"/>
              <w:snapToGrid/>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.供应商不得存在下列情形之一：</w:t>
            </w:r>
          </w:p>
          <w:p w14:paraId="432B9333">
            <w:pPr>
              <w:keepNext w:val="0"/>
              <w:keepLines w:val="0"/>
              <w:pageBreakBefore w:val="0"/>
              <w:widowControl w:val="0"/>
              <w:kinsoku/>
              <w:wordWrap w:val="0"/>
              <w:overflowPunct/>
              <w:topLinePunct w:val="0"/>
              <w:autoSpaceDE/>
              <w:autoSpaceDN/>
              <w:bidi w:val="0"/>
              <w:adjustRightInd w:val="0"/>
              <w:snapToGrid/>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（1）被暂停、取消投标或禁止参加采购活动且处于有效期内的；</w:t>
            </w:r>
          </w:p>
          <w:p w14:paraId="79BADCE5">
            <w:pPr>
              <w:keepNext w:val="0"/>
              <w:keepLines w:val="0"/>
              <w:pageBreakBefore w:val="0"/>
              <w:widowControl w:val="0"/>
              <w:kinsoku/>
              <w:wordWrap w:val="0"/>
              <w:overflowPunct/>
              <w:topLinePunct w:val="0"/>
              <w:autoSpaceDE/>
              <w:autoSpaceDN/>
              <w:bidi w:val="0"/>
              <w:adjustRightInd w:val="0"/>
              <w:snapToGrid/>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（2）处于被责令停产停业、暂扣或者吊销执照、暂扣或者吊销许可证、吊销资质证书状态；</w:t>
            </w:r>
          </w:p>
          <w:p w14:paraId="2D89094A">
            <w:pPr>
              <w:keepNext w:val="0"/>
              <w:keepLines w:val="0"/>
              <w:pageBreakBefore w:val="0"/>
              <w:widowControl w:val="0"/>
              <w:kinsoku/>
              <w:wordWrap w:val="0"/>
              <w:overflowPunct/>
              <w:topLinePunct w:val="0"/>
              <w:autoSpaceDE/>
              <w:autoSpaceDN/>
              <w:bidi w:val="0"/>
              <w:snapToGrid/>
              <w:spacing w:before="96" w:beforeLines="40" w:line="440" w:lineRule="exact"/>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（3）进入清算程序，或被宣告破产，或其他丧失履约能力的情形。</w:t>
            </w:r>
          </w:p>
        </w:tc>
      </w:tr>
    </w:tbl>
    <w:p w14:paraId="008DACCB">
      <w:pPr>
        <w:rPr>
          <w:rFonts w:hint="eastAsia" w:ascii="宋体" w:hAnsi="宋体" w:eastAsia="宋体" w:cs="宋体"/>
          <w:color w:val="auto"/>
          <w:highlight w:val="none"/>
        </w:rPr>
      </w:pPr>
    </w:p>
    <w:p w14:paraId="4523A1B2">
      <w:pPr>
        <w:widowControl/>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r>
    </w:p>
    <w:p w14:paraId="068AC6EC">
      <w:pPr>
        <w:pStyle w:val="18"/>
        <w:widowControl/>
        <w:spacing w:line="560" w:lineRule="exact"/>
        <w:ind w:left="0" w:leftChars="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符合性审查</w:t>
      </w:r>
    </w:p>
    <w:p w14:paraId="14FDF12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磋商小组依据符合性审查标准对各通过资格审查的供应商的响应文件进行符合性审查，未实质性响应磋商文件的响应文件按无效响应处理，磋商小组应当告知提交响应文件的供应商。</w:t>
      </w:r>
    </w:p>
    <w:p w14:paraId="6D18249A">
      <w:pPr>
        <w:pStyle w:val="107"/>
        <w:ind w:firstLine="0" w:firstLineChars="0"/>
        <w:rPr>
          <w:rFonts w:hint="eastAsia" w:ascii="宋体" w:hAnsi="宋体" w:eastAsia="宋体" w:cs="宋体"/>
          <w:color w:val="auto"/>
          <w:highlight w:val="none"/>
          <w:lang w:val="en-US"/>
        </w:rPr>
      </w:pPr>
    </w:p>
    <w:tbl>
      <w:tblPr>
        <w:tblStyle w:val="39"/>
        <w:tblW w:w="9356" w:type="dxa"/>
        <w:tblInd w:w="112"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134"/>
        <w:gridCol w:w="2410"/>
        <w:gridCol w:w="4961"/>
      </w:tblGrid>
      <w:tr w14:paraId="43CE297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1985" w:type="dxa"/>
            <w:gridSpan w:val="2"/>
            <w:vAlign w:val="center"/>
          </w:tcPr>
          <w:p w14:paraId="524108D4">
            <w:pPr>
              <w:wordWrap w:val="0"/>
              <w:spacing w:before="96"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条款号</w:t>
            </w:r>
          </w:p>
        </w:tc>
        <w:tc>
          <w:tcPr>
            <w:tcW w:w="2410" w:type="dxa"/>
            <w:vAlign w:val="center"/>
          </w:tcPr>
          <w:p w14:paraId="23FC819D">
            <w:pPr>
              <w:wordWrap w:val="0"/>
              <w:spacing w:before="96"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评审因素</w:t>
            </w:r>
          </w:p>
        </w:tc>
        <w:tc>
          <w:tcPr>
            <w:tcW w:w="4961" w:type="dxa"/>
            <w:vAlign w:val="center"/>
          </w:tcPr>
          <w:p w14:paraId="29051A49">
            <w:pPr>
              <w:wordWrap w:val="0"/>
              <w:spacing w:before="96"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评审标准</w:t>
            </w:r>
          </w:p>
        </w:tc>
      </w:tr>
      <w:tr w14:paraId="357B89C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571A07AF">
            <w:pPr>
              <w:wordWrap w:val="0"/>
              <w:spacing w:before="96"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134" w:type="dxa"/>
            <w:vAlign w:val="center"/>
          </w:tcPr>
          <w:p w14:paraId="1CA5A0AA">
            <w:pPr>
              <w:wordWrap w:val="0"/>
              <w:spacing w:before="96"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评审方法</w:t>
            </w:r>
          </w:p>
        </w:tc>
        <w:tc>
          <w:tcPr>
            <w:tcW w:w="2410" w:type="dxa"/>
            <w:vAlign w:val="center"/>
          </w:tcPr>
          <w:p w14:paraId="1911564D">
            <w:pPr>
              <w:wordWrap w:val="0"/>
              <w:spacing w:before="96"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评审方法</w:t>
            </w:r>
          </w:p>
        </w:tc>
        <w:tc>
          <w:tcPr>
            <w:tcW w:w="4961" w:type="dxa"/>
            <w:vAlign w:val="center"/>
          </w:tcPr>
          <w:p w14:paraId="492898D2">
            <w:pPr>
              <w:wordWrap w:val="0"/>
              <w:spacing w:before="96"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综合评分法</w:t>
            </w:r>
          </w:p>
        </w:tc>
      </w:tr>
      <w:tr w14:paraId="4A3F25C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51" w:type="dxa"/>
            <w:vMerge w:val="restart"/>
            <w:vAlign w:val="center"/>
          </w:tcPr>
          <w:p w14:paraId="5F60864E">
            <w:pPr>
              <w:wordWrap w:val="0"/>
              <w:spacing w:before="96"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2.1.1</w:t>
            </w:r>
          </w:p>
        </w:tc>
        <w:tc>
          <w:tcPr>
            <w:tcW w:w="1134" w:type="dxa"/>
            <w:vMerge w:val="restart"/>
            <w:vAlign w:val="center"/>
          </w:tcPr>
          <w:p w14:paraId="150D4C55">
            <w:pPr>
              <w:wordWrap w:val="0"/>
              <w:spacing w:before="96"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符合性评审标准</w:t>
            </w:r>
          </w:p>
        </w:tc>
        <w:tc>
          <w:tcPr>
            <w:tcW w:w="7371" w:type="dxa"/>
            <w:gridSpan w:val="2"/>
            <w:vAlign w:val="center"/>
          </w:tcPr>
          <w:p w14:paraId="3A36253B">
            <w:pPr>
              <w:wordWrap w:val="0"/>
              <w:spacing w:before="96" w:beforeLines="40"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供应商不满足下列情况之一的，投标无效：</w:t>
            </w:r>
          </w:p>
        </w:tc>
      </w:tr>
      <w:tr w14:paraId="4F22E2F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51" w:type="dxa"/>
            <w:vMerge w:val="continue"/>
            <w:vAlign w:val="center"/>
          </w:tcPr>
          <w:p w14:paraId="5549F23B">
            <w:pPr>
              <w:wordWrap w:val="0"/>
              <w:spacing w:before="96" w:beforeLines="40" w:line="360" w:lineRule="auto"/>
              <w:jc w:val="center"/>
              <w:rPr>
                <w:rFonts w:hint="eastAsia" w:ascii="宋体" w:hAnsi="宋体" w:eastAsia="宋体" w:cs="宋体"/>
                <w:color w:val="auto"/>
                <w:highlight w:val="none"/>
              </w:rPr>
            </w:pPr>
            <w:bookmarkStart w:id="214" w:name="OLE_LINK1" w:colFirst="3" w:colLast="3"/>
          </w:p>
        </w:tc>
        <w:tc>
          <w:tcPr>
            <w:tcW w:w="1134" w:type="dxa"/>
            <w:vMerge w:val="continue"/>
            <w:vAlign w:val="center"/>
          </w:tcPr>
          <w:p w14:paraId="10DEA6BD">
            <w:pPr>
              <w:wordWrap w:val="0"/>
              <w:spacing w:before="96" w:beforeLines="40" w:line="360" w:lineRule="auto"/>
              <w:jc w:val="center"/>
              <w:rPr>
                <w:rFonts w:hint="eastAsia" w:ascii="宋体" w:hAnsi="宋体" w:eastAsia="宋体" w:cs="宋体"/>
                <w:color w:val="auto"/>
                <w:highlight w:val="none"/>
              </w:rPr>
            </w:pPr>
          </w:p>
        </w:tc>
        <w:tc>
          <w:tcPr>
            <w:tcW w:w="2410" w:type="dxa"/>
            <w:vAlign w:val="center"/>
          </w:tcPr>
          <w:p w14:paraId="48AF6A51">
            <w:pPr>
              <w:wordWrap w:val="0"/>
              <w:spacing w:before="96" w:beforeLines="40" w:line="36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rPr>
              <w:t>投标函签名盖章</w:t>
            </w:r>
          </w:p>
        </w:tc>
        <w:tc>
          <w:tcPr>
            <w:tcW w:w="4961" w:type="dxa"/>
            <w:vAlign w:val="center"/>
          </w:tcPr>
          <w:p w14:paraId="0C8E6E1C">
            <w:pPr>
              <w:wordWrap w:val="0"/>
              <w:spacing w:before="96" w:beforeLines="40"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有法定代表人电子签名及加盖公章</w:t>
            </w:r>
          </w:p>
        </w:tc>
      </w:tr>
      <w:tr w14:paraId="61E8D28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51" w:type="dxa"/>
            <w:vMerge w:val="continue"/>
            <w:vAlign w:val="center"/>
          </w:tcPr>
          <w:p w14:paraId="086AF44E">
            <w:pPr>
              <w:wordWrap w:val="0"/>
              <w:spacing w:before="96" w:beforeLines="40" w:line="360" w:lineRule="auto"/>
              <w:jc w:val="center"/>
              <w:rPr>
                <w:rFonts w:hint="eastAsia" w:ascii="宋体" w:hAnsi="宋体" w:eastAsia="宋体" w:cs="宋体"/>
                <w:color w:val="auto"/>
                <w:highlight w:val="none"/>
              </w:rPr>
            </w:pPr>
          </w:p>
        </w:tc>
        <w:tc>
          <w:tcPr>
            <w:tcW w:w="1134" w:type="dxa"/>
            <w:vMerge w:val="continue"/>
            <w:vAlign w:val="center"/>
          </w:tcPr>
          <w:p w14:paraId="0A2B1980">
            <w:pPr>
              <w:wordWrap w:val="0"/>
              <w:spacing w:before="96" w:beforeLines="40" w:line="360" w:lineRule="auto"/>
              <w:jc w:val="center"/>
              <w:rPr>
                <w:rFonts w:hint="eastAsia" w:ascii="宋体" w:hAnsi="宋体" w:eastAsia="宋体" w:cs="宋体"/>
                <w:color w:val="auto"/>
                <w:highlight w:val="none"/>
              </w:rPr>
            </w:pPr>
          </w:p>
        </w:tc>
        <w:tc>
          <w:tcPr>
            <w:tcW w:w="2410" w:type="dxa"/>
            <w:vAlign w:val="center"/>
          </w:tcPr>
          <w:p w14:paraId="327DE9B7">
            <w:pPr>
              <w:wordWrap w:val="0"/>
              <w:spacing w:before="96" w:beforeLines="40" w:line="36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rPr>
              <w:t>投标文件格式</w:t>
            </w:r>
          </w:p>
        </w:tc>
        <w:tc>
          <w:tcPr>
            <w:tcW w:w="4961" w:type="dxa"/>
            <w:vAlign w:val="center"/>
          </w:tcPr>
          <w:p w14:paraId="237BDD63">
            <w:pPr>
              <w:wordWrap w:val="0"/>
              <w:spacing w:before="96" w:beforeLines="40"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按“第六章 投标文件格式”填报并按要求进行签章</w:t>
            </w:r>
          </w:p>
        </w:tc>
      </w:tr>
      <w:tr w14:paraId="7EA6068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51" w:type="dxa"/>
            <w:vMerge w:val="continue"/>
            <w:vAlign w:val="center"/>
          </w:tcPr>
          <w:p w14:paraId="3BE0EA98">
            <w:pPr>
              <w:wordWrap w:val="0"/>
              <w:spacing w:before="96" w:beforeLines="40" w:line="360" w:lineRule="auto"/>
              <w:jc w:val="center"/>
              <w:rPr>
                <w:rFonts w:hint="eastAsia" w:ascii="宋体" w:hAnsi="宋体" w:eastAsia="宋体" w:cs="宋体"/>
                <w:color w:val="auto"/>
                <w:highlight w:val="none"/>
              </w:rPr>
            </w:pPr>
          </w:p>
        </w:tc>
        <w:tc>
          <w:tcPr>
            <w:tcW w:w="1134" w:type="dxa"/>
            <w:vMerge w:val="continue"/>
            <w:vAlign w:val="center"/>
          </w:tcPr>
          <w:p w14:paraId="3E949E7D">
            <w:pPr>
              <w:wordWrap w:val="0"/>
              <w:spacing w:before="96" w:beforeLines="40" w:line="360" w:lineRule="auto"/>
              <w:jc w:val="center"/>
              <w:rPr>
                <w:rFonts w:hint="eastAsia" w:ascii="宋体" w:hAnsi="宋体" w:eastAsia="宋体" w:cs="宋体"/>
                <w:color w:val="auto"/>
                <w:highlight w:val="none"/>
              </w:rPr>
            </w:pPr>
          </w:p>
        </w:tc>
        <w:tc>
          <w:tcPr>
            <w:tcW w:w="2410" w:type="dxa"/>
            <w:vAlign w:val="center"/>
          </w:tcPr>
          <w:p w14:paraId="6690F002">
            <w:pPr>
              <w:wordWrap w:val="0"/>
              <w:spacing w:before="96" w:beforeLines="40" w:line="36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rPr>
              <w:t>投标报价</w:t>
            </w:r>
          </w:p>
        </w:tc>
        <w:tc>
          <w:tcPr>
            <w:tcW w:w="4961" w:type="dxa"/>
            <w:vAlign w:val="center"/>
          </w:tcPr>
          <w:p w14:paraId="61546B52">
            <w:pPr>
              <w:wordWrap w:val="0"/>
              <w:spacing w:before="96" w:beforeLines="40"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完整且只有一个有效报价，且报价不超出最高限价</w:t>
            </w:r>
          </w:p>
        </w:tc>
      </w:tr>
      <w:tr w14:paraId="6CC6D79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51" w:type="dxa"/>
            <w:vMerge w:val="continue"/>
            <w:vAlign w:val="center"/>
          </w:tcPr>
          <w:p w14:paraId="4255256F">
            <w:pPr>
              <w:wordWrap w:val="0"/>
              <w:spacing w:before="96" w:beforeLines="40" w:line="360" w:lineRule="auto"/>
              <w:jc w:val="center"/>
              <w:rPr>
                <w:rFonts w:hint="eastAsia" w:ascii="宋体" w:hAnsi="宋体" w:eastAsia="宋体" w:cs="宋体"/>
                <w:color w:val="auto"/>
                <w:highlight w:val="none"/>
              </w:rPr>
            </w:pPr>
          </w:p>
        </w:tc>
        <w:tc>
          <w:tcPr>
            <w:tcW w:w="1134" w:type="dxa"/>
            <w:vMerge w:val="continue"/>
            <w:vAlign w:val="center"/>
          </w:tcPr>
          <w:p w14:paraId="5789FCBF">
            <w:pPr>
              <w:wordWrap w:val="0"/>
              <w:spacing w:before="96" w:beforeLines="40" w:line="360" w:lineRule="auto"/>
              <w:jc w:val="center"/>
              <w:rPr>
                <w:rFonts w:hint="eastAsia" w:ascii="宋体" w:hAnsi="宋体" w:eastAsia="宋体" w:cs="宋体"/>
                <w:color w:val="auto"/>
                <w:highlight w:val="none"/>
              </w:rPr>
            </w:pPr>
          </w:p>
        </w:tc>
        <w:tc>
          <w:tcPr>
            <w:tcW w:w="2410" w:type="dxa"/>
            <w:vAlign w:val="center"/>
          </w:tcPr>
          <w:p w14:paraId="63B21B07">
            <w:pPr>
              <w:wordWrap w:val="0"/>
              <w:spacing w:before="96"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质量标准</w:t>
            </w:r>
          </w:p>
        </w:tc>
        <w:tc>
          <w:tcPr>
            <w:tcW w:w="4961" w:type="dxa"/>
            <w:vAlign w:val="center"/>
          </w:tcPr>
          <w:p w14:paraId="42C3CE1C">
            <w:pPr>
              <w:wordWrap w:val="0"/>
              <w:spacing w:before="96"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符合第二章“供应商须知”第1.3.3项规定</w:t>
            </w:r>
          </w:p>
        </w:tc>
      </w:tr>
      <w:tr w14:paraId="3445621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51" w:type="dxa"/>
            <w:vMerge w:val="continue"/>
            <w:vAlign w:val="center"/>
          </w:tcPr>
          <w:p w14:paraId="2349D0BD">
            <w:pPr>
              <w:wordWrap w:val="0"/>
              <w:spacing w:before="96" w:beforeLines="40" w:line="360" w:lineRule="auto"/>
              <w:jc w:val="center"/>
              <w:rPr>
                <w:rFonts w:hint="eastAsia" w:ascii="宋体" w:hAnsi="宋体" w:eastAsia="宋体" w:cs="宋体"/>
                <w:color w:val="auto"/>
                <w:highlight w:val="none"/>
              </w:rPr>
            </w:pPr>
          </w:p>
        </w:tc>
        <w:tc>
          <w:tcPr>
            <w:tcW w:w="1134" w:type="dxa"/>
            <w:vMerge w:val="continue"/>
            <w:vAlign w:val="center"/>
          </w:tcPr>
          <w:p w14:paraId="61D9B980">
            <w:pPr>
              <w:wordWrap w:val="0"/>
              <w:spacing w:before="96" w:beforeLines="40" w:line="360" w:lineRule="auto"/>
              <w:jc w:val="center"/>
              <w:rPr>
                <w:rFonts w:hint="eastAsia" w:ascii="宋体" w:hAnsi="宋体" w:eastAsia="宋体" w:cs="宋体"/>
                <w:color w:val="auto"/>
                <w:highlight w:val="none"/>
              </w:rPr>
            </w:pPr>
          </w:p>
        </w:tc>
        <w:tc>
          <w:tcPr>
            <w:tcW w:w="2410" w:type="dxa"/>
            <w:vAlign w:val="center"/>
          </w:tcPr>
          <w:p w14:paraId="78AE5157">
            <w:pPr>
              <w:wordWrap w:val="0"/>
              <w:spacing w:before="96" w:beforeLines="40" w:line="36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完成时间</w:t>
            </w:r>
          </w:p>
        </w:tc>
        <w:tc>
          <w:tcPr>
            <w:tcW w:w="4961" w:type="dxa"/>
            <w:vAlign w:val="center"/>
          </w:tcPr>
          <w:p w14:paraId="527381BF">
            <w:pPr>
              <w:wordWrap w:val="0"/>
              <w:spacing w:before="96"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符合第二章“供应商须知”第1.3.2项规定</w:t>
            </w:r>
          </w:p>
        </w:tc>
      </w:tr>
      <w:bookmarkEnd w:id="214"/>
    </w:tbl>
    <w:p w14:paraId="4DFA935E">
      <w:pPr>
        <w:spacing w:line="360" w:lineRule="auto"/>
        <w:rPr>
          <w:rFonts w:hint="eastAsia" w:ascii="宋体" w:hAnsi="宋体" w:eastAsia="宋体" w:cs="宋体"/>
          <w:color w:val="auto"/>
          <w:highlight w:val="none"/>
        </w:rPr>
      </w:pPr>
    </w:p>
    <w:p w14:paraId="20F44EBF">
      <w:pPr>
        <w:spacing w:line="360" w:lineRule="auto"/>
        <w:rPr>
          <w:rFonts w:hint="eastAsia" w:ascii="宋体" w:hAnsi="宋体" w:eastAsia="宋体" w:cs="宋体"/>
          <w:color w:val="auto"/>
          <w:highlight w:val="none"/>
        </w:rPr>
      </w:pPr>
    </w:p>
    <w:p w14:paraId="577DC7CF">
      <w:pPr>
        <w:spacing w:line="360" w:lineRule="auto"/>
        <w:rPr>
          <w:rFonts w:hint="eastAsia" w:ascii="宋体" w:hAnsi="宋体" w:eastAsia="宋体" w:cs="宋体"/>
          <w:color w:val="auto"/>
          <w:highlight w:val="none"/>
        </w:rPr>
      </w:pPr>
    </w:p>
    <w:p w14:paraId="05516142">
      <w:pPr>
        <w:spacing w:line="360" w:lineRule="auto"/>
        <w:rPr>
          <w:rFonts w:hint="eastAsia" w:ascii="宋体" w:hAnsi="宋体" w:eastAsia="宋体" w:cs="宋体"/>
          <w:color w:val="auto"/>
          <w:highlight w:val="none"/>
        </w:rPr>
      </w:pPr>
    </w:p>
    <w:p w14:paraId="2100BA42">
      <w:pPr>
        <w:spacing w:line="360" w:lineRule="auto"/>
        <w:rPr>
          <w:rFonts w:hint="eastAsia" w:ascii="宋体" w:hAnsi="宋体" w:eastAsia="宋体" w:cs="宋体"/>
          <w:color w:val="auto"/>
          <w:highlight w:val="none"/>
        </w:rPr>
      </w:pPr>
    </w:p>
    <w:p w14:paraId="08DFDEF1">
      <w:pPr>
        <w:spacing w:line="360" w:lineRule="auto"/>
        <w:rPr>
          <w:rFonts w:hint="eastAsia" w:ascii="宋体" w:hAnsi="宋体" w:eastAsia="宋体" w:cs="宋体"/>
          <w:color w:val="auto"/>
          <w:highlight w:val="none"/>
        </w:rPr>
      </w:pPr>
    </w:p>
    <w:p w14:paraId="6EB7C6DE">
      <w:pPr>
        <w:spacing w:line="360" w:lineRule="auto"/>
        <w:rPr>
          <w:rFonts w:hint="eastAsia" w:ascii="宋体" w:hAnsi="宋体" w:eastAsia="宋体" w:cs="宋体"/>
          <w:color w:val="auto"/>
          <w:highlight w:val="none"/>
        </w:rPr>
      </w:pPr>
    </w:p>
    <w:p w14:paraId="0F67228C">
      <w:pPr>
        <w:spacing w:line="360" w:lineRule="auto"/>
        <w:rPr>
          <w:rFonts w:hint="eastAsia" w:ascii="宋体" w:hAnsi="宋体" w:eastAsia="宋体" w:cs="宋体"/>
          <w:color w:val="auto"/>
          <w:highlight w:val="none"/>
        </w:rPr>
      </w:pPr>
    </w:p>
    <w:p w14:paraId="00A19E8B">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tbl>
      <w:tblPr>
        <w:tblStyle w:val="39"/>
        <w:tblW w:w="9245"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993"/>
        <w:gridCol w:w="2204"/>
        <w:gridCol w:w="4944"/>
      </w:tblGrid>
      <w:tr w14:paraId="304B5B3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097" w:type="dxa"/>
            <w:gridSpan w:val="2"/>
            <w:tcBorders>
              <w:top w:val="thinThickSmallGap" w:color="auto" w:sz="12" w:space="0"/>
            </w:tcBorders>
            <w:vAlign w:val="center"/>
          </w:tcPr>
          <w:p w14:paraId="1C4CE3D3">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条款号</w:t>
            </w:r>
          </w:p>
        </w:tc>
        <w:tc>
          <w:tcPr>
            <w:tcW w:w="2204" w:type="dxa"/>
            <w:tcBorders>
              <w:top w:val="thinThickSmallGap" w:color="auto" w:sz="12" w:space="0"/>
            </w:tcBorders>
            <w:vAlign w:val="center"/>
          </w:tcPr>
          <w:p w14:paraId="4CCCE8D0">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条款内容</w:t>
            </w:r>
          </w:p>
        </w:tc>
        <w:tc>
          <w:tcPr>
            <w:tcW w:w="4944" w:type="dxa"/>
            <w:tcBorders>
              <w:top w:val="thinThickSmallGap" w:color="auto" w:sz="12" w:space="0"/>
            </w:tcBorders>
            <w:vAlign w:val="center"/>
          </w:tcPr>
          <w:p w14:paraId="6C0C55FA">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编列内容</w:t>
            </w:r>
          </w:p>
        </w:tc>
      </w:tr>
      <w:tr w14:paraId="7843C64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097" w:type="dxa"/>
            <w:gridSpan w:val="2"/>
            <w:vAlign w:val="center"/>
          </w:tcPr>
          <w:p w14:paraId="55F84A70">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3.1.1</w:t>
            </w:r>
          </w:p>
        </w:tc>
        <w:tc>
          <w:tcPr>
            <w:tcW w:w="2204" w:type="dxa"/>
            <w:vAlign w:val="center"/>
          </w:tcPr>
          <w:p w14:paraId="314CA0A0">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评标价</w:t>
            </w:r>
          </w:p>
        </w:tc>
        <w:tc>
          <w:tcPr>
            <w:tcW w:w="4944" w:type="dxa"/>
            <w:vAlign w:val="center"/>
          </w:tcPr>
          <w:p w14:paraId="63BAF037">
            <w:pPr>
              <w:keepNext w:val="0"/>
              <w:keepLines w:val="0"/>
              <w:pageBreakBefore w:val="0"/>
              <w:widowControl w:val="0"/>
              <w:kinsoku/>
              <w:wordWrap w:val="0"/>
              <w:overflowPunct/>
              <w:topLinePunct w:val="0"/>
              <w:bidi w:val="0"/>
              <w:snapToGrid/>
              <w:spacing w:before="96" w:beforeLines="40" w:line="4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投标函中的大写含税价格。</w:t>
            </w:r>
          </w:p>
          <w:p w14:paraId="159E62DF">
            <w:pPr>
              <w:keepNext w:val="0"/>
              <w:keepLines w:val="0"/>
              <w:pageBreakBefore w:val="0"/>
              <w:widowControl w:val="0"/>
              <w:kinsoku/>
              <w:wordWrap w:val="0"/>
              <w:overflowPunct/>
              <w:topLinePunct w:val="0"/>
              <w:bidi w:val="0"/>
              <w:snapToGrid/>
              <w:spacing w:before="96" w:beforeLines="40" w:line="4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小微企业（监狱企业、残疾人福利性单位）按扣除后的价格进行评审。</w:t>
            </w:r>
          </w:p>
        </w:tc>
      </w:tr>
      <w:tr w14:paraId="73AEEE2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097" w:type="dxa"/>
            <w:gridSpan w:val="2"/>
            <w:vAlign w:val="center"/>
          </w:tcPr>
          <w:p w14:paraId="5B1A4D49">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3.2.1</w:t>
            </w:r>
          </w:p>
        </w:tc>
        <w:tc>
          <w:tcPr>
            <w:tcW w:w="2204" w:type="dxa"/>
            <w:vAlign w:val="center"/>
          </w:tcPr>
          <w:p w14:paraId="1B13CC0E">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分值构成</w:t>
            </w:r>
          </w:p>
          <w:p w14:paraId="6187E317">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（总分100分）</w:t>
            </w:r>
          </w:p>
        </w:tc>
        <w:tc>
          <w:tcPr>
            <w:tcW w:w="4944" w:type="dxa"/>
            <w:vAlign w:val="center"/>
          </w:tcPr>
          <w:p w14:paraId="351FD76D">
            <w:pPr>
              <w:keepNext w:val="0"/>
              <w:keepLines w:val="0"/>
              <w:pageBreakBefore w:val="0"/>
              <w:widowControl w:val="0"/>
              <w:kinsoku/>
              <w:wordWrap w:val="0"/>
              <w:overflowPunct/>
              <w:topLinePunct w:val="0"/>
              <w:bidi w:val="0"/>
              <w:snapToGrid/>
              <w:spacing w:before="96" w:beforeLines="40" w:line="4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（1）商务部分：</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分</w:t>
            </w:r>
          </w:p>
          <w:p w14:paraId="219843EC">
            <w:pPr>
              <w:keepNext w:val="0"/>
              <w:keepLines w:val="0"/>
              <w:pageBreakBefore w:val="0"/>
              <w:widowControl w:val="0"/>
              <w:kinsoku/>
              <w:wordWrap w:val="0"/>
              <w:overflowPunct/>
              <w:topLinePunct w:val="0"/>
              <w:bidi w:val="0"/>
              <w:snapToGrid/>
              <w:spacing w:before="96" w:beforeLines="40" w:line="4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（2）技术部分：</w:t>
            </w:r>
            <w:r>
              <w:rPr>
                <w:rFonts w:hint="eastAsia" w:ascii="宋体" w:hAnsi="宋体" w:eastAsia="宋体" w:cs="宋体"/>
                <w:color w:val="auto"/>
                <w:highlight w:val="none"/>
                <w:lang w:val="en-US" w:eastAsia="zh-CN"/>
              </w:rPr>
              <w:t>80</w:t>
            </w:r>
            <w:r>
              <w:rPr>
                <w:rFonts w:hint="eastAsia" w:ascii="宋体" w:hAnsi="宋体" w:eastAsia="宋体" w:cs="宋体"/>
                <w:color w:val="auto"/>
                <w:highlight w:val="none"/>
              </w:rPr>
              <w:t>分</w:t>
            </w:r>
          </w:p>
          <w:p w14:paraId="6972679C">
            <w:pPr>
              <w:keepNext w:val="0"/>
              <w:keepLines w:val="0"/>
              <w:pageBreakBefore w:val="0"/>
              <w:widowControl w:val="0"/>
              <w:kinsoku/>
              <w:wordWrap w:val="0"/>
              <w:overflowPunct/>
              <w:topLinePunct w:val="0"/>
              <w:bidi w:val="0"/>
              <w:snapToGrid/>
              <w:spacing w:before="96" w:beforeLines="40" w:line="4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（3）投标报价：</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分</w:t>
            </w:r>
          </w:p>
          <w:p w14:paraId="64FDB252">
            <w:pPr>
              <w:keepNext w:val="0"/>
              <w:keepLines w:val="0"/>
              <w:pageBreakBefore w:val="0"/>
              <w:widowControl w:val="0"/>
              <w:kinsoku/>
              <w:wordWrap w:val="0"/>
              <w:overflowPunct/>
              <w:topLinePunct w:val="0"/>
              <w:bidi w:val="0"/>
              <w:snapToGrid/>
              <w:spacing w:before="96" w:beforeLines="40" w:line="4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（4）其他评分因素：0分</w:t>
            </w:r>
          </w:p>
        </w:tc>
      </w:tr>
      <w:tr w14:paraId="4013144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097" w:type="dxa"/>
            <w:gridSpan w:val="2"/>
            <w:vAlign w:val="center"/>
          </w:tcPr>
          <w:p w14:paraId="18F2F309">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3.2.2（2）</w:t>
            </w:r>
          </w:p>
        </w:tc>
        <w:tc>
          <w:tcPr>
            <w:tcW w:w="2204" w:type="dxa"/>
            <w:vAlign w:val="center"/>
          </w:tcPr>
          <w:p w14:paraId="3B6261D5">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评标基准价计算方法</w:t>
            </w:r>
          </w:p>
        </w:tc>
        <w:tc>
          <w:tcPr>
            <w:tcW w:w="4944" w:type="dxa"/>
            <w:vAlign w:val="center"/>
          </w:tcPr>
          <w:p w14:paraId="484FFFBF">
            <w:pPr>
              <w:keepNext w:val="0"/>
              <w:keepLines w:val="0"/>
              <w:pageBreakBefore w:val="0"/>
              <w:widowControl w:val="0"/>
              <w:kinsoku/>
              <w:wordWrap w:val="0"/>
              <w:overflowPunct/>
              <w:topLinePunct w:val="0"/>
              <w:bidi w:val="0"/>
              <w:snapToGrid/>
              <w:spacing w:before="96" w:beforeLines="40" w:line="4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满足磋商文件要求且投标价格最低的最终报价为评标基准价</w:t>
            </w:r>
          </w:p>
        </w:tc>
      </w:tr>
      <w:tr w14:paraId="75F082E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097" w:type="dxa"/>
            <w:gridSpan w:val="2"/>
            <w:vAlign w:val="center"/>
          </w:tcPr>
          <w:p w14:paraId="36FDFC74">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条款号</w:t>
            </w:r>
          </w:p>
        </w:tc>
        <w:tc>
          <w:tcPr>
            <w:tcW w:w="2204" w:type="dxa"/>
            <w:vAlign w:val="center"/>
          </w:tcPr>
          <w:p w14:paraId="48CAB001">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评分因素</w:t>
            </w:r>
          </w:p>
        </w:tc>
        <w:tc>
          <w:tcPr>
            <w:tcW w:w="4944" w:type="dxa"/>
            <w:vAlign w:val="center"/>
          </w:tcPr>
          <w:p w14:paraId="22CEE33E">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评分标准</w:t>
            </w:r>
          </w:p>
        </w:tc>
      </w:tr>
      <w:tr w14:paraId="5EB2061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104" w:type="dxa"/>
            <w:vAlign w:val="center"/>
          </w:tcPr>
          <w:p w14:paraId="26DBFA9E">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3.2.3</w:t>
            </w:r>
          </w:p>
          <w:p w14:paraId="602A5989">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993" w:type="dxa"/>
            <w:vAlign w:val="center"/>
          </w:tcPr>
          <w:p w14:paraId="53B9CA50">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商务评分标准</w:t>
            </w:r>
          </w:p>
        </w:tc>
        <w:tc>
          <w:tcPr>
            <w:tcW w:w="2204" w:type="dxa"/>
            <w:vAlign w:val="center"/>
          </w:tcPr>
          <w:p w14:paraId="27F4B927">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人员配置</w:t>
            </w:r>
          </w:p>
          <w:p w14:paraId="6A89878B">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分</w:t>
            </w:r>
          </w:p>
        </w:tc>
        <w:tc>
          <w:tcPr>
            <w:tcW w:w="4944" w:type="dxa"/>
            <w:vAlign w:val="center"/>
          </w:tcPr>
          <w:p w14:paraId="2BAC0888">
            <w:pPr>
              <w:keepNext w:val="0"/>
              <w:keepLines w:val="0"/>
              <w:pageBreakBefore w:val="0"/>
              <w:widowControl w:val="0"/>
              <w:kinsoku/>
              <w:wordWrap w:val="0"/>
              <w:overflowPunct/>
              <w:topLinePunct w:val="0"/>
              <w:bidi w:val="0"/>
              <w:snapToGrid/>
              <w:spacing w:before="96" w:beforeLines="40" w:line="4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人员配置（10分）第一档：拟投入本项目的组织机构管理体系完善，服务人员专业/工种配备齐全、分工合理，有人员不更换承诺及具体违约责任的得10分；</w:t>
            </w:r>
          </w:p>
          <w:p w14:paraId="7FA4D24E">
            <w:pPr>
              <w:keepNext w:val="0"/>
              <w:keepLines w:val="0"/>
              <w:pageBreakBefore w:val="0"/>
              <w:widowControl w:val="0"/>
              <w:kinsoku/>
              <w:wordWrap w:val="0"/>
              <w:overflowPunct/>
              <w:topLinePunct w:val="0"/>
              <w:bidi w:val="0"/>
              <w:snapToGrid/>
              <w:spacing w:before="96" w:beforeLines="40" w:line="4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第二档：拟投入本项目的组织机构管理体系基本完善，服务人员专业/工种配备基本齐全、分工基本合理的得7分；</w:t>
            </w:r>
          </w:p>
          <w:p w14:paraId="38ACAE61">
            <w:pPr>
              <w:keepNext w:val="0"/>
              <w:keepLines w:val="0"/>
              <w:pageBreakBefore w:val="0"/>
              <w:widowControl w:val="0"/>
              <w:kinsoku/>
              <w:wordWrap w:val="0"/>
              <w:overflowPunct/>
              <w:topLinePunct w:val="0"/>
              <w:bidi w:val="0"/>
              <w:snapToGrid/>
              <w:spacing w:before="96" w:beforeLines="40" w:line="4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第三档：拟投入本项目的组织机构管理体系不完善，服务人员专业/工种配备有疏漏、分工不合理的得3分；</w:t>
            </w:r>
          </w:p>
          <w:p w14:paraId="50B7C7C9">
            <w:pPr>
              <w:keepNext w:val="0"/>
              <w:keepLines w:val="0"/>
              <w:pageBreakBefore w:val="0"/>
              <w:widowControl w:val="0"/>
              <w:kinsoku/>
              <w:wordWrap w:val="0"/>
              <w:overflowPunct/>
              <w:topLinePunct w:val="0"/>
              <w:bidi w:val="0"/>
              <w:snapToGrid/>
              <w:spacing w:before="96" w:beforeLines="40" w:line="4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第</w:t>
            </w:r>
            <w:r>
              <w:rPr>
                <w:rFonts w:hint="eastAsia" w:ascii="宋体" w:hAnsi="宋体" w:eastAsia="宋体" w:cs="宋体"/>
                <w:color w:val="auto"/>
                <w:highlight w:val="none"/>
                <w:lang w:val="en-US" w:eastAsia="zh-CN"/>
              </w:rPr>
              <w:t>四</w:t>
            </w:r>
            <w:r>
              <w:rPr>
                <w:rFonts w:hint="eastAsia" w:ascii="宋体" w:hAnsi="宋体" w:eastAsia="宋体" w:cs="宋体"/>
                <w:color w:val="auto"/>
                <w:highlight w:val="none"/>
              </w:rPr>
              <w:t>档：未提及此项的不得分。</w:t>
            </w:r>
          </w:p>
        </w:tc>
      </w:tr>
      <w:tr w14:paraId="0462ED5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104" w:type="dxa"/>
            <w:vMerge w:val="restart"/>
            <w:vAlign w:val="center"/>
          </w:tcPr>
          <w:p w14:paraId="33DE533A">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3.2.3</w:t>
            </w:r>
          </w:p>
          <w:p w14:paraId="732BB61A">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993" w:type="dxa"/>
            <w:vMerge w:val="restart"/>
            <w:vAlign w:val="center"/>
          </w:tcPr>
          <w:p w14:paraId="6EF60212">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技术评分标准</w:t>
            </w:r>
          </w:p>
        </w:tc>
        <w:tc>
          <w:tcPr>
            <w:tcW w:w="2204" w:type="dxa"/>
            <w:vAlign w:val="center"/>
          </w:tcPr>
          <w:p w14:paraId="62D82E01">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服务方案</w:t>
            </w:r>
          </w:p>
          <w:p w14:paraId="084B50B6">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30</w:t>
            </w:r>
            <w:r>
              <w:rPr>
                <w:rFonts w:hint="eastAsia" w:ascii="宋体" w:hAnsi="宋体" w:eastAsia="宋体" w:cs="宋体"/>
                <w:color w:val="auto"/>
                <w:highlight w:val="none"/>
              </w:rPr>
              <w:t>分）</w:t>
            </w:r>
          </w:p>
        </w:tc>
        <w:tc>
          <w:tcPr>
            <w:tcW w:w="4944" w:type="dxa"/>
            <w:vAlign w:val="top"/>
          </w:tcPr>
          <w:p w14:paraId="21A961E4">
            <w:pPr>
              <w:keepNext w:val="0"/>
              <w:keepLines w:val="0"/>
              <w:pageBreakBefore w:val="0"/>
              <w:widowControl w:val="0"/>
              <w:kinsoku/>
              <w:wordWrap w:val="0"/>
              <w:overflowPunct/>
              <w:topLinePunct w:val="0"/>
              <w:bidi w:val="0"/>
              <w:snapToGrid/>
              <w:spacing w:before="96" w:beforeLines="40" w:line="4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服务方案(30分)根据投标人针对本项目的服务方案进行赋分。</w:t>
            </w:r>
          </w:p>
          <w:p w14:paraId="5DF1A91B">
            <w:pPr>
              <w:keepNext w:val="0"/>
              <w:keepLines w:val="0"/>
              <w:pageBreakBefore w:val="0"/>
              <w:widowControl w:val="0"/>
              <w:kinsoku/>
              <w:wordWrap w:val="0"/>
              <w:overflowPunct/>
              <w:topLinePunct w:val="0"/>
              <w:bidi w:val="0"/>
              <w:snapToGrid/>
              <w:spacing w:before="96" w:beforeLines="40" w:line="4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第一档：服务方案针对性强、合理性、可行性强的得</w:t>
            </w:r>
            <w:r>
              <w:rPr>
                <w:rFonts w:hint="eastAsia" w:ascii="宋体" w:hAnsi="宋体" w:eastAsia="宋体" w:cs="宋体"/>
                <w:color w:val="auto"/>
                <w:highlight w:val="none"/>
                <w:lang w:val="en-US" w:eastAsia="zh-CN"/>
              </w:rPr>
              <w:t>30</w:t>
            </w:r>
            <w:r>
              <w:rPr>
                <w:rFonts w:hint="eastAsia" w:ascii="宋体" w:hAnsi="宋体" w:eastAsia="宋体" w:cs="宋体"/>
                <w:color w:val="auto"/>
                <w:highlight w:val="none"/>
              </w:rPr>
              <w:t>分;</w:t>
            </w:r>
          </w:p>
          <w:p w14:paraId="04D34636">
            <w:pPr>
              <w:keepNext w:val="0"/>
              <w:keepLines w:val="0"/>
              <w:pageBreakBefore w:val="0"/>
              <w:widowControl w:val="0"/>
              <w:kinsoku/>
              <w:wordWrap w:val="0"/>
              <w:overflowPunct/>
              <w:topLinePunct w:val="0"/>
              <w:bidi w:val="0"/>
              <w:snapToGrid/>
              <w:spacing w:before="96" w:beforeLines="40" w:line="4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第二档：服务方案有一定针对性、有一定合理性、可行性的得</w:t>
            </w:r>
            <w:r>
              <w:rPr>
                <w:rFonts w:hint="eastAsia" w:ascii="宋体" w:hAnsi="宋体" w:eastAsia="宋体" w:cs="宋体"/>
                <w:color w:val="auto"/>
                <w:highlight w:val="none"/>
                <w:lang w:val="en-US" w:eastAsia="zh-CN"/>
              </w:rPr>
              <w:t>25</w:t>
            </w:r>
            <w:r>
              <w:rPr>
                <w:rFonts w:hint="eastAsia" w:ascii="宋体" w:hAnsi="宋体" w:eastAsia="宋体" w:cs="宋体"/>
                <w:color w:val="auto"/>
                <w:highlight w:val="none"/>
              </w:rPr>
              <w:t>分;</w:t>
            </w:r>
          </w:p>
          <w:p w14:paraId="7CB292A1">
            <w:pPr>
              <w:keepNext w:val="0"/>
              <w:keepLines w:val="0"/>
              <w:pageBreakBefore w:val="0"/>
              <w:widowControl w:val="0"/>
              <w:kinsoku/>
              <w:wordWrap w:val="0"/>
              <w:overflowPunct/>
              <w:topLinePunct w:val="0"/>
              <w:bidi w:val="0"/>
              <w:snapToGrid/>
              <w:spacing w:before="96" w:beforeLines="40" w:line="4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第三档:服务方案针对性一般、合理性、可行性一般的得</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分;</w:t>
            </w:r>
          </w:p>
          <w:p w14:paraId="4BF95F62">
            <w:pPr>
              <w:keepNext w:val="0"/>
              <w:keepLines w:val="0"/>
              <w:pageBreakBefore w:val="0"/>
              <w:widowControl w:val="0"/>
              <w:kinsoku/>
              <w:wordWrap w:val="0"/>
              <w:overflowPunct/>
              <w:topLinePunct w:val="0"/>
              <w:bidi w:val="0"/>
              <w:snapToGrid/>
              <w:spacing w:before="96" w:beforeLines="40" w:line="40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第四档:服务方案针对性较差、合理性、可行性较差的得</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w:t>
            </w:r>
          </w:p>
          <w:p w14:paraId="08FC2780">
            <w:pPr>
              <w:keepNext w:val="0"/>
              <w:keepLines w:val="0"/>
              <w:pageBreakBefore w:val="0"/>
              <w:widowControl w:val="0"/>
              <w:kinsoku/>
              <w:wordWrap w:val="0"/>
              <w:overflowPunct/>
              <w:topLinePunct w:val="0"/>
              <w:bidi w:val="0"/>
              <w:snapToGrid/>
              <w:spacing w:before="96" w:beforeLines="40" w:line="4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第</w:t>
            </w: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rPr>
              <w:t>档：未提及此项的不得分。</w:t>
            </w:r>
          </w:p>
        </w:tc>
      </w:tr>
      <w:tr w14:paraId="7F28259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104" w:type="dxa"/>
            <w:vMerge w:val="continue"/>
            <w:vAlign w:val="center"/>
          </w:tcPr>
          <w:p w14:paraId="03A5AAB8">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p>
        </w:tc>
        <w:tc>
          <w:tcPr>
            <w:tcW w:w="993" w:type="dxa"/>
            <w:vMerge w:val="continue"/>
            <w:vAlign w:val="center"/>
          </w:tcPr>
          <w:p w14:paraId="3ADA0D9D">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p>
        </w:tc>
        <w:tc>
          <w:tcPr>
            <w:tcW w:w="2204" w:type="dxa"/>
            <w:vAlign w:val="center"/>
          </w:tcPr>
          <w:p w14:paraId="4BA4A150">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重点和难点理解及分析</w:t>
            </w:r>
          </w:p>
          <w:p w14:paraId="4178F0AB">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20</w:t>
            </w:r>
            <w:r>
              <w:rPr>
                <w:rFonts w:hint="eastAsia" w:ascii="宋体" w:hAnsi="宋体" w:eastAsia="宋体" w:cs="宋体"/>
                <w:color w:val="auto"/>
                <w:highlight w:val="none"/>
              </w:rPr>
              <w:t>分）</w:t>
            </w:r>
          </w:p>
        </w:tc>
        <w:tc>
          <w:tcPr>
            <w:tcW w:w="4944" w:type="dxa"/>
            <w:vAlign w:val="center"/>
          </w:tcPr>
          <w:p w14:paraId="7177754E">
            <w:pPr>
              <w:spacing w:before="124" w:beforeLines="40" w:line="360" w:lineRule="auto"/>
              <w:rPr>
                <w:rFonts w:hint="eastAsia" w:ascii="宋体" w:hAnsi="宋体" w:eastAsia="宋体" w:cs="宋体"/>
                <w:color w:val="auto"/>
                <w:highlight w:val="none"/>
                <w:u w:color="000000"/>
                <w:lang w:val="zh-TW" w:eastAsia="zh-TW"/>
              </w:rPr>
            </w:pPr>
            <w:r>
              <w:rPr>
                <w:rFonts w:hint="eastAsia" w:ascii="宋体" w:hAnsi="宋体" w:eastAsia="宋体" w:cs="宋体"/>
                <w:color w:val="auto"/>
                <w:highlight w:val="none"/>
                <w:u w:color="000000"/>
                <w:lang w:val="zh-TW" w:eastAsia="zh-TW"/>
              </w:rPr>
              <w:t>重点和难点理解及分析(20分)根据投标人对开展本项目工作的重点和难点的理解及分析，提出的建议合理性进行赋分。</w:t>
            </w:r>
          </w:p>
          <w:p w14:paraId="1BE25789">
            <w:pPr>
              <w:spacing w:before="124" w:beforeLines="40" w:line="360" w:lineRule="auto"/>
              <w:rPr>
                <w:rFonts w:hint="eastAsia" w:ascii="宋体" w:hAnsi="宋体" w:eastAsia="宋体" w:cs="宋体"/>
                <w:color w:val="auto"/>
                <w:highlight w:val="none"/>
                <w:u w:color="000000"/>
                <w:lang w:val="zh-TW" w:eastAsia="zh-TW"/>
              </w:rPr>
            </w:pPr>
            <w:r>
              <w:rPr>
                <w:rFonts w:hint="eastAsia" w:ascii="宋体" w:hAnsi="宋体" w:eastAsia="宋体" w:cs="宋体"/>
                <w:color w:val="auto"/>
                <w:highlight w:val="none"/>
                <w:u w:color="000000"/>
                <w:lang w:val="zh-TW" w:eastAsia="zh-TW"/>
              </w:rPr>
              <w:t>第一档：对开展本项目工作的重点和难点理解及分析，完整、详实且针对性强的得</w:t>
            </w:r>
            <w:r>
              <w:rPr>
                <w:rFonts w:hint="eastAsia" w:ascii="宋体" w:hAnsi="宋体" w:eastAsia="宋体" w:cs="宋体"/>
                <w:color w:val="auto"/>
                <w:highlight w:val="none"/>
                <w:u w:color="000000"/>
                <w:lang w:val="en-US" w:eastAsia="zh-CN"/>
              </w:rPr>
              <w:t>20</w:t>
            </w:r>
            <w:r>
              <w:rPr>
                <w:rFonts w:hint="eastAsia" w:ascii="宋体" w:hAnsi="宋体" w:eastAsia="宋体" w:cs="宋体"/>
                <w:color w:val="auto"/>
                <w:highlight w:val="none"/>
                <w:u w:color="000000"/>
                <w:lang w:val="zh-TW" w:eastAsia="zh-TW"/>
              </w:rPr>
              <w:t>分;</w:t>
            </w:r>
          </w:p>
          <w:p w14:paraId="17751895">
            <w:pPr>
              <w:spacing w:before="124" w:beforeLines="40" w:line="360" w:lineRule="auto"/>
              <w:rPr>
                <w:rFonts w:hint="eastAsia" w:ascii="宋体" w:hAnsi="宋体" w:eastAsia="宋体" w:cs="宋体"/>
                <w:color w:val="auto"/>
                <w:highlight w:val="none"/>
                <w:u w:color="000000"/>
                <w:lang w:val="zh-TW" w:eastAsia="zh-TW"/>
              </w:rPr>
            </w:pPr>
            <w:r>
              <w:rPr>
                <w:rFonts w:hint="eastAsia" w:ascii="宋体" w:hAnsi="宋体" w:eastAsia="宋体" w:cs="宋体"/>
                <w:color w:val="auto"/>
                <w:highlight w:val="none"/>
                <w:u w:color="000000"/>
                <w:lang w:val="zh-TW" w:eastAsia="zh-TW"/>
              </w:rPr>
              <w:t>第二档:对开展本项目工作的重点和难点理解及分析，基本完整、详实有一定针对性的得</w:t>
            </w:r>
            <w:r>
              <w:rPr>
                <w:rFonts w:hint="eastAsia" w:ascii="宋体" w:hAnsi="宋体" w:eastAsia="宋体" w:cs="宋体"/>
                <w:color w:val="auto"/>
                <w:highlight w:val="none"/>
                <w:u w:color="000000"/>
                <w:lang w:val="en-US" w:eastAsia="zh-CN"/>
              </w:rPr>
              <w:t>15</w:t>
            </w:r>
            <w:r>
              <w:rPr>
                <w:rFonts w:hint="eastAsia" w:ascii="宋体" w:hAnsi="宋体" w:eastAsia="宋体" w:cs="宋体"/>
                <w:color w:val="auto"/>
                <w:highlight w:val="none"/>
                <w:u w:color="000000"/>
                <w:lang w:val="zh-TW" w:eastAsia="zh-TW"/>
              </w:rPr>
              <w:t>分;</w:t>
            </w:r>
          </w:p>
          <w:p w14:paraId="32090B31">
            <w:pPr>
              <w:spacing w:before="124" w:beforeLines="40" w:line="360" w:lineRule="auto"/>
              <w:rPr>
                <w:rFonts w:hint="eastAsia" w:ascii="宋体" w:hAnsi="宋体" w:eastAsia="宋体" w:cs="宋体"/>
                <w:color w:val="auto"/>
                <w:highlight w:val="none"/>
                <w:u w:color="000000"/>
                <w:lang w:val="zh-TW" w:eastAsia="zh-TW"/>
              </w:rPr>
            </w:pPr>
            <w:r>
              <w:rPr>
                <w:rFonts w:hint="eastAsia" w:ascii="宋体" w:hAnsi="宋体" w:eastAsia="宋体" w:cs="宋体"/>
                <w:color w:val="auto"/>
                <w:highlight w:val="none"/>
                <w:u w:color="000000"/>
                <w:lang w:val="zh-TW" w:eastAsia="zh-TW"/>
              </w:rPr>
              <w:t>第三档:对开展本项目工作的重点和难点理解及分析，相对完整、详实针对性一般的得</w:t>
            </w:r>
            <w:r>
              <w:rPr>
                <w:rFonts w:hint="eastAsia" w:ascii="宋体" w:hAnsi="宋体" w:eastAsia="宋体" w:cs="宋体"/>
                <w:color w:val="auto"/>
                <w:highlight w:val="none"/>
                <w:u w:color="000000"/>
                <w:lang w:val="en-US" w:eastAsia="zh-CN"/>
              </w:rPr>
              <w:t>10</w:t>
            </w:r>
            <w:r>
              <w:rPr>
                <w:rFonts w:hint="eastAsia" w:ascii="宋体" w:hAnsi="宋体" w:eastAsia="宋体" w:cs="宋体"/>
                <w:color w:val="auto"/>
                <w:highlight w:val="none"/>
                <w:u w:color="000000"/>
                <w:lang w:val="zh-TW" w:eastAsia="zh-TW"/>
              </w:rPr>
              <w:t>分;</w:t>
            </w:r>
          </w:p>
          <w:p w14:paraId="7D915684">
            <w:pPr>
              <w:spacing w:before="124" w:beforeLines="40" w:line="360" w:lineRule="auto"/>
              <w:rPr>
                <w:rFonts w:hint="eastAsia" w:ascii="宋体" w:hAnsi="宋体" w:eastAsia="宋体" w:cs="宋体"/>
                <w:color w:val="auto"/>
                <w:highlight w:val="none"/>
                <w:u w:color="000000"/>
                <w:lang w:val="zh-TW" w:eastAsia="zh-CN"/>
              </w:rPr>
            </w:pPr>
            <w:r>
              <w:rPr>
                <w:rFonts w:hint="eastAsia" w:ascii="宋体" w:hAnsi="宋体" w:eastAsia="宋体" w:cs="宋体"/>
                <w:color w:val="auto"/>
                <w:highlight w:val="none"/>
                <w:u w:color="000000"/>
                <w:lang w:val="zh-TW" w:eastAsia="zh-TW"/>
              </w:rPr>
              <w:t>第四档:对开展本项目工作的重点和难点理解及分析，有缺漏或不具针对性的得</w:t>
            </w:r>
            <w:r>
              <w:rPr>
                <w:rFonts w:hint="eastAsia" w:ascii="宋体" w:hAnsi="宋体" w:eastAsia="宋体" w:cs="宋体"/>
                <w:color w:val="auto"/>
                <w:highlight w:val="none"/>
                <w:u w:color="000000"/>
                <w:lang w:val="en-US" w:eastAsia="zh-CN"/>
              </w:rPr>
              <w:t>5</w:t>
            </w:r>
            <w:r>
              <w:rPr>
                <w:rFonts w:hint="eastAsia" w:ascii="宋体" w:hAnsi="宋体" w:eastAsia="宋体" w:cs="宋体"/>
                <w:color w:val="auto"/>
                <w:highlight w:val="none"/>
                <w:u w:color="000000"/>
                <w:lang w:val="zh-TW" w:eastAsia="zh-TW"/>
              </w:rPr>
              <w:t>分</w:t>
            </w:r>
            <w:r>
              <w:rPr>
                <w:rFonts w:hint="eastAsia" w:ascii="宋体" w:hAnsi="宋体" w:eastAsia="宋体" w:cs="宋体"/>
                <w:color w:val="auto"/>
                <w:highlight w:val="none"/>
                <w:u w:color="000000"/>
                <w:lang w:val="zh-TW" w:eastAsia="zh-CN"/>
              </w:rPr>
              <w:t>；</w:t>
            </w:r>
          </w:p>
          <w:p w14:paraId="036A5F92">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w:t>
            </w: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rPr>
              <w:t>档：未提及此项的不得分</w:t>
            </w:r>
            <w:r>
              <w:rPr>
                <w:rFonts w:hint="eastAsia" w:ascii="宋体" w:hAnsi="宋体" w:eastAsia="宋体" w:cs="宋体"/>
                <w:color w:val="auto"/>
                <w:highlight w:val="none"/>
                <w:u w:color="000000"/>
                <w:lang w:val="zh-TW" w:eastAsia="zh-TW"/>
              </w:rPr>
              <w:t>。</w:t>
            </w:r>
          </w:p>
        </w:tc>
      </w:tr>
      <w:tr w14:paraId="0103B27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104" w:type="dxa"/>
            <w:vMerge w:val="continue"/>
            <w:vAlign w:val="center"/>
          </w:tcPr>
          <w:p w14:paraId="6F67C1E7">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p>
        </w:tc>
        <w:tc>
          <w:tcPr>
            <w:tcW w:w="993" w:type="dxa"/>
            <w:vMerge w:val="continue"/>
            <w:vAlign w:val="center"/>
          </w:tcPr>
          <w:p w14:paraId="3386BBEB">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p>
        </w:tc>
        <w:tc>
          <w:tcPr>
            <w:tcW w:w="2204" w:type="dxa"/>
            <w:vAlign w:val="center"/>
          </w:tcPr>
          <w:p w14:paraId="62A72F38">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项目工作时间、进度计划、组织实施流程及保障措施</w:t>
            </w:r>
          </w:p>
          <w:p w14:paraId="3BF99C11">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(15分)</w:t>
            </w:r>
          </w:p>
        </w:tc>
        <w:tc>
          <w:tcPr>
            <w:tcW w:w="4944" w:type="dxa"/>
            <w:vAlign w:val="center"/>
          </w:tcPr>
          <w:p w14:paraId="334DE949">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项目工作时间、进度计划、组织实施流程及保障措施(15分)根据投标人对本项目工作时间、进度计划及组织实施流程的安排及说明进行赋分。</w:t>
            </w:r>
          </w:p>
          <w:p w14:paraId="2968BD92">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第一档:项目工作时间、进度计划及组织实施流程安排合理针对性强的得</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分;</w:t>
            </w:r>
          </w:p>
          <w:p w14:paraId="794D6110">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第二档:项目工作时间、进度计划及组织实施流程安排基本合理针对性一般的得</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分;</w:t>
            </w:r>
          </w:p>
          <w:p w14:paraId="0DC447C4">
            <w:pPr>
              <w:spacing w:before="124" w:beforeLines="4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第三档;项目工作时间、进度计划及组织实施流程安排不合理且无针对性的得</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w:t>
            </w:r>
          </w:p>
          <w:p w14:paraId="5436EF7B">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w:t>
            </w:r>
            <w:r>
              <w:rPr>
                <w:rFonts w:hint="eastAsia" w:ascii="宋体" w:hAnsi="宋体" w:eastAsia="宋体" w:cs="宋体"/>
                <w:color w:val="auto"/>
                <w:highlight w:val="none"/>
                <w:lang w:val="en-US" w:eastAsia="zh-CN"/>
              </w:rPr>
              <w:t>四</w:t>
            </w:r>
            <w:r>
              <w:rPr>
                <w:rFonts w:hint="eastAsia" w:ascii="宋体" w:hAnsi="宋体" w:eastAsia="宋体" w:cs="宋体"/>
                <w:color w:val="auto"/>
                <w:highlight w:val="none"/>
              </w:rPr>
              <w:t>档：未提及此项的不得分。</w:t>
            </w:r>
          </w:p>
        </w:tc>
      </w:tr>
      <w:tr w14:paraId="785CDCF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104" w:type="dxa"/>
            <w:vMerge w:val="continue"/>
            <w:vAlign w:val="center"/>
          </w:tcPr>
          <w:p w14:paraId="5D33A75F">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p>
        </w:tc>
        <w:tc>
          <w:tcPr>
            <w:tcW w:w="993" w:type="dxa"/>
            <w:vMerge w:val="continue"/>
            <w:vAlign w:val="center"/>
          </w:tcPr>
          <w:p w14:paraId="0592FF55">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p>
        </w:tc>
        <w:tc>
          <w:tcPr>
            <w:tcW w:w="2204" w:type="dxa"/>
            <w:vAlign w:val="center"/>
          </w:tcPr>
          <w:p w14:paraId="735A12FA">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u w:color="000000"/>
                <w:lang w:val="zh-TW" w:eastAsia="zh-TW"/>
              </w:rPr>
              <w:t>服务承诺及保障措施(15分)</w:t>
            </w:r>
          </w:p>
        </w:tc>
        <w:tc>
          <w:tcPr>
            <w:tcW w:w="4944" w:type="dxa"/>
            <w:vAlign w:val="center"/>
          </w:tcPr>
          <w:p w14:paraId="20FDFDC1">
            <w:pPr>
              <w:spacing w:before="124" w:beforeLines="40" w:line="360" w:lineRule="auto"/>
              <w:rPr>
                <w:rFonts w:hint="eastAsia" w:ascii="宋体" w:hAnsi="宋体" w:eastAsia="宋体" w:cs="宋体"/>
                <w:color w:val="auto"/>
                <w:highlight w:val="none"/>
                <w:u w:color="000000"/>
                <w:lang w:val="zh-TW" w:eastAsia="zh-TW"/>
              </w:rPr>
            </w:pPr>
            <w:r>
              <w:rPr>
                <w:rFonts w:hint="eastAsia" w:ascii="宋体" w:hAnsi="宋体" w:eastAsia="宋体" w:cs="宋体"/>
                <w:color w:val="auto"/>
                <w:highlight w:val="none"/>
                <w:u w:color="000000"/>
                <w:lang w:val="zh-TW" w:eastAsia="zh-TW"/>
              </w:rPr>
              <w:t>服务承诺及保障措施(15分)根据投标人对服务承诺及保障措施进行赋分。</w:t>
            </w:r>
          </w:p>
          <w:p w14:paraId="3D3844F5">
            <w:pPr>
              <w:spacing w:before="124" w:beforeLines="40" w:line="360" w:lineRule="auto"/>
              <w:rPr>
                <w:rFonts w:hint="eastAsia" w:ascii="宋体" w:hAnsi="宋体" w:eastAsia="宋体" w:cs="宋体"/>
                <w:color w:val="auto"/>
                <w:highlight w:val="none"/>
                <w:u w:color="000000"/>
                <w:lang w:val="zh-TW" w:eastAsia="zh-TW"/>
              </w:rPr>
            </w:pPr>
            <w:r>
              <w:rPr>
                <w:rFonts w:hint="eastAsia" w:ascii="宋体" w:hAnsi="宋体" w:eastAsia="宋体" w:cs="宋体"/>
                <w:color w:val="auto"/>
                <w:highlight w:val="none"/>
                <w:u w:color="000000"/>
                <w:lang w:val="zh-TW" w:eastAsia="zh-TW"/>
              </w:rPr>
              <w:t>第一档：服务承诺及保障措施针对性强的得</w:t>
            </w:r>
            <w:r>
              <w:rPr>
                <w:rFonts w:hint="eastAsia" w:ascii="宋体" w:hAnsi="宋体" w:eastAsia="宋体" w:cs="宋体"/>
                <w:color w:val="auto"/>
                <w:highlight w:val="none"/>
                <w:u w:color="000000"/>
                <w:lang w:val="en-US" w:eastAsia="zh-CN"/>
              </w:rPr>
              <w:t>15</w:t>
            </w:r>
            <w:r>
              <w:rPr>
                <w:rFonts w:hint="eastAsia" w:ascii="宋体" w:hAnsi="宋体" w:eastAsia="宋体" w:cs="宋体"/>
                <w:color w:val="auto"/>
                <w:highlight w:val="none"/>
                <w:u w:color="000000"/>
                <w:lang w:val="zh-TW" w:eastAsia="zh-TW"/>
              </w:rPr>
              <w:t>分；</w:t>
            </w:r>
          </w:p>
          <w:p w14:paraId="629ACA0F">
            <w:pPr>
              <w:spacing w:before="124" w:beforeLines="40" w:line="360" w:lineRule="auto"/>
              <w:rPr>
                <w:rFonts w:hint="eastAsia" w:ascii="宋体" w:hAnsi="宋体" w:eastAsia="宋体" w:cs="宋体"/>
                <w:color w:val="auto"/>
                <w:highlight w:val="none"/>
                <w:u w:color="000000"/>
                <w:lang w:val="zh-TW" w:eastAsia="zh-TW"/>
              </w:rPr>
            </w:pPr>
            <w:r>
              <w:rPr>
                <w:rFonts w:hint="eastAsia" w:ascii="宋体" w:hAnsi="宋体" w:eastAsia="宋体" w:cs="宋体"/>
                <w:color w:val="auto"/>
                <w:highlight w:val="none"/>
                <w:u w:color="000000"/>
                <w:lang w:val="zh-TW" w:eastAsia="zh-TW"/>
              </w:rPr>
              <w:t>第二档:服务承诺及保障措施针对性一般的得</w:t>
            </w:r>
            <w:r>
              <w:rPr>
                <w:rFonts w:hint="eastAsia" w:ascii="宋体" w:hAnsi="宋体" w:eastAsia="宋体" w:cs="宋体"/>
                <w:color w:val="auto"/>
                <w:highlight w:val="none"/>
                <w:u w:color="000000"/>
                <w:lang w:val="en-US" w:eastAsia="zh-CN"/>
              </w:rPr>
              <w:t>10</w:t>
            </w:r>
            <w:r>
              <w:rPr>
                <w:rFonts w:hint="eastAsia" w:ascii="宋体" w:hAnsi="宋体" w:eastAsia="宋体" w:cs="宋体"/>
                <w:color w:val="auto"/>
                <w:highlight w:val="none"/>
                <w:u w:color="000000"/>
                <w:lang w:val="zh-TW" w:eastAsia="zh-TW"/>
              </w:rPr>
              <w:t>分；</w:t>
            </w:r>
          </w:p>
          <w:p w14:paraId="2180C317">
            <w:pPr>
              <w:spacing w:before="124" w:beforeLines="4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u w:color="000000"/>
                <w:lang w:val="zh-TW" w:eastAsia="zh-TW"/>
              </w:rPr>
              <w:t>第三档：服务承诺及保障措施无针对性的得</w:t>
            </w:r>
            <w:r>
              <w:rPr>
                <w:rFonts w:hint="eastAsia" w:ascii="宋体" w:hAnsi="宋体" w:eastAsia="宋体" w:cs="宋体"/>
                <w:color w:val="auto"/>
                <w:highlight w:val="none"/>
                <w:u w:color="000000"/>
                <w:lang w:val="en-US" w:eastAsia="zh-CN"/>
              </w:rPr>
              <w:t>5</w:t>
            </w:r>
            <w:r>
              <w:rPr>
                <w:rFonts w:hint="eastAsia" w:ascii="宋体" w:hAnsi="宋体" w:eastAsia="宋体" w:cs="宋体"/>
                <w:color w:val="auto"/>
                <w:highlight w:val="none"/>
                <w:u w:color="000000"/>
                <w:lang w:val="zh-TW" w:eastAsia="zh-TW"/>
              </w:rPr>
              <w:t>分</w:t>
            </w:r>
            <w:r>
              <w:rPr>
                <w:rFonts w:hint="eastAsia" w:ascii="宋体" w:hAnsi="宋体" w:eastAsia="宋体" w:cs="宋体"/>
                <w:color w:val="auto"/>
                <w:highlight w:val="none"/>
                <w:lang w:eastAsia="zh-CN"/>
              </w:rPr>
              <w:t>；</w:t>
            </w:r>
          </w:p>
          <w:p w14:paraId="2E42D862">
            <w:pPr>
              <w:spacing w:before="124" w:beforeLines="40" w:line="360" w:lineRule="auto"/>
              <w:rPr>
                <w:rFonts w:hint="eastAsia" w:ascii="宋体" w:hAnsi="宋体" w:eastAsia="宋体" w:cs="宋体"/>
                <w:color w:val="auto"/>
                <w:highlight w:val="none"/>
                <w:u w:color="000000"/>
                <w:lang w:val="zh-TW" w:eastAsia="zh-TW"/>
              </w:rPr>
            </w:pPr>
            <w:r>
              <w:rPr>
                <w:rFonts w:hint="eastAsia" w:ascii="宋体" w:hAnsi="宋体" w:eastAsia="宋体" w:cs="宋体"/>
                <w:color w:val="auto"/>
                <w:highlight w:val="none"/>
              </w:rPr>
              <w:t>第</w:t>
            </w:r>
            <w:r>
              <w:rPr>
                <w:rFonts w:hint="eastAsia" w:ascii="宋体" w:hAnsi="宋体" w:eastAsia="宋体" w:cs="宋体"/>
                <w:color w:val="auto"/>
                <w:highlight w:val="none"/>
                <w:lang w:val="en-US" w:eastAsia="zh-CN"/>
              </w:rPr>
              <w:t>四</w:t>
            </w:r>
            <w:r>
              <w:rPr>
                <w:rFonts w:hint="eastAsia" w:ascii="宋体" w:hAnsi="宋体" w:eastAsia="宋体" w:cs="宋体"/>
                <w:color w:val="auto"/>
                <w:highlight w:val="none"/>
              </w:rPr>
              <w:t>档：未提及此项的不得分</w:t>
            </w:r>
            <w:r>
              <w:rPr>
                <w:rFonts w:hint="eastAsia" w:ascii="宋体" w:hAnsi="宋体" w:eastAsia="宋体" w:cs="宋体"/>
                <w:color w:val="auto"/>
                <w:highlight w:val="none"/>
                <w:u w:color="000000"/>
                <w:lang w:val="zh-TW" w:eastAsia="zh-TW"/>
              </w:rPr>
              <w:t>。</w:t>
            </w:r>
          </w:p>
        </w:tc>
      </w:tr>
      <w:tr w14:paraId="3C242AA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104" w:type="dxa"/>
            <w:vAlign w:val="center"/>
          </w:tcPr>
          <w:p w14:paraId="2B668256">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3.2.3</w:t>
            </w:r>
          </w:p>
          <w:p w14:paraId="16A2D704">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993" w:type="dxa"/>
            <w:vAlign w:val="center"/>
          </w:tcPr>
          <w:p w14:paraId="001F69A8">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报价评分标准</w:t>
            </w:r>
          </w:p>
        </w:tc>
        <w:tc>
          <w:tcPr>
            <w:tcW w:w="2204" w:type="dxa"/>
            <w:vAlign w:val="center"/>
          </w:tcPr>
          <w:p w14:paraId="50250428">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投标报价</w:t>
            </w:r>
          </w:p>
          <w:p w14:paraId="371D603B">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（满分</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分）</w:t>
            </w:r>
          </w:p>
        </w:tc>
        <w:tc>
          <w:tcPr>
            <w:tcW w:w="4944" w:type="dxa"/>
            <w:vAlign w:val="center"/>
          </w:tcPr>
          <w:p w14:paraId="7D01764C">
            <w:pPr>
              <w:keepNext w:val="0"/>
              <w:keepLines w:val="0"/>
              <w:pageBreakBefore w:val="0"/>
              <w:widowControl w:val="0"/>
              <w:kinsoku/>
              <w:wordWrap w:val="0"/>
              <w:overflowPunct/>
              <w:topLinePunct w:val="0"/>
              <w:bidi w:val="0"/>
              <w:snapToGrid/>
              <w:spacing w:before="96" w:beforeLines="40" w:line="400" w:lineRule="exact"/>
              <w:textAlignment w:val="auto"/>
              <w:rPr>
                <w:rFonts w:hint="default" w:ascii="宋体" w:hAnsi="宋体" w:eastAsia="宋体" w:cs="宋体"/>
                <w:color w:val="auto"/>
                <w:highlight w:val="none"/>
                <w:u w:color="000000"/>
                <w:lang w:val="en-US" w:eastAsia="zh-CN"/>
              </w:rPr>
            </w:pPr>
            <w:r>
              <w:rPr>
                <w:rFonts w:hint="eastAsia" w:ascii="宋体" w:hAnsi="宋体" w:eastAsia="宋体" w:cs="宋体"/>
                <w:color w:val="auto"/>
                <w:highlight w:val="none"/>
                <w:u w:color="000000"/>
                <w:lang w:val="zh-TW"/>
              </w:rPr>
              <w:t>报价得分=（评标基准价/最终报价）×</w:t>
            </w:r>
            <w:r>
              <w:rPr>
                <w:rFonts w:hint="eastAsia" w:ascii="宋体" w:hAnsi="宋体" w:eastAsia="宋体" w:cs="宋体"/>
                <w:color w:val="auto"/>
                <w:highlight w:val="none"/>
                <w:u w:color="000000"/>
                <w:lang w:val="en-US" w:eastAsia="zh-CN"/>
              </w:rPr>
              <w:t>10</w:t>
            </w:r>
          </w:p>
        </w:tc>
      </w:tr>
      <w:tr w14:paraId="72A70BB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104" w:type="dxa"/>
            <w:vAlign w:val="center"/>
          </w:tcPr>
          <w:p w14:paraId="52856258">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3.2.3</w:t>
            </w:r>
          </w:p>
          <w:p w14:paraId="621AB8B6">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993" w:type="dxa"/>
            <w:vAlign w:val="center"/>
          </w:tcPr>
          <w:p w14:paraId="362D09CA">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其他因素评分标准</w:t>
            </w:r>
          </w:p>
        </w:tc>
        <w:tc>
          <w:tcPr>
            <w:tcW w:w="2204" w:type="dxa"/>
            <w:vAlign w:val="center"/>
          </w:tcPr>
          <w:p w14:paraId="78DD64E5">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4944" w:type="dxa"/>
            <w:vAlign w:val="center"/>
          </w:tcPr>
          <w:p w14:paraId="60748F37">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0F658E5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097" w:type="dxa"/>
            <w:gridSpan w:val="2"/>
            <w:vAlign w:val="center"/>
          </w:tcPr>
          <w:p w14:paraId="0D796A6A">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条款号</w:t>
            </w:r>
          </w:p>
        </w:tc>
        <w:tc>
          <w:tcPr>
            <w:tcW w:w="2204" w:type="dxa"/>
            <w:vAlign w:val="center"/>
          </w:tcPr>
          <w:p w14:paraId="05F40C99">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条款内容</w:t>
            </w:r>
          </w:p>
        </w:tc>
        <w:tc>
          <w:tcPr>
            <w:tcW w:w="4944" w:type="dxa"/>
            <w:vAlign w:val="center"/>
          </w:tcPr>
          <w:p w14:paraId="7E9403DF">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编列内容</w:t>
            </w:r>
          </w:p>
        </w:tc>
      </w:tr>
      <w:tr w14:paraId="490C589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097" w:type="dxa"/>
            <w:gridSpan w:val="2"/>
            <w:vAlign w:val="center"/>
          </w:tcPr>
          <w:p w14:paraId="4612F4C7">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3.2.6</w:t>
            </w:r>
          </w:p>
        </w:tc>
        <w:tc>
          <w:tcPr>
            <w:tcW w:w="2204" w:type="dxa"/>
            <w:vAlign w:val="center"/>
          </w:tcPr>
          <w:p w14:paraId="60454737">
            <w:pPr>
              <w:keepNext w:val="0"/>
              <w:keepLines w:val="0"/>
              <w:pageBreakBefore w:val="0"/>
              <w:widowControl w:val="0"/>
              <w:kinsoku/>
              <w:wordWrap w:val="0"/>
              <w:overflowPunct/>
              <w:topLinePunct w:val="0"/>
              <w:bidi w:val="0"/>
              <w:snapToGrid/>
              <w:spacing w:before="96" w:beforeLines="40"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供应商并列时确定供应商优先顺序的规则</w:t>
            </w:r>
          </w:p>
        </w:tc>
        <w:tc>
          <w:tcPr>
            <w:tcW w:w="4944" w:type="dxa"/>
            <w:vAlign w:val="center"/>
          </w:tcPr>
          <w:p w14:paraId="5CC9E969">
            <w:pPr>
              <w:keepNext w:val="0"/>
              <w:keepLines w:val="0"/>
              <w:pageBreakBefore w:val="0"/>
              <w:widowControl w:val="0"/>
              <w:kinsoku/>
              <w:wordWrap w:val="0"/>
              <w:overflowPunct/>
              <w:topLinePunct w:val="0"/>
              <w:bidi w:val="0"/>
              <w:snapToGrid/>
              <w:spacing w:before="96" w:beforeLines="40" w:line="4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综合评分相等时，以投标报价低的优先；投标报价也相等的，以技术部分得分高的优先。</w:t>
            </w:r>
          </w:p>
        </w:tc>
      </w:tr>
    </w:tbl>
    <w:p w14:paraId="20F4E1C5">
      <w:pPr>
        <w:spacing w:line="360" w:lineRule="auto"/>
        <w:rPr>
          <w:rFonts w:hint="eastAsia" w:ascii="宋体" w:hAnsi="宋体" w:eastAsia="宋体" w:cs="宋体"/>
          <w:color w:val="auto"/>
          <w:highlight w:val="none"/>
        </w:rPr>
      </w:pPr>
    </w:p>
    <w:p w14:paraId="534BED5F">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AAA8CF7">
      <w:pPr>
        <w:pStyle w:val="4"/>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评审方法</w:t>
      </w:r>
    </w:p>
    <w:p w14:paraId="6BEEA9E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本次评审采用综合评分法。磋商小组对满足采购文件实质性要求的响应文件，按照本章第3.2款规定的评分标准进行打分，并按得分由高到低的顺序推荐候选成交供应商。</w:t>
      </w:r>
    </w:p>
    <w:p w14:paraId="3DF922BE">
      <w:pPr>
        <w:pStyle w:val="4"/>
        <w:spacing w:before="0" w:after="0" w:line="360" w:lineRule="auto"/>
        <w:rPr>
          <w:rFonts w:hint="eastAsia" w:ascii="宋体" w:hAnsi="宋体" w:eastAsia="宋体" w:cs="宋体"/>
          <w:color w:val="auto"/>
          <w:sz w:val="21"/>
          <w:szCs w:val="21"/>
          <w:highlight w:val="none"/>
        </w:rPr>
      </w:pPr>
      <w:bookmarkStart w:id="215" w:name="_Toc70424887"/>
      <w:bookmarkStart w:id="216" w:name="_Toc151027112"/>
      <w:bookmarkStart w:id="217" w:name="_Toc30600"/>
      <w:r>
        <w:rPr>
          <w:rFonts w:hint="eastAsia" w:ascii="宋体" w:hAnsi="宋体" w:eastAsia="宋体" w:cs="宋体"/>
          <w:color w:val="auto"/>
          <w:sz w:val="21"/>
          <w:szCs w:val="21"/>
          <w:highlight w:val="none"/>
        </w:rPr>
        <w:t>2. 初步评审标准和程序</w:t>
      </w:r>
      <w:bookmarkEnd w:id="215"/>
      <w:bookmarkEnd w:id="216"/>
      <w:bookmarkEnd w:id="217"/>
    </w:p>
    <w:p w14:paraId="19B69770">
      <w:pPr>
        <w:pStyle w:val="5"/>
        <w:spacing w:before="0" w:after="0" w:line="360" w:lineRule="auto"/>
        <w:rPr>
          <w:rFonts w:hint="eastAsia" w:ascii="宋体" w:hAnsi="宋体" w:eastAsia="宋体" w:cs="宋体"/>
          <w:color w:val="auto"/>
          <w:sz w:val="21"/>
          <w:szCs w:val="21"/>
          <w:highlight w:val="none"/>
        </w:rPr>
      </w:pPr>
      <w:bookmarkStart w:id="218" w:name="_Toc151027113"/>
      <w:bookmarkStart w:id="219" w:name="_Toc24047"/>
      <w:bookmarkStart w:id="220" w:name="_Toc70424888"/>
      <w:r>
        <w:rPr>
          <w:rFonts w:hint="eastAsia" w:ascii="宋体" w:hAnsi="宋体" w:eastAsia="宋体" w:cs="宋体"/>
          <w:color w:val="auto"/>
          <w:sz w:val="21"/>
          <w:szCs w:val="21"/>
          <w:highlight w:val="none"/>
        </w:rPr>
        <w:t>2.1 初步评审标准</w:t>
      </w:r>
      <w:bookmarkEnd w:id="218"/>
      <w:bookmarkEnd w:id="219"/>
      <w:bookmarkEnd w:id="220"/>
    </w:p>
    <w:p w14:paraId="0CDC50F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2.1.1 资格性评审标准：见评审办法前附表。</w:t>
      </w:r>
    </w:p>
    <w:p w14:paraId="7B1A22A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2.1.2 符合性评审标准：见评审办法前附表。</w:t>
      </w:r>
    </w:p>
    <w:p w14:paraId="34B0A9ED">
      <w:pPr>
        <w:pStyle w:val="5"/>
        <w:spacing w:before="0" w:after="0" w:line="360" w:lineRule="auto"/>
        <w:rPr>
          <w:rFonts w:hint="eastAsia" w:ascii="宋体" w:hAnsi="宋体" w:eastAsia="宋体" w:cs="宋体"/>
          <w:color w:val="auto"/>
          <w:sz w:val="21"/>
          <w:szCs w:val="21"/>
          <w:highlight w:val="none"/>
        </w:rPr>
      </w:pPr>
      <w:bookmarkStart w:id="221" w:name="_Toc70424889"/>
      <w:bookmarkStart w:id="222" w:name="_Toc151027114"/>
      <w:bookmarkStart w:id="223" w:name="_Toc29012"/>
      <w:r>
        <w:rPr>
          <w:rFonts w:hint="eastAsia" w:ascii="宋体" w:hAnsi="宋体" w:eastAsia="宋体" w:cs="宋体"/>
          <w:color w:val="auto"/>
          <w:sz w:val="21"/>
          <w:szCs w:val="21"/>
          <w:highlight w:val="none"/>
        </w:rPr>
        <w:t>2.2 初步评审程序</w:t>
      </w:r>
      <w:bookmarkEnd w:id="221"/>
      <w:bookmarkEnd w:id="222"/>
      <w:bookmarkEnd w:id="223"/>
    </w:p>
    <w:p w14:paraId="7873BEB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2.2.1 磋商小组依据本章第2.1款规定的标准对供应商递交的响应文件进行初步评审，判断响应文件的形式是否符合要求、供应商是否符合资格条件、响应文件是否实质性响应采购文件的要求。只有以上评审合格的响应文件才可通过初步评审。</w:t>
      </w:r>
    </w:p>
    <w:p w14:paraId="0B694A1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2.2.2 响应文件的形式或供应商资格不符合采购文件的要求、响应文件未实质性响应采购文件的要求，或响应文件中有含义不明确、同类问题表述不一致或有明细文字和计算错误的内容，磋商小组应要求供应商在规定时间内进行澄清、说明和补正。供应商澄清、说明和补正的内容应由法定代表人（单位负责人）或其授权的代理人签字或加盖单位章、澄清、说明和补正的内容作为响应文件的组成部分。</w:t>
      </w:r>
    </w:p>
    <w:p w14:paraId="614CA19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2.2.3 经供应商澄清、说明和补正后仍不满足初步评审要求的响应文件（即响应文件不满足本章第2.1款规定的任一项标准），或供应商有串通、弄虚作假、行贿等违法行为的，其响应文件将被视为无效，磋商小组应告知有关供应商。</w:t>
      </w:r>
    </w:p>
    <w:p w14:paraId="53DFBEAC">
      <w:pPr>
        <w:pStyle w:val="4"/>
        <w:spacing w:before="0" w:after="0" w:line="360" w:lineRule="auto"/>
        <w:rPr>
          <w:rFonts w:hint="eastAsia" w:ascii="宋体" w:hAnsi="宋体" w:eastAsia="宋体" w:cs="宋体"/>
          <w:color w:val="auto"/>
          <w:sz w:val="21"/>
          <w:szCs w:val="21"/>
          <w:highlight w:val="none"/>
        </w:rPr>
      </w:pPr>
      <w:bookmarkStart w:id="224" w:name="_Toc151027115"/>
      <w:bookmarkStart w:id="225" w:name="_Toc9928"/>
      <w:bookmarkStart w:id="226" w:name="_Toc70424890"/>
      <w:r>
        <w:rPr>
          <w:rFonts w:hint="eastAsia" w:ascii="宋体" w:hAnsi="宋体" w:eastAsia="宋体" w:cs="宋体"/>
          <w:color w:val="auto"/>
          <w:sz w:val="21"/>
          <w:szCs w:val="21"/>
          <w:highlight w:val="none"/>
        </w:rPr>
        <w:t>3. 详细评审标准和程序</w:t>
      </w:r>
      <w:bookmarkEnd w:id="224"/>
      <w:bookmarkEnd w:id="225"/>
      <w:bookmarkEnd w:id="226"/>
    </w:p>
    <w:p w14:paraId="49A2BBC1">
      <w:pPr>
        <w:pStyle w:val="5"/>
        <w:spacing w:before="0" w:after="0" w:line="360" w:lineRule="auto"/>
        <w:rPr>
          <w:rFonts w:hint="eastAsia" w:ascii="宋体" w:hAnsi="宋体" w:eastAsia="宋体" w:cs="宋体"/>
          <w:color w:val="auto"/>
          <w:sz w:val="21"/>
          <w:szCs w:val="21"/>
          <w:highlight w:val="none"/>
        </w:rPr>
      </w:pPr>
      <w:bookmarkStart w:id="227" w:name="_Toc151027116"/>
      <w:bookmarkStart w:id="228" w:name="_Toc11573"/>
      <w:bookmarkStart w:id="229" w:name="_Toc70424891"/>
      <w:r>
        <w:rPr>
          <w:rFonts w:hint="eastAsia" w:ascii="宋体" w:hAnsi="宋体" w:eastAsia="宋体" w:cs="宋体"/>
          <w:color w:val="auto"/>
          <w:sz w:val="21"/>
          <w:szCs w:val="21"/>
          <w:highlight w:val="none"/>
        </w:rPr>
        <w:t>3.1 评审价格确定</w:t>
      </w:r>
      <w:bookmarkEnd w:id="227"/>
      <w:bookmarkEnd w:id="228"/>
      <w:bookmarkEnd w:id="229"/>
    </w:p>
    <w:p w14:paraId="0309AAD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3.1.1 除评审办法前附表另有规定外，评审价格以最终报价的小写含税价格为准。</w:t>
      </w:r>
    </w:p>
    <w:p w14:paraId="24EBB7C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3.1.2 评审价格超过最高限价（如有）的，其响应文件将被视为无效。</w:t>
      </w:r>
    </w:p>
    <w:p w14:paraId="01F5ED3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3.1.3 磋商小组经过对供应商的报价进行比较或基于专业经验认为某一供应商的报价过低，可能对其履约造成影响时，应当要求该供应商作出书面说明并提供相应的证明材料。供应商不能合理说明或者不能提供相应证明材料的，其响应文件将被视为无效。</w:t>
      </w:r>
    </w:p>
    <w:p w14:paraId="529A2FF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3.1.4 最终报价有算术错误或其他错误的，磋商小组按以下原则进行修正，并要求供应商对修正后的价格进行书面澄清确认。供应商拒不澄清确认的，其响应文件将被视为无效：</w:t>
      </w:r>
    </w:p>
    <w:p w14:paraId="00301B6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（1）大写金额与小写金额不一致的，以大写金额为准；</w:t>
      </w:r>
    </w:p>
    <w:p w14:paraId="509775F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（2）总价金额与单价金额不一致的，以单价金额为准，但单价金额小数点有明显错误的除外；</w:t>
      </w:r>
    </w:p>
    <w:p w14:paraId="5D9545C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（3）报价表中合计报价与分项报价的合价不一致的，以各分项报价的合价累计数为准；</w:t>
      </w:r>
    </w:p>
    <w:p w14:paraId="42A271E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（4）如果分项报价中存在缺漏项，且缺漏项内容不属于实质性偏差的，则视为缺漏项内容的价格已包含在其他分项报价中。</w:t>
      </w:r>
    </w:p>
    <w:p w14:paraId="6CF894D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最终报价的算术错误修正不改变评审依据的最终总报价。当修正后的总报价高于原最终报价时，视同供应商最终报价错误产生少漏计费用，签订合同时由供应商承担，如评审小组认为供应商无法承受少漏记费用，可以将最终报价作为异常低价处理；当修正后的总报价低于原最终报价时，签订合同时以修正后的报价为准。</w:t>
      </w:r>
    </w:p>
    <w:p w14:paraId="1773DC59">
      <w:pPr>
        <w:pStyle w:val="5"/>
        <w:spacing w:before="0" w:after="0" w:line="360" w:lineRule="auto"/>
        <w:rPr>
          <w:rFonts w:hint="eastAsia" w:ascii="宋体" w:hAnsi="宋体" w:eastAsia="宋体" w:cs="宋体"/>
          <w:color w:val="auto"/>
          <w:sz w:val="21"/>
          <w:szCs w:val="21"/>
          <w:highlight w:val="none"/>
        </w:rPr>
      </w:pPr>
      <w:bookmarkStart w:id="230" w:name="_Toc1151"/>
      <w:bookmarkStart w:id="231" w:name="_Toc151027117"/>
      <w:bookmarkStart w:id="232" w:name="_Toc70424892"/>
      <w:r>
        <w:rPr>
          <w:rFonts w:hint="eastAsia" w:ascii="宋体" w:hAnsi="宋体" w:eastAsia="宋体" w:cs="宋体"/>
          <w:color w:val="auto"/>
          <w:sz w:val="21"/>
          <w:szCs w:val="21"/>
          <w:highlight w:val="none"/>
        </w:rPr>
        <w:t>3.2 综合评分和排序</w:t>
      </w:r>
      <w:bookmarkEnd w:id="230"/>
      <w:bookmarkEnd w:id="231"/>
      <w:bookmarkEnd w:id="232"/>
    </w:p>
    <w:p w14:paraId="52D8F1C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3.2.1 分值构成</w:t>
      </w:r>
    </w:p>
    <w:p w14:paraId="67BF9ED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（1）商务部分：见评审办法前附表；</w:t>
      </w:r>
    </w:p>
    <w:p w14:paraId="3D3E094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（2）技术部分：见评审办法前附表；</w:t>
      </w:r>
    </w:p>
    <w:p w14:paraId="0FF7D5B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（3）报价：见评审办法前附表；</w:t>
      </w:r>
    </w:p>
    <w:p w14:paraId="31CDD7C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（4）其他评分因素：见评审办法前附表。</w:t>
      </w:r>
    </w:p>
    <w:p w14:paraId="40DB6CB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3.2.2 评审基准价计算</w:t>
      </w:r>
    </w:p>
    <w:p w14:paraId="3CE5B11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（1）评审价格：评审价格为按照本章第3.1.1项规定确定的价格。</w:t>
      </w:r>
    </w:p>
    <w:p w14:paraId="52C8BE8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（2）评审基准价计算方法：见评审办法前附表。</w:t>
      </w:r>
    </w:p>
    <w:p w14:paraId="7A428A8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3.2.3 评分标准</w:t>
      </w:r>
    </w:p>
    <w:p w14:paraId="65C9211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（1）商务评分标准：见评审办法前附表；</w:t>
      </w:r>
    </w:p>
    <w:p w14:paraId="7006D36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（2）技术评分标准：见评审办法前附表；</w:t>
      </w:r>
    </w:p>
    <w:p w14:paraId="50E9202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（3）报价评分标准：见评审办法前附表。</w:t>
      </w:r>
    </w:p>
    <w:p w14:paraId="1A82B32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（4）其他因素评分标准：见评审办法前附表。</w:t>
      </w:r>
    </w:p>
    <w:p w14:paraId="231FFA9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3.2.4 评分。磋商小组成员按照评分标准独立对供应商的商务、技术和其他因素进行评分。报价评分由磋商小组统一计算。各项得分汇总后为该成员给供应商的评分总分。评分分值计算保留小数点后两位，小数点后第三位“四舍五入”。</w:t>
      </w:r>
    </w:p>
    <w:p w14:paraId="1CDC823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3.2.5 汇总。磋商小组汇总每个成员对供应商的评分总分，每个供应商的评分总分的算术平均值为供应商最终得分。</w:t>
      </w:r>
    </w:p>
    <w:p w14:paraId="527D37C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3.2.6 磋商小组对供应商最终得分进行比较后，按照供应商最终得分由高到低的顺序对供应商排序。最终得分相等时，以评审价格低的优先；评审价格也相等的，以技术得分高的优先；如果技术得分也相等，按照评审办法前附表的规定确定供应商优先顺序。</w:t>
      </w:r>
    </w:p>
    <w:p w14:paraId="28D18A10">
      <w:pPr>
        <w:pStyle w:val="4"/>
        <w:spacing w:before="0" w:after="0" w:line="360" w:lineRule="auto"/>
        <w:rPr>
          <w:rFonts w:hint="eastAsia" w:ascii="宋体" w:hAnsi="宋体" w:eastAsia="宋体" w:cs="宋体"/>
          <w:color w:val="auto"/>
          <w:sz w:val="21"/>
          <w:szCs w:val="21"/>
          <w:highlight w:val="none"/>
        </w:rPr>
      </w:pPr>
      <w:bookmarkStart w:id="233" w:name="_Toc25124"/>
      <w:bookmarkStart w:id="234" w:name="_Toc151027118"/>
      <w:bookmarkStart w:id="235" w:name="_Toc70424893"/>
      <w:r>
        <w:rPr>
          <w:rFonts w:hint="eastAsia" w:ascii="宋体" w:hAnsi="宋体" w:eastAsia="宋体" w:cs="宋体"/>
          <w:color w:val="auto"/>
          <w:sz w:val="21"/>
          <w:szCs w:val="21"/>
          <w:highlight w:val="none"/>
        </w:rPr>
        <w:t>4. 评审结果</w:t>
      </w:r>
      <w:bookmarkEnd w:id="233"/>
      <w:bookmarkEnd w:id="234"/>
      <w:bookmarkEnd w:id="235"/>
    </w:p>
    <w:p w14:paraId="09AA4735">
      <w:pPr>
        <w:pStyle w:val="5"/>
        <w:spacing w:before="0" w:after="0" w:line="360" w:lineRule="auto"/>
        <w:rPr>
          <w:rFonts w:hint="eastAsia" w:ascii="宋体" w:hAnsi="宋体" w:eastAsia="宋体" w:cs="宋体"/>
          <w:color w:val="auto"/>
          <w:sz w:val="21"/>
          <w:szCs w:val="21"/>
          <w:highlight w:val="none"/>
        </w:rPr>
      </w:pPr>
      <w:bookmarkStart w:id="236" w:name="_Toc29980"/>
      <w:bookmarkStart w:id="237" w:name="_Toc151027119"/>
      <w:bookmarkStart w:id="238" w:name="_Toc70424894"/>
      <w:r>
        <w:rPr>
          <w:rFonts w:hint="eastAsia" w:ascii="宋体" w:hAnsi="宋体" w:eastAsia="宋体" w:cs="宋体"/>
          <w:color w:val="auto"/>
          <w:sz w:val="21"/>
          <w:szCs w:val="21"/>
          <w:highlight w:val="none"/>
        </w:rPr>
        <w:t>4.1 提交书面评审报告</w:t>
      </w:r>
      <w:bookmarkEnd w:id="236"/>
      <w:bookmarkEnd w:id="237"/>
      <w:bookmarkEnd w:id="238"/>
    </w:p>
    <w:p w14:paraId="647A62F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磋商小组完成评审后，应当向采购人递交书面评审报告。</w:t>
      </w:r>
    </w:p>
    <w:p w14:paraId="46348097">
      <w:pPr>
        <w:pStyle w:val="5"/>
        <w:spacing w:before="0" w:after="0" w:line="360" w:lineRule="auto"/>
        <w:rPr>
          <w:rFonts w:hint="eastAsia" w:ascii="宋体" w:hAnsi="宋体" w:eastAsia="宋体" w:cs="宋体"/>
          <w:color w:val="auto"/>
          <w:sz w:val="21"/>
          <w:szCs w:val="21"/>
          <w:highlight w:val="none"/>
        </w:rPr>
      </w:pPr>
      <w:bookmarkStart w:id="239" w:name="_Toc70424895"/>
      <w:bookmarkStart w:id="240" w:name="_Toc151027120"/>
      <w:bookmarkStart w:id="241" w:name="_Toc29997"/>
      <w:r>
        <w:rPr>
          <w:rFonts w:hint="eastAsia" w:ascii="宋体" w:hAnsi="宋体" w:eastAsia="宋体" w:cs="宋体"/>
          <w:color w:val="auto"/>
          <w:sz w:val="21"/>
          <w:szCs w:val="21"/>
          <w:highlight w:val="none"/>
        </w:rPr>
        <w:t>4.2 推荐候选成交供应商排序要求及数量</w:t>
      </w:r>
      <w:bookmarkEnd w:id="239"/>
      <w:bookmarkEnd w:id="240"/>
      <w:bookmarkEnd w:id="241"/>
    </w:p>
    <w:p w14:paraId="67360449">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磋商小组应在书面评审报告中按照供应商排列的优先顺序向采购人推荐候选成交供应商（排序或不排序）。候选成交供应商的排序要求及数量见第二章“供应商须知”。</w:t>
      </w:r>
    </w:p>
    <w:p w14:paraId="01F9C619">
      <w:pPr>
        <w:spacing w:line="360" w:lineRule="auto"/>
        <w:rPr>
          <w:rFonts w:hint="eastAsia" w:ascii="宋体" w:hAnsi="宋体" w:eastAsia="宋体" w:cs="宋体"/>
          <w:color w:val="auto"/>
          <w:highlight w:val="none"/>
        </w:rPr>
      </w:pPr>
    </w:p>
    <w:p w14:paraId="663153D1">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26A4CD0">
      <w:pPr>
        <w:keepNext/>
        <w:keepLines/>
        <w:spacing w:line="360" w:lineRule="auto"/>
        <w:jc w:val="center"/>
        <w:outlineLvl w:val="0"/>
        <w:rPr>
          <w:rFonts w:hint="eastAsia" w:ascii="宋体" w:hAnsi="宋体" w:eastAsia="宋体" w:cs="宋体"/>
          <w:b/>
          <w:bCs/>
          <w:color w:val="auto"/>
          <w:kern w:val="44"/>
          <w:sz w:val="36"/>
          <w:szCs w:val="36"/>
          <w:highlight w:val="none"/>
        </w:rPr>
      </w:pPr>
      <w:bookmarkStart w:id="242" w:name="_Toc132208740"/>
    </w:p>
    <w:p w14:paraId="0D69759D">
      <w:pPr>
        <w:keepNext/>
        <w:keepLines/>
        <w:spacing w:line="360" w:lineRule="auto"/>
        <w:jc w:val="center"/>
        <w:outlineLvl w:val="0"/>
        <w:rPr>
          <w:rFonts w:hint="eastAsia" w:ascii="宋体" w:hAnsi="宋体" w:eastAsia="宋体" w:cs="宋体"/>
          <w:b/>
          <w:bCs/>
          <w:color w:val="auto"/>
          <w:kern w:val="44"/>
          <w:sz w:val="36"/>
          <w:szCs w:val="36"/>
          <w:highlight w:val="none"/>
        </w:rPr>
      </w:pPr>
      <w:r>
        <w:rPr>
          <w:rFonts w:hint="eastAsia" w:ascii="宋体" w:hAnsi="宋体" w:eastAsia="宋体" w:cs="宋体"/>
          <w:b/>
          <w:bCs/>
          <w:color w:val="auto"/>
          <w:kern w:val="44"/>
          <w:sz w:val="36"/>
          <w:szCs w:val="36"/>
          <w:highlight w:val="none"/>
        </w:rPr>
        <w:t>第四章 合同草案</w:t>
      </w:r>
      <w:bookmarkEnd w:id="242"/>
    </w:p>
    <w:p w14:paraId="1ED4C00E">
      <w:pPr>
        <w:jc w:val="center"/>
        <w:rPr>
          <w:rFonts w:hint="eastAsia" w:ascii="宋体" w:hAnsi="宋体" w:eastAsia="宋体" w:cs="宋体"/>
          <w:color w:val="auto"/>
          <w:sz w:val="32"/>
          <w:szCs w:val="32"/>
          <w:highlight w:val="none"/>
        </w:rPr>
      </w:pPr>
      <w:bookmarkStart w:id="243" w:name="_Toc132208741"/>
      <w:r>
        <w:rPr>
          <w:rFonts w:hint="eastAsia" w:ascii="宋体" w:hAnsi="宋体" w:eastAsia="宋体" w:cs="宋体"/>
          <w:color w:val="auto"/>
          <w:sz w:val="32"/>
          <w:szCs w:val="32"/>
          <w:highlight w:val="none"/>
        </w:rPr>
        <w:t>（此合同仅供参考，以实际签订合同为准）</w:t>
      </w:r>
    </w:p>
    <w:p w14:paraId="2261ABB0">
      <w:pPr>
        <w:pStyle w:val="3"/>
        <w:spacing w:before="0" w:after="0" w:line="360" w:lineRule="auto"/>
        <w:jc w:val="center"/>
        <w:rPr>
          <w:rFonts w:hint="eastAsia" w:ascii="宋体" w:hAnsi="宋体" w:eastAsia="宋体" w:cs="宋体"/>
          <w:color w:val="auto"/>
          <w:sz w:val="36"/>
          <w:szCs w:val="36"/>
          <w:highlight w:val="none"/>
        </w:rPr>
      </w:pPr>
    </w:p>
    <w:p w14:paraId="7B20D924">
      <w:pPr>
        <w:jc w:val="center"/>
        <w:rPr>
          <w:rFonts w:hint="eastAsia" w:ascii="宋体" w:hAnsi="宋体" w:eastAsia="宋体" w:cs="宋体"/>
          <w:b/>
          <w:bCs/>
          <w:color w:val="auto"/>
          <w:spacing w:val="-20"/>
          <w:kern w:val="44"/>
          <w:sz w:val="44"/>
          <w:szCs w:val="44"/>
          <w:highlight w:val="none"/>
        </w:rPr>
      </w:pPr>
      <w:r>
        <w:rPr>
          <w:rFonts w:hint="eastAsia" w:ascii="宋体" w:hAnsi="宋体" w:eastAsia="宋体" w:cs="宋体"/>
          <w:b/>
          <w:bCs/>
          <w:color w:val="auto"/>
          <w:spacing w:val="-20"/>
          <w:kern w:val="44"/>
          <w:sz w:val="44"/>
          <w:szCs w:val="44"/>
          <w:highlight w:val="none"/>
        </w:rPr>
        <w:t>政府采购货物买卖合同</w:t>
      </w:r>
    </w:p>
    <w:p w14:paraId="3EB71751">
      <w:pPr>
        <w:jc w:val="center"/>
        <w:rPr>
          <w:rFonts w:hint="eastAsia" w:ascii="宋体" w:hAnsi="宋体" w:eastAsia="宋体" w:cs="宋体"/>
          <w:b/>
          <w:bCs/>
          <w:color w:val="auto"/>
          <w:spacing w:val="-20"/>
          <w:kern w:val="44"/>
          <w:sz w:val="44"/>
          <w:szCs w:val="44"/>
          <w:highlight w:val="none"/>
        </w:rPr>
      </w:pPr>
      <w:r>
        <w:rPr>
          <w:rFonts w:hint="eastAsia" w:ascii="宋体" w:hAnsi="宋体" w:eastAsia="宋体" w:cs="宋体"/>
          <w:b/>
          <w:bCs/>
          <w:color w:val="auto"/>
          <w:spacing w:val="-20"/>
          <w:kern w:val="44"/>
          <w:sz w:val="44"/>
          <w:szCs w:val="44"/>
          <w:highlight w:val="none"/>
        </w:rPr>
        <w:t>（试行）</w:t>
      </w:r>
    </w:p>
    <w:p w14:paraId="70F43D71">
      <w:pPr>
        <w:rPr>
          <w:rFonts w:hint="eastAsia" w:ascii="宋体" w:hAnsi="宋体" w:eastAsia="宋体" w:cs="宋体"/>
          <w:b/>
          <w:bCs/>
          <w:color w:val="auto"/>
          <w:spacing w:val="-20"/>
          <w:kern w:val="44"/>
          <w:sz w:val="36"/>
          <w:szCs w:val="36"/>
          <w:highlight w:val="none"/>
        </w:rPr>
      </w:pPr>
    </w:p>
    <w:p w14:paraId="23809D65">
      <w:pPr>
        <w:rPr>
          <w:rFonts w:hint="eastAsia" w:ascii="宋体" w:hAnsi="宋体" w:eastAsia="宋体" w:cs="宋体"/>
          <w:b/>
          <w:bCs/>
          <w:color w:val="auto"/>
          <w:spacing w:val="-20"/>
          <w:kern w:val="44"/>
          <w:sz w:val="36"/>
          <w:szCs w:val="36"/>
          <w:highlight w:val="none"/>
        </w:rPr>
      </w:pPr>
    </w:p>
    <w:p w14:paraId="1C04D678">
      <w:pPr>
        <w:rPr>
          <w:rFonts w:hint="eastAsia" w:ascii="宋体" w:hAnsi="宋体" w:eastAsia="宋体" w:cs="宋体"/>
          <w:b/>
          <w:bCs/>
          <w:color w:val="auto"/>
          <w:spacing w:val="-20"/>
          <w:kern w:val="44"/>
          <w:sz w:val="36"/>
          <w:szCs w:val="36"/>
          <w:highlight w:val="none"/>
        </w:rPr>
      </w:pPr>
    </w:p>
    <w:p w14:paraId="2CC92436">
      <w:pPr>
        <w:spacing w:line="360" w:lineRule="auto"/>
        <w:ind w:left="420" w:leftChars="200"/>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eastAsia="zh-CN"/>
        </w:rPr>
        <w:t>项目名称</w:t>
      </w:r>
      <w:r>
        <w:rPr>
          <w:rFonts w:hint="eastAsia" w:ascii="宋体" w:hAnsi="宋体" w:eastAsia="宋体" w:cs="宋体"/>
          <w:color w:val="auto"/>
          <w:kern w:val="0"/>
          <w:sz w:val="28"/>
          <w:szCs w:val="28"/>
          <w:highlight w:val="none"/>
        </w:rPr>
        <w:t>：</w:t>
      </w:r>
      <w:r>
        <w:rPr>
          <w:rFonts w:hint="eastAsia" w:ascii="宋体" w:hAnsi="宋体" w:eastAsia="宋体" w:cs="宋体"/>
          <w:color w:val="auto"/>
          <w:sz w:val="28"/>
          <w:szCs w:val="28"/>
          <w:highlight w:val="none"/>
          <w:u w:val="single"/>
        </w:rPr>
        <w:t xml:space="preserve">                             </w:t>
      </w:r>
    </w:p>
    <w:p w14:paraId="25977F60">
      <w:pPr>
        <w:spacing w:line="360" w:lineRule="auto"/>
        <w:ind w:left="420" w:leftChars="20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合同编号：</w:t>
      </w:r>
      <w:r>
        <w:rPr>
          <w:rFonts w:hint="eastAsia" w:ascii="宋体" w:hAnsi="宋体" w:eastAsia="宋体" w:cs="宋体"/>
          <w:color w:val="auto"/>
          <w:sz w:val="28"/>
          <w:szCs w:val="28"/>
          <w:highlight w:val="none"/>
          <w:u w:val="single"/>
        </w:rPr>
        <w:t xml:space="preserve">                             </w:t>
      </w:r>
    </w:p>
    <w:p w14:paraId="01F92156">
      <w:pPr>
        <w:spacing w:line="360" w:lineRule="auto"/>
        <w:ind w:left="420" w:left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    方：</w:t>
      </w:r>
      <w:r>
        <w:rPr>
          <w:rFonts w:hint="eastAsia" w:ascii="宋体" w:hAnsi="宋体" w:eastAsia="宋体" w:cs="宋体"/>
          <w:color w:val="auto"/>
          <w:sz w:val="28"/>
          <w:szCs w:val="28"/>
          <w:highlight w:val="none"/>
          <w:u w:val="single"/>
        </w:rPr>
        <w:t xml:space="preserve">                             </w:t>
      </w:r>
    </w:p>
    <w:p w14:paraId="7AAA5257">
      <w:pPr>
        <w:spacing w:line="360" w:lineRule="auto"/>
        <w:ind w:left="420" w:leftChars="20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乙    方：</w:t>
      </w:r>
      <w:r>
        <w:rPr>
          <w:rFonts w:hint="eastAsia" w:ascii="宋体" w:hAnsi="宋体" w:eastAsia="宋体" w:cs="宋体"/>
          <w:color w:val="auto"/>
          <w:sz w:val="28"/>
          <w:szCs w:val="28"/>
          <w:highlight w:val="none"/>
          <w:u w:val="single"/>
        </w:rPr>
        <w:t xml:space="preserve">                             </w:t>
      </w:r>
    </w:p>
    <w:p w14:paraId="79603E78">
      <w:pPr>
        <w:spacing w:line="360" w:lineRule="auto"/>
        <w:ind w:left="420" w:left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签订时间：</w:t>
      </w:r>
      <w:r>
        <w:rPr>
          <w:rFonts w:hint="eastAsia" w:ascii="宋体" w:hAnsi="宋体" w:eastAsia="宋体" w:cs="宋体"/>
          <w:color w:val="auto"/>
          <w:sz w:val="28"/>
          <w:szCs w:val="28"/>
          <w:highlight w:val="none"/>
          <w:u w:val="single"/>
        </w:rPr>
        <w:t xml:space="preserve">                             </w:t>
      </w:r>
    </w:p>
    <w:p w14:paraId="051AA7D5">
      <w:pPr>
        <w:rPr>
          <w:rFonts w:hint="eastAsia" w:ascii="宋体" w:hAnsi="宋体" w:eastAsia="宋体" w:cs="宋体"/>
          <w:color w:val="auto"/>
          <w:szCs w:val="24"/>
          <w:highlight w:val="none"/>
        </w:rPr>
      </w:pPr>
    </w:p>
    <w:p w14:paraId="79C80777">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r>
    </w:p>
    <w:p w14:paraId="4353A1E9">
      <w:pPr>
        <w:jc w:val="center"/>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使 用 说 明</w:t>
      </w:r>
    </w:p>
    <w:p w14:paraId="2C4B5C3C">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1.本合同标准文本适用于购买现成货物的采购项目，不包括需要供应商定制开发、创新研发的货物采购项目。</w:t>
      </w:r>
    </w:p>
    <w:p w14:paraId="439A0D00">
      <w:pPr>
        <w:rPr>
          <w:rFonts w:hint="eastAsia" w:ascii="宋体" w:hAnsi="宋体" w:eastAsia="宋体" w:cs="宋体"/>
          <w:color w:val="auto"/>
          <w:highlight w:val="none"/>
        </w:rPr>
      </w:pPr>
      <w:r>
        <w:rPr>
          <w:rFonts w:hint="eastAsia" w:ascii="宋体" w:hAnsi="宋体" w:eastAsia="宋体" w:cs="宋体"/>
          <w:color w:val="auto"/>
          <w:highlight w:val="none"/>
        </w:rPr>
        <w:t xml:space="preserve">   2.本合同标准文本为政府采购货物买卖合同编制提供参考，可以结合采购项目具体情况，对文本作必要的调整修订后使用。</w:t>
      </w:r>
    </w:p>
    <w:p w14:paraId="26A8FA20">
      <w:pPr>
        <w:ind w:firstLine="420" w:firstLineChars="200"/>
        <w:rPr>
          <w:rFonts w:hint="eastAsia" w:ascii="宋体" w:hAnsi="宋体" w:eastAsia="宋体" w:cs="宋体"/>
          <w:color w:val="auto"/>
          <w:highlight w:val="none"/>
        </w:rPr>
        <w:sectPr>
          <w:headerReference r:id="rId10" w:type="first"/>
          <w:footerReference r:id="rId13" w:type="first"/>
          <w:footerReference r:id="rId11" w:type="default"/>
          <w:footerReference r:id="rId12" w:type="even"/>
          <w:pgSz w:w="11906" w:h="16838"/>
          <w:pgMar w:top="1440" w:right="1080" w:bottom="1440" w:left="1080" w:header="765" w:footer="737" w:gutter="0"/>
          <w:pgNumType w:fmt="numberInDash"/>
          <w:cols w:space="0" w:num="1"/>
          <w:rtlGutter w:val="0"/>
          <w:docGrid w:type="lines" w:linePitch="312" w:charSpace="0"/>
        </w:sectPr>
      </w:pPr>
      <w:r>
        <w:rPr>
          <w:rFonts w:hint="eastAsia" w:ascii="宋体" w:hAnsi="宋体" w:eastAsia="宋体" w:cs="宋体"/>
          <w:color w:val="auto"/>
          <w:highlight w:val="none"/>
        </w:rPr>
        <w:t>3.本合同标准文本各条款中，如涉及填写多家供应商、制造商，多种采购标的、分包主要内容等信息的，可根据采购项目具体情况添加信息项。</w:t>
      </w:r>
    </w:p>
    <w:p w14:paraId="096200DE">
      <w:pPr>
        <w:keepNext/>
        <w:keepLines/>
        <w:adjustRightInd w:val="0"/>
        <w:snapToGrid w:val="0"/>
        <w:spacing w:line="400" w:lineRule="exact"/>
        <w:ind w:firstLine="560" w:firstLineChars="200"/>
        <w:jc w:val="center"/>
        <w:outlineLvl w:val="1"/>
        <w:rPr>
          <w:rFonts w:hint="eastAsia" w:ascii="宋体" w:hAnsi="宋体" w:eastAsia="宋体" w:cs="宋体"/>
          <w:color w:val="auto"/>
          <w:sz w:val="28"/>
          <w:szCs w:val="28"/>
          <w:highlight w:val="none"/>
        </w:rPr>
      </w:pPr>
      <w:bookmarkStart w:id="244" w:name="_Toc22209"/>
      <w:r>
        <w:rPr>
          <w:rFonts w:hint="eastAsia" w:ascii="宋体" w:hAnsi="宋体" w:eastAsia="宋体" w:cs="宋体"/>
          <w:color w:val="auto"/>
          <w:sz w:val="28"/>
          <w:szCs w:val="28"/>
          <w:highlight w:val="none"/>
        </w:rPr>
        <w:t>第一节 政府采购合同协议书</w:t>
      </w:r>
      <w:bookmarkEnd w:id="244"/>
    </w:p>
    <w:p w14:paraId="573E51A6">
      <w:pPr>
        <w:spacing w:line="400" w:lineRule="exact"/>
        <w:ind w:left="560" w:hanging="560" w:hangingChars="200"/>
        <w:rPr>
          <w:rFonts w:hint="eastAsia" w:ascii="宋体" w:hAnsi="宋体" w:eastAsia="宋体" w:cs="宋体"/>
          <w:color w:val="auto"/>
          <w:sz w:val="28"/>
          <w:szCs w:val="28"/>
          <w:highlight w:val="none"/>
        </w:rPr>
      </w:pPr>
    </w:p>
    <w:p w14:paraId="73D3FC6E">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甲方（全称）：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（采购人、受采购人委托签订合同的单位或采购文件约定的合同甲方）</w:t>
      </w:r>
    </w:p>
    <w:p w14:paraId="6B597D06">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乙方1（全称）：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（供应商）</w:t>
      </w:r>
    </w:p>
    <w:p w14:paraId="73065A0C">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乙方2（全称）：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（联合体成员供应商或其他合同主体）（如有）</w:t>
      </w:r>
    </w:p>
    <w:p w14:paraId="32562C6D">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乙方3（全称）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（联合体成员供应商或其他合同主体）（如有）</w:t>
      </w:r>
    </w:p>
    <w:p w14:paraId="35E133E1">
      <w:pPr>
        <w:spacing w:line="360" w:lineRule="auto"/>
        <w:ind w:left="420" w:hanging="420" w:hangingChars="200"/>
        <w:rPr>
          <w:rFonts w:hint="eastAsia" w:ascii="宋体" w:hAnsi="宋体" w:eastAsia="宋体" w:cs="宋体"/>
          <w:color w:val="auto"/>
          <w:highlight w:val="none"/>
        </w:rPr>
      </w:pPr>
    </w:p>
    <w:p w14:paraId="533E6591">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28779E29">
      <w:pPr>
        <w:numPr>
          <w:ilvl w:val="0"/>
          <w:numId w:val="1"/>
        </w:numPr>
        <w:adjustRightInd w:val="0"/>
        <w:snapToGrid w:val="0"/>
        <w:spacing w:line="360" w:lineRule="auto"/>
        <w:ind w:left="422" w:hanging="422" w:hangingChars="200"/>
        <w:rPr>
          <w:rFonts w:hint="eastAsia" w:ascii="宋体" w:hAnsi="宋体" w:eastAsia="宋体" w:cs="宋体"/>
          <w:b/>
          <w:color w:val="auto"/>
          <w:highlight w:val="none"/>
        </w:rPr>
      </w:pPr>
      <w:r>
        <w:rPr>
          <w:rFonts w:hint="eastAsia" w:ascii="宋体" w:hAnsi="宋体" w:eastAsia="宋体" w:cs="宋体"/>
          <w:b/>
          <w:color w:val="auto"/>
          <w:highlight w:val="none"/>
        </w:rPr>
        <w:t>项目信息</w:t>
      </w:r>
    </w:p>
    <w:p w14:paraId="1CAC3CB9">
      <w:pPr>
        <w:numPr>
          <w:ilvl w:val="0"/>
          <w:numId w:val="2"/>
        </w:numPr>
        <w:adjustRightInd w:val="0"/>
        <w:snapToGrid w:val="0"/>
        <w:spacing w:line="360" w:lineRule="auto"/>
        <w:ind w:left="420" w:hanging="420" w:hangingChars="200"/>
        <w:rPr>
          <w:rFonts w:hint="eastAsia" w:ascii="宋体" w:hAnsi="宋体" w:eastAsia="宋体" w:cs="宋体"/>
          <w:color w:val="auto"/>
          <w:highlight w:val="none"/>
          <w:u w:val="single"/>
        </w:rPr>
      </w:pPr>
      <w:r>
        <w:rPr>
          <w:rFonts w:hint="eastAsia" w:ascii="宋体" w:hAnsi="宋体" w:eastAsia="宋体" w:cs="宋体"/>
          <w:color w:val="auto"/>
          <w:highlight w:val="none"/>
        </w:rPr>
        <w:t>采购</w:t>
      </w:r>
      <w:r>
        <w:rPr>
          <w:rFonts w:hint="eastAsia" w:ascii="宋体" w:hAnsi="宋体" w:eastAsia="宋体" w:cs="宋体"/>
          <w:color w:val="auto"/>
          <w:highlight w:val="none"/>
          <w:lang w:eastAsia="zh-CN"/>
        </w:rPr>
        <w:t>项目名称</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p>
    <w:p w14:paraId="1200D2BB">
      <w:pPr>
        <w:numPr>
          <w:ilvl w:val="255"/>
          <w:numId w:val="0"/>
        </w:numPr>
        <w:tabs>
          <w:tab w:val="left" w:pos="999"/>
        </w:tabs>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 xml:space="preserve">     采购项目编号：</w:t>
      </w:r>
      <w:r>
        <w:rPr>
          <w:rFonts w:hint="eastAsia" w:ascii="宋体" w:hAnsi="宋体" w:eastAsia="宋体" w:cs="宋体"/>
          <w:color w:val="auto"/>
          <w:highlight w:val="none"/>
          <w:u w:val="single"/>
        </w:rPr>
        <w:t xml:space="preserve">                                          </w:t>
      </w:r>
    </w:p>
    <w:p w14:paraId="2CA73F92">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（2）采购计划编号：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4BC12708">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（3）项目内容：</w:t>
      </w:r>
    </w:p>
    <w:p w14:paraId="77006B27">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 xml:space="preserve">     采购标的及数量（台/套</w:t>
      </w:r>
      <w:r>
        <w:rPr>
          <w:rFonts w:hint="eastAsia" w:ascii="宋体" w:hAnsi="宋体" w:eastAsia="宋体" w:cs="宋体"/>
          <w:color w:val="auto"/>
          <w:highlight w:val="none"/>
          <w:lang w:val="en"/>
        </w:rPr>
        <w:t>/个/架/组等</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7585E221">
      <w:pPr>
        <w:numPr>
          <w:ilvl w:val="255"/>
          <w:numId w:val="0"/>
        </w:numPr>
        <w:adjustRightInd w:val="0"/>
        <w:snapToGrid w:val="0"/>
        <w:spacing w:line="360" w:lineRule="auto"/>
        <w:ind w:left="420" w:hanging="420" w:hangingChars="200"/>
        <w:rPr>
          <w:rFonts w:hint="eastAsia" w:ascii="宋体" w:hAnsi="宋体" w:eastAsia="宋体" w:cs="宋体"/>
          <w:color w:val="auto"/>
          <w:highlight w:val="none"/>
          <w:lang w:val="en"/>
        </w:rPr>
      </w:pPr>
      <w:r>
        <w:rPr>
          <w:rFonts w:hint="eastAsia" w:ascii="宋体" w:hAnsi="宋体" w:eastAsia="宋体" w:cs="宋体"/>
          <w:color w:val="auto"/>
          <w:highlight w:val="none"/>
        </w:rPr>
        <w:t>品牌：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en"/>
        </w:rPr>
        <w:t xml:space="preserve">     </w:t>
      </w:r>
      <w:r>
        <w:rPr>
          <w:rFonts w:hint="eastAsia" w:ascii="宋体" w:hAnsi="宋体" w:eastAsia="宋体" w:cs="宋体"/>
          <w:color w:val="auto"/>
          <w:highlight w:val="none"/>
        </w:rPr>
        <w:t>规格型号：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
        </w:rPr>
        <w:t xml:space="preserve">   </w:t>
      </w:r>
    </w:p>
    <w:p w14:paraId="24C49C0F">
      <w:pPr>
        <w:adjustRightInd w:val="0"/>
        <w:snapToGrid w:val="0"/>
        <w:spacing w:line="360" w:lineRule="auto"/>
        <w:ind w:left="420" w:hanging="420" w:hangingChars="200"/>
        <w:rPr>
          <w:rFonts w:hint="eastAsia" w:ascii="宋体" w:hAnsi="宋体" w:eastAsia="宋体" w:cs="宋体"/>
          <w:color w:val="auto"/>
          <w:highlight w:val="none"/>
          <w:u w:val="single"/>
        </w:rPr>
      </w:pPr>
      <w:r>
        <w:rPr>
          <w:rFonts w:hint="eastAsia" w:ascii="宋体" w:hAnsi="宋体" w:eastAsia="宋体" w:cs="宋体"/>
          <w:color w:val="auto"/>
          <w:highlight w:val="none"/>
        </w:rPr>
        <w:t>采购标的的技术要求、商务要求具体见附件。</w:t>
      </w:r>
    </w:p>
    <w:p w14:paraId="37EE30BC">
      <w:pPr>
        <w:numPr>
          <w:ilvl w:val="255"/>
          <w:numId w:val="0"/>
        </w:num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①涉及信息类产品，请填写该产品关键部件的品牌、型号：</w:t>
      </w:r>
    </w:p>
    <w:p w14:paraId="08C160BC">
      <w:pPr>
        <w:numPr>
          <w:ilvl w:val="255"/>
          <w:numId w:val="0"/>
        </w:numPr>
        <w:adjustRightInd w:val="0"/>
        <w:snapToGrid w:val="0"/>
        <w:spacing w:line="360" w:lineRule="auto"/>
        <w:ind w:left="420" w:hanging="420" w:hangingChars="200"/>
        <w:rPr>
          <w:rFonts w:hint="eastAsia" w:ascii="宋体" w:hAnsi="宋体" w:eastAsia="宋体" w:cs="宋体"/>
          <w:color w:val="auto"/>
          <w:kern w:val="0"/>
          <w:highlight w:val="none"/>
          <w:u w:val="single"/>
        </w:rPr>
      </w:pPr>
      <w:r>
        <w:rPr>
          <w:rFonts w:hint="eastAsia" w:ascii="宋体" w:hAnsi="宋体" w:eastAsia="宋体" w:cs="宋体"/>
          <w:color w:val="auto"/>
          <w:highlight w:val="none"/>
        </w:rPr>
        <w:t xml:space="preserve">     标的名称：</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u w:val="single"/>
          <w:lang w:val="en"/>
        </w:rPr>
        <w:t xml:space="preserve">               </w:t>
      </w:r>
      <w:r>
        <w:rPr>
          <w:rFonts w:hint="eastAsia" w:ascii="宋体" w:hAnsi="宋体" w:eastAsia="宋体" w:cs="宋体"/>
          <w:color w:val="auto"/>
          <w:kern w:val="0"/>
          <w:highlight w:val="none"/>
          <w:u w:val="single"/>
        </w:rPr>
        <w:t xml:space="preserve">    </w:t>
      </w:r>
    </w:p>
    <w:p w14:paraId="3E841C14">
      <w:pPr>
        <w:numPr>
          <w:ilvl w:val="255"/>
          <w:numId w:val="0"/>
        </w:num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 xml:space="preserve">     关键部件：</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w:t>
      </w:r>
      <w:r>
        <w:rPr>
          <w:rFonts w:hint="eastAsia" w:ascii="宋体" w:hAnsi="宋体" w:eastAsia="宋体" w:cs="宋体"/>
          <w:color w:val="auto"/>
          <w:highlight w:val="none"/>
        </w:rPr>
        <w:t>品牌：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型号：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4FD42EBA">
      <w:pPr>
        <w:widowControl/>
        <w:autoSpaceDE w:val="0"/>
        <w:autoSpaceDN w:val="0"/>
        <w:adjustRightIn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w:t>
      </w:r>
      <w:r>
        <w:rPr>
          <w:rFonts w:hint="eastAsia" w:ascii="宋体" w:hAnsi="宋体" w:eastAsia="宋体" w:cs="宋体"/>
          <w:color w:val="auto"/>
          <w:highlight w:val="none"/>
        </w:rPr>
        <w:t>关键部件</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品牌：</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型号：</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w:t>
      </w:r>
    </w:p>
    <w:p w14:paraId="31D28973">
      <w:pPr>
        <w:widowControl/>
        <w:autoSpaceDE w:val="0"/>
        <w:autoSpaceDN w:val="0"/>
        <w:adjustRightIn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关键部件：</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品牌：</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型号：</w:t>
      </w:r>
      <w:r>
        <w:rPr>
          <w:rFonts w:hint="eastAsia" w:ascii="宋体" w:hAnsi="宋体" w:eastAsia="宋体" w:cs="宋体"/>
          <w:color w:val="auto"/>
          <w:kern w:val="0"/>
          <w:highlight w:val="none"/>
          <w:u w:val="single"/>
        </w:rPr>
        <w:t xml:space="preserve">       </w:t>
      </w:r>
    </w:p>
    <w:p w14:paraId="622502A1">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771F737A">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②涉及车辆采购，请填写是否属于新能源汽车：</w:t>
      </w:r>
    </w:p>
    <w:p w14:paraId="72E4D7A8">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是，《政府采购品目分类目录》底级品目名称：</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数量：</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金额：</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w:t>
      </w:r>
    </w:p>
    <w:p w14:paraId="65261014">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否</w:t>
      </w:r>
    </w:p>
    <w:p w14:paraId="62EB3CEB">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val="en"/>
        </w:rPr>
        <w:t>4</w:t>
      </w:r>
      <w:r>
        <w:rPr>
          <w:rFonts w:hint="eastAsia" w:ascii="宋体" w:hAnsi="宋体" w:eastAsia="宋体" w:cs="宋体"/>
          <w:color w:val="auto"/>
          <w:kern w:val="0"/>
          <w:highlight w:val="none"/>
        </w:rPr>
        <w:t>）政府采购组织形式：</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 xml:space="preserve">政府集中采购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 xml:space="preserve">部门集中采购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分散采购</w:t>
      </w:r>
    </w:p>
    <w:p w14:paraId="1CB10CF1">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val="en"/>
        </w:rPr>
        <w:t>5</w:t>
      </w:r>
      <w:r>
        <w:rPr>
          <w:rFonts w:hint="eastAsia" w:ascii="宋体" w:hAnsi="宋体" w:eastAsia="宋体" w:cs="宋体"/>
          <w:color w:val="auto"/>
          <w:kern w:val="0"/>
          <w:highlight w:val="none"/>
        </w:rPr>
        <w:t>）政府采购方式：</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 xml:space="preserve">公开招标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 xml:space="preserve">邀请招标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 xml:space="preserve">竞争性谈判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竞争性磋商</w:t>
      </w:r>
    </w:p>
    <w:p w14:paraId="1B3EBDE1">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kern w:val="0"/>
          <w:highlight w:val="none"/>
          <w:u w:val="single"/>
        </w:rPr>
      </w:pP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 xml:space="preserve">询价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 xml:space="preserve">单一来源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 xml:space="preserve">框架协议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其他：</w:t>
      </w:r>
      <w:r>
        <w:rPr>
          <w:rFonts w:hint="eastAsia" w:ascii="宋体" w:hAnsi="宋体" w:eastAsia="宋体" w:cs="宋体"/>
          <w:color w:val="auto"/>
          <w:kern w:val="0"/>
          <w:highlight w:val="none"/>
          <w:u w:val="single"/>
        </w:rPr>
        <w:t xml:space="preserve">          </w:t>
      </w:r>
    </w:p>
    <w:p w14:paraId="3196A6A8">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（注：在框架协议采购的第二阶段，可选择使用该合同文本）</w:t>
      </w:r>
    </w:p>
    <w:p w14:paraId="0E9013EC">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highlight w:val="none"/>
        </w:rPr>
      </w:pP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en"/>
        </w:rPr>
        <w:t>6</w:t>
      </w:r>
      <w:r>
        <w:rPr>
          <w:rFonts w:hint="eastAsia" w:ascii="宋体" w:hAnsi="宋体" w:eastAsia="宋体" w:cs="宋体"/>
          <w:color w:val="auto"/>
          <w:kern w:val="0"/>
          <w:highlight w:val="none"/>
        </w:rPr>
        <w:t>）</w:t>
      </w:r>
      <w:r>
        <w:rPr>
          <w:rFonts w:hint="eastAsia" w:ascii="宋体" w:hAnsi="宋体" w:eastAsia="宋体" w:cs="宋体"/>
          <w:color w:val="auto"/>
          <w:highlight w:val="none"/>
        </w:rPr>
        <w:t>中标（成交）采购标的制造商是否为中小企业：</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 xml:space="preserve">是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否</w:t>
      </w:r>
    </w:p>
    <w:p w14:paraId="2DA711C1">
      <w:pPr>
        <w:numPr>
          <w:ilvl w:val="255"/>
          <w:numId w:val="0"/>
        </w:numPr>
        <w:adjustRightInd w:val="0"/>
        <w:snapToGrid w:val="0"/>
        <w:spacing w:line="360" w:lineRule="auto"/>
        <w:ind w:left="420" w:hanging="420" w:hangingChars="200"/>
        <w:rPr>
          <w:rFonts w:hint="eastAsia" w:ascii="宋体" w:hAnsi="宋体" w:eastAsia="宋体" w:cs="宋体"/>
          <w:iCs/>
          <w:color w:val="auto"/>
          <w:highlight w:val="none"/>
        </w:rPr>
      </w:pPr>
      <w:r>
        <w:rPr>
          <w:rFonts w:hint="eastAsia" w:ascii="宋体" w:hAnsi="宋体" w:eastAsia="宋体" w:cs="宋体"/>
          <w:color w:val="auto"/>
          <w:highlight w:val="none"/>
        </w:rPr>
        <w:t>本合同是否为专门面向中小企业的采购合同（中小企业预留合同）：</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是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否</w:t>
      </w:r>
    </w:p>
    <w:p w14:paraId="27AF66F5">
      <w:pPr>
        <w:numPr>
          <w:ilvl w:val="255"/>
          <w:numId w:val="0"/>
        </w:numPr>
        <w:adjustRightInd w:val="0"/>
        <w:snapToGrid w:val="0"/>
        <w:spacing w:line="360" w:lineRule="auto"/>
        <w:ind w:left="420" w:hanging="420" w:hangingChars="200"/>
        <w:rPr>
          <w:rFonts w:hint="eastAsia" w:ascii="宋体" w:hAnsi="宋体" w:eastAsia="宋体" w:cs="宋体"/>
          <w:iCs/>
          <w:color w:val="auto"/>
          <w:highlight w:val="none"/>
        </w:rPr>
      </w:pPr>
      <w:r>
        <w:rPr>
          <w:rFonts w:hint="eastAsia" w:ascii="宋体" w:hAnsi="宋体" w:eastAsia="宋体" w:cs="宋体"/>
          <w:color w:val="auto"/>
          <w:highlight w:val="none"/>
        </w:rPr>
        <w:t>若本项目不专门面向中小企业采购，是否给予小微企业评审优惠：</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是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否</w:t>
      </w:r>
    </w:p>
    <w:p w14:paraId="3713EAF9">
      <w:pPr>
        <w:numPr>
          <w:ilvl w:val="255"/>
          <w:numId w:val="0"/>
        </w:numPr>
        <w:adjustRightInd w:val="0"/>
        <w:snapToGrid w:val="0"/>
        <w:spacing w:line="360" w:lineRule="auto"/>
        <w:ind w:left="420" w:hanging="420" w:hangingChars="200"/>
        <w:rPr>
          <w:rFonts w:hint="eastAsia" w:ascii="宋体" w:hAnsi="宋体" w:eastAsia="宋体" w:cs="宋体"/>
          <w:iCs/>
          <w:color w:val="auto"/>
          <w:highlight w:val="none"/>
        </w:rPr>
      </w:pPr>
      <w:r>
        <w:rPr>
          <w:rFonts w:hint="eastAsia" w:ascii="宋体" w:hAnsi="宋体" w:eastAsia="宋体" w:cs="宋体"/>
          <w:color w:val="auto"/>
          <w:highlight w:val="none"/>
        </w:rPr>
        <w:t>中标（成交）采购标的制造商是否为残疾人福利性单位：</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是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否</w:t>
      </w:r>
    </w:p>
    <w:p w14:paraId="6E6E84F5">
      <w:pPr>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中标（成交）采购标的制造商是否为监狱企业：</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是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否</w:t>
      </w:r>
    </w:p>
    <w:p w14:paraId="460E983C">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
        </w:rPr>
        <w:t>7</w:t>
      </w:r>
      <w:r>
        <w:rPr>
          <w:rFonts w:hint="eastAsia" w:ascii="宋体" w:hAnsi="宋体" w:eastAsia="宋体" w:cs="宋体"/>
          <w:color w:val="auto"/>
          <w:highlight w:val="none"/>
        </w:rPr>
        <w:t>）合同是否分包：</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是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否</w:t>
      </w:r>
    </w:p>
    <w:p w14:paraId="07F7DB19">
      <w:pPr>
        <w:adjustRightInd w:val="0"/>
        <w:snapToGrid w:val="0"/>
        <w:spacing w:line="360" w:lineRule="auto"/>
        <w:ind w:left="420" w:hanging="420" w:hangingChars="20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分包主要内容：</w:t>
      </w:r>
      <w:r>
        <w:rPr>
          <w:rFonts w:hint="eastAsia" w:ascii="宋体" w:hAnsi="宋体" w:eastAsia="宋体" w:cs="宋体"/>
          <w:color w:val="auto"/>
          <w:highlight w:val="none"/>
          <w:u w:val="single"/>
        </w:rPr>
        <w:t xml:space="preserve">                                            </w:t>
      </w:r>
    </w:p>
    <w:p w14:paraId="698FD667">
      <w:pPr>
        <w:adjustRightInd w:val="0"/>
        <w:snapToGrid w:val="0"/>
        <w:spacing w:line="360" w:lineRule="auto"/>
        <w:ind w:left="420" w:hanging="420" w:hangingChars="20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分包供应商/制造商名称（如供应商和制造商不同，请分别填写）：</w:t>
      </w:r>
      <w:r>
        <w:rPr>
          <w:rFonts w:hint="eastAsia" w:ascii="宋体" w:hAnsi="宋体" w:eastAsia="宋体" w:cs="宋体"/>
          <w:color w:val="auto"/>
          <w:highlight w:val="none"/>
          <w:u w:val="single"/>
        </w:rPr>
        <w:t xml:space="preserve">                            </w:t>
      </w:r>
    </w:p>
    <w:p w14:paraId="00E888DB">
      <w:pPr>
        <w:adjustRightInd w:val="0"/>
        <w:snapToGrid w:val="0"/>
        <w:spacing w:line="360" w:lineRule="auto"/>
        <w:ind w:left="210" w:leftChars="100"/>
        <w:rPr>
          <w:rFonts w:hint="eastAsia" w:ascii="宋体" w:hAnsi="宋体" w:eastAsia="宋体" w:cs="宋体"/>
          <w:color w:val="auto"/>
          <w:highlight w:val="none"/>
        </w:rPr>
      </w:pPr>
      <w:r>
        <w:rPr>
          <w:rFonts w:hint="eastAsia" w:ascii="宋体" w:hAnsi="宋体" w:eastAsia="宋体" w:cs="宋体"/>
          <w:color w:val="auto"/>
          <w:highlight w:val="none"/>
        </w:rPr>
        <w:t>分包供应商/制造商类型（如果供应商和制造商不同，只填写制造商类型）：</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大型企业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中型企业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小微型企业</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残疾人福利性单位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监狱企业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其他</w:t>
      </w:r>
    </w:p>
    <w:p w14:paraId="6EBD70E5">
      <w:pPr>
        <w:numPr>
          <w:ilvl w:val="255"/>
          <w:numId w:val="0"/>
        </w:numPr>
        <w:adjustRightInd w:val="0"/>
        <w:snapToGrid w:val="0"/>
        <w:spacing w:line="360" w:lineRule="auto"/>
        <w:ind w:left="420" w:hanging="420" w:hangingChars="200"/>
        <w:rPr>
          <w:rFonts w:hint="eastAsia" w:ascii="宋体" w:hAnsi="宋体" w:eastAsia="宋体" w:cs="宋体"/>
          <w:iCs/>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
        </w:rPr>
        <w:t>8</w:t>
      </w:r>
      <w:r>
        <w:rPr>
          <w:rFonts w:hint="eastAsia" w:ascii="宋体" w:hAnsi="宋体" w:eastAsia="宋体" w:cs="宋体"/>
          <w:color w:val="auto"/>
          <w:highlight w:val="none"/>
        </w:rPr>
        <w:t>）中标（成交）供应商是否为外商投资企业：</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是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否</w:t>
      </w:r>
    </w:p>
    <w:p w14:paraId="36CC23E5">
      <w:pPr>
        <w:widowControl/>
        <w:tabs>
          <w:tab w:val="left" w:pos="1340"/>
        </w:tabs>
        <w:autoSpaceDE w:val="0"/>
        <w:autoSpaceDN w:val="0"/>
        <w:adjustRightInd w:val="0"/>
        <w:spacing w:line="360" w:lineRule="auto"/>
        <w:ind w:left="420" w:hanging="420" w:hangingChars="200"/>
        <w:jc w:val="left"/>
        <w:rPr>
          <w:rFonts w:hint="eastAsia" w:ascii="宋体" w:hAnsi="宋体" w:eastAsia="宋体" w:cs="宋体"/>
          <w:color w:val="auto"/>
          <w:kern w:val="0"/>
          <w:highlight w:val="none"/>
          <w:u w:val="single"/>
        </w:rPr>
      </w:pPr>
      <w:r>
        <w:rPr>
          <w:rFonts w:hint="eastAsia" w:ascii="宋体" w:hAnsi="宋体" w:eastAsia="宋体" w:cs="宋体"/>
          <w:color w:val="auto"/>
          <w:kern w:val="0"/>
          <w:highlight w:val="none"/>
        </w:rPr>
        <w:t>外商投资企业类型：</w:t>
      </w:r>
      <w:r>
        <w:rPr>
          <w:rFonts w:hint="eastAsia" w:ascii="宋体" w:hAnsi="宋体" w:eastAsia="宋体" w:cs="宋体"/>
          <w:iCs/>
          <w:color w:val="auto"/>
          <w:kern w:val="0"/>
          <w:highlight w:val="none"/>
        </w:rPr>
        <w:sym w:font="Wingdings" w:char="00A8"/>
      </w:r>
      <w:r>
        <w:rPr>
          <w:rFonts w:hint="eastAsia" w:ascii="宋体" w:hAnsi="宋体" w:eastAsia="宋体" w:cs="宋体"/>
          <w:color w:val="auto"/>
          <w:kern w:val="0"/>
          <w:highlight w:val="none"/>
        </w:rPr>
        <w:t xml:space="preserve">全部由外国投资者投资  </w:t>
      </w:r>
      <w:r>
        <w:rPr>
          <w:rFonts w:hint="eastAsia" w:ascii="宋体" w:hAnsi="宋体" w:eastAsia="宋体" w:cs="宋体"/>
          <w:iCs/>
          <w:color w:val="auto"/>
          <w:kern w:val="0"/>
          <w:highlight w:val="none"/>
        </w:rPr>
        <w:sym w:font="Wingdings" w:char="00A8"/>
      </w:r>
      <w:r>
        <w:rPr>
          <w:rFonts w:hint="eastAsia" w:ascii="宋体" w:hAnsi="宋体" w:eastAsia="宋体" w:cs="宋体"/>
          <w:iCs/>
          <w:color w:val="auto"/>
          <w:kern w:val="0"/>
          <w:highlight w:val="none"/>
        </w:rPr>
        <w:t>部分由外国投资者投资</w:t>
      </w:r>
    </w:p>
    <w:p w14:paraId="422C4EEC">
      <w:pPr>
        <w:numPr>
          <w:ilvl w:val="255"/>
          <w:numId w:val="0"/>
        </w:num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
        </w:rPr>
        <w:t>9</w:t>
      </w:r>
      <w:r>
        <w:rPr>
          <w:rFonts w:hint="eastAsia" w:ascii="宋体" w:hAnsi="宋体" w:eastAsia="宋体" w:cs="宋体"/>
          <w:color w:val="auto"/>
          <w:highlight w:val="none"/>
        </w:rPr>
        <w:t>）是否涉及进口产品：</w:t>
      </w:r>
    </w:p>
    <w:p w14:paraId="594F4A12">
      <w:pPr>
        <w:numPr>
          <w:ilvl w:val="255"/>
          <w:numId w:val="0"/>
        </w:numPr>
        <w:adjustRightInd w:val="0"/>
        <w:snapToGrid w:val="0"/>
        <w:spacing w:line="360" w:lineRule="auto"/>
        <w:ind w:left="420" w:hanging="420" w:hangingChars="20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是，《政府采购品目分类目录》底级品目名称：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金额：</w:t>
      </w:r>
      <w:r>
        <w:rPr>
          <w:rFonts w:hint="eastAsia" w:ascii="宋体" w:hAnsi="宋体" w:eastAsia="宋体" w:cs="宋体"/>
          <w:color w:val="auto"/>
          <w:highlight w:val="none"/>
          <w:u w:val="single"/>
        </w:rPr>
        <w:t xml:space="preserve">        </w:t>
      </w:r>
    </w:p>
    <w:p w14:paraId="78147FA8">
      <w:pPr>
        <w:numPr>
          <w:ilvl w:val="255"/>
          <w:numId w:val="0"/>
        </w:numPr>
        <w:adjustRightInd w:val="0"/>
        <w:snapToGrid w:val="0"/>
        <w:spacing w:line="360" w:lineRule="auto"/>
        <w:ind w:left="420" w:leftChars="100" w:hanging="210" w:hangingChars="100"/>
        <w:rPr>
          <w:rFonts w:hint="eastAsia" w:ascii="宋体" w:hAnsi="宋体" w:eastAsia="宋体" w:cs="宋体"/>
          <w:color w:val="auto"/>
          <w:highlight w:val="none"/>
        </w:rPr>
      </w:pPr>
      <w:r>
        <w:rPr>
          <w:rFonts w:hint="eastAsia" w:ascii="宋体" w:hAnsi="宋体" w:eastAsia="宋体" w:cs="宋体"/>
          <w:color w:val="auto"/>
          <w:highlight w:val="none"/>
        </w:rPr>
        <w:t>国别：</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品牌：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规格型号：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1755F2D2">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 xml:space="preserve"> 否</w:t>
      </w:r>
    </w:p>
    <w:p w14:paraId="6696D8D9">
      <w:pPr>
        <w:numPr>
          <w:ilvl w:val="255"/>
          <w:numId w:val="0"/>
        </w:numPr>
        <w:tabs>
          <w:tab w:val="left" w:pos="740"/>
        </w:tabs>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
        </w:rPr>
        <w:t>0</w:t>
      </w:r>
      <w:r>
        <w:rPr>
          <w:rFonts w:hint="eastAsia" w:ascii="宋体" w:hAnsi="宋体" w:eastAsia="宋体" w:cs="宋体"/>
          <w:color w:val="auto"/>
          <w:highlight w:val="none"/>
        </w:rPr>
        <w:t>）是否涉及节能产品：</w:t>
      </w:r>
    </w:p>
    <w:p w14:paraId="3AB69A5A">
      <w:pPr>
        <w:numPr>
          <w:ilvl w:val="255"/>
          <w:numId w:val="0"/>
        </w:numPr>
        <w:tabs>
          <w:tab w:val="left" w:pos="740"/>
        </w:tabs>
        <w:adjustRightInd w:val="0"/>
        <w:snapToGrid w:val="0"/>
        <w:spacing w:line="360" w:lineRule="auto"/>
        <w:ind w:left="420" w:hanging="420" w:hangingChars="200"/>
        <w:rPr>
          <w:rFonts w:hint="eastAsia" w:ascii="宋体" w:hAnsi="宋体" w:eastAsia="宋体" w:cs="宋体"/>
          <w:iCs/>
          <w:color w:val="auto"/>
          <w:highlight w:val="non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是，《节能产品政府采购品目清单》的底级品目名称：</w:t>
      </w:r>
      <w:r>
        <w:rPr>
          <w:rFonts w:hint="eastAsia" w:ascii="宋体" w:hAnsi="宋体" w:eastAsia="宋体" w:cs="宋体"/>
          <w:color w:val="auto"/>
          <w:highlight w:val="none"/>
          <w:u w:val="single"/>
        </w:rPr>
        <w:t xml:space="preserve">         </w:t>
      </w:r>
      <w:r>
        <w:rPr>
          <w:rFonts w:hint="eastAsia" w:ascii="宋体" w:hAnsi="宋体" w:eastAsia="宋体" w:cs="宋体"/>
          <w:iCs/>
          <w:color w:val="auto"/>
          <w:highlight w:val="none"/>
        </w:rPr>
        <w:t xml:space="preserve">     </w:t>
      </w:r>
    </w:p>
    <w:p w14:paraId="74C573ED">
      <w:pPr>
        <w:numPr>
          <w:ilvl w:val="255"/>
          <w:numId w:val="0"/>
        </w:numPr>
        <w:tabs>
          <w:tab w:val="left" w:pos="740"/>
        </w:tabs>
        <w:adjustRightInd w:val="0"/>
        <w:snapToGrid w:val="0"/>
        <w:spacing w:line="360" w:lineRule="auto"/>
        <w:ind w:left="420" w:leftChars="200" w:firstLine="420" w:firstLineChars="200"/>
        <w:rPr>
          <w:rFonts w:hint="eastAsia" w:ascii="宋体" w:hAnsi="宋体" w:eastAsia="宋体" w:cs="宋体"/>
          <w:iCs/>
          <w:color w:val="auto"/>
          <w:highlight w:val="none"/>
        </w:rPr>
      </w:pP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强制采购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优先采购    </w:t>
      </w:r>
    </w:p>
    <w:p w14:paraId="7DD4E031">
      <w:pPr>
        <w:numPr>
          <w:ilvl w:val="255"/>
          <w:numId w:val="0"/>
        </w:numPr>
        <w:tabs>
          <w:tab w:val="left" w:pos="740"/>
        </w:tabs>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 xml:space="preserve"> 否</w:t>
      </w:r>
    </w:p>
    <w:p w14:paraId="65188230">
      <w:pPr>
        <w:numPr>
          <w:ilvl w:val="255"/>
          <w:numId w:val="0"/>
        </w:numPr>
        <w:tabs>
          <w:tab w:val="left" w:pos="740"/>
        </w:tabs>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（11）是否涉及环境标志产品：</w:t>
      </w:r>
    </w:p>
    <w:p w14:paraId="0C67CFC9">
      <w:pPr>
        <w:numPr>
          <w:ilvl w:val="255"/>
          <w:numId w:val="0"/>
        </w:numPr>
        <w:tabs>
          <w:tab w:val="left" w:pos="740"/>
        </w:tabs>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是，《环境标志产品政府采购品目清单》的底级品目名称：</w:t>
      </w:r>
      <w:r>
        <w:rPr>
          <w:rFonts w:hint="eastAsia" w:ascii="宋体" w:hAnsi="宋体" w:eastAsia="宋体" w:cs="宋体"/>
          <w:color w:val="auto"/>
          <w:highlight w:val="none"/>
          <w:u w:val="single"/>
        </w:rPr>
        <w:t xml:space="preserve">         </w:t>
      </w:r>
      <w:r>
        <w:rPr>
          <w:rFonts w:hint="eastAsia" w:ascii="宋体" w:hAnsi="宋体" w:eastAsia="宋体" w:cs="宋体"/>
          <w:iCs/>
          <w:color w:val="auto"/>
          <w:highlight w:val="none"/>
        </w:rPr>
        <w:t xml:space="preserve"> </w:t>
      </w:r>
    </w:p>
    <w:p w14:paraId="6606E117">
      <w:pPr>
        <w:numPr>
          <w:ilvl w:val="255"/>
          <w:numId w:val="0"/>
        </w:numPr>
        <w:tabs>
          <w:tab w:val="left" w:pos="740"/>
        </w:tabs>
        <w:adjustRightInd w:val="0"/>
        <w:snapToGrid w:val="0"/>
        <w:spacing w:line="360" w:lineRule="auto"/>
        <w:ind w:left="420" w:hanging="420" w:hangingChars="200"/>
        <w:rPr>
          <w:rFonts w:hint="eastAsia" w:ascii="宋体" w:hAnsi="宋体" w:eastAsia="宋体" w:cs="宋体"/>
          <w:iCs/>
          <w:color w:val="auto"/>
          <w:highlight w:val="none"/>
        </w:rPr>
      </w:pP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强制采购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优先采购    </w:t>
      </w:r>
    </w:p>
    <w:p w14:paraId="31532883">
      <w:pPr>
        <w:numPr>
          <w:ilvl w:val="255"/>
          <w:numId w:val="0"/>
        </w:numPr>
        <w:tabs>
          <w:tab w:val="left" w:pos="740"/>
        </w:tabs>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否</w:t>
      </w:r>
    </w:p>
    <w:p w14:paraId="05A66DC0">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（12）是否涉及绿色产品： </w:t>
      </w:r>
    </w:p>
    <w:p w14:paraId="57895F88">
      <w:pPr>
        <w:widowControl/>
        <w:autoSpaceDE w:val="0"/>
        <w:autoSpaceDN w:val="0"/>
        <w:adjustRightInd w:val="0"/>
        <w:spacing w:line="360" w:lineRule="auto"/>
        <w:ind w:left="420" w:hanging="420" w:hangingChars="200"/>
        <w:jc w:val="left"/>
        <w:rPr>
          <w:rFonts w:hint="eastAsia" w:ascii="宋体" w:hAnsi="宋体" w:eastAsia="宋体" w:cs="宋体"/>
          <w:color w:val="auto"/>
          <w:kern w:val="0"/>
          <w:highlight w:val="none"/>
          <w:u w:val="singl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是，绿色产品政府采购相关政策确定的底级品目名称：</w:t>
      </w:r>
      <w:r>
        <w:rPr>
          <w:rFonts w:hint="eastAsia" w:ascii="宋体" w:hAnsi="宋体" w:eastAsia="宋体" w:cs="宋体"/>
          <w:color w:val="auto"/>
          <w:kern w:val="0"/>
          <w:highlight w:val="none"/>
          <w:u w:val="single"/>
        </w:rPr>
        <w:t xml:space="preserve">         </w:t>
      </w:r>
    </w:p>
    <w:p w14:paraId="204EFA60">
      <w:pPr>
        <w:numPr>
          <w:ilvl w:val="255"/>
          <w:numId w:val="0"/>
        </w:numPr>
        <w:tabs>
          <w:tab w:val="left" w:pos="740"/>
        </w:tabs>
        <w:adjustRightInd w:val="0"/>
        <w:snapToGrid w:val="0"/>
        <w:spacing w:line="360" w:lineRule="auto"/>
        <w:ind w:left="420" w:hanging="420" w:hangingChars="200"/>
        <w:rPr>
          <w:rFonts w:hint="eastAsia" w:ascii="宋体" w:hAnsi="宋体" w:eastAsia="宋体" w:cs="宋体"/>
          <w:iCs/>
          <w:color w:val="auto"/>
          <w:highlight w:val="none"/>
        </w:rPr>
      </w:pP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强制采购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优先采购    </w:t>
      </w:r>
    </w:p>
    <w:p w14:paraId="240CA51A">
      <w:pPr>
        <w:widowControl/>
        <w:autoSpaceDE w:val="0"/>
        <w:autoSpaceDN w:val="0"/>
        <w:adjustRightIn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否</w:t>
      </w:r>
    </w:p>
    <w:p w14:paraId="5ACE48AE">
      <w:pPr>
        <w:numPr>
          <w:ilvl w:val="255"/>
          <w:numId w:val="0"/>
        </w:num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
        </w:rPr>
        <w:t>3</w:t>
      </w:r>
      <w:r>
        <w:rPr>
          <w:rFonts w:hint="eastAsia" w:ascii="宋体" w:hAnsi="宋体" w:eastAsia="宋体" w:cs="宋体"/>
          <w:color w:val="auto"/>
          <w:highlight w:val="none"/>
        </w:rPr>
        <w:t>）涉及商品包装和快递包装的，是否参考《商品包装政府采购需求标准（试行）》、《快递包装政府采购需求标准（试行）》明确产品及相关快递服务的具体包装要求：</w:t>
      </w:r>
    </w:p>
    <w:p w14:paraId="726AE15D">
      <w:pPr>
        <w:numPr>
          <w:ilvl w:val="255"/>
          <w:numId w:val="0"/>
        </w:num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 xml:space="preserve">是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 xml:space="preserve">否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不涉及</w:t>
      </w:r>
    </w:p>
    <w:p w14:paraId="3ADF3A54">
      <w:pPr>
        <w:numPr>
          <w:ilvl w:val="0"/>
          <w:numId w:val="1"/>
        </w:numPr>
        <w:adjustRightInd w:val="0"/>
        <w:snapToGrid w:val="0"/>
        <w:spacing w:line="360" w:lineRule="auto"/>
        <w:ind w:left="422" w:hanging="422" w:hangingChars="200"/>
        <w:rPr>
          <w:rFonts w:hint="eastAsia" w:ascii="宋体" w:hAnsi="宋体" w:eastAsia="宋体" w:cs="宋体"/>
          <w:b/>
          <w:color w:val="auto"/>
          <w:highlight w:val="none"/>
        </w:rPr>
      </w:pPr>
      <w:r>
        <w:rPr>
          <w:rFonts w:hint="eastAsia" w:ascii="宋体" w:hAnsi="宋体" w:eastAsia="宋体" w:cs="宋体"/>
          <w:b/>
          <w:color w:val="auto"/>
          <w:highlight w:val="none"/>
        </w:rPr>
        <w:t>合同金额</w:t>
      </w:r>
    </w:p>
    <w:p w14:paraId="750DD5C4">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（1）合同金额小写：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；大写：</w:t>
      </w:r>
      <w:r>
        <w:rPr>
          <w:rFonts w:hint="eastAsia" w:ascii="宋体" w:hAnsi="宋体" w:eastAsia="宋体" w:cs="宋体"/>
          <w:color w:val="auto"/>
          <w:highlight w:val="none"/>
          <w:u w:val="single"/>
        </w:rPr>
        <w:t xml:space="preserve">                           </w:t>
      </w:r>
    </w:p>
    <w:p w14:paraId="421A153C">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分包金额（如有）小写：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大写：</w:t>
      </w:r>
      <w:r>
        <w:rPr>
          <w:rFonts w:hint="eastAsia" w:ascii="宋体" w:hAnsi="宋体" w:eastAsia="宋体" w:cs="宋体"/>
          <w:color w:val="auto"/>
          <w:highlight w:val="none"/>
          <w:u w:val="single"/>
        </w:rPr>
        <w:t xml:space="preserve">                       </w:t>
      </w:r>
    </w:p>
    <w:p w14:paraId="7E9203D4">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（注：固定单价合同应填写单价和最高限价）</w:t>
      </w:r>
    </w:p>
    <w:p w14:paraId="0CE37243">
      <w:pPr>
        <w:numPr>
          <w:ilvl w:val="255"/>
          <w:numId w:val="0"/>
        </w:num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（2）合同定价方式（采用组合定价方式的，可以勾选多项）：</w:t>
      </w:r>
    </w:p>
    <w:p w14:paraId="4DF23D77">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固定总价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固定单价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固定费率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成本补偿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绩效激励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其他</w:t>
      </w:r>
      <w:r>
        <w:rPr>
          <w:rFonts w:hint="eastAsia" w:ascii="宋体" w:hAnsi="宋体" w:eastAsia="宋体" w:cs="宋体"/>
          <w:color w:val="auto"/>
          <w:highlight w:val="none"/>
          <w:u w:val="single"/>
        </w:rPr>
        <w:t xml:space="preserve">       </w:t>
      </w:r>
    </w:p>
    <w:p w14:paraId="0289FA99">
      <w:pPr>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（3）付款方式（按项目实际勾选填写）：</w:t>
      </w:r>
    </w:p>
    <w:p w14:paraId="77B4E745">
      <w:pPr>
        <w:adjustRightInd w:val="0"/>
        <w:snapToGrid w:val="0"/>
        <w:spacing w:line="360" w:lineRule="auto"/>
        <w:ind w:left="420" w:hanging="420" w:hangingChars="200"/>
        <w:rPr>
          <w:rFonts w:hint="eastAsia" w:ascii="宋体" w:hAnsi="宋体" w:eastAsia="宋体" w:cs="宋体"/>
          <w:color w:val="auto"/>
          <w:highlight w:val="none"/>
          <w:u w:val="singl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全额付款：</w:t>
      </w:r>
      <w:r>
        <w:rPr>
          <w:rFonts w:hint="eastAsia" w:ascii="宋体" w:hAnsi="宋体" w:eastAsia="宋体" w:cs="宋体"/>
          <w:color w:val="auto"/>
          <w:highlight w:val="none"/>
          <w:u w:val="single"/>
        </w:rPr>
        <w:t xml:space="preserve">     （应明确一次性支付合同款项的条件）                    </w:t>
      </w:r>
    </w:p>
    <w:p w14:paraId="57075413">
      <w:pPr>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分期付款：</w:t>
      </w:r>
      <w:r>
        <w:rPr>
          <w:rFonts w:hint="eastAsia" w:ascii="宋体" w:hAnsi="宋体" w:eastAsia="宋体" w:cs="宋体"/>
          <w:color w:val="auto"/>
          <w:highlight w:val="none"/>
          <w:u w:val="single"/>
        </w:rPr>
        <w:t xml:space="preserve">  （应明确分期支付合同款项的各期比例和支付条件，各期支付条件应与分期履约验收情况挂钩） </w:t>
      </w:r>
      <w:r>
        <w:rPr>
          <w:rFonts w:hint="eastAsia" w:ascii="宋体" w:hAnsi="宋体" w:eastAsia="宋体" w:cs="宋体"/>
          <w:color w:val="auto"/>
          <w:highlight w:val="none"/>
        </w:rPr>
        <w:t>，其中涉及预付款的：</w:t>
      </w:r>
      <w:r>
        <w:rPr>
          <w:rFonts w:hint="eastAsia" w:ascii="宋体" w:hAnsi="宋体" w:eastAsia="宋体" w:cs="宋体"/>
          <w:color w:val="auto"/>
          <w:highlight w:val="none"/>
          <w:u w:val="single"/>
        </w:rPr>
        <w:t xml:space="preserve"> （应明确预付款的支付比例和支付条件） </w:t>
      </w:r>
    </w:p>
    <w:p w14:paraId="73A1F893">
      <w:pPr>
        <w:adjustRightInd w:val="0"/>
        <w:snapToGrid w:val="0"/>
        <w:spacing w:line="360" w:lineRule="auto"/>
        <w:ind w:left="420" w:hanging="420" w:hangingChars="200"/>
        <w:rPr>
          <w:rFonts w:hint="eastAsia" w:ascii="宋体" w:hAnsi="宋体" w:eastAsia="宋体" w:cs="宋体"/>
          <w:color w:val="auto"/>
          <w:highlight w:val="none"/>
          <w:u w:val="singl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成本补偿：</w:t>
      </w:r>
      <w:r>
        <w:rPr>
          <w:rFonts w:hint="eastAsia" w:ascii="宋体" w:hAnsi="宋体" w:eastAsia="宋体" w:cs="宋体"/>
          <w:color w:val="auto"/>
          <w:highlight w:val="none"/>
          <w:u w:val="single"/>
        </w:rPr>
        <w:t xml:space="preserve">      （应明确按照成本补偿方式的支付方式和支付条件）   </w:t>
      </w:r>
    </w:p>
    <w:p w14:paraId="5949181F">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绩效激励：</w:t>
      </w:r>
      <w:r>
        <w:rPr>
          <w:rFonts w:hint="eastAsia" w:ascii="宋体" w:hAnsi="宋体" w:eastAsia="宋体" w:cs="宋体"/>
          <w:color w:val="auto"/>
          <w:highlight w:val="none"/>
          <w:u w:val="single"/>
        </w:rPr>
        <w:t xml:space="preserve">      （应明确按照绩效激励方式的支付方式和支付条件）   </w:t>
      </w:r>
    </w:p>
    <w:p w14:paraId="154ACB52">
      <w:pPr>
        <w:numPr>
          <w:ilvl w:val="0"/>
          <w:numId w:val="1"/>
        </w:numPr>
        <w:adjustRightInd w:val="0"/>
        <w:snapToGrid w:val="0"/>
        <w:spacing w:line="360" w:lineRule="auto"/>
        <w:ind w:left="422" w:hanging="422" w:hangingChars="200"/>
        <w:rPr>
          <w:rFonts w:hint="eastAsia" w:ascii="宋体" w:hAnsi="宋体" w:eastAsia="宋体" w:cs="宋体"/>
          <w:b/>
          <w:color w:val="auto"/>
          <w:highlight w:val="none"/>
          <w:u w:val="single"/>
        </w:rPr>
      </w:pPr>
      <w:r>
        <w:rPr>
          <w:rFonts w:hint="eastAsia" w:ascii="宋体" w:hAnsi="宋体" w:eastAsia="宋体" w:cs="宋体"/>
          <w:b/>
          <w:color w:val="auto"/>
          <w:highlight w:val="none"/>
        </w:rPr>
        <w:t>合同履行</w:t>
      </w:r>
    </w:p>
    <w:p w14:paraId="68159178">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（1）起始日期：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日，完成日期：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CEDF24D">
      <w:pPr>
        <w:adjustRightInd w:val="0"/>
        <w:snapToGrid w:val="0"/>
        <w:spacing w:line="360" w:lineRule="auto"/>
        <w:ind w:left="420" w:hanging="420" w:hangingChars="200"/>
        <w:rPr>
          <w:rFonts w:hint="eastAsia" w:ascii="宋体" w:hAnsi="宋体" w:eastAsia="宋体" w:cs="宋体"/>
          <w:color w:val="auto"/>
          <w:highlight w:val="none"/>
          <w:u w:val="single"/>
        </w:rPr>
      </w:pPr>
      <w:r>
        <w:rPr>
          <w:rFonts w:hint="eastAsia" w:ascii="宋体" w:hAnsi="宋体" w:eastAsia="宋体" w:cs="宋体"/>
          <w:color w:val="auto"/>
          <w:highlight w:val="none"/>
        </w:rPr>
        <w:t>（2）履约地点</w:t>
      </w:r>
      <w:r>
        <w:rPr>
          <w:rFonts w:hint="eastAsia" w:ascii="宋体" w:hAnsi="宋体" w:eastAsia="宋体" w:cs="宋体"/>
          <w:bCs/>
          <w:color w:val="auto"/>
          <w:highlight w:val="none"/>
        </w:rPr>
        <w:t>：</w:t>
      </w:r>
      <w:r>
        <w:rPr>
          <w:rFonts w:hint="eastAsia" w:ascii="宋体" w:hAnsi="宋体" w:eastAsia="宋体" w:cs="宋体"/>
          <w:color w:val="auto"/>
          <w:highlight w:val="none"/>
          <w:u w:val="single"/>
        </w:rPr>
        <w:t xml:space="preserve">                             </w:t>
      </w:r>
    </w:p>
    <w:p w14:paraId="70C44176">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bCs/>
          <w:color w:val="auto"/>
          <w:highlight w:val="none"/>
        </w:rPr>
        <w:t>（3）履约担保：</w:t>
      </w:r>
      <w:r>
        <w:rPr>
          <w:rFonts w:hint="eastAsia" w:ascii="宋体" w:hAnsi="宋体" w:eastAsia="宋体" w:cs="宋体"/>
          <w:color w:val="auto"/>
          <w:highlight w:val="none"/>
        </w:rPr>
        <w:t>是否收取履约保证金：</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 xml:space="preserve">是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否</w:t>
      </w:r>
    </w:p>
    <w:p w14:paraId="54801432">
      <w:pPr>
        <w:widowControl/>
        <w:autoSpaceDE w:val="0"/>
        <w:autoSpaceDN w:val="0"/>
        <w:adjustRightIn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bCs/>
          <w:color w:val="auto"/>
          <w:kern w:val="0"/>
          <w:highlight w:val="none"/>
        </w:rPr>
        <w:t xml:space="preserve">  </w:t>
      </w:r>
      <w:r>
        <w:rPr>
          <w:rFonts w:hint="eastAsia" w:ascii="宋体" w:hAnsi="宋体" w:eastAsia="宋体" w:cs="宋体"/>
          <w:color w:val="auto"/>
          <w:kern w:val="0"/>
          <w:highlight w:val="none"/>
        </w:rPr>
        <w:t xml:space="preserve">  收取履约保证金形式：</w:t>
      </w:r>
      <w:r>
        <w:rPr>
          <w:rFonts w:hint="eastAsia" w:ascii="宋体" w:hAnsi="宋体" w:eastAsia="宋体" w:cs="宋体"/>
          <w:bCs/>
          <w:color w:val="auto"/>
          <w:kern w:val="0"/>
          <w:highlight w:val="none"/>
          <w:u w:val="single"/>
        </w:rPr>
        <w:t xml:space="preserve">                            </w:t>
      </w:r>
    </w:p>
    <w:p w14:paraId="2A7DF699">
      <w:pPr>
        <w:widowControl/>
        <w:autoSpaceDE w:val="0"/>
        <w:autoSpaceDN w:val="0"/>
        <w:adjustRightIn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收取履约保证金金额：</w:t>
      </w:r>
      <w:r>
        <w:rPr>
          <w:rFonts w:hint="eastAsia" w:ascii="宋体" w:hAnsi="宋体" w:eastAsia="宋体" w:cs="宋体"/>
          <w:bCs/>
          <w:color w:val="auto"/>
          <w:kern w:val="0"/>
          <w:highlight w:val="none"/>
          <w:u w:val="single"/>
        </w:rPr>
        <w:t xml:space="preserve">                            </w:t>
      </w:r>
    </w:p>
    <w:p w14:paraId="758ABBE1">
      <w:pPr>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bCs/>
          <w:color w:val="auto"/>
          <w:highlight w:val="none"/>
        </w:rPr>
        <w:t xml:space="preserve">    履约担保期限：</w:t>
      </w:r>
      <w:r>
        <w:rPr>
          <w:rFonts w:hint="eastAsia" w:ascii="宋体" w:hAnsi="宋体" w:eastAsia="宋体" w:cs="宋体"/>
          <w:bCs/>
          <w:color w:val="auto"/>
          <w:highlight w:val="none"/>
          <w:u w:val="single"/>
        </w:rPr>
        <w:t xml:space="preserve">                                  </w:t>
      </w:r>
    </w:p>
    <w:p w14:paraId="64A133BA">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（4）分期履行要求：</w:t>
      </w:r>
      <w:r>
        <w:rPr>
          <w:rFonts w:hint="eastAsia" w:ascii="宋体" w:hAnsi="宋体" w:eastAsia="宋体" w:cs="宋体"/>
          <w:bCs/>
          <w:color w:val="auto"/>
          <w:highlight w:val="none"/>
          <w:u w:val="single"/>
        </w:rPr>
        <w:t xml:space="preserve">                                                        </w:t>
      </w:r>
    </w:p>
    <w:p w14:paraId="73B3BC0F">
      <w:pPr>
        <w:adjustRightInd w:val="0"/>
        <w:snapToGrid w:val="0"/>
        <w:spacing w:line="360" w:lineRule="auto"/>
        <w:ind w:left="420" w:hanging="420" w:hangingChars="200"/>
        <w:rPr>
          <w:rFonts w:hint="eastAsia" w:ascii="宋体" w:hAnsi="宋体" w:eastAsia="宋体" w:cs="宋体"/>
          <w:color w:val="auto"/>
          <w:highlight w:val="none"/>
          <w:u w:val="single"/>
        </w:rPr>
      </w:pPr>
      <w:r>
        <w:rPr>
          <w:rFonts w:hint="eastAsia" w:ascii="宋体" w:hAnsi="宋体" w:eastAsia="宋体" w:cs="宋体"/>
          <w:bCs/>
          <w:color w:val="auto"/>
          <w:highlight w:val="none"/>
        </w:rPr>
        <w:t>（5）风险处置措施和替代方案：</w:t>
      </w:r>
      <w:r>
        <w:rPr>
          <w:rFonts w:hint="eastAsia" w:ascii="宋体" w:hAnsi="宋体" w:eastAsia="宋体" w:cs="宋体"/>
          <w:color w:val="auto"/>
          <w:highlight w:val="none"/>
          <w:u w:val="single"/>
        </w:rPr>
        <w:t xml:space="preserve">                                                               </w:t>
      </w:r>
    </w:p>
    <w:p w14:paraId="5100B042">
      <w:pPr>
        <w:numPr>
          <w:ilvl w:val="0"/>
          <w:numId w:val="1"/>
        </w:numPr>
        <w:adjustRightInd w:val="0"/>
        <w:snapToGrid w:val="0"/>
        <w:spacing w:line="360" w:lineRule="auto"/>
        <w:ind w:left="422" w:hanging="422" w:hangingChars="200"/>
        <w:rPr>
          <w:rFonts w:hint="eastAsia" w:ascii="宋体" w:hAnsi="宋体" w:eastAsia="宋体" w:cs="宋体"/>
          <w:b/>
          <w:color w:val="auto"/>
          <w:highlight w:val="none"/>
        </w:rPr>
      </w:pPr>
      <w:r>
        <w:rPr>
          <w:rFonts w:hint="eastAsia" w:ascii="宋体" w:hAnsi="宋体" w:eastAsia="宋体" w:cs="宋体"/>
          <w:b/>
          <w:color w:val="auto"/>
          <w:highlight w:val="none"/>
        </w:rPr>
        <w:t>合同验收</w:t>
      </w:r>
    </w:p>
    <w:p w14:paraId="5E0DB90D">
      <w:pPr>
        <w:numPr>
          <w:ilvl w:val="0"/>
          <w:numId w:val="3"/>
        </w:num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验收组织方式：</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 xml:space="preserve">自行组织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委托第三方组织</w:t>
      </w:r>
    </w:p>
    <w:p w14:paraId="1B74B014">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验收主体：</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。是否邀请本项目的其他供应商参加验收：</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 xml:space="preserve">是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否</w:t>
      </w:r>
    </w:p>
    <w:p w14:paraId="1FFE9F3E">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是否邀请专家参加验收：</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 xml:space="preserve">是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否</w:t>
      </w:r>
    </w:p>
    <w:p w14:paraId="689B0710">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是否邀请服务对象参加验收：</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 xml:space="preserve">是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否</w:t>
      </w:r>
    </w:p>
    <w:p w14:paraId="17CBD31C">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是否邀请第三方检测机构参加验收：</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 xml:space="preserve">是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否</w:t>
      </w:r>
    </w:p>
    <w:p w14:paraId="4405C63D">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是否进行抽查检测：</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是，抽查比例：</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否</w:t>
      </w:r>
    </w:p>
    <w:p w14:paraId="1AEC6DC9">
      <w:pPr>
        <w:adjustRightInd w:val="0"/>
        <w:snapToGrid w:val="0"/>
        <w:spacing w:line="360" w:lineRule="auto"/>
        <w:ind w:left="420" w:hanging="420" w:hangingChars="200"/>
        <w:rPr>
          <w:rFonts w:hint="eastAsia" w:ascii="宋体" w:hAnsi="宋体" w:eastAsia="宋体" w:cs="宋体"/>
          <w:bCs/>
          <w:color w:val="auto"/>
          <w:highlight w:val="none"/>
          <w:u w:val="single"/>
        </w:rPr>
      </w:pPr>
      <w:r>
        <w:rPr>
          <w:rFonts w:hint="eastAsia" w:ascii="宋体" w:hAnsi="宋体" w:eastAsia="宋体" w:cs="宋体"/>
          <w:bCs/>
          <w:color w:val="auto"/>
          <w:highlight w:val="none"/>
        </w:rPr>
        <w:t>是否存在破坏性检测：</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是，</w:t>
      </w:r>
      <w:r>
        <w:rPr>
          <w:rFonts w:hint="eastAsia" w:ascii="宋体" w:hAnsi="宋体" w:eastAsia="宋体" w:cs="宋体"/>
          <w:bCs/>
          <w:color w:val="auto"/>
          <w:highlight w:val="none"/>
          <w:u w:val="single"/>
        </w:rPr>
        <w:t>（应明确对被破坏的检测产品的处理方式）</w:t>
      </w:r>
    </w:p>
    <w:p w14:paraId="78D42454">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否</w:t>
      </w:r>
    </w:p>
    <w:p w14:paraId="043F9A97">
      <w:pPr>
        <w:adjustRightInd w:val="0"/>
        <w:snapToGrid w:val="0"/>
        <w:spacing w:line="360" w:lineRule="auto"/>
        <w:ind w:left="420" w:hanging="420" w:hangingChars="200"/>
        <w:rPr>
          <w:rFonts w:hint="eastAsia" w:ascii="宋体" w:hAnsi="宋体" w:eastAsia="宋体" w:cs="宋体"/>
          <w:bCs/>
          <w:color w:val="auto"/>
          <w:highlight w:val="none"/>
          <w:u w:val="single"/>
        </w:rPr>
      </w:pPr>
      <w:r>
        <w:rPr>
          <w:rFonts w:hint="eastAsia" w:ascii="宋体" w:hAnsi="宋体" w:eastAsia="宋体" w:cs="宋体"/>
          <w:bCs/>
          <w:color w:val="auto"/>
          <w:highlight w:val="none"/>
        </w:rPr>
        <w:t>验收组织的其他事项：</w:t>
      </w:r>
      <w:r>
        <w:rPr>
          <w:rFonts w:hint="eastAsia" w:ascii="宋体" w:hAnsi="宋体" w:eastAsia="宋体" w:cs="宋体"/>
          <w:bCs/>
          <w:color w:val="auto"/>
          <w:highlight w:val="none"/>
          <w:u w:val="single"/>
        </w:rPr>
        <w:t xml:space="preserve">                </w:t>
      </w:r>
    </w:p>
    <w:p w14:paraId="6E2FD47F">
      <w:pPr>
        <w:adjustRightInd w:val="0"/>
        <w:snapToGrid w:val="0"/>
        <w:spacing w:line="360" w:lineRule="auto"/>
        <w:ind w:left="420" w:hanging="420" w:hangingChars="200"/>
        <w:rPr>
          <w:rFonts w:hint="eastAsia" w:ascii="宋体" w:hAnsi="宋体" w:eastAsia="宋体" w:cs="宋体"/>
          <w:bCs/>
          <w:color w:val="auto"/>
          <w:highlight w:val="none"/>
          <w:u w:val="single"/>
        </w:rPr>
      </w:pPr>
      <w:r>
        <w:rPr>
          <w:rFonts w:hint="eastAsia" w:ascii="宋体" w:hAnsi="宋体" w:eastAsia="宋体" w:cs="宋体"/>
          <w:bCs/>
          <w:color w:val="auto"/>
          <w:highlight w:val="none"/>
        </w:rPr>
        <w:t>（2）履约验收时间：</w:t>
      </w:r>
      <w:r>
        <w:rPr>
          <w:rFonts w:hint="eastAsia" w:ascii="宋体" w:hAnsi="宋体" w:eastAsia="宋体" w:cs="宋体"/>
          <w:bCs/>
          <w:color w:val="auto"/>
          <w:highlight w:val="none"/>
          <w:u w:val="single"/>
        </w:rPr>
        <w:t xml:space="preserve">（计划于何时验收/供应商提出验收申请之日起   日内组织验收） </w:t>
      </w:r>
    </w:p>
    <w:p w14:paraId="1C4C0C36">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（3）履约验收方式：</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 xml:space="preserve">一次性验收         </w:t>
      </w:r>
    </w:p>
    <w:p w14:paraId="1AD99AC8">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分期/分项验收：</w:t>
      </w:r>
      <w:r>
        <w:rPr>
          <w:rFonts w:hint="eastAsia" w:ascii="宋体" w:hAnsi="宋体" w:eastAsia="宋体" w:cs="宋体"/>
          <w:bCs/>
          <w:color w:val="auto"/>
          <w:highlight w:val="none"/>
          <w:u w:val="single"/>
        </w:rPr>
        <w:t xml:space="preserve"> （应明确分期</w:t>
      </w:r>
      <w:r>
        <w:rPr>
          <w:rFonts w:hint="eastAsia" w:ascii="宋体" w:hAnsi="宋体" w:eastAsia="宋体" w:cs="宋体"/>
          <w:bCs/>
          <w:color w:val="auto"/>
          <w:highlight w:val="none"/>
          <w:u w:val="single"/>
          <w:lang w:val="en"/>
        </w:rPr>
        <w:t>/分项验收的工作安排</w:t>
      </w:r>
      <w:r>
        <w:rPr>
          <w:rFonts w:hint="eastAsia" w:ascii="宋体" w:hAnsi="宋体" w:eastAsia="宋体" w:cs="宋体"/>
          <w:bCs/>
          <w:color w:val="auto"/>
          <w:highlight w:val="none"/>
          <w:u w:val="single"/>
        </w:rPr>
        <w:t xml:space="preserve">）  </w:t>
      </w:r>
    </w:p>
    <w:p w14:paraId="28084C74">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（4）履约验收程序：</w:t>
      </w:r>
      <w:r>
        <w:rPr>
          <w:rFonts w:hint="eastAsia" w:ascii="宋体" w:hAnsi="宋体" w:eastAsia="宋体" w:cs="宋体"/>
          <w:bCs/>
          <w:color w:val="auto"/>
          <w:highlight w:val="none"/>
          <w:u w:val="single"/>
        </w:rPr>
        <w:t xml:space="preserve">                                         </w:t>
      </w:r>
    </w:p>
    <w:p w14:paraId="5CD218F9">
      <w:pPr>
        <w:adjustRightInd w:val="0"/>
        <w:snapToGrid w:val="0"/>
        <w:spacing w:line="360" w:lineRule="auto"/>
        <w:ind w:left="420" w:hanging="420" w:hangingChars="200"/>
        <w:rPr>
          <w:rFonts w:hint="eastAsia" w:ascii="宋体" w:hAnsi="宋体" w:eastAsia="宋体" w:cs="宋体"/>
          <w:bCs/>
          <w:color w:val="auto"/>
          <w:highlight w:val="none"/>
          <w:u w:val="single"/>
        </w:rPr>
      </w:pPr>
      <w:r>
        <w:rPr>
          <w:rFonts w:hint="eastAsia" w:ascii="宋体" w:hAnsi="宋体" w:eastAsia="宋体" w:cs="宋体"/>
          <w:bCs/>
          <w:color w:val="auto"/>
          <w:highlight w:val="none"/>
        </w:rPr>
        <w:t>（5）履约验收的内容：</w:t>
      </w:r>
      <w:r>
        <w:rPr>
          <w:rFonts w:hint="eastAsia" w:ascii="宋体" w:hAnsi="宋体" w:eastAsia="宋体" w:cs="宋体"/>
          <w:bCs/>
          <w:color w:val="auto"/>
          <w:highlight w:val="none"/>
          <w:u w:val="single"/>
        </w:rPr>
        <w:t xml:space="preserve"> （应当包括每一项技术和商务要求的履约情况，特别是落实政府采购扶持中小企业，支持绿色发展和乡村振兴等政策情况）                                      </w:t>
      </w:r>
    </w:p>
    <w:p w14:paraId="1E25A12F">
      <w:pPr>
        <w:adjustRightInd w:val="0"/>
        <w:snapToGrid w:val="0"/>
        <w:spacing w:line="360" w:lineRule="auto"/>
        <w:ind w:left="420" w:hanging="420" w:hangingChars="200"/>
        <w:rPr>
          <w:rFonts w:hint="eastAsia" w:ascii="宋体" w:hAnsi="宋体" w:eastAsia="宋体" w:cs="宋体"/>
          <w:bCs/>
          <w:color w:val="auto"/>
          <w:highlight w:val="none"/>
          <w:u w:val="single"/>
        </w:rPr>
      </w:pPr>
      <w:r>
        <w:rPr>
          <w:rFonts w:hint="eastAsia" w:ascii="宋体" w:hAnsi="宋体" w:eastAsia="宋体" w:cs="宋体"/>
          <w:bCs/>
          <w:color w:val="auto"/>
          <w:highlight w:val="none"/>
        </w:rPr>
        <w:t>（6）履约验收标准：</w:t>
      </w:r>
      <w:r>
        <w:rPr>
          <w:rFonts w:hint="eastAsia" w:ascii="宋体" w:hAnsi="宋体" w:eastAsia="宋体" w:cs="宋体"/>
          <w:bCs/>
          <w:color w:val="auto"/>
          <w:highlight w:val="none"/>
          <w:u w:val="single"/>
        </w:rPr>
        <w:t xml:space="preserve">                                         </w:t>
      </w:r>
    </w:p>
    <w:p w14:paraId="5F6A6D02">
      <w:pPr>
        <w:widowControl/>
        <w:autoSpaceDE w:val="0"/>
        <w:autoSpaceDN w:val="0"/>
        <w:adjustRightIn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bCs/>
          <w:color w:val="auto"/>
          <w:kern w:val="0"/>
          <w:highlight w:val="none"/>
        </w:rPr>
        <w:t>（7）是否以采购活动中供应商提供的样品作为参考：</w:t>
      </w:r>
      <w:r>
        <w:rPr>
          <w:rFonts w:hint="eastAsia" w:ascii="宋体" w:hAnsi="宋体" w:eastAsia="宋体" w:cs="宋体"/>
          <w:color w:val="auto"/>
          <w:kern w:val="0"/>
          <w:highlight w:val="none"/>
        </w:rPr>
        <w:sym w:font="Wingdings" w:char="00A8"/>
      </w:r>
      <w:r>
        <w:rPr>
          <w:rFonts w:hint="eastAsia" w:ascii="宋体" w:hAnsi="宋体" w:eastAsia="宋体" w:cs="宋体"/>
          <w:bCs/>
          <w:color w:val="auto"/>
          <w:kern w:val="0"/>
          <w:highlight w:val="none"/>
        </w:rPr>
        <w:t xml:space="preserve">是  </w:t>
      </w:r>
      <w:r>
        <w:rPr>
          <w:rFonts w:hint="eastAsia" w:ascii="宋体" w:hAnsi="宋体" w:eastAsia="宋体" w:cs="宋体"/>
          <w:color w:val="auto"/>
          <w:kern w:val="0"/>
          <w:highlight w:val="none"/>
        </w:rPr>
        <w:sym w:font="Wingdings" w:char="00A8"/>
      </w:r>
      <w:r>
        <w:rPr>
          <w:rFonts w:hint="eastAsia" w:ascii="宋体" w:hAnsi="宋体" w:eastAsia="宋体" w:cs="宋体"/>
          <w:bCs/>
          <w:color w:val="auto"/>
          <w:kern w:val="0"/>
          <w:highlight w:val="none"/>
        </w:rPr>
        <w:t>否</w:t>
      </w:r>
    </w:p>
    <w:p w14:paraId="63B793AB">
      <w:pPr>
        <w:adjustRightInd w:val="0"/>
        <w:snapToGrid w:val="0"/>
        <w:spacing w:line="360" w:lineRule="auto"/>
        <w:ind w:left="420" w:hanging="420" w:hangingChars="200"/>
        <w:rPr>
          <w:rFonts w:hint="eastAsia" w:ascii="宋体" w:hAnsi="宋体" w:eastAsia="宋体" w:cs="宋体"/>
          <w:bCs/>
          <w:color w:val="auto"/>
          <w:highlight w:val="none"/>
          <w:u w:val="single"/>
        </w:rPr>
      </w:pPr>
      <w:r>
        <w:rPr>
          <w:rFonts w:hint="eastAsia" w:ascii="宋体" w:hAnsi="宋体" w:eastAsia="宋体" w:cs="宋体"/>
          <w:bCs/>
          <w:color w:val="auto"/>
          <w:highlight w:val="none"/>
        </w:rPr>
        <w:t>（8）履约验收其他事项：</w:t>
      </w:r>
      <w:r>
        <w:rPr>
          <w:rFonts w:hint="eastAsia" w:ascii="宋体" w:hAnsi="宋体" w:eastAsia="宋体" w:cs="宋体"/>
          <w:bCs/>
          <w:color w:val="auto"/>
          <w:highlight w:val="none"/>
          <w:u w:val="single"/>
        </w:rPr>
        <w:t xml:space="preserve">      （产权过户登记等）          </w:t>
      </w:r>
    </w:p>
    <w:p w14:paraId="78200B2B">
      <w:pPr>
        <w:numPr>
          <w:ilvl w:val="0"/>
          <w:numId w:val="1"/>
        </w:numPr>
        <w:adjustRightInd w:val="0"/>
        <w:snapToGrid w:val="0"/>
        <w:spacing w:line="360" w:lineRule="auto"/>
        <w:ind w:left="422" w:hanging="422" w:hangingChars="200"/>
        <w:rPr>
          <w:rFonts w:hint="eastAsia" w:ascii="宋体" w:hAnsi="宋体" w:eastAsia="宋体" w:cs="宋体"/>
          <w:b/>
          <w:color w:val="auto"/>
          <w:highlight w:val="none"/>
        </w:rPr>
      </w:pPr>
      <w:r>
        <w:rPr>
          <w:rFonts w:hint="eastAsia" w:ascii="宋体" w:hAnsi="宋体" w:eastAsia="宋体" w:cs="宋体"/>
          <w:b/>
          <w:color w:val="auto"/>
          <w:highlight w:val="none"/>
        </w:rPr>
        <w:t>组成合同的文件</w:t>
      </w:r>
    </w:p>
    <w:p w14:paraId="3C4DBF95">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本协议书与下列文件一起构成合同文件，如下述文件之间有任何抵触、矛盾或歧义，应按以下顺序解释：</w:t>
      </w:r>
    </w:p>
    <w:p w14:paraId="41D3E869">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（1）政府采购合同协议书及其变更、补充协议</w:t>
      </w:r>
    </w:p>
    <w:p w14:paraId="6C9A340B">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（2）政府采购合同专用条款</w:t>
      </w:r>
    </w:p>
    <w:p w14:paraId="2EC72C2D">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（3）政府采购合同通用条款</w:t>
      </w:r>
    </w:p>
    <w:p w14:paraId="5D72ECC1">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（4）中标（成交）通知书</w:t>
      </w:r>
    </w:p>
    <w:p w14:paraId="5FC9870A">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（5）投标（响应）文件</w:t>
      </w:r>
    </w:p>
    <w:p w14:paraId="5A136BD5">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（6）采购文件</w:t>
      </w:r>
    </w:p>
    <w:p w14:paraId="7CD644E3">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（7）有关技术文件，图纸</w:t>
      </w:r>
    </w:p>
    <w:p w14:paraId="43D4C32E">
      <w:pPr>
        <w:widowControl/>
        <w:autoSpaceDE w:val="0"/>
        <w:autoSpaceDN w:val="0"/>
        <w:adjustRightInd w:val="0"/>
        <w:spacing w:line="360" w:lineRule="auto"/>
        <w:ind w:left="420" w:hanging="420" w:hangingChars="200"/>
        <w:jc w:val="left"/>
        <w:rPr>
          <w:rFonts w:hint="eastAsia" w:ascii="宋体" w:hAnsi="宋体" w:eastAsia="宋体" w:cs="宋体"/>
          <w:color w:val="auto"/>
          <w:highlight w:val="none"/>
        </w:rPr>
      </w:pPr>
      <w:r>
        <w:rPr>
          <w:rFonts w:hint="eastAsia" w:ascii="宋体" w:hAnsi="宋体" w:eastAsia="宋体" w:cs="宋体"/>
          <w:color w:val="auto"/>
          <w:kern w:val="0"/>
          <w:highlight w:val="none"/>
        </w:rPr>
        <w:t>（8）</w:t>
      </w:r>
      <w:r>
        <w:rPr>
          <w:rFonts w:hint="eastAsia" w:ascii="宋体" w:hAnsi="宋体" w:eastAsia="宋体" w:cs="宋体"/>
          <w:color w:val="auto"/>
          <w:highlight w:val="none"/>
        </w:rPr>
        <w:t>国家法律、行政法规和规章制度规定或合同约定的作为合同组成部分的其他文件</w:t>
      </w:r>
    </w:p>
    <w:p w14:paraId="7FCA96F3">
      <w:pPr>
        <w:numPr>
          <w:ilvl w:val="0"/>
          <w:numId w:val="1"/>
        </w:numPr>
        <w:adjustRightInd w:val="0"/>
        <w:snapToGrid w:val="0"/>
        <w:spacing w:line="360" w:lineRule="auto"/>
        <w:ind w:left="422" w:hanging="422" w:hangingChars="200"/>
        <w:rPr>
          <w:rFonts w:hint="eastAsia" w:ascii="宋体" w:hAnsi="宋体" w:eastAsia="宋体" w:cs="宋体"/>
          <w:b/>
          <w:color w:val="auto"/>
          <w:highlight w:val="none"/>
        </w:rPr>
      </w:pPr>
      <w:r>
        <w:rPr>
          <w:rFonts w:hint="eastAsia" w:ascii="宋体" w:hAnsi="宋体" w:eastAsia="宋体" w:cs="宋体"/>
          <w:b/>
          <w:color w:val="auto"/>
          <w:highlight w:val="none"/>
        </w:rPr>
        <w:t>合同生效</w:t>
      </w:r>
    </w:p>
    <w:p w14:paraId="275BCB43">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本合同自</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生效。</w:t>
      </w:r>
    </w:p>
    <w:p w14:paraId="645B2E2C">
      <w:pPr>
        <w:numPr>
          <w:ilvl w:val="0"/>
          <w:numId w:val="1"/>
        </w:numPr>
        <w:adjustRightInd w:val="0"/>
        <w:snapToGrid w:val="0"/>
        <w:spacing w:line="360" w:lineRule="auto"/>
        <w:ind w:left="422" w:hanging="422" w:hangingChars="200"/>
        <w:rPr>
          <w:rFonts w:hint="eastAsia" w:ascii="宋体" w:hAnsi="宋体" w:eastAsia="宋体" w:cs="宋体"/>
          <w:b/>
          <w:color w:val="auto"/>
          <w:highlight w:val="none"/>
        </w:rPr>
      </w:pPr>
      <w:r>
        <w:rPr>
          <w:rFonts w:hint="eastAsia" w:ascii="宋体" w:hAnsi="宋体" w:eastAsia="宋体" w:cs="宋体"/>
          <w:b/>
          <w:color w:val="auto"/>
          <w:highlight w:val="none"/>
        </w:rPr>
        <w:t>合同份数</w:t>
      </w:r>
    </w:p>
    <w:p w14:paraId="67380EAE">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本合同一式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份，甲方执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份，乙方执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份，均具有同等法律效力。</w:t>
      </w:r>
    </w:p>
    <w:p w14:paraId="496DAED0">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合同订立时间：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38356B4">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合同订立地点：</w:t>
      </w:r>
      <w:r>
        <w:rPr>
          <w:rFonts w:hint="eastAsia" w:ascii="宋体" w:hAnsi="宋体" w:eastAsia="宋体" w:cs="宋体"/>
          <w:color w:val="auto"/>
          <w:highlight w:val="none"/>
          <w:u w:val="single"/>
        </w:rPr>
        <w:t xml:space="preserve">                           </w:t>
      </w:r>
    </w:p>
    <w:p w14:paraId="79B3562B">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附件：具体标的及其技术要求和商务要求、联合协议、分包意向协议等。</w:t>
      </w:r>
    </w:p>
    <w:p w14:paraId="1873A8E3">
      <w:pPr>
        <w:spacing w:line="360" w:lineRule="auto"/>
        <w:ind w:firstLine="42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r>
    </w:p>
    <w:p w14:paraId="1278364D">
      <w:pPr>
        <w:spacing w:line="360" w:lineRule="auto"/>
        <w:ind w:firstLine="420" w:firstLineChars="200"/>
        <w:rPr>
          <w:rFonts w:hint="eastAsia" w:ascii="宋体" w:hAnsi="宋体" w:eastAsia="宋体" w:cs="宋体"/>
          <w:color w:val="auto"/>
          <w:highlight w:val="none"/>
        </w:rPr>
      </w:pPr>
    </w:p>
    <w:tbl>
      <w:tblPr>
        <w:tblStyle w:val="39"/>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99"/>
        <w:gridCol w:w="2676"/>
        <w:gridCol w:w="2196"/>
        <w:gridCol w:w="2348"/>
      </w:tblGrid>
      <w:tr w14:paraId="6381199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jc w:val="center"/>
        </w:trPr>
        <w:tc>
          <w:tcPr>
            <w:tcW w:w="2562" w:type="pct"/>
            <w:gridSpan w:val="2"/>
            <w:tcBorders>
              <w:bottom w:val="single" w:color="auto" w:sz="2" w:space="0"/>
              <w:right w:val="single" w:color="auto" w:sz="2" w:space="0"/>
            </w:tcBorders>
            <w:vAlign w:val="center"/>
          </w:tcPr>
          <w:p w14:paraId="2A903823">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甲方（采购人、受采购人委托签订合同的单位或采购文件约定的合同甲方）</w:t>
            </w:r>
          </w:p>
        </w:tc>
        <w:tc>
          <w:tcPr>
            <w:tcW w:w="2437" w:type="pct"/>
            <w:gridSpan w:val="2"/>
            <w:tcBorders>
              <w:left w:val="single" w:color="auto" w:sz="2" w:space="0"/>
              <w:bottom w:val="single" w:color="auto" w:sz="2" w:space="0"/>
            </w:tcBorders>
            <w:vAlign w:val="center"/>
          </w:tcPr>
          <w:p w14:paraId="6A81AD3D">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乙方（供应商）</w:t>
            </w:r>
          </w:p>
        </w:tc>
      </w:tr>
      <w:tr w14:paraId="5375E28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jc w:val="center"/>
        </w:trPr>
        <w:tc>
          <w:tcPr>
            <w:tcW w:w="1126" w:type="pct"/>
            <w:tcBorders>
              <w:top w:val="single" w:color="auto" w:sz="2" w:space="0"/>
              <w:bottom w:val="single" w:color="auto" w:sz="2" w:space="0"/>
              <w:right w:val="single" w:color="auto" w:sz="2" w:space="0"/>
            </w:tcBorders>
            <w:vAlign w:val="center"/>
          </w:tcPr>
          <w:p w14:paraId="489029A7">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单位名称（公章或合同章）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3719677B">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1C3F333">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单位名称（公章或合同章）</w:t>
            </w:r>
          </w:p>
        </w:tc>
        <w:tc>
          <w:tcPr>
            <w:tcW w:w="1259" w:type="pct"/>
            <w:tcBorders>
              <w:top w:val="single" w:color="auto" w:sz="2" w:space="0"/>
              <w:left w:val="single" w:color="auto" w:sz="2" w:space="0"/>
              <w:bottom w:val="single" w:color="auto" w:sz="2" w:space="0"/>
            </w:tcBorders>
            <w:vAlign w:val="center"/>
          </w:tcPr>
          <w:p w14:paraId="74A0C9B9">
            <w:pPr>
              <w:adjustRightInd w:val="0"/>
              <w:snapToGrid w:val="0"/>
              <w:spacing w:line="360" w:lineRule="auto"/>
              <w:jc w:val="center"/>
              <w:rPr>
                <w:rFonts w:hint="eastAsia" w:ascii="宋体" w:hAnsi="宋体" w:eastAsia="宋体" w:cs="宋体"/>
                <w:color w:val="auto"/>
                <w:spacing w:val="20"/>
                <w:highlight w:val="none"/>
              </w:rPr>
            </w:pPr>
          </w:p>
        </w:tc>
      </w:tr>
      <w:tr w14:paraId="2CD9A7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jc w:val="center"/>
        </w:trPr>
        <w:tc>
          <w:tcPr>
            <w:tcW w:w="1126" w:type="pct"/>
            <w:vMerge w:val="restart"/>
            <w:tcBorders>
              <w:top w:val="single" w:color="auto" w:sz="2" w:space="0"/>
              <w:right w:val="single" w:color="auto" w:sz="2" w:space="0"/>
            </w:tcBorders>
            <w:vAlign w:val="center"/>
          </w:tcPr>
          <w:p w14:paraId="0805F6F8">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w:t>
            </w:r>
          </w:p>
          <w:p w14:paraId="5DABF083">
            <w:pPr>
              <w:adjustRightInd w:val="0"/>
              <w:snapToGrid w:val="0"/>
              <w:spacing w:line="360" w:lineRule="auto"/>
              <w:ind w:firstLine="100" w:firstLineChars="48"/>
              <w:jc w:val="center"/>
              <w:rPr>
                <w:rFonts w:hint="eastAsia" w:ascii="宋体" w:hAnsi="宋体" w:eastAsia="宋体" w:cs="宋体"/>
                <w:color w:val="auto"/>
                <w:highlight w:val="none"/>
              </w:rPr>
            </w:pPr>
            <w:r>
              <w:rPr>
                <w:rFonts w:hint="eastAsia" w:ascii="宋体" w:hAnsi="宋体" w:eastAsia="宋体" w:cs="宋体"/>
                <w:color w:val="auto"/>
                <w:highlight w:val="none"/>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5882C304">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right w:val="single" w:color="auto" w:sz="2" w:space="0"/>
            </w:tcBorders>
            <w:vAlign w:val="center"/>
          </w:tcPr>
          <w:p w14:paraId="3A6D2ED4">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w:t>
            </w:r>
          </w:p>
          <w:p w14:paraId="50706F82">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或其委托代理人（签章）</w:t>
            </w:r>
          </w:p>
        </w:tc>
        <w:tc>
          <w:tcPr>
            <w:tcW w:w="1259" w:type="pct"/>
            <w:tcBorders>
              <w:top w:val="single" w:color="auto" w:sz="2" w:space="0"/>
              <w:left w:val="single" w:color="auto" w:sz="2" w:space="0"/>
              <w:bottom w:val="single" w:color="auto" w:sz="2" w:space="0"/>
            </w:tcBorders>
            <w:vAlign w:val="center"/>
          </w:tcPr>
          <w:p w14:paraId="0B54CBB8">
            <w:pPr>
              <w:adjustRightInd w:val="0"/>
              <w:snapToGrid w:val="0"/>
              <w:spacing w:line="360" w:lineRule="auto"/>
              <w:jc w:val="center"/>
              <w:rPr>
                <w:rFonts w:hint="eastAsia" w:ascii="宋体" w:hAnsi="宋体" w:eastAsia="宋体" w:cs="宋体"/>
                <w:color w:val="auto"/>
                <w:highlight w:val="none"/>
              </w:rPr>
            </w:pPr>
          </w:p>
        </w:tc>
      </w:tr>
      <w:tr w14:paraId="415CBA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vMerge w:val="continue"/>
            <w:tcBorders>
              <w:bottom w:val="single" w:color="auto" w:sz="2" w:space="0"/>
              <w:right w:val="single" w:color="auto" w:sz="2" w:space="0"/>
            </w:tcBorders>
            <w:vAlign w:val="center"/>
          </w:tcPr>
          <w:p w14:paraId="2D6C753A">
            <w:pPr>
              <w:adjustRightInd w:val="0"/>
              <w:snapToGrid w:val="0"/>
              <w:spacing w:line="360" w:lineRule="auto"/>
              <w:jc w:val="center"/>
              <w:rPr>
                <w:rFonts w:hint="eastAsia" w:ascii="宋体" w:hAnsi="宋体" w:eastAsia="宋体" w:cs="宋体"/>
                <w:color w:val="auto"/>
                <w:highlight w:val="none"/>
              </w:rPr>
            </w:pPr>
          </w:p>
        </w:tc>
        <w:tc>
          <w:tcPr>
            <w:tcW w:w="1436" w:type="pct"/>
            <w:vMerge w:val="continue"/>
            <w:tcBorders>
              <w:left w:val="single" w:color="auto" w:sz="2" w:space="0"/>
              <w:bottom w:val="single" w:color="auto" w:sz="2" w:space="0"/>
              <w:right w:val="single" w:color="auto" w:sz="2" w:space="0"/>
            </w:tcBorders>
            <w:vAlign w:val="center"/>
          </w:tcPr>
          <w:p w14:paraId="30AC5644">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2573C0C">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拥有者性别</w:t>
            </w:r>
          </w:p>
        </w:tc>
        <w:tc>
          <w:tcPr>
            <w:tcW w:w="1259" w:type="pct"/>
            <w:tcBorders>
              <w:top w:val="single" w:color="auto" w:sz="2" w:space="0"/>
              <w:left w:val="single" w:color="auto" w:sz="2" w:space="0"/>
              <w:bottom w:val="single" w:color="auto" w:sz="2" w:space="0"/>
            </w:tcBorders>
            <w:vAlign w:val="center"/>
          </w:tcPr>
          <w:p w14:paraId="334B2F9F">
            <w:pPr>
              <w:adjustRightInd w:val="0"/>
              <w:snapToGrid w:val="0"/>
              <w:spacing w:line="360" w:lineRule="auto"/>
              <w:jc w:val="center"/>
              <w:rPr>
                <w:rFonts w:hint="eastAsia" w:ascii="宋体" w:hAnsi="宋体" w:eastAsia="宋体" w:cs="宋体"/>
                <w:color w:val="auto"/>
                <w:spacing w:val="20"/>
                <w:highlight w:val="none"/>
              </w:rPr>
            </w:pPr>
          </w:p>
        </w:tc>
      </w:tr>
      <w:tr w14:paraId="6CB7E1B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43444BAF">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3D4529CA">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F7077C3">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住  所</w:t>
            </w:r>
          </w:p>
        </w:tc>
        <w:tc>
          <w:tcPr>
            <w:tcW w:w="1259" w:type="pct"/>
            <w:tcBorders>
              <w:top w:val="single" w:color="auto" w:sz="2" w:space="0"/>
              <w:left w:val="single" w:color="auto" w:sz="2" w:space="0"/>
              <w:bottom w:val="single" w:color="auto" w:sz="2" w:space="0"/>
            </w:tcBorders>
            <w:vAlign w:val="center"/>
          </w:tcPr>
          <w:p w14:paraId="649F0AE5">
            <w:pPr>
              <w:adjustRightInd w:val="0"/>
              <w:snapToGrid w:val="0"/>
              <w:spacing w:line="360" w:lineRule="auto"/>
              <w:jc w:val="center"/>
              <w:rPr>
                <w:rFonts w:hint="eastAsia" w:ascii="宋体" w:hAnsi="宋体" w:eastAsia="宋体" w:cs="宋体"/>
                <w:color w:val="auto"/>
                <w:spacing w:val="20"/>
                <w:highlight w:val="none"/>
              </w:rPr>
            </w:pPr>
          </w:p>
        </w:tc>
      </w:tr>
      <w:tr w14:paraId="6C79EA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297472CB">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3AA6216E">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50D1304">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联 系 人</w:t>
            </w:r>
          </w:p>
        </w:tc>
        <w:tc>
          <w:tcPr>
            <w:tcW w:w="1259" w:type="pct"/>
            <w:tcBorders>
              <w:top w:val="single" w:color="auto" w:sz="2" w:space="0"/>
              <w:left w:val="single" w:color="auto" w:sz="2" w:space="0"/>
              <w:bottom w:val="single" w:color="auto" w:sz="2" w:space="0"/>
            </w:tcBorders>
            <w:vAlign w:val="center"/>
          </w:tcPr>
          <w:p w14:paraId="1942D645">
            <w:pPr>
              <w:adjustRightInd w:val="0"/>
              <w:snapToGrid w:val="0"/>
              <w:spacing w:line="360" w:lineRule="auto"/>
              <w:jc w:val="center"/>
              <w:rPr>
                <w:rFonts w:hint="eastAsia" w:ascii="宋体" w:hAnsi="宋体" w:eastAsia="宋体" w:cs="宋体"/>
                <w:color w:val="auto"/>
                <w:spacing w:val="20"/>
                <w:highlight w:val="none"/>
              </w:rPr>
            </w:pPr>
          </w:p>
        </w:tc>
      </w:tr>
      <w:tr w14:paraId="0B6E048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5C05CCAA">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45D14BB5">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B80D224">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联系电话</w:t>
            </w:r>
          </w:p>
        </w:tc>
        <w:tc>
          <w:tcPr>
            <w:tcW w:w="1259" w:type="pct"/>
            <w:tcBorders>
              <w:top w:val="single" w:color="auto" w:sz="2" w:space="0"/>
              <w:left w:val="single" w:color="auto" w:sz="2" w:space="0"/>
              <w:bottom w:val="single" w:color="auto" w:sz="2" w:space="0"/>
            </w:tcBorders>
            <w:vAlign w:val="center"/>
          </w:tcPr>
          <w:p w14:paraId="68FEA849">
            <w:pPr>
              <w:adjustRightInd w:val="0"/>
              <w:snapToGrid w:val="0"/>
              <w:spacing w:line="360" w:lineRule="auto"/>
              <w:jc w:val="center"/>
              <w:rPr>
                <w:rFonts w:hint="eastAsia" w:ascii="宋体" w:hAnsi="宋体" w:eastAsia="宋体" w:cs="宋体"/>
                <w:color w:val="auto"/>
                <w:spacing w:val="20"/>
                <w:highlight w:val="none"/>
              </w:rPr>
            </w:pPr>
          </w:p>
        </w:tc>
      </w:tr>
      <w:tr w14:paraId="51100EF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1A3083A7">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74C95FEE">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2E19968">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通信地址</w:t>
            </w:r>
          </w:p>
        </w:tc>
        <w:tc>
          <w:tcPr>
            <w:tcW w:w="1259" w:type="pct"/>
            <w:tcBorders>
              <w:top w:val="single" w:color="auto" w:sz="2" w:space="0"/>
              <w:left w:val="single" w:color="auto" w:sz="2" w:space="0"/>
              <w:bottom w:val="single" w:color="auto" w:sz="2" w:space="0"/>
            </w:tcBorders>
            <w:vAlign w:val="center"/>
          </w:tcPr>
          <w:p w14:paraId="47100596">
            <w:pPr>
              <w:adjustRightInd w:val="0"/>
              <w:snapToGrid w:val="0"/>
              <w:spacing w:line="360" w:lineRule="auto"/>
              <w:jc w:val="center"/>
              <w:rPr>
                <w:rFonts w:hint="eastAsia" w:ascii="宋体" w:hAnsi="宋体" w:eastAsia="宋体" w:cs="宋体"/>
                <w:color w:val="auto"/>
                <w:spacing w:val="20"/>
                <w:highlight w:val="none"/>
              </w:rPr>
            </w:pPr>
          </w:p>
        </w:tc>
      </w:tr>
      <w:tr w14:paraId="49C9C3D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64FC59A5">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2B86318F">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5ACCFC6">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1259" w:type="pct"/>
            <w:tcBorders>
              <w:top w:val="single" w:color="auto" w:sz="2" w:space="0"/>
              <w:left w:val="single" w:color="auto" w:sz="2" w:space="0"/>
              <w:bottom w:val="single" w:color="auto" w:sz="2" w:space="0"/>
            </w:tcBorders>
            <w:vAlign w:val="center"/>
          </w:tcPr>
          <w:p w14:paraId="6BC75659">
            <w:pPr>
              <w:adjustRightInd w:val="0"/>
              <w:snapToGrid w:val="0"/>
              <w:spacing w:line="360" w:lineRule="auto"/>
              <w:jc w:val="center"/>
              <w:rPr>
                <w:rFonts w:hint="eastAsia" w:ascii="宋体" w:hAnsi="宋体" w:eastAsia="宋体" w:cs="宋体"/>
                <w:color w:val="auto"/>
                <w:spacing w:val="20"/>
                <w:highlight w:val="none"/>
              </w:rPr>
            </w:pPr>
          </w:p>
        </w:tc>
      </w:tr>
      <w:tr w14:paraId="7876450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3EC432C3">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3A5ABCE3">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08DEEB3">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电子邮箱</w:t>
            </w:r>
          </w:p>
        </w:tc>
        <w:tc>
          <w:tcPr>
            <w:tcW w:w="1259" w:type="pct"/>
            <w:tcBorders>
              <w:top w:val="single" w:color="auto" w:sz="2" w:space="0"/>
              <w:left w:val="single" w:color="auto" w:sz="2" w:space="0"/>
              <w:bottom w:val="single" w:color="auto" w:sz="2" w:space="0"/>
            </w:tcBorders>
            <w:vAlign w:val="center"/>
          </w:tcPr>
          <w:p w14:paraId="3AE95966">
            <w:pPr>
              <w:adjustRightInd w:val="0"/>
              <w:snapToGrid w:val="0"/>
              <w:spacing w:line="360" w:lineRule="auto"/>
              <w:jc w:val="center"/>
              <w:rPr>
                <w:rFonts w:hint="eastAsia" w:ascii="宋体" w:hAnsi="宋体" w:eastAsia="宋体" w:cs="宋体"/>
                <w:color w:val="auto"/>
                <w:spacing w:val="20"/>
                <w:highlight w:val="none"/>
              </w:rPr>
            </w:pPr>
          </w:p>
        </w:tc>
      </w:tr>
      <w:tr w14:paraId="6149652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3C8C28C2">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31ADCD5E">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8CDA097">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统一社会信用代码</w:t>
            </w:r>
          </w:p>
        </w:tc>
        <w:tc>
          <w:tcPr>
            <w:tcW w:w="1259" w:type="pct"/>
            <w:tcBorders>
              <w:top w:val="single" w:color="auto" w:sz="2" w:space="0"/>
              <w:left w:val="single" w:color="auto" w:sz="2" w:space="0"/>
              <w:bottom w:val="single" w:color="auto" w:sz="2" w:space="0"/>
            </w:tcBorders>
            <w:vAlign w:val="center"/>
          </w:tcPr>
          <w:p w14:paraId="47BDC058">
            <w:pPr>
              <w:adjustRightInd w:val="0"/>
              <w:snapToGrid w:val="0"/>
              <w:spacing w:line="360" w:lineRule="auto"/>
              <w:jc w:val="center"/>
              <w:rPr>
                <w:rFonts w:hint="eastAsia" w:ascii="宋体" w:hAnsi="宋体" w:eastAsia="宋体" w:cs="宋体"/>
                <w:color w:val="auto"/>
                <w:spacing w:val="20"/>
                <w:highlight w:val="none"/>
              </w:rPr>
            </w:pPr>
          </w:p>
        </w:tc>
      </w:tr>
      <w:tr w14:paraId="7C00D8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4624E619">
            <w:pPr>
              <w:adjustRightInd w:val="0"/>
              <w:snapToGrid w:val="0"/>
              <w:spacing w:line="360" w:lineRule="auto"/>
              <w:jc w:val="center"/>
              <w:rPr>
                <w:rFonts w:hint="eastAsia" w:ascii="宋体" w:hAnsi="宋体" w:eastAsia="宋体" w:cs="宋体"/>
                <w:color w:val="auto"/>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7C867595">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81062FA">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开户名称</w:t>
            </w:r>
          </w:p>
        </w:tc>
        <w:tc>
          <w:tcPr>
            <w:tcW w:w="1259" w:type="pct"/>
            <w:tcBorders>
              <w:top w:val="single" w:color="auto" w:sz="2" w:space="0"/>
              <w:left w:val="single" w:color="auto" w:sz="2" w:space="0"/>
              <w:bottom w:val="single" w:color="auto" w:sz="2" w:space="0"/>
            </w:tcBorders>
            <w:vAlign w:val="center"/>
          </w:tcPr>
          <w:p w14:paraId="2783C924">
            <w:pPr>
              <w:adjustRightInd w:val="0"/>
              <w:snapToGrid w:val="0"/>
              <w:spacing w:line="360" w:lineRule="auto"/>
              <w:jc w:val="center"/>
              <w:rPr>
                <w:rFonts w:hint="eastAsia" w:ascii="宋体" w:hAnsi="宋体" w:eastAsia="宋体" w:cs="宋体"/>
                <w:color w:val="auto"/>
                <w:spacing w:val="20"/>
                <w:highlight w:val="none"/>
              </w:rPr>
            </w:pPr>
          </w:p>
        </w:tc>
      </w:tr>
      <w:tr w14:paraId="2596E38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7FC58AF1">
            <w:pPr>
              <w:adjustRightInd w:val="0"/>
              <w:snapToGrid w:val="0"/>
              <w:spacing w:line="360" w:lineRule="auto"/>
              <w:jc w:val="center"/>
              <w:rPr>
                <w:rFonts w:hint="eastAsia" w:ascii="宋体" w:hAnsi="宋体" w:eastAsia="宋体" w:cs="宋体"/>
                <w:color w:val="auto"/>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7A69B8AA">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322194B">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开户银行</w:t>
            </w:r>
          </w:p>
        </w:tc>
        <w:tc>
          <w:tcPr>
            <w:tcW w:w="1259" w:type="pct"/>
            <w:tcBorders>
              <w:top w:val="single" w:color="auto" w:sz="2" w:space="0"/>
              <w:left w:val="single" w:color="auto" w:sz="2" w:space="0"/>
              <w:bottom w:val="single" w:color="auto" w:sz="2" w:space="0"/>
            </w:tcBorders>
            <w:vAlign w:val="center"/>
          </w:tcPr>
          <w:p w14:paraId="056B590B">
            <w:pPr>
              <w:adjustRightInd w:val="0"/>
              <w:snapToGrid w:val="0"/>
              <w:spacing w:line="360" w:lineRule="auto"/>
              <w:jc w:val="center"/>
              <w:rPr>
                <w:rFonts w:hint="eastAsia" w:ascii="宋体" w:hAnsi="宋体" w:eastAsia="宋体" w:cs="宋体"/>
                <w:color w:val="auto"/>
                <w:spacing w:val="20"/>
                <w:highlight w:val="none"/>
              </w:rPr>
            </w:pPr>
          </w:p>
        </w:tc>
      </w:tr>
      <w:tr w14:paraId="42EA228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08CF3738">
            <w:pPr>
              <w:adjustRightInd w:val="0"/>
              <w:snapToGrid w:val="0"/>
              <w:spacing w:line="360" w:lineRule="auto"/>
              <w:jc w:val="center"/>
              <w:rPr>
                <w:rFonts w:hint="eastAsia" w:ascii="宋体" w:hAnsi="宋体" w:eastAsia="宋体" w:cs="宋体"/>
                <w:color w:val="auto"/>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10165A62">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30F7D6E">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银行账号</w:t>
            </w:r>
          </w:p>
        </w:tc>
        <w:tc>
          <w:tcPr>
            <w:tcW w:w="1259" w:type="pct"/>
            <w:tcBorders>
              <w:top w:val="single" w:color="auto" w:sz="2" w:space="0"/>
              <w:left w:val="single" w:color="auto" w:sz="2" w:space="0"/>
              <w:bottom w:val="single" w:color="auto" w:sz="2" w:space="0"/>
            </w:tcBorders>
            <w:vAlign w:val="center"/>
          </w:tcPr>
          <w:p w14:paraId="01AFF83A">
            <w:pPr>
              <w:adjustRightInd w:val="0"/>
              <w:snapToGrid w:val="0"/>
              <w:spacing w:line="360" w:lineRule="auto"/>
              <w:jc w:val="center"/>
              <w:rPr>
                <w:rFonts w:hint="eastAsia" w:ascii="宋体" w:hAnsi="宋体" w:eastAsia="宋体" w:cs="宋体"/>
                <w:color w:val="auto"/>
                <w:spacing w:val="20"/>
                <w:highlight w:val="none"/>
              </w:rPr>
            </w:pPr>
          </w:p>
        </w:tc>
      </w:tr>
      <w:tr w14:paraId="67B280D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jc w:val="center"/>
        </w:trPr>
        <w:tc>
          <w:tcPr>
            <w:tcW w:w="5000" w:type="pct"/>
            <w:gridSpan w:val="4"/>
            <w:tcBorders>
              <w:top w:val="single" w:color="auto" w:sz="2" w:space="0"/>
            </w:tcBorders>
            <w:vAlign w:val="center"/>
          </w:tcPr>
          <w:p w14:paraId="75BC5170">
            <w:pPr>
              <w:adjustRightInd w:val="0"/>
              <w:snapToGrid w:val="0"/>
              <w:spacing w:before="120" w:beforeLines="50" w:line="360" w:lineRule="auto"/>
              <w:jc w:val="left"/>
              <w:rPr>
                <w:rFonts w:hint="eastAsia" w:ascii="宋体" w:hAnsi="宋体" w:eastAsia="宋体" w:cs="宋体"/>
                <w:color w:val="auto"/>
                <w:spacing w:val="20"/>
                <w:highlight w:val="none"/>
              </w:rPr>
            </w:pPr>
            <w:r>
              <w:rPr>
                <w:rFonts w:hint="eastAsia" w:ascii="宋体" w:hAnsi="宋体" w:eastAsia="宋体" w:cs="宋体"/>
                <w:color w:val="auto"/>
                <w:highlight w:val="none"/>
              </w:rPr>
              <w:t>注：涉及联合体或其他合同主体的信息应按上表格式加列。</w:t>
            </w:r>
          </w:p>
        </w:tc>
      </w:tr>
    </w:tbl>
    <w:p w14:paraId="7FB7CCC5">
      <w:pPr>
        <w:keepNext/>
        <w:keepLines/>
        <w:adjustRightInd w:val="0"/>
        <w:snapToGrid w:val="0"/>
        <w:spacing w:before="120" w:beforeLines="50" w:line="360" w:lineRule="auto"/>
        <w:jc w:val="center"/>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highlight w:val="none"/>
          <w:u w:val="single"/>
        </w:rPr>
        <w:br w:type="page"/>
      </w:r>
      <w:bookmarkStart w:id="245" w:name="_Toc27624"/>
      <w:r>
        <w:rPr>
          <w:rFonts w:hint="eastAsia" w:ascii="宋体" w:hAnsi="宋体" w:eastAsia="宋体" w:cs="宋体"/>
          <w:color w:val="auto"/>
          <w:sz w:val="28"/>
          <w:szCs w:val="28"/>
          <w:highlight w:val="none"/>
        </w:rPr>
        <w:t>第二节 政府采购合同通用条款</w:t>
      </w:r>
      <w:bookmarkEnd w:id="245"/>
    </w:p>
    <w:p w14:paraId="163AB26D">
      <w:pPr>
        <w:tabs>
          <w:tab w:val="left" w:pos="8820"/>
          <w:tab w:val="left" w:pos="9345"/>
          <w:tab w:val="left" w:pos="9765"/>
        </w:tabs>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 </w:t>
      </w:r>
      <w:r>
        <w:rPr>
          <w:rFonts w:hint="eastAsia" w:ascii="宋体" w:hAnsi="宋体" w:eastAsia="宋体" w:cs="宋体"/>
          <w:b/>
          <w:bCs/>
          <w:color w:val="auto"/>
          <w:sz w:val="24"/>
          <w:szCs w:val="24"/>
          <w:highlight w:val="none"/>
        </w:rPr>
        <w:t>定义</w:t>
      </w:r>
    </w:p>
    <w:p w14:paraId="1D8B961A">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1.1合同当事人</w:t>
      </w:r>
    </w:p>
    <w:p w14:paraId="5654807F">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（1）采购人（以下称甲方）是指使用财政性资金，通过政府采购方式向供应商购买货物及其相关服务的国家机关、事业单位、团体组织。</w:t>
      </w:r>
    </w:p>
    <w:p w14:paraId="2C62F74D">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（2）供应商（以下称乙方）是指参加政府采购活动并且中标（成交），向采购人提供合同约定的货物及其相关服务的法人、非法人组织或者自然人。</w:t>
      </w:r>
    </w:p>
    <w:p w14:paraId="1AEB32A0">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（3）其他合同主体是指除采购人和供应商以外，</w:t>
      </w:r>
      <w:r>
        <w:rPr>
          <w:rFonts w:hint="eastAsia" w:ascii="宋体" w:hAnsi="宋体" w:eastAsia="宋体" w:cs="宋体"/>
          <w:bCs/>
          <w:color w:val="auto"/>
          <w:highlight w:val="none"/>
        </w:rPr>
        <w:t>依法参与合同缔结或履行，享有权利、承担义务的合同当事人</w:t>
      </w:r>
      <w:r>
        <w:rPr>
          <w:rFonts w:hint="eastAsia" w:ascii="宋体" w:hAnsi="宋体" w:eastAsia="宋体" w:cs="宋体"/>
          <w:color w:val="auto"/>
          <w:highlight w:val="none"/>
        </w:rPr>
        <w:t>。</w:t>
      </w:r>
    </w:p>
    <w:p w14:paraId="4ECDBC72">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1.2本合同下列术语应解释为：</w:t>
      </w:r>
    </w:p>
    <w:p w14:paraId="179F9560">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（1）“合同”系指</w:t>
      </w:r>
      <w:r>
        <w:rPr>
          <w:rFonts w:hint="eastAsia" w:ascii="宋体" w:hAnsi="宋体" w:eastAsia="宋体" w:cs="宋体"/>
          <w:bCs/>
          <w:color w:val="auto"/>
          <w:highlight w:val="none"/>
        </w:rPr>
        <w:t>合同当事人意思表示达成一致的任何协议，包括签署的</w:t>
      </w:r>
      <w:r>
        <w:rPr>
          <w:rFonts w:hint="eastAsia" w:ascii="宋体" w:hAnsi="宋体" w:eastAsia="宋体" w:cs="宋体"/>
          <w:color w:val="auto"/>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2BAE6A5D">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（2）“合同价款”系指根据本合同规定乙方在全面履行合同义务后甲方应支付给乙方的价款。</w:t>
      </w:r>
    </w:p>
    <w:p w14:paraId="5049DC4C">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（3）“货物”系指乙方根据本合同规定须向甲方提供的各种形态和种类的物品，包括原材料、设备、产品（包括软件）及相关的其备品备件、工具、手册及</w:t>
      </w:r>
      <w:r>
        <w:rPr>
          <w:rFonts w:hint="eastAsia" w:ascii="宋体" w:hAnsi="宋体" w:eastAsia="宋体" w:cs="宋体"/>
          <w:color w:val="auto"/>
          <w:highlight w:val="none"/>
          <w:lang w:val="en"/>
        </w:rPr>
        <w:t>其他</w:t>
      </w:r>
      <w:r>
        <w:rPr>
          <w:rFonts w:hint="eastAsia" w:ascii="宋体" w:hAnsi="宋体" w:eastAsia="宋体" w:cs="宋体"/>
          <w:color w:val="auto"/>
          <w:highlight w:val="none"/>
        </w:rPr>
        <w:t>技术资料和材料等。</w:t>
      </w:r>
    </w:p>
    <w:p w14:paraId="76631417">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（4）“相关服务”系指根据合同规定，乙方应提供的与货物有关的技术、管理和</w:t>
      </w:r>
      <w:r>
        <w:rPr>
          <w:rFonts w:hint="eastAsia" w:ascii="宋体" w:hAnsi="宋体" w:eastAsia="宋体" w:cs="宋体"/>
          <w:color w:val="auto"/>
          <w:highlight w:val="none"/>
          <w:lang w:val="en"/>
        </w:rPr>
        <w:t>其他</w:t>
      </w:r>
      <w:r>
        <w:rPr>
          <w:rFonts w:hint="eastAsia" w:ascii="宋体" w:hAnsi="宋体" w:eastAsia="宋体" w:cs="宋体"/>
          <w:color w:val="auto"/>
          <w:highlight w:val="none"/>
        </w:rPr>
        <w:t>服务，包括但不限于：管理和质量保证、运输、保险、检验、现场准备、安装、集成、调试、培训、维修、废弃处置、技术支持等以及合同中规定乙方应承担的</w:t>
      </w:r>
      <w:r>
        <w:rPr>
          <w:rFonts w:hint="eastAsia" w:ascii="宋体" w:hAnsi="宋体" w:eastAsia="宋体" w:cs="宋体"/>
          <w:color w:val="auto"/>
          <w:highlight w:val="none"/>
          <w:lang w:val="en"/>
        </w:rPr>
        <w:t>其他</w:t>
      </w:r>
      <w:r>
        <w:rPr>
          <w:rFonts w:hint="eastAsia" w:ascii="宋体" w:hAnsi="宋体" w:eastAsia="宋体" w:cs="宋体"/>
          <w:color w:val="auto"/>
          <w:highlight w:val="none"/>
        </w:rPr>
        <w:t>义务。</w:t>
      </w:r>
    </w:p>
    <w:p w14:paraId="010F71FD">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（5）“分包”系指中标（成交）供应商按采购文件、投标（响应）文件的规定，根据分包意向协议，将中标（成交）项目中的部分履约内容，分给具有相应资质条件的供应商履行合同的行为。</w:t>
      </w:r>
    </w:p>
    <w:p w14:paraId="7B97F265">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w:t>
      </w:r>
    </w:p>
    <w:p w14:paraId="55338593">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（7）其他术语解释，见【</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w:t>
      </w:r>
    </w:p>
    <w:p w14:paraId="3E6A32B7">
      <w:pPr>
        <w:numPr>
          <w:ilvl w:val="0"/>
          <w:numId w:val="4"/>
        </w:num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合同标的及金额</w:t>
      </w:r>
    </w:p>
    <w:p w14:paraId="18F2AA56">
      <w:pPr>
        <w:autoSpaceDE w:val="0"/>
        <w:autoSpaceDN w:val="0"/>
        <w:adjustRightInd w:val="0"/>
        <w:snapToGrid w:val="0"/>
        <w:spacing w:line="360" w:lineRule="auto"/>
        <w:ind w:firstLine="420" w:firstLineChars="200"/>
        <w:jc w:val="left"/>
        <w:rPr>
          <w:rFonts w:hint="eastAsia" w:ascii="宋体" w:hAnsi="宋体" w:eastAsia="宋体" w:cs="宋体"/>
          <w:b/>
          <w:bCs/>
          <w:i/>
          <w:iCs/>
          <w:color w:val="auto"/>
          <w:highlight w:val="none"/>
        </w:rPr>
      </w:pPr>
      <w:r>
        <w:rPr>
          <w:rFonts w:hint="eastAsia" w:ascii="宋体" w:hAnsi="宋体" w:eastAsia="宋体" w:cs="宋体"/>
          <w:color w:val="auto"/>
          <w:highlight w:val="none"/>
        </w:rPr>
        <w:t>2.1 合同标的及金额应与中标（成交）结果一致。乙方为履行本合同而发生的所有费用均应包含在合同价款中，甲方不再另行支付</w:t>
      </w:r>
      <w:r>
        <w:rPr>
          <w:rFonts w:hint="eastAsia" w:ascii="宋体" w:hAnsi="宋体" w:eastAsia="宋体" w:cs="宋体"/>
          <w:color w:val="auto"/>
          <w:highlight w:val="none"/>
          <w:lang w:val="en"/>
        </w:rPr>
        <w:t>其他</w:t>
      </w:r>
      <w:r>
        <w:rPr>
          <w:rFonts w:hint="eastAsia" w:ascii="宋体" w:hAnsi="宋体" w:eastAsia="宋体" w:cs="宋体"/>
          <w:color w:val="auto"/>
          <w:highlight w:val="none"/>
        </w:rPr>
        <w:t>任何费用。</w:t>
      </w:r>
    </w:p>
    <w:p w14:paraId="71407CC2">
      <w:pPr>
        <w:adjustRightInd w:val="0"/>
        <w:snapToGrid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 履行合同的时间、地点和方式</w:t>
      </w:r>
    </w:p>
    <w:p w14:paraId="14BD42DE">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3.1 乙方应当在约定的时间、地点，按照约定方式履行合同。</w:t>
      </w:r>
    </w:p>
    <w:p w14:paraId="17BE8CE2">
      <w:p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 甲方的权利和义务</w:t>
      </w:r>
    </w:p>
    <w:p w14:paraId="00963A9D">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381A1E88">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4.2 甲方有权要求乙方按时提交各阶段有关安排计划，并有权定期核对乙方提供货物数量、规格、质量等内容。甲方有权督促乙方工作并要求乙方更换不符合要求的货物。</w:t>
      </w:r>
    </w:p>
    <w:p w14:paraId="3B6F5DD8">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4.3 甲方有权要求乙方对缺陷部分予以修复，并按合同约定享有货物保修及其他合同约定的权利。</w:t>
      </w:r>
    </w:p>
    <w:p w14:paraId="2E564D15">
      <w:pPr>
        <w:snapToGrid w:val="0"/>
        <w:spacing w:line="360" w:lineRule="auto"/>
        <w:ind w:firstLine="420" w:firstLineChars="200"/>
        <w:rPr>
          <w:rFonts w:hint="eastAsia" w:ascii="宋体" w:hAnsi="宋体" w:eastAsia="宋体" w:cs="宋体"/>
          <w:color w:val="auto"/>
          <w:szCs w:val="24"/>
          <w:highlight w:val="none"/>
        </w:rPr>
      </w:pPr>
      <w:r>
        <w:rPr>
          <w:rFonts w:hint="eastAsia" w:ascii="宋体" w:hAnsi="宋体" w:eastAsia="宋体" w:cs="宋体"/>
          <w:color w:val="auto"/>
          <w:highlight w:val="none"/>
        </w:rPr>
        <w:t>4.4 甲方应当按照合同约定及时对交付的货物进行验收，未在</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约定的期限内对乙方履约提出任何异议或者向乙方作出任何说明的，视为验收通过。</w:t>
      </w:r>
    </w:p>
    <w:p w14:paraId="2F3EC5F9">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4.5 甲方应当根据合同约定及时向乙方支付合同价款，不得以内部人员变更、履行内部付款流程等为由，拒绝或迟延支付。</w:t>
      </w:r>
    </w:p>
    <w:p w14:paraId="7259CBD8">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4.6 国家法律法规规定及</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约定应由甲方承担的其他义务和责任。</w:t>
      </w:r>
    </w:p>
    <w:p w14:paraId="27C2ACFC">
      <w:p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 乙方的权利和义务</w:t>
      </w:r>
    </w:p>
    <w:p w14:paraId="451821E3">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5.1 签署合同后，乙方应确定项目负责人（或项目联系人），负责与本合同有关的事务。</w:t>
      </w:r>
    </w:p>
    <w:p w14:paraId="4274853F">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B879B30">
      <w:pPr>
        <w:spacing w:line="360" w:lineRule="auto"/>
        <w:ind w:firstLine="369" w:firstLineChars="176"/>
        <w:rPr>
          <w:rFonts w:hint="eastAsia" w:ascii="宋体" w:hAnsi="宋体" w:eastAsia="宋体" w:cs="宋体"/>
          <w:color w:val="auto"/>
          <w:highlight w:val="none"/>
        </w:rPr>
      </w:pPr>
      <w:r>
        <w:rPr>
          <w:rFonts w:hint="eastAsia" w:ascii="宋体" w:hAnsi="宋体" w:eastAsia="宋体" w:cs="宋体"/>
          <w:color w:val="auto"/>
          <w:highlight w:val="none"/>
        </w:rPr>
        <w:t>5.3乙方有权根据合同约定向甲方收取合同价款。</w:t>
      </w:r>
    </w:p>
    <w:p w14:paraId="3091810F">
      <w:pPr>
        <w:spacing w:line="360" w:lineRule="auto"/>
        <w:ind w:firstLine="369" w:firstLineChars="176"/>
        <w:rPr>
          <w:rFonts w:hint="eastAsia" w:ascii="宋体" w:hAnsi="宋体" w:eastAsia="宋体" w:cs="宋体"/>
          <w:color w:val="auto"/>
          <w:highlight w:val="none"/>
        </w:rPr>
      </w:pPr>
      <w:r>
        <w:rPr>
          <w:rFonts w:hint="eastAsia" w:ascii="宋体" w:hAnsi="宋体" w:eastAsia="宋体" w:cs="宋体"/>
          <w:color w:val="auto"/>
          <w:highlight w:val="none"/>
        </w:rPr>
        <w:t>5.4国家法律法规规定及</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约定应由乙方承担的其他义务和责任。</w:t>
      </w:r>
    </w:p>
    <w:p w14:paraId="4749BEB8">
      <w:pPr>
        <w:numPr>
          <w:ilvl w:val="0"/>
          <w:numId w:val="5"/>
        </w:num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合同履行</w:t>
      </w:r>
    </w:p>
    <w:p w14:paraId="71D9DCC7">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6.1 甲乙双方应当按照</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约定顺序履行合同义务；如果没有先后顺序的，应当同时履行。</w:t>
      </w:r>
    </w:p>
    <w:p w14:paraId="2D61D611">
      <w:pPr>
        <w:autoSpaceDE w:val="0"/>
        <w:autoSpaceDN w:val="0"/>
        <w:adjustRightInd w:val="0"/>
        <w:snapToGrid w:val="0"/>
        <w:spacing w:line="360" w:lineRule="auto"/>
        <w:ind w:firstLine="420" w:firstLineChars="200"/>
        <w:jc w:val="left"/>
        <w:rPr>
          <w:rFonts w:hint="eastAsia" w:ascii="宋体" w:hAnsi="宋体" w:eastAsia="宋体" w:cs="宋体"/>
          <w:color w:val="auto"/>
          <w:szCs w:val="24"/>
          <w:highlight w:val="none"/>
        </w:rPr>
      </w:pPr>
      <w:r>
        <w:rPr>
          <w:rFonts w:hint="eastAsia" w:ascii="宋体" w:hAnsi="宋体" w:eastAsia="宋体" w:cs="宋体"/>
          <w:color w:val="auto"/>
          <w:highlight w:val="none"/>
        </w:rPr>
        <w:t>6.2 甲乙双方按照合同约定顺序履行合同义务时，应当先履行一方未履行的，后履行一方有权拒绝其履行请求。先履行一方履行不符合约定的，后履行一方有权拒绝其相应的履行请求。</w:t>
      </w:r>
    </w:p>
    <w:p w14:paraId="65D2F4C8">
      <w:pPr>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 货物包装、运输、保险和交付要求</w:t>
      </w:r>
    </w:p>
    <w:p w14:paraId="6C3EDC7B">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7.1 本合同</w:t>
      </w:r>
      <w:r>
        <w:rPr>
          <w:rFonts w:hint="eastAsia" w:ascii="宋体" w:hAnsi="宋体" w:eastAsia="宋体" w:cs="宋体"/>
          <w:bCs/>
          <w:color w:val="auto"/>
          <w:highlight w:val="none"/>
        </w:rPr>
        <w:t>涉及商品包装、快递包装的，</w:t>
      </w:r>
      <w:r>
        <w:rPr>
          <w:rFonts w:hint="eastAsia" w:ascii="宋体" w:hAnsi="宋体" w:eastAsia="宋体" w:cs="宋体"/>
          <w:color w:val="auto"/>
          <w:highlight w:val="none"/>
        </w:rPr>
        <w:t>除</w:t>
      </w:r>
      <w:r>
        <w:rPr>
          <w:rFonts w:hint="eastAsia" w:ascii="宋体" w:hAnsi="宋体" w:eastAsia="宋体" w:cs="宋体"/>
          <w:b/>
          <w:color w:val="auto"/>
          <w:highlight w:val="none"/>
        </w:rPr>
        <w:t>【政府采购合同专用条款】</w:t>
      </w:r>
      <w:r>
        <w:rPr>
          <w:rFonts w:hint="eastAsia" w:ascii="宋体" w:hAnsi="宋体" w:eastAsia="宋体" w:cs="宋体"/>
          <w:bCs/>
          <w:color w:val="auto"/>
          <w:highlight w:val="none"/>
        </w:rPr>
        <w:t>另有约定外，</w:t>
      </w:r>
      <w:r>
        <w:rPr>
          <w:rFonts w:hint="eastAsia" w:ascii="宋体" w:hAnsi="宋体" w:eastAsia="宋体" w:cs="宋体"/>
          <w:color w:val="auto"/>
          <w:highlight w:val="none"/>
        </w:rPr>
        <w:t>包装应适应远距离运输、防潮、防震、防锈和防野蛮装卸等要求，确保货物安全无损地运抵</w:t>
      </w:r>
      <w:r>
        <w:rPr>
          <w:rFonts w:hint="eastAsia" w:ascii="宋体" w:hAnsi="宋体" w:eastAsia="宋体" w:cs="宋体"/>
          <w:b/>
          <w:color w:val="auto"/>
          <w:highlight w:val="none"/>
        </w:rPr>
        <w:t>【政府采购合同专用条款】</w:t>
      </w:r>
      <w:r>
        <w:rPr>
          <w:rFonts w:hint="eastAsia" w:ascii="宋体" w:hAnsi="宋体" w:eastAsia="宋体" w:cs="宋体"/>
          <w:bCs/>
          <w:color w:val="auto"/>
          <w:highlight w:val="none"/>
        </w:rPr>
        <w:t>约定的</w:t>
      </w:r>
      <w:r>
        <w:rPr>
          <w:rFonts w:hint="eastAsia" w:ascii="宋体" w:hAnsi="宋体" w:eastAsia="宋体" w:cs="宋体"/>
          <w:color w:val="auto"/>
          <w:highlight w:val="none"/>
        </w:rPr>
        <w:t>指定现场。</w:t>
      </w:r>
    </w:p>
    <w:p w14:paraId="554D6C64">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7.2 除</w:t>
      </w:r>
      <w:r>
        <w:rPr>
          <w:rFonts w:hint="eastAsia" w:ascii="宋体" w:hAnsi="宋体" w:eastAsia="宋体" w:cs="宋体"/>
          <w:b/>
          <w:color w:val="auto"/>
          <w:highlight w:val="none"/>
        </w:rPr>
        <w:t>【政府采购合同专用条款】</w:t>
      </w:r>
      <w:r>
        <w:rPr>
          <w:rFonts w:hint="eastAsia" w:ascii="宋体" w:hAnsi="宋体" w:eastAsia="宋体" w:cs="宋体"/>
          <w:bCs/>
          <w:color w:val="auto"/>
          <w:highlight w:val="none"/>
        </w:rPr>
        <w:t>另有约定外，</w:t>
      </w:r>
      <w:r>
        <w:rPr>
          <w:rFonts w:hint="eastAsia" w:ascii="宋体" w:hAnsi="宋体" w:eastAsia="宋体" w:cs="宋体"/>
          <w:color w:val="auto"/>
          <w:highlight w:val="none"/>
        </w:rPr>
        <w:t>乙方负责办理将货物运抵本合同规定的</w:t>
      </w:r>
      <w:r>
        <w:rPr>
          <w:rFonts w:hint="eastAsia" w:ascii="宋体" w:hAnsi="宋体" w:eastAsia="宋体" w:cs="宋体"/>
          <w:color w:val="auto"/>
          <w:highlight w:val="none"/>
          <w:lang w:eastAsia="zh-CN"/>
        </w:rPr>
        <w:t>完成地点</w:t>
      </w:r>
      <w:r>
        <w:rPr>
          <w:rFonts w:hint="eastAsia" w:ascii="宋体" w:hAnsi="宋体" w:eastAsia="宋体" w:cs="宋体"/>
          <w:color w:val="auto"/>
          <w:highlight w:val="none"/>
        </w:rPr>
        <w:t>，并装卸、交付至甲方的一切运输事项，相关费用应包含在合同价款中。</w:t>
      </w:r>
    </w:p>
    <w:p w14:paraId="7C13AB15">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7.3 货物保险要求按</w:t>
      </w:r>
      <w:r>
        <w:rPr>
          <w:rFonts w:hint="eastAsia" w:ascii="宋体" w:hAnsi="宋体" w:eastAsia="宋体" w:cs="宋体"/>
          <w:b/>
          <w:color w:val="auto"/>
          <w:highlight w:val="none"/>
        </w:rPr>
        <w:t>【政府采购合同专用条款】</w:t>
      </w:r>
      <w:r>
        <w:rPr>
          <w:rFonts w:hint="eastAsia" w:ascii="宋体" w:hAnsi="宋体" w:eastAsia="宋体" w:cs="宋体"/>
          <w:bCs/>
          <w:color w:val="auto"/>
          <w:highlight w:val="none"/>
        </w:rPr>
        <w:t>规定执行</w:t>
      </w:r>
      <w:r>
        <w:rPr>
          <w:rFonts w:hint="eastAsia" w:ascii="宋体" w:hAnsi="宋体" w:eastAsia="宋体" w:cs="宋体"/>
          <w:color w:val="auto"/>
          <w:highlight w:val="none"/>
        </w:rPr>
        <w:t>。</w:t>
      </w:r>
    </w:p>
    <w:p w14:paraId="00ECDDCB">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6CA8AFD">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7.5 乙方在运输到达之前应提前通知甲方，并提示货物运输装卸的注意事项，甲方配合乙方做好货物的接收工作。</w:t>
      </w:r>
    </w:p>
    <w:p w14:paraId="49630F0E">
      <w:pPr>
        <w:widowControl/>
        <w:autoSpaceDE w:val="0"/>
        <w:autoSpaceDN w:val="0"/>
        <w:adjustRightInd w:val="0"/>
        <w:spacing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highlight w:val="none"/>
        </w:rPr>
        <w:t>7.6 如因包装、运输问题导致货物损毁、丢失或者品质下降，甲方有权要求降价、换货、拒收部分或整批货物，由此产生的费用和损失，均由乙方承担。</w:t>
      </w:r>
    </w:p>
    <w:p w14:paraId="4B8CD12E">
      <w:pPr>
        <w:adjustRightInd w:val="0"/>
        <w:snapToGrid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8. 质量标准和保证</w:t>
      </w:r>
    </w:p>
    <w:p w14:paraId="7CE60567">
      <w:pPr>
        <w:adjustRightInd w:val="0"/>
        <w:snapToGrid w:val="0"/>
        <w:spacing w:line="360" w:lineRule="auto"/>
        <w:ind w:firstLine="420" w:firstLineChars="200"/>
        <w:jc w:val="left"/>
        <w:rPr>
          <w:rFonts w:hint="eastAsia" w:ascii="宋体" w:hAnsi="宋体" w:eastAsia="宋体" w:cs="宋体"/>
          <w:b/>
          <w:color w:val="auto"/>
          <w:highlight w:val="none"/>
        </w:rPr>
      </w:pPr>
      <w:r>
        <w:rPr>
          <w:rFonts w:hint="eastAsia" w:ascii="宋体" w:hAnsi="宋体" w:eastAsia="宋体" w:cs="宋体"/>
          <w:color w:val="auto"/>
          <w:highlight w:val="none"/>
        </w:rPr>
        <w:t>8.1 质量标准</w:t>
      </w:r>
    </w:p>
    <w:p w14:paraId="4E414324">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FF2CB15">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（2）采用中华人民共和国法定计量单位。</w:t>
      </w:r>
    </w:p>
    <w:p w14:paraId="08867D50">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（3）乙方所提供的货物应符合国家有关安全、环保、卫生的规定。</w:t>
      </w:r>
    </w:p>
    <w:p w14:paraId="4732F9E7">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（4）乙方应向甲方提交所提供货物的技术文件，包括相应的中文技术文件，如：产品目录、图纸、操作手册、使用说明、维护手册或服务指南等。上述文件应包装好随货物一同发运。</w:t>
      </w:r>
    </w:p>
    <w:p w14:paraId="65463491">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8.2 保证</w:t>
      </w:r>
    </w:p>
    <w:p w14:paraId="6407171F">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highlight w:val="none"/>
        </w:rPr>
        <w:t>【政府采购合同专用条款】</w:t>
      </w:r>
      <w:r>
        <w:rPr>
          <w:rFonts w:hint="eastAsia" w:ascii="宋体" w:hAnsi="宋体" w:eastAsia="宋体" w:cs="宋体"/>
          <w:color w:val="auto"/>
          <w:highlight w:val="none"/>
        </w:rPr>
        <w:t>规定或乙方书面承诺（两者以较长的为准）的质量保证期内，本保证保持有效。</w:t>
      </w:r>
    </w:p>
    <w:p w14:paraId="458D4DBB">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（2）在质量保证期内所发现的缺陷，甲方应尽快以书面形式通知乙方。</w:t>
      </w:r>
    </w:p>
    <w:p w14:paraId="606425DC">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（3）乙方收到通知后，应在</w:t>
      </w:r>
      <w:r>
        <w:rPr>
          <w:rFonts w:hint="eastAsia" w:ascii="宋体" w:hAnsi="宋体" w:eastAsia="宋体" w:cs="宋体"/>
          <w:b/>
          <w:color w:val="auto"/>
          <w:highlight w:val="none"/>
        </w:rPr>
        <w:t>【政府采购合同专用条款】</w:t>
      </w:r>
      <w:r>
        <w:rPr>
          <w:rFonts w:hint="eastAsia" w:ascii="宋体" w:hAnsi="宋体" w:eastAsia="宋体" w:cs="宋体"/>
          <w:color w:val="auto"/>
          <w:highlight w:val="none"/>
        </w:rPr>
        <w:t>规定的响应时间内以合理的速度免费维修或更换有缺陷的货物或部件。</w:t>
      </w:r>
    </w:p>
    <w:p w14:paraId="5C5DD14E">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5A666229">
      <w:pPr>
        <w:adjustRightInd w:val="0"/>
        <w:snapToGrid w:val="0"/>
        <w:spacing w:line="360" w:lineRule="auto"/>
        <w:ind w:firstLine="420" w:firstLineChars="200"/>
        <w:jc w:val="left"/>
        <w:rPr>
          <w:rFonts w:hint="eastAsia" w:ascii="宋体" w:hAnsi="宋体" w:eastAsia="宋体" w:cs="宋体"/>
          <w:color w:val="auto"/>
          <w:szCs w:val="24"/>
          <w:highlight w:val="none"/>
        </w:rPr>
      </w:pPr>
      <w:r>
        <w:rPr>
          <w:rFonts w:hint="eastAsia" w:ascii="宋体" w:hAnsi="宋体" w:eastAsia="宋体" w:cs="宋体"/>
          <w:color w:val="auto"/>
          <w:highlight w:val="none"/>
        </w:rPr>
        <w:t>（5）乙方在约定的时间内未能弥补缺陷，甲方可采取必要的补救措施，但其风险和费用将由乙方承担，甲方根据合同约定对乙方行使的其他权利不受影响。</w:t>
      </w:r>
    </w:p>
    <w:p w14:paraId="39D1D68F">
      <w:pPr>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 权利瑕疵担保</w:t>
      </w:r>
    </w:p>
    <w:p w14:paraId="1550D148">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9.1 乙方保证对其出售的货物享有合法的权利。</w:t>
      </w:r>
    </w:p>
    <w:p w14:paraId="7EA19D0A">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9.2 </w:t>
      </w:r>
      <w:r>
        <w:rPr>
          <w:rFonts w:hint="eastAsia" w:ascii="宋体" w:hAnsi="宋体" w:eastAsia="宋体" w:cs="宋体"/>
          <w:color w:val="auto"/>
          <w:szCs w:val="15"/>
          <w:highlight w:val="none"/>
        </w:rPr>
        <w:t>乙方保证在交付的货物上不存在抵押权等担保物权。</w:t>
      </w:r>
    </w:p>
    <w:p w14:paraId="4AD85A44">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9.3 如甲方使用上述货物构成对第三人侵权的，则由乙方承担全部责任。</w:t>
      </w:r>
    </w:p>
    <w:p w14:paraId="170B690B">
      <w:p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 知识产权保护</w:t>
      </w:r>
    </w:p>
    <w:p w14:paraId="5506E844">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10.1 乙方对其所销售的货物应当享有知识产权或经权利人合法授权，保证没有侵犯任何第三人的知识产权等权利。</w:t>
      </w:r>
      <w:bookmarkStart w:id="246" w:name="_Hlk163047038"/>
      <w:r>
        <w:rPr>
          <w:rFonts w:hint="eastAsia" w:ascii="宋体" w:hAnsi="宋体" w:eastAsia="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246"/>
      <w:r>
        <w:rPr>
          <w:rFonts w:hint="eastAsia" w:ascii="宋体" w:hAnsi="宋体" w:eastAsia="宋体" w:cs="宋体"/>
          <w:color w:val="auto"/>
          <w:highlight w:val="none"/>
        </w:rPr>
        <w:t>。</w:t>
      </w:r>
    </w:p>
    <w:p w14:paraId="0E970082">
      <w:p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 保密义务</w:t>
      </w:r>
    </w:p>
    <w:p w14:paraId="47299D1A">
      <w:pPr>
        <w:autoSpaceDE w:val="0"/>
        <w:autoSpaceDN w:val="0"/>
        <w:adjustRightInd w:val="0"/>
        <w:snapToGrid w:val="0"/>
        <w:spacing w:line="360" w:lineRule="auto"/>
        <w:ind w:firstLine="420" w:firstLineChars="200"/>
        <w:jc w:val="left"/>
        <w:rPr>
          <w:rFonts w:hint="eastAsia" w:ascii="宋体" w:hAnsi="宋体" w:eastAsia="宋体" w:cs="宋体"/>
          <w:color w:val="auto"/>
          <w:szCs w:val="15"/>
          <w:highlight w:val="none"/>
        </w:rPr>
      </w:pPr>
      <w:r>
        <w:rPr>
          <w:rFonts w:hint="eastAsia" w:ascii="宋体" w:hAnsi="宋体" w:eastAsia="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中约定。</w:t>
      </w:r>
    </w:p>
    <w:p w14:paraId="5FA8F7E1">
      <w:p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 合同价款支付</w:t>
      </w:r>
    </w:p>
    <w:p w14:paraId="50CE0B6D">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12.1 合同价款支付按照国库集中支付制度及财政管理相关规定执行。</w:t>
      </w:r>
    </w:p>
    <w:p w14:paraId="54CF89E8">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016684C0">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 履约保证金</w:t>
      </w:r>
    </w:p>
    <w:p w14:paraId="27520781">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13.1 </w:t>
      </w:r>
      <w:r>
        <w:rPr>
          <w:rFonts w:hint="eastAsia" w:ascii="宋体" w:hAnsi="宋体" w:eastAsia="宋体" w:cs="宋体"/>
          <w:color w:val="auto"/>
          <w:szCs w:val="15"/>
          <w:highlight w:val="none"/>
        </w:rPr>
        <w:t>乙方应当以支票、汇票、本票或者金融机构、担保机构出具的保函等非现金形式提交。</w:t>
      </w:r>
    </w:p>
    <w:p w14:paraId="77B45AD6">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13.2 如果乙方出现</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约定情形的</w:t>
      </w:r>
      <w:r>
        <w:rPr>
          <w:rFonts w:hint="eastAsia" w:ascii="宋体" w:hAnsi="宋体" w:eastAsia="宋体" w:cs="宋体"/>
          <w:color w:val="auto"/>
          <w:highlight w:val="none"/>
        </w:rPr>
        <w:t>，履约保证金不予退还；如果乙方未能按合同约定全面履行义务，甲方有权从履约保证金中取得补偿或赔偿，且不影响甲方要求乙方承担合同约定的超过履约保证金的违约责任的权利。</w:t>
      </w:r>
    </w:p>
    <w:p w14:paraId="5C38C1F3">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highlight w:val="none"/>
        </w:rPr>
        <w:t>13.3 甲方在项目通过验收后按照</w:t>
      </w:r>
      <w:r>
        <w:rPr>
          <w:rFonts w:hint="eastAsia" w:ascii="宋体" w:hAnsi="宋体" w:eastAsia="宋体" w:cs="宋体"/>
          <w:b/>
          <w:color w:val="auto"/>
          <w:highlight w:val="none"/>
        </w:rPr>
        <w:t>【政府采购合同专用条款】</w:t>
      </w:r>
      <w:r>
        <w:rPr>
          <w:rFonts w:hint="eastAsia" w:ascii="宋体" w:hAnsi="宋体" w:eastAsia="宋体" w:cs="宋体"/>
          <w:color w:val="auto"/>
          <w:highlight w:val="none"/>
        </w:rPr>
        <w:t>规定的时间内将履约保证金退还乙方；逾期退还的，乙方可要求甲方支付违约金，违约金按照</w:t>
      </w:r>
      <w:r>
        <w:rPr>
          <w:rFonts w:hint="eastAsia" w:ascii="宋体" w:hAnsi="宋体" w:eastAsia="宋体" w:cs="宋体"/>
          <w:b/>
          <w:color w:val="auto"/>
          <w:highlight w:val="none"/>
        </w:rPr>
        <w:t>【政府采购合同专用条款】</w:t>
      </w:r>
      <w:r>
        <w:rPr>
          <w:rFonts w:hint="eastAsia" w:ascii="宋体" w:hAnsi="宋体" w:eastAsia="宋体" w:cs="宋体"/>
          <w:color w:val="auto"/>
          <w:highlight w:val="none"/>
        </w:rPr>
        <w:t>规定支付。</w:t>
      </w:r>
    </w:p>
    <w:p w14:paraId="23F09D03">
      <w:pPr>
        <w:autoSpaceDE w:val="0"/>
        <w:autoSpaceDN w:val="0"/>
        <w:adjustRightInd w:val="0"/>
        <w:snapToGrid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14. </w:t>
      </w:r>
      <w:r>
        <w:rPr>
          <w:rFonts w:hint="eastAsia" w:ascii="宋体" w:hAnsi="宋体" w:eastAsia="宋体" w:cs="宋体"/>
          <w:b/>
          <w:color w:val="auto"/>
          <w:sz w:val="24"/>
          <w:szCs w:val="24"/>
          <w:highlight w:val="none"/>
        </w:rPr>
        <w:t>售后服务</w:t>
      </w:r>
    </w:p>
    <w:p w14:paraId="0B75F3DF">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14.1 除项目不涉及或采购活动中明确约定无须承担外，乙方还应提供下列服务：</w:t>
      </w:r>
    </w:p>
    <w:p w14:paraId="20545F65">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（1）货物的现场移动、安装、调试、启动监督及技术支持；</w:t>
      </w:r>
    </w:p>
    <w:p w14:paraId="5EAD8D45">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（2）提供货物组装和维修所需的专用工具和辅助材料；</w:t>
      </w:r>
    </w:p>
    <w:p w14:paraId="436C3880">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highlight w:val="none"/>
        </w:rPr>
        <w:t>约定的期限内对所有的货物实施运行监督、维修，但前提条件是该服务并不能免除乙方在质量保证期内所承担的义务；</w:t>
      </w:r>
    </w:p>
    <w:p w14:paraId="7A8A6F4A">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（4）在制造商所在地或指定现场就货物的安装、启动、运营、维护、废弃处置等对甲方操作人员进行培训</w:t>
      </w:r>
      <w:r>
        <w:rPr>
          <w:rFonts w:hint="eastAsia" w:ascii="宋体" w:hAnsi="宋体" w:eastAsia="宋体" w:cs="宋体"/>
          <w:color w:val="auto"/>
          <w:szCs w:val="15"/>
          <w:highlight w:val="none"/>
        </w:rPr>
        <w:t>；</w:t>
      </w:r>
    </w:p>
    <w:p w14:paraId="3F7ADA6C">
      <w:pPr>
        <w:widowControl/>
        <w:autoSpaceDE w:val="0"/>
        <w:autoSpaceDN w:val="0"/>
        <w:adjustRightInd w:val="0"/>
        <w:spacing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（5）依照法律、行政法规的规定或者按照</w:t>
      </w:r>
      <w:r>
        <w:rPr>
          <w:rFonts w:hint="eastAsia" w:ascii="宋体" w:hAnsi="宋体" w:eastAsia="宋体" w:cs="宋体"/>
          <w:b/>
          <w:bCs/>
          <w:color w:val="auto"/>
          <w:kern w:val="0"/>
          <w:highlight w:val="none"/>
        </w:rPr>
        <w:t>【政府采购合同专用条款】</w:t>
      </w:r>
      <w:r>
        <w:rPr>
          <w:rFonts w:hint="eastAsia" w:ascii="宋体" w:hAnsi="宋体" w:eastAsia="宋体" w:cs="宋体"/>
          <w:color w:val="auto"/>
          <w:kern w:val="0"/>
          <w:highlight w:val="none"/>
        </w:rPr>
        <w:t>约定，货物在有效使用年限届满后应予回收的，乙方负有自行或者委托第三人对货物予以回收的义务；</w:t>
      </w:r>
    </w:p>
    <w:p w14:paraId="2D97CA94">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b/>
          <w:color w:val="auto"/>
          <w:highlight w:val="none"/>
        </w:rPr>
        <w:t>【政府采购合同专用条款】</w:t>
      </w:r>
      <w:r>
        <w:rPr>
          <w:rFonts w:hint="eastAsia" w:ascii="宋体" w:hAnsi="宋体" w:eastAsia="宋体" w:cs="宋体"/>
          <w:color w:val="auto"/>
          <w:highlight w:val="none"/>
        </w:rPr>
        <w:t>规定由乙方提供的其他服务。</w:t>
      </w:r>
    </w:p>
    <w:p w14:paraId="6437B5A4">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14.2 乙方提供的售后服务的费用已包含在合同价款中，甲方不再另行支付。</w:t>
      </w:r>
    </w:p>
    <w:p w14:paraId="6C7757D6">
      <w:pPr>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 违约责任</w:t>
      </w:r>
    </w:p>
    <w:p w14:paraId="4252A606">
      <w:pPr>
        <w:adjustRightInd w:val="0"/>
        <w:snapToGrid w:val="0"/>
        <w:spacing w:line="360" w:lineRule="auto"/>
        <w:ind w:firstLine="420" w:firstLineChars="200"/>
        <w:jc w:val="left"/>
        <w:rPr>
          <w:rFonts w:hint="eastAsia" w:ascii="宋体" w:hAnsi="宋体" w:eastAsia="宋体" w:cs="宋体"/>
          <w:bCs/>
          <w:color w:val="auto"/>
          <w:highlight w:val="none"/>
        </w:rPr>
      </w:pPr>
      <w:r>
        <w:rPr>
          <w:rFonts w:hint="eastAsia" w:ascii="宋体" w:hAnsi="宋体" w:eastAsia="宋体" w:cs="宋体"/>
          <w:bCs/>
          <w:color w:val="auto"/>
          <w:highlight w:val="none"/>
        </w:rPr>
        <w:t>15.1质量瑕疵的违约责任</w:t>
      </w:r>
    </w:p>
    <w:p w14:paraId="10021490">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乙方提供的产品不符合合同约定的质量标准或存在产品质量缺陷，甲方有权要求乙方根据</w:t>
      </w:r>
      <w:r>
        <w:rPr>
          <w:rFonts w:hint="eastAsia" w:ascii="宋体" w:hAnsi="宋体" w:eastAsia="宋体" w:cs="宋体"/>
          <w:b/>
          <w:color w:val="auto"/>
          <w:highlight w:val="none"/>
        </w:rPr>
        <w:t>【政府采购合同专用条款】</w:t>
      </w:r>
      <w:r>
        <w:rPr>
          <w:rFonts w:hint="eastAsia" w:ascii="宋体" w:hAnsi="宋体" w:eastAsia="宋体" w:cs="宋体"/>
          <w:bCs/>
          <w:color w:val="auto"/>
          <w:highlight w:val="none"/>
        </w:rPr>
        <w:t>要求</w:t>
      </w:r>
      <w:r>
        <w:rPr>
          <w:rFonts w:hint="eastAsia" w:ascii="宋体" w:hAnsi="宋体" w:eastAsia="宋体" w:cs="宋体"/>
          <w:color w:val="auto"/>
          <w:highlight w:val="none"/>
        </w:rPr>
        <w:t>及时修理、重作、更换，并承担由此给甲方造成的损失。</w:t>
      </w:r>
    </w:p>
    <w:p w14:paraId="05EF3812">
      <w:pPr>
        <w:autoSpaceDE w:val="0"/>
        <w:autoSpaceDN w:val="0"/>
        <w:adjustRightInd w:val="0"/>
        <w:snapToGrid w:val="0"/>
        <w:spacing w:line="360" w:lineRule="auto"/>
        <w:ind w:firstLine="420" w:firstLineChars="200"/>
        <w:jc w:val="left"/>
        <w:rPr>
          <w:rFonts w:hint="eastAsia" w:ascii="宋体" w:hAnsi="宋体" w:eastAsia="宋体" w:cs="宋体"/>
          <w:bCs/>
          <w:color w:val="auto"/>
          <w:highlight w:val="none"/>
        </w:rPr>
      </w:pPr>
      <w:r>
        <w:rPr>
          <w:rFonts w:hint="eastAsia" w:ascii="宋体" w:hAnsi="宋体" w:eastAsia="宋体" w:cs="宋体"/>
          <w:bCs/>
          <w:color w:val="auto"/>
          <w:highlight w:val="none"/>
        </w:rPr>
        <w:t>15.2 迟延交货的违约责任</w:t>
      </w:r>
    </w:p>
    <w:p w14:paraId="44F02E22">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F379822">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highlight w:val="none"/>
        </w:rPr>
        <w:t>【政府采购合同专用条款】</w:t>
      </w:r>
      <w:r>
        <w:rPr>
          <w:rFonts w:hint="eastAsia" w:ascii="宋体" w:hAnsi="宋体" w:eastAsia="宋体" w:cs="宋体"/>
          <w:color w:val="auto"/>
          <w:highlight w:val="none"/>
        </w:rPr>
        <w:t>规定执行。如果涉及公共利益，且赔偿金额无法弥补公共利益损失，甲方可要求继续履行或者采取其他补救措施。</w:t>
      </w:r>
    </w:p>
    <w:p w14:paraId="06475116">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15.3 迟延支付的违约责任</w:t>
      </w:r>
    </w:p>
    <w:p w14:paraId="6E2C903E">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甲方存在迟延支付乙方合同款项的，应当承担</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规定的逾期付款利息。</w:t>
      </w:r>
    </w:p>
    <w:p w14:paraId="2B59FD8B">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bCs/>
          <w:color w:val="auto"/>
          <w:highlight w:val="none"/>
        </w:rPr>
        <w:t>15.4其他违约责任根据项目实际需要按</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规定执行。</w:t>
      </w:r>
    </w:p>
    <w:p w14:paraId="6739A1DF">
      <w:pPr>
        <w:numPr>
          <w:ilvl w:val="0"/>
          <w:numId w:val="6"/>
        </w:numPr>
        <w:autoSpaceDE w:val="0"/>
        <w:autoSpaceDN w:val="0"/>
        <w:adjustRightInd w:val="0"/>
        <w:snapToGrid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合同变更、中止与终止</w:t>
      </w:r>
    </w:p>
    <w:p w14:paraId="6B55FDEC">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16.1合同的变更</w:t>
      </w:r>
    </w:p>
    <w:p w14:paraId="029AF91A">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政府采购合同履行中，在不改变合同其他条款的前提下，甲方可以在合同价款10%的范围内追加与合同标的相同的货物，并就此与乙方协商一致后签订补充协议。</w:t>
      </w:r>
    </w:p>
    <w:p w14:paraId="2331B93D">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16.2合同的中止</w:t>
      </w:r>
    </w:p>
    <w:p w14:paraId="479C943C">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（1）合同履行过程中因供应商就采购文件、采购过程或结果提起投诉的，甲方认为有必要的，可以中止合同的履行。</w:t>
      </w:r>
    </w:p>
    <w:p w14:paraId="3BF75F32">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C2EF1EC">
      <w:pPr>
        <w:widowControl/>
        <w:autoSpaceDE w:val="0"/>
        <w:autoSpaceDN w:val="0"/>
        <w:adjustRightIn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（3）乙方分立、合并或者变更住所的，应当及时以书面形式告知甲方。乙方没有及时告知甲方，致使合同履行发生困难的，甲方可以中止合同履行并要求乙方承担由此给甲方造成的损失。</w:t>
      </w:r>
    </w:p>
    <w:p w14:paraId="7DDABB75">
      <w:pPr>
        <w:snapToGrid w:val="0"/>
        <w:spacing w:line="360" w:lineRule="auto"/>
        <w:ind w:firstLine="420" w:firstLineChars="200"/>
        <w:jc w:val="left"/>
        <w:rPr>
          <w:rFonts w:hint="eastAsia" w:ascii="宋体" w:hAnsi="宋体" w:eastAsia="宋体" w:cs="宋体"/>
          <w:color w:val="auto"/>
          <w:szCs w:val="24"/>
          <w:highlight w:val="none"/>
        </w:rPr>
      </w:pPr>
      <w:r>
        <w:rPr>
          <w:rFonts w:hint="eastAsia" w:ascii="宋体" w:hAnsi="宋体" w:eastAsia="宋体" w:cs="宋体"/>
          <w:color w:val="auto"/>
          <w:highlight w:val="none"/>
        </w:rPr>
        <w:t>（4）甲方不得以行政区划调整、政府换届、机构或者职能调整以及相关责任人更替为由中止合同。</w:t>
      </w:r>
    </w:p>
    <w:p w14:paraId="28E3FA25">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16.3合同的终止</w:t>
      </w:r>
    </w:p>
    <w:p w14:paraId="78DFFE98">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（1）合同因有效期限届满而终止；</w:t>
      </w:r>
    </w:p>
    <w:p w14:paraId="0C824895">
      <w:pPr>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（2）乙方未按合同约定履行，构成根本性违约的，甲方有权终止合同，并追究乙方的违约责任。</w:t>
      </w:r>
    </w:p>
    <w:p w14:paraId="4D5B576E">
      <w:pPr>
        <w:widowControl/>
        <w:autoSpaceDE w:val="0"/>
        <w:autoSpaceDN w:val="0"/>
        <w:adjustRightInd w:val="0"/>
        <w:spacing w:line="360" w:lineRule="auto"/>
        <w:ind w:firstLine="440" w:firstLineChars="200"/>
        <w:jc w:val="left"/>
        <w:rPr>
          <w:rFonts w:hint="eastAsia"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16.4 </w:t>
      </w:r>
      <w:r>
        <w:rPr>
          <w:rFonts w:hint="eastAsia" w:ascii="宋体" w:hAnsi="宋体" w:eastAsia="宋体" w:cs="宋体"/>
          <w:color w:val="auto"/>
          <w:highlight w:val="none"/>
        </w:rPr>
        <w:t>涉及国家利益、社会公共利益的情形</w:t>
      </w:r>
    </w:p>
    <w:p w14:paraId="6F153E13">
      <w:pPr>
        <w:widowControl/>
        <w:autoSpaceDE w:val="0"/>
        <w:autoSpaceDN w:val="0"/>
        <w:adjustRightIn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政府采购合同继续履行将损害国家利益和社会公共利益的，双方当事人应当变更、中止或者终止合同。有过错的一方应当承担赔偿责任，双方都有过错的，各自承担相应的责任。</w:t>
      </w:r>
    </w:p>
    <w:p w14:paraId="3A163DC0">
      <w:p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 合同分包</w:t>
      </w:r>
    </w:p>
    <w:p w14:paraId="543D7DB2">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17.1 乙方不得将合同转包给其他供应商。涉及合同分包的，乙方应根据采购文件和投标（响应）文件规定进行合同分包。</w:t>
      </w:r>
    </w:p>
    <w:p w14:paraId="5CE5E96A">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17.2 乙方执行政府采购政策向中小企业依法分包的，乙方应当按采购文件和投标（响应）文件签订分包意向协议，分包意向协议属于本合同组成部分。</w:t>
      </w:r>
    </w:p>
    <w:p w14:paraId="6497327C">
      <w:p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18. 不可抗力</w:t>
      </w:r>
    </w:p>
    <w:p w14:paraId="66F28617">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18.1 不可抗力是指合同双方不能预见、不能避免且不能克服的客观情况。</w:t>
      </w:r>
    </w:p>
    <w:p w14:paraId="312D8822">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18.2 任何一方对由于不可抗力造成的部分或全部不能履行合同不承担违约责任。但迟延履行后发生不可抗力的，不能免除责任。</w:t>
      </w:r>
    </w:p>
    <w:p w14:paraId="079D59A2">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245E4E4">
      <w:p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19. 解决争议的方法</w:t>
      </w:r>
    </w:p>
    <w:p w14:paraId="1788A6AC">
      <w:pPr>
        <w:widowControl/>
        <w:autoSpaceDE w:val="0"/>
        <w:autoSpaceDN w:val="0"/>
        <w:adjustRightIn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5B814613">
      <w:pPr>
        <w:widowControl/>
        <w:autoSpaceDE w:val="0"/>
        <w:autoSpaceDN w:val="0"/>
        <w:adjustRightIn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19.2 选择仲裁的，应在</w:t>
      </w:r>
      <w:r>
        <w:rPr>
          <w:rFonts w:hint="eastAsia" w:ascii="宋体" w:hAnsi="宋体" w:eastAsia="宋体" w:cs="宋体"/>
          <w:b/>
          <w:bCs/>
          <w:color w:val="auto"/>
          <w:kern w:val="0"/>
          <w:highlight w:val="none"/>
        </w:rPr>
        <w:t>【政府采购合同专用条款】</w:t>
      </w:r>
      <w:r>
        <w:rPr>
          <w:rFonts w:hint="eastAsia" w:ascii="宋体" w:hAnsi="宋体" w:eastAsia="宋体" w:cs="宋体"/>
          <w:color w:val="auto"/>
          <w:kern w:val="0"/>
          <w:highlight w:val="none"/>
        </w:rPr>
        <w:t>中明确仲裁机构及仲裁地；通过诉讼方式解决的，可以在</w:t>
      </w:r>
      <w:r>
        <w:rPr>
          <w:rFonts w:hint="eastAsia" w:ascii="宋体" w:hAnsi="宋体" w:eastAsia="宋体" w:cs="宋体"/>
          <w:b/>
          <w:bCs/>
          <w:color w:val="auto"/>
          <w:kern w:val="0"/>
          <w:highlight w:val="none"/>
        </w:rPr>
        <w:t>【政府采购合同专用条款】</w:t>
      </w:r>
      <w:r>
        <w:rPr>
          <w:rFonts w:hint="eastAsia" w:ascii="宋体" w:hAnsi="宋体" w:eastAsia="宋体" w:cs="宋体"/>
          <w:color w:val="auto"/>
          <w:kern w:val="0"/>
          <w:highlight w:val="none"/>
        </w:rPr>
        <w:t>中进一步约定选择与争议有实际联系的地点的人民法院管辖，但管辖法院的约定不得违反级别管辖和专属管辖的规定。</w:t>
      </w:r>
    </w:p>
    <w:p w14:paraId="0F590FF7">
      <w:pPr>
        <w:widowControl/>
        <w:autoSpaceDE w:val="0"/>
        <w:autoSpaceDN w:val="0"/>
        <w:adjustRightIn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19.3 如甲乙双方有争议的事项不影响合同其他部分的履行，在争议解决期间，合同其他部分应当继续履行。</w:t>
      </w:r>
    </w:p>
    <w:p w14:paraId="258A281A">
      <w:pPr>
        <w:autoSpaceDE w:val="0"/>
        <w:autoSpaceDN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20. 政府采购政策</w:t>
      </w:r>
    </w:p>
    <w:p w14:paraId="1D683532">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20.1 </w:t>
      </w:r>
      <w:r>
        <w:rPr>
          <w:rFonts w:hint="eastAsia" w:ascii="宋体" w:hAnsi="宋体" w:eastAsia="宋体" w:cs="宋体"/>
          <w:color w:val="auto"/>
          <w:szCs w:val="24"/>
          <w:highlight w:val="none"/>
          <w:lang w:val="en-GB"/>
        </w:rPr>
        <w:t>本合同应当按照规定执行政府采购政策。</w:t>
      </w:r>
    </w:p>
    <w:p w14:paraId="6EF5880D">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20.2 本合同依法执行政府采购政策的方式和内容，属于合同履约验收的范围。</w:t>
      </w:r>
      <w:r>
        <w:rPr>
          <w:rFonts w:hint="eastAsia" w:ascii="宋体" w:hAnsi="宋体" w:eastAsia="宋体" w:cs="宋体"/>
          <w:color w:val="auto"/>
          <w:szCs w:val="24"/>
          <w:highlight w:val="none"/>
        </w:rPr>
        <w:t>甲乙双方</w:t>
      </w:r>
      <w:r>
        <w:rPr>
          <w:rFonts w:hint="eastAsia" w:ascii="宋体" w:hAnsi="宋体" w:eastAsia="宋体" w:cs="宋体"/>
          <w:color w:val="auto"/>
          <w:szCs w:val="24"/>
          <w:highlight w:val="none"/>
          <w:lang w:val="en-GB"/>
        </w:rPr>
        <w:t>未按规定要求执行政府采购政策造成损失的</w:t>
      </w:r>
      <w:r>
        <w:rPr>
          <w:rFonts w:hint="eastAsia" w:ascii="宋体" w:hAnsi="宋体" w:eastAsia="宋体" w:cs="宋体"/>
          <w:color w:val="auto"/>
          <w:highlight w:val="none"/>
        </w:rPr>
        <w:t>，有过错的一方应当承担赔偿责任，双方都有过错的，各自承担相应的责任。</w:t>
      </w:r>
    </w:p>
    <w:p w14:paraId="7106FB94">
      <w:pPr>
        <w:spacing w:line="360" w:lineRule="auto"/>
        <w:ind w:firstLine="420" w:firstLineChars="200"/>
        <w:rPr>
          <w:rFonts w:hint="eastAsia" w:ascii="宋体" w:hAnsi="宋体" w:eastAsia="宋体" w:cs="宋体"/>
          <w:color w:val="auto"/>
          <w:szCs w:val="22"/>
          <w:highlight w:val="none"/>
        </w:rPr>
      </w:pPr>
      <w:r>
        <w:rPr>
          <w:rFonts w:hint="eastAsia" w:ascii="宋体" w:hAnsi="宋体" w:eastAsia="宋体" w:cs="宋体"/>
          <w:color w:val="auto"/>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A18F2CB">
      <w:pPr>
        <w:autoSpaceDE w:val="0"/>
        <w:autoSpaceDN w:val="0"/>
        <w:adjustRightInd w:val="0"/>
        <w:snapToGrid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21. 法律适用</w:t>
      </w:r>
    </w:p>
    <w:p w14:paraId="18C585B4">
      <w:pPr>
        <w:widowControl/>
        <w:autoSpaceDE w:val="0"/>
        <w:autoSpaceDN w:val="0"/>
        <w:adjustRightIn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21.1 本合同的订立、生效、解释、履行及与本合同有关的争议解决，均适用法律、行政法规。</w:t>
      </w:r>
    </w:p>
    <w:p w14:paraId="0F0316B0">
      <w:pPr>
        <w:widowControl/>
        <w:autoSpaceDE w:val="0"/>
        <w:autoSpaceDN w:val="0"/>
        <w:adjustRightIn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21.2 本合同条款与法律、行政法规的强制性规定不一致的，双方当事人应按照法律、行政法规的强制性规定修改本合同的相关条款。</w:t>
      </w:r>
    </w:p>
    <w:p w14:paraId="1FF1FCFC">
      <w:pPr>
        <w:numPr>
          <w:ilvl w:val="255"/>
          <w:numId w:val="0"/>
        </w:numPr>
        <w:autoSpaceDE w:val="0"/>
        <w:autoSpaceDN w:val="0"/>
        <w:adjustRightInd w:val="0"/>
        <w:snapToGrid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22. 通知</w:t>
      </w:r>
    </w:p>
    <w:p w14:paraId="2C0F87B5">
      <w:pPr>
        <w:widowControl/>
        <w:autoSpaceDE w:val="0"/>
        <w:autoSpaceDN w:val="0"/>
        <w:adjustRightIn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22.1 本合同任何一方向对方发出的通知、信件、数据电文等，应当发送至本合同第一部分《政府采购合同协议书》所约定的通讯地址、联系人、联系电话或电子邮箱。</w:t>
      </w:r>
    </w:p>
    <w:p w14:paraId="10BF3656">
      <w:pPr>
        <w:widowControl/>
        <w:autoSpaceDE w:val="0"/>
        <w:autoSpaceDN w:val="0"/>
        <w:adjustRightInd w:val="0"/>
        <w:spacing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22.2 一方当事人变更名称、住所、联系人、联系电话或电子邮箱等信息的，应当在变更后3日内及时书面通知对方，对方实际收到变更通知前的送达仍为有效送达。</w:t>
      </w:r>
    </w:p>
    <w:p w14:paraId="7F688D30">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22.3本合同一方给另一方的通知均应采用书面形式，传真或快递送到本合同中规定的对方的地址和办理签收手续。</w:t>
      </w:r>
    </w:p>
    <w:p w14:paraId="19CBE291">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22.4通知以送达之日或通知书中规定的生效之日起生效，两者中以较迟之日为准。</w:t>
      </w:r>
    </w:p>
    <w:p w14:paraId="3C1A0728">
      <w:pPr>
        <w:numPr>
          <w:ilvl w:val="0"/>
          <w:numId w:val="7"/>
        </w:numPr>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合同未尽事项</w:t>
      </w:r>
    </w:p>
    <w:p w14:paraId="062AF3CD">
      <w:pPr>
        <w:adjustRightInd w:val="0"/>
        <w:snapToGrid w:val="0"/>
        <w:spacing w:line="360" w:lineRule="auto"/>
        <w:ind w:firstLine="420" w:firstLineChars="200"/>
        <w:jc w:val="left"/>
        <w:rPr>
          <w:rFonts w:hint="eastAsia" w:ascii="宋体" w:hAnsi="宋体" w:eastAsia="宋体" w:cs="宋体"/>
          <w:bCs/>
          <w:color w:val="auto"/>
          <w:highlight w:val="none"/>
        </w:rPr>
      </w:pPr>
      <w:r>
        <w:rPr>
          <w:rFonts w:hint="eastAsia" w:ascii="宋体" w:hAnsi="宋体" w:eastAsia="宋体" w:cs="宋体"/>
          <w:bCs/>
          <w:color w:val="auto"/>
          <w:highlight w:val="none"/>
        </w:rPr>
        <w:t>23.1合同未尽事项见</w:t>
      </w:r>
      <w:r>
        <w:rPr>
          <w:rFonts w:hint="eastAsia" w:ascii="宋体" w:hAnsi="宋体" w:eastAsia="宋体" w:cs="宋体"/>
          <w:b/>
          <w:color w:val="auto"/>
          <w:highlight w:val="none"/>
        </w:rPr>
        <w:t>【政府采购合同专用条款】</w:t>
      </w:r>
      <w:r>
        <w:rPr>
          <w:rFonts w:hint="eastAsia" w:ascii="宋体" w:hAnsi="宋体" w:eastAsia="宋体" w:cs="宋体"/>
          <w:bCs/>
          <w:color w:val="auto"/>
          <w:highlight w:val="none"/>
        </w:rPr>
        <w:t>。</w:t>
      </w:r>
    </w:p>
    <w:p w14:paraId="038FB22A">
      <w:pPr>
        <w:adjustRightInd w:val="0"/>
        <w:snapToGrid w:val="0"/>
        <w:spacing w:line="360" w:lineRule="auto"/>
        <w:jc w:val="left"/>
        <w:rPr>
          <w:rFonts w:hint="eastAsia" w:ascii="宋体" w:hAnsi="宋体" w:eastAsia="宋体" w:cs="宋体"/>
          <w:color w:val="auto"/>
          <w:sz w:val="28"/>
          <w:szCs w:val="28"/>
          <w:highlight w:val="none"/>
        </w:rPr>
      </w:pPr>
      <w:r>
        <w:rPr>
          <w:rFonts w:hint="eastAsia" w:ascii="宋体" w:hAnsi="宋体" w:eastAsia="宋体" w:cs="宋体"/>
          <w:bCs/>
          <w:color w:val="auto"/>
          <w:highlight w:val="none"/>
        </w:rPr>
        <w:t xml:space="preserve">    23.2 合同附件与合同正文具有同等的法律效力。</w:t>
      </w:r>
      <w:bookmarkStart w:id="247" w:name="_Toc20313"/>
    </w:p>
    <w:p w14:paraId="5FE3E4C1">
      <w:pPr>
        <w:adjustRightInd w:val="0"/>
        <w:snapToGrid w:val="0"/>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133B15F4">
      <w:pPr>
        <w:keepNext/>
        <w:keepLines/>
        <w:adjustRightInd w:val="0"/>
        <w:snapToGrid w:val="0"/>
        <w:spacing w:line="360" w:lineRule="auto"/>
        <w:jc w:val="center"/>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第三节 政府采购合同专用条款</w:t>
      </w:r>
      <w:bookmarkEnd w:id="247"/>
    </w:p>
    <w:tbl>
      <w:tblPr>
        <w:tblStyle w:val="39"/>
        <w:tblW w:w="9322"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836"/>
        <w:gridCol w:w="5879"/>
      </w:tblGrid>
      <w:tr w14:paraId="41048A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3B88DF69">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6E3E062F">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第1.2（6）项</w:t>
            </w:r>
          </w:p>
        </w:tc>
        <w:tc>
          <w:tcPr>
            <w:tcW w:w="1836" w:type="dxa"/>
            <w:vAlign w:val="center"/>
          </w:tcPr>
          <w:p w14:paraId="3CF2D4C4">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联合体具体要求</w:t>
            </w:r>
          </w:p>
        </w:tc>
        <w:tc>
          <w:tcPr>
            <w:tcW w:w="5879" w:type="dxa"/>
            <w:vAlign w:val="center"/>
          </w:tcPr>
          <w:p w14:paraId="6740DD24">
            <w:pPr>
              <w:adjustRightInd w:val="0"/>
              <w:snapToGrid w:val="0"/>
              <w:spacing w:line="360" w:lineRule="auto"/>
              <w:jc w:val="center"/>
              <w:rPr>
                <w:rFonts w:hint="eastAsia" w:ascii="宋体" w:hAnsi="宋体" w:eastAsia="宋体" w:cs="宋体"/>
                <w:color w:val="auto"/>
                <w:highlight w:val="none"/>
              </w:rPr>
            </w:pPr>
          </w:p>
        </w:tc>
      </w:tr>
      <w:tr w14:paraId="5C34F2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vAlign w:val="center"/>
          </w:tcPr>
          <w:p w14:paraId="496834AE">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51C4099B">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第1.2（7）项</w:t>
            </w:r>
          </w:p>
        </w:tc>
        <w:tc>
          <w:tcPr>
            <w:tcW w:w="1836" w:type="dxa"/>
            <w:vAlign w:val="center"/>
          </w:tcPr>
          <w:p w14:paraId="008732F4">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其他术语解释</w:t>
            </w:r>
          </w:p>
        </w:tc>
        <w:tc>
          <w:tcPr>
            <w:tcW w:w="5879" w:type="dxa"/>
            <w:vAlign w:val="center"/>
          </w:tcPr>
          <w:p w14:paraId="6B2F4CB0">
            <w:pPr>
              <w:adjustRightInd w:val="0"/>
              <w:snapToGrid w:val="0"/>
              <w:spacing w:line="360" w:lineRule="auto"/>
              <w:jc w:val="center"/>
              <w:rPr>
                <w:rFonts w:hint="eastAsia" w:ascii="宋体" w:hAnsi="宋体" w:eastAsia="宋体" w:cs="宋体"/>
                <w:color w:val="auto"/>
                <w:highlight w:val="none"/>
              </w:rPr>
            </w:pPr>
          </w:p>
        </w:tc>
      </w:tr>
      <w:tr w14:paraId="67D1FF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C218F91">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404CDE5B">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第4.4款</w:t>
            </w:r>
          </w:p>
        </w:tc>
        <w:tc>
          <w:tcPr>
            <w:tcW w:w="1836" w:type="dxa"/>
            <w:vAlign w:val="center"/>
          </w:tcPr>
          <w:p w14:paraId="3170963A">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履约验收中甲方提出异议或作出说明的期限</w:t>
            </w:r>
          </w:p>
        </w:tc>
        <w:tc>
          <w:tcPr>
            <w:tcW w:w="5879" w:type="dxa"/>
            <w:vAlign w:val="center"/>
          </w:tcPr>
          <w:p w14:paraId="6C6374BA">
            <w:pPr>
              <w:adjustRightInd w:val="0"/>
              <w:snapToGrid w:val="0"/>
              <w:spacing w:line="360" w:lineRule="auto"/>
              <w:jc w:val="center"/>
              <w:rPr>
                <w:rFonts w:hint="eastAsia" w:ascii="宋体" w:hAnsi="宋体" w:eastAsia="宋体" w:cs="宋体"/>
                <w:color w:val="auto"/>
                <w:highlight w:val="none"/>
              </w:rPr>
            </w:pPr>
          </w:p>
        </w:tc>
      </w:tr>
      <w:tr w14:paraId="5FDED0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CD4E597">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1F60A322">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第4.6款</w:t>
            </w:r>
          </w:p>
        </w:tc>
        <w:tc>
          <w:tcPr>
            <w:tcW w:w="1836" w:type="dxa"/>
            <w:vAlign w:val="center"/>
          </w:tcPr>
          <w:p w14:paraId="716C349F">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约定甲方承担的其他义务和责任</w:t>
            </w:r>
          </w:p>
        </w:tc>
        <w:tc>
          <w:tcPr>
            <w:tcW w:w="5879" w:type="dxa"/>
            <w:vAlign w:val="center"/>
          </w:tcPr>
          <w:p w14:paraId="11570678">
            <w:pPr>
              <w:adjustRightInd w:val="0"/>
              <w:snapToGrid w:val="0"/>
              <w:spacing w:line="360" w:lineRule="auto"/>
              <w:jc w:val="center"/>
              <w:rPr>
                <w:rFonts w:hint="eastAsia" w:ascii="宋体" w:hAnsi="宋体" w:eastAsia="宋体" w:cs="宋体"/>
                <w:color w:val="auto"/>
                <w:highlight w:val="none"/>
              </w:rPr>
            </w:pPr>
          </w:p>
        </w:tc>
      </w:tr>
      <w:tr w14:paraId="097ECA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5EC5E16C">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4ECA983B">
            <w:pPr>
              <w:snapToGrid w:val="0"/>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highlight w:val="none"/>
              </w:rPr>
              <w:t>第5.4款</w:t>
            </w:r>
          </w:p>
        </w:tc>
        <w:tc>
          <w:tcPr>
            <w:tcW w:w="1836" w:type="dxa"/>
            <w:vAlign w:val="center"/>
          </w:tcPr>
          <w:p w14:paraId="7BA264D9">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约定乙方承担的其他义务和责任</w:t>
            </w:r>
          </w:p>
        </w:tc>
        <w:tc>
          <w:tcPr>
            <w:tcW w:w="5879" w:type="dxa"/>
            <w:vAlign w:val="center"/>
          </w:tcPr>
          <w:p w14:paraId="057B1A57">
            <w:pPr>
              <w:adjustRightInd w:val="0"/>
              <w:snapToGrid w:val="0"/>
              <w:spacing w:line="360" w:lineRule="auto"/>
              <w:jc w:val="center"/>
              <w:rPr>
                <w:rFonts w:hint="eastAsia" w:ascii="宋体" w:hAnsi="宋体" w:eastAsia="宋体" w:cs="宋体"/>
                <w:color w:val="auto"/>
                <w:highlight w:val="none"/>
              </w:rPr>
            </w:pPr>
          </w:p>
        </w:tc>
      </w:tr>
      <w:tr w14:paraId="6C888C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8314703">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51BDA89E">
            <w:pPr>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第6.1款</w:t>
            </w:r>
          </w:p>
        </w:tc>
        <w:tc>
          <w:tcPr>
            <w:tcW w:w="1836" w:type="dxa"/>
            <w:vAlign w:val="center"/>
          </w:tcPr>
          <w:p w14:paraId="7F66EC97">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履行合同义务的顺序</w:t>
            </w:r>
          </w:p>
        </w:tc>
        <w:tc>
          <w:tcPr>
            <w:tcW w:w="5879" w:type="dxa"/>
            <w:vAlign w:val="center"/>
          </w:tcPr>
          <w:p w14:paraId="1D64A80D">
            <w:pPr>
              <w:adjustRightInd w:val="0"/>
              <w:snapToGrid w:val="0"/>
              <w:spacing w:line="360" w:lineRule="auto"/>
              <w:jc w:val="center"/>
              <w:rPr>
                <w:rFonts w:hint="eastAsia" w:ascii="宋体" w:hAnsi="宋体" w:eastAsia="宋体" w:cs="宋体"/>
                <w:color w:val="auto"/>
                <w:highlight w:val="none"/>
              </w:rPr>
            </w:pPr>
          </w:p>
        </w:tc>
      </w:tr>
      <w:tr w14:paraId="59DF97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vAlign w:val="center"/>
          </w:tcPr>
          <w:p w14:paraId="0715FE33">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3DDB8B63">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第7.1款</w:t>
            </w:r>
          </w:p>
        </w:tc>
        <w:tc>
          <w:tcPr>
            <w:tcW w:w="1836" w:type="dxa"/>
            <w:vAlign w:val="center"/>
          </w:tcPr>
          <w:p w14:paraId="00073551">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包装特殊要求</w:t>
            </w:r>
          </w:p>
        </w:tc>
        <w:tc>
          <w:tcPr>
            <w:tcW w:w="5879" w:type="dxa"/>
            <w:vAlign w:val="center"/>
          </w:tcPr>
          <w:p w14:paraId="795EF7F9">
            <w:pPr>
              <w:spacing w:line="360" w:lineRule="auto"/>
              <w:jc w:val="center"/>
              <w:rPr>
                <w:rFonts w:hint="eastAsia" w:ascii="宋体" w:hAnsi="宋体" w:eastAsia="宋体" w:cs="宋体"/>
                <w:color w:val="auto"/>
                <w:szCs w:val="24"/>
                <w:highlight w:val="none"/>
              </w:rPr>
            </w:pPr>
          </w:p>
        </w:tc>
      </w:tr>
      <w:tr w14:paraId="022ED3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vAlign w:val="center"/>
          </w:tcPr>
          <w:p w14:paraId="41451035">
            <w:pPr>
              <w:adjustRightInd w:val="0"/>
              <w:snapToGrid w:val="0"/>
              <w:spacing w:line="360" w:lineRule="auto"/>
              <w:jc w:val="center"/>
              <w:rPr>
                <w:rFonts w:hint="eastAsia" w:ascii="宋体" w:hAnsi="宋体" w:eastAsia="宋体" w:cs="宋体"/>
                <w:color w:val="auto"/>
                <w:highlight w:val="none"/>
              </w:rPr>
            </w:pPr>
          </w:p>
        </w:tc>
        <w:tc>
          <w:tcPr>
            <w:tcW w:w="1836" w:type="dxa"/>
            <w:vAlign w:val="center"/>
          </w:tcPr>
          <w:p w14:paraId="3499D583">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指定现场</w:t>
            </w:r>
          </w:p>
        </w:tc>
        <w:tc>
          <w:tcPr>
            <w:tcW w:w="5879" w:type="dxa"/>
            <w:vAlign w:val="center"/>
          </w:tcPr>
          <w:p w14:paraId="2FB79659">
            <w:pPr>
              <w:spacing w:line="360" w:lineRule="auto"/>
              <w:jc w:val="center"/>
              <w:rPr>
                <w:rFonts w:hint="eastAsia" w:ascii="宋体" w:hAnsi="宋体" w:eastAsia="宋体" w:cs="宋体"/>
                <w:color w:val="auto"/>
                <w:szCs w:val="24"/>
                <w:highlight w:val="none"/>
              </w:rPr>
            </w:pPr>
          </w:p>
        </w:tc>
      </w:tr>
      <w:tr w14:paraId="3D60CD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vAlign w:val="center"/>
          </w:tcPr>
          <w:p w14:paraId="5BC1E11D">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0ACBA62D">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第7.2款</w:t>
            </w:r>
          </w:p>
        </w:tc>
        <w:tc>
          <w:tcPr>
            <w:tcW w:w="1836" w:type="dxa"/>
            <w:vAlign w:val="center"/>
          </w:tcPr>
          <w:p w14:paraId="0E447AC2">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运输特殊要求</w:t>
            </w:r>
          </w:p>
        </w:tc>
        <w:tc>
          <w:tcPr>
            <w:tcW w:w="5879" w:type="dxa"/>
            <w:vAlign w:val="center"/>
          </w:tcPr>
          <w:p w14:paraId="15FEE43A">
            <w:pPr>
              <w:spacing w:line="360" w:lineRule="auto"/>
              <w:jc w:val="center"/>
              <w:rPr>
                <w:rFonts w:hint="eastAsia" w:ascii="宋体" w:hAnsi="宋体" w:eastAsia="宋体" w:cs="宋体"/>
                <w:color w:val="auto"/>
                <w:szCs w:val="24"/>
                <w:highlight w:val="none"/>
              </w:rPr>
            </w:pPr>
          </w:p>
        </w:tc>
      </w:tr>
      <w:tr w14:paraId="12E8F8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Align w:val="center"/>
          </w:tcPr>
          <w:p w14:paraId="65C8AB21">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21735031">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第7.3款</w:t>
            </w:r>
          </w:p>
        </w:tc>
        <w:tc>
          <w:tcPr>
            <w:tcW w:w="1836" w:type="dxa"/>
            <w:vAlign w:val="center"/>
          </w:tcPr>
          <w:p w14:paraId="785795E6">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保险要求</w:t>
            </w:r>
          </w:p>
        </w:tc>
        <w:tc>
          <w:tcPr>
            <w:tcW w:w="5879" w:type="dxa"/>
            <w:vAlign w:val="center"/>
          </w:tcPr>
          <w:p w14:paraId="5FFB81DF">
            <w:pPr>
              <w:spacing w:line="360" w:lineRule="auto"/>
              <w:jc w:val="center"/>
              <w:rPr>
                <w:rFonts w:hint="eastAsia" w:ascii="宋体" w:hAnsi="宋体" w:eastAsia="宋体" w:cs="宋体"/>
                <w:color w:val="auto"/>
                <w:szCs w:val="24"/>
                <w:highlight w:val="none"/>
              </w:rPr>
            </w:pPr>
          </w:p>
        </w:tc>
      </w:tr>
      <w:tr w14:paraId="393BDA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6EF1412">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59B7A409">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第8.2（1）项</w:t>
            </w:r>
          </w:p>
        </w:tc>
        <w:tc>
          <w:tcPr>
            <w:tcW w:w="1836" w:type="dxa"/>
            <w:vAlign w:val="center"/>
          </w:tcPr>
          <w:p w14:paraId="455E42F2">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质量保证期</w:t>
            </w:r>
          </w:p>
        </w:tc>
        <w:tc>
          <w:tcPr>
            <w:tcW w:w="5879" w:type="dxa"/>
            <w:vAlign w:val="center"/>
          </w:tcPr>
          <w:p w14:paraId="0E7E4807">
            <w:pPr>
              <w:autoSpaceDE w:val="0"/>
              <w:autoSpaceDN w:val="0"/>
              <w:adjustRightInd w:val="0"/>
              <w:snapToGrid w:val="0"/>
              <w:spacing w:line="360" w:lineRule="auto"/>
              <w:ind w:firstLine="420" w:firstLineChars="200"/>
              <w:jc w:val="center"/>
              <w:rPr>
                <w:rFonts w:hint="eastAsia" w:ascii="宋体" w:hAnsi="宋体" w:eastAsia="宋体" w:cs="宋体"/>
                <w:color w:val="auto"/>
                <w:highlight w:val="none"/>
              </w:rPr>
            </w:pPr>
          </w:p>
        </w:tc>
      </w:tr>
      <w:tr w14:paraId="339395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63FB057">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5D230CFF">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第8.2（3）项</w:t>
            </w:r>
          </w:p>
        </w:tc>
        <w:tc>
          <w:tcPr>
            <w:tcW w:w="1836" w:type="dxa"/>
            <w:vAlign w:val="center"/>
          </w:tcPr>
          <w:p w14:paraId="67FF52FB">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货物质量缺陷</w:t>
            </w:r>
          </w:p>
          <w:p w14:paraId="2B2F1076">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响应时间</w:t>
            </w:r>
          </w:p>
        </w:tc>
        <w:tc>
          <w:tcPr>
            <w:tcW w:w="5879" w:type="dxa"/>
            <w:vAlign w:val="center"/>
          </w:tcPr>
          <w:p w14:paraId="0BC33E7C">
            <w:pPr>
              <w:adjustRightInd w:val="0"/>
              <w:snapToGrid w:val="0"/>
              <w:spacing w:line="360" w:lineRule="auto"/>
              <w:jc w:val="center"/>
              <w:rPr>
                <w:rFonts w:hint="eastAsia" w:ascii="宋体" w:hAnsi="宋体" w:eastAsia="宋体" w:cs="宋体"/>
                <w:color w:val="auto"/>
                <w:highlight w:val="none"/>
              </w:rPr>
            </w:pPr>
          </w:p>
        </w:tc>
      </w:tr>
      <w:tr w14:paraId="49E537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A9D6FA7">
            <w:pPr>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1801BACF">
            <w:pPr>
              <w:widowControl/>
              <w:autoSpaceDE w:val="0"/>
              <w:autoSpaceDN w:val="0"/>
              <w:adjustRightInd w:val="0"/>
              <w:spacing w:line="360" w:lineRule="auto"/>
              <w:jc w:val="center"/>
              <w:rPr>
                <w:rFonts w:hint="eastAsia" w:ascii="宋体" w:hAnsi="宋体" w:eastAsia="宋体" w:cs="宋体"/>
                <w:color w:val="auto"/>
                <w:kern w:val="0"/>
                <w:sz w:val="22"/>
                <w:highlight w:val="none"/>
              </w:rPr>
            </w:pPr>
            <w:r>
              <w:rPr>
                <w:rFonts w:hint="eastAsia" w:ascii="宋体" w:hAnsi="宋体" w:eastAsia="宋体" w:cs="宋体"/>
                <w:color w:val="auto"/>
                <w:kern w:val="0"/>
                <w:sz w:val="22"/>
                <w:highlight w:val="none"/>
              </w:rPr>
              <w:t>第11.1款</w:t>
            </w:r>
          </w:p>
        </w:tc>
        <w:tc>
          <w:tcPr>
            <w:tcW w:w="1836" w:type="dxa"/>
            <w:vAlign w:val="center"/>
          </w:tcPr>
          <w:p w14:paraId="5469160C">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其他应当保密的信息</w:t>
            </w:r>
          </w:p>
        </w:tc>
        <w:tc>
          <w:tcPr>
            <w:tcW w:w="5879" w:type="dxa"/>
            <w:vAlign w:val="center"/>
          </w:tcPr>
          <w:p w14:paraId="58E10F3D">
            <w:pPr>
              <w:adjustRightInd w:val="0"/>
              <w:snapToGrid w:val="0"/>
              <w:spacing w:line="360" w:lineRule="auto"/>
              <w:jc w:val="center"/>
              <w:rPr>
                <w:rFonts w:hint="eastAsia" w:ascii="宋体" w:hAnsi="宋体" w:eastAsia="宋体" w:cs="宋体"/>
                <w:color w:val="auto"/>
                <w:highlight w:val="none"/>
              </w:rPr>
            </w:pPr>
          </w:p>
        </w:tc>
      </w:tr>
      <w:tr w14:paraId="534252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7BB2A826">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7E2783CA">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第12.2款</w:t>
            </w:r>
          </w:p>
        </w:tc>
        <w:tc>
          <w:tcPr>
            <w:tcW w:w="1836" w:type="dxa"/>
            <w:vAlign w:val="center"/>
          </w:tcPr>
          <w:p w14:paraId="3A4ACDE5">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合同价款支付时间</w:t>
            </w:r>
          </w:p>
        </w:tc>
        <w:tc>
          <w:tcPr>
            <w:tcW w:w="5879" w:type="dxa"/>
            <w:vAlign w:val="center"/>
          </w:tcPr>
          <w:p w14:paraId="26BCC0C5">
            <w:pPr>
              <w:adjustRightInd w:val="0"/>
              <w:snapToGrid w:val="0"/>
              <w:spacing w:line="360" w:lineRule="auto"/>
              <w:jc w:val="center"/>
              <w:rPr>
                <w:rFonts w:hint="eastAsia" w:ascii="宋体" w:hAnsi="宋体" w:eastAsia="宋体" w:cs="宋体"/>
                <w:color w:val="auto"/>
                <w:highlight w:val="none"/>
              </w:rPr>
            </w:pPr>
          </w:p>
        </w:tc>
      </w:tr>
      <w:tr w14:paraId="5B8BAB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7EADE407">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4A8928B8">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第13.2款</w:t>
            </w:r>
          </w:p>
        </w:tc>
        <w:tc>
          <w:tcPr>
            <w:tcW w:w="1836" w:type="dxa"/>
            <w:vAlign w:val="center"/>
          </w:tcPr>
          <w:p w14:paraId="2D765747">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履约保证金不予退还的情形</w:t>
            </w:r>
          </w:p>
        </w:tc>
        <w:tc>
          <w:tcPr>
            <w:tcW w:w="5879" w:type="dxa"/>
            <w:vAlign w:val="center"/>
          </w:tcPr>
          <w:p w14:paraId="5B3A79B4">
            <w:pPr>
              <w:adjustRightInd w:val="0"/>
              <w:snapToGrid w:val="0"/>
              <w:spacing w:line="360" w:lineRule="auto"/>
              <w:jc w:val="center"/>
              <w:rPr>
                <w:rFonts w:hint="eastAsia" w:ascii="宋体" w:hAnsi="宋体" w:eastAsia="宋体" w:cs="宋体"/>
                <w:color w:val="auto"/>
                <w:highlight w:val="none"/>
              </w:rPr>
            </w:pPr>
          </w:p>
        </w:tc>
      </w:tr>
      <w:tr w14:paraId="348D68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8420B31">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745C6866">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第13.3款</w:t>
            </w:r>
          </w:p>
        </w:tc>
        <w:tc>
          <w:tcPr>
            <w:tcW w:w="1836" w:type="dxa"/>
            <w:vAlign w:val="center"/>
          </w:tcPr>
          <w:p w14:paraId="46E80FAC">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履约保证金退还时间及逾期退还的违约金</w:t>
            </w:r>
          </w:p>
        </w:tc>
        <w:tc>
          <w:tcPr>
            <w:tcW w:w="5879" w:type="dxa"/>
            <w:vAlign w:val="center"/>
          </w:tcPr>
          <w:p w14:paraId="5E187677">
            <w:pPr>
              <w:adjustRightInd w:val="0"/>
              <w:snapToGrid w:val="0"/>
              <w:spacing w:line="360" w:lineRule="auto"/>
              <w:jc w:val="center"/>
              <w:rPr>
                <w:rFonts w:hint="eastAsia" w:ascii="宋体" w:hAnsi="宋体" w:eastAsia="宋体" w:cs="宋体"/>
                <w:color w:val="auto"/>
                <w:highlight w:val="none"/>
              </w:rPr>
            </w:pPr>
          </w:p>
        </w:tc>
      </w:tr>
      <w:tr w14:paraId="2671F3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32CC1D55">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1CC0B15B">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第14.1（3）项</w:t>
            </w:r>
          </w:p>
        </w:tc>
        <w:tc>
          <w:tcPr>
            <w:tcW w:w="1836" w:type="dxa"/>
            <w:vAlign w:val="center"/>
          </w:tcPr>
          <w:p w14:paraId="7A6DA65D">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运行监督、维修期限</w:t>
            </w:r>
          </w:p>
        </w:tc>
        <w:tc>
          <w:tcPr>
            <w:tcW w:w="5879" w:type="dxa"/>
            <w:vAlign w:val="center"/>
          </w:tcPr>
          <w:p w14:paraId="71BF4F17">
            <w:pPr>
              <w:adjustRightInd w:val="0"/>
              <w:snapToGrid w:val="0"/>
              <w:spacing w:line="360" w:lineRule="auto"/>
              <w:jc w:val="center"/>
              <w:rPr>
                <w:rFonts w:hint="eastAsia" w:ascii="宋体" w:hAnsi="宋体" w:eastAsia="宋体" w:cs="宋体"/>
                <w:color w:val="auto"/>
                <w:highlight w:val="none"/>
              </w:rPr>
            </w:pPr>
          </w:p>
        </w:tc>
      </w:tr>
      <w:tr w14:paraId="0B55E2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6E32B51F">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33A544CC">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第14.1（5）项</w:t>
            </w:r>
          </w:p>
        </w:tc>
        <w:tc>
          <w:tcPr>
            <w:tcW w:w="1836" w:type="dxa"/>
            <w:vAlign w:val="center"/>
          </w:tcPr>
          <w:p w14:paraId="74579ECB">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货物回收的约定</w:t>
            </w:r>
          </w:p>
        </w:tc>
        <w:tc>
          <w:tcPr>
            <w:tcW w:w="5879" w:type="dxa"/>
            <w:vAlign w:val="center"/>
          </w:tcPr>
          <w:p w14:paraId="4810330D">
            <w:pPr>
              <w:adjustRightInd w:val="0"/>
              <w:snapToGrid w:val="0"/>
              <w:spacing w:line="360" w:lineRule="auto"/>
              <w:jc w:val="left"/>
              <w:rPr>
                <w:rFonts w:hint="eastAsia" w:ascii="宋体" w:hAnsi="宋体" w:eastAsia="宋体" w:cs="宋体"/>
                <w:color w:val="auto"/>
                <w:highlight w:val="none"/>
              </w:rPr>
            </w:pPr>
          </w:p>
        </w:tc>
      </w:tr>
      <w:tr w14:paraId="3A5B4D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8109B70">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4AD681FD">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第14.1（6）项</w:t>
            </w:r>
          </w:p>
        </w:tc>
        <w:tc>
          <w:tcPr>
            <w:tcW w:w="1836" w:type="dxa"/>
            <w:vAlign w:val="center"/>
          </w:tcPr>
          <w:p w14:paraId="6B07FC58">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乙方提供的其他服务</w:t>
            </w:r>
          </w:p>
        </w:tc>
        <w:tc>
          <w:tcPr>
            <w:tcW w:w="5879" w:type="dxa"/>
            <w:vAlign w:val="center"/>
          </w:tcPr>
          <w:p w14:paraId="0F5FBEA8">
            <w:pPr>
              <w:adjustRightInd w:val="0"/>
              <w:snapToGrid w:val="0"/>
              <w:spacing w:line="360" w:lineRule="auto"/>
              <w:jc w:val="left"/>
              <w:rPr>
                <w:rFonts w:hint="eastAsia" w:ascii="宋体" w:hAnsi="宋体" w:eastAsia="宋体" w:cs="宋体"/>
                <w:color w:val="auto"/>
                <w:highlight w:val="none"/>
              </w:rPr>
            </w:pPr>
          </w:p>
        </w:tc>
      </w:tr>
      <w:tr w14:paraId="3E199E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5BE3D564">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680CEB25">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第15.1款</w:t>
            </w:r>
          </w:p>
        </w:tc>
        <w:tc>
          <w:tcPr>
            <w:tcW w:w="1836" w:type="dxa"/>
            <w:vAlign w:val="center"/>
          </w:tcPr>
          <w:p w14:paraId="76768FB6">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修理、重作、更换相关具体规定</w:t>
            </w:r>
          </w:p>
        </w:tc>
        <w:tc>
          <w:tcPr>
            <w:tcW w:w="5879" w:type="dxa"/>
            <w:vAlign w:val="center"/>
          </w:tcPr>
          <w:p w14:paraId="62E1FD7C">
            <w:pPr>
              <w:adjustRightInd w:val="0"/>
              <w:snapToGrid w:val="0"/>
              <w:spacing w:line="360" w:lineRule="auto"/>
              <w:jc w:val="left"/>
              <w:rPr>
                <w:rFonts w:hint="eastAsia" w:ascii="宋体" w:hAnsi="宋体" w:eastAsia="宋体" w:cs="宋体"/>
                <w:color w:val="auto"/>
                <w:highlight w:val="none"/>
              </w:rPr>
            </w:pPr>
          </w:p>
        </w:tc>
      </w:tr>
      <w:tr w14:paraId="488A8C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1C94C8E">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0B8292FD">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第15.2（2）项</w:t>
            </w:r>
          </w:p>
        </w:tc>
        <w:tc>
          <w:tcPr>
            <w:tcW w:w="1836" w:type="dxa"/>
            <w:vAlign w:val="center"/>
          </w:tcPr>
          <w:p w14:paraId="4386138D">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迟延交货赔偿费</w:t>
            </w:r>
          </w:p>
        </w:tc>
        <w:tc>
          <w:tcPr>
            <w:tcW w:w="5879" w:type="dxa"/>
            <w:vAlign w:val="center"/>
          </w:tcPr>
          <w:p w14:paraId="19AA45B9">
            <w:pPr>
              <w:adjustRightInd w:val="0"/>
              <w:snapToGrid w:val="0"/>
              <w:spacing w:line="360" w:lineRule="auto"/>
              <w:jc w:val="left"/>
              <w:rPr>
                <w:rFonts w:hint="eastAsia" w:ascii="宋体" w:hAnsi="宋体" w:eastAsia="宋体" w:cs="宋体"/>
                <w:color w:val="auto"/>
                <w:highlight w:val="none"/>
                <w:u w:val="single"/>
              </w:rPr>
            </w:pPr>
          </w:p>
        </w:tc>
      </w:tr>
      <w:tr w14:paraId="130C68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033A7E4">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02038D09">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第15.3款</w:t>
            </w:r>
          </w:p>
        </w:tc>
        <w:tc>
          <w:tcPr>
            <w:tcW w:w="1836" w:type="dxa"/>
            <w:vAlign w:val="center"/>
          </w:tcPr>
          <w:p w14:paraId="7D3C27D6">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逾期付款利息</w:t>
            </w:r>
          </w:p>
        </w:tc>
        <w:tc>
          <w:tcPr>
            <w:tcW w:w="5879" w:type="dxa"/>
            <w:vAlign w:val="center"/>
          </w:tcPr>
          <w:p w14:paraId="63C9A3A6">
            <w:pPr>
              <w:adjustRightInd w:val="0"/>
              <w:snapToGrid w:val="0"/>
              <w:spacing w:line="360" w:lineRule="auto"/>
              <w:jc w:val="left"/>
              <w:rPr>
                <w:rFonts w:hint="eastAsia" w:ascii="宋体" w:hAnsi="宋体" w:eastAsia="宋体" w:cs="宋体"/>
                <w:color w:val="auto"/>
                <w:highlight w:val="none"/>
                <w:u w:val="single"/>
              </w:rPr>
            </w:pPr>
          </w:p>
        </w:tc>
      </w:tr>
      <w:tr w14:paraId="6F3044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vAlign w:val="center"/>
          </w:tcPr>
          <w:p w14:paraId="1E0A8EBD">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21769D76">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第15.4款</w:t>
            </w:r>
          </w:p>
        </w:tc>
        <w:tc>
          <w:tcPr>
            <w:tcW w:w="1836" w:type="dxa"/>
            <w:tcBorders>
              <w:left w:val="single" w:color="auto" w:sz="2" w:space="0"/>
              <w:bottom w:val="single" w:color="auto" w:sz="2" w:space="0"/>
              <w:right w:val="single" w:color="auto" w:sz="2" w:space="0"/>
            </w:tcBorders>
            <w:vAlign w:val="center"/>
          </w:tcPr>
          <w:p w14:paraId="2D92F198">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其他违约责任</w:t>
            </w:r>
          </w:p>
        </w:tc>
        <w:tc>
          <w:tcPr>
            <w:tcW w:w="5879" w:type="dxa"/>
            <w:tcBorders>
              <w:left w:val="single" w:color="auto" w:sz="2" w:space="0"/>
              <w:bottom w:val="single" w:color="auto" w:sz="2" w:space="0"/>
            </w:tcBorders>
            <w:vAlign w:val="center"/>
          </w:tcPr>
          <w:p w14:paraId="52594EFF">
            <w:pPr>
              <w:adjustRightInd w:val="0"/>
              <w:snapToGrid w:val="0"/>
              <w:spacing w:line="360" w:lineRule="auto"/>
              <w:jc w:val="left"/>
              <w:rPr>
                <w:rFonts w:hint="eastAsia" w:ascii="宋体" w:hAnsi="宋体" w:eastAsia="宋体" w:cs="宋体"/>
                <w:color w:val="auto"/>
                <w:highlight w:val="none"/>
                <w:u w:val="single"/>
              </w:rPr>
            </w:pPr>
          </w:p>
        </w:tc>
      </w:tr>
      <w:tr w14:paraId="03B0D3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vAlign w:val="center"/>
          </w:tcPr>
          <w:p w14:paraId="43DBB89E">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4FC3EEC0">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第19.2款</w:t>
            </w:r>
          </w:p>
        </w:tc>
        <w:tc>
          <w:tcPr>
            <w:tcW w:w="1836" w:type="dxa"/>
            <w:tcBorders>
              <w:top w:val="single" w:color="auto" w:sz="2" w:space="0"/>
              <w:left w:val="single" w:color="auto" w:sz="2" w:space="0"/>
              <w:right w:val="single" w:color="auto" w:sz="2" w:space="0"/>
            </w:tcBorders>
            <w:vAlign w:val="center"/>
          </w:tcPr>
          <w:p w14:paraId="4BDA646D">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解决争议的方法</w:t>
            </w:r>
          </w:p>
        </w:tc>
        <w:tc>
          <w:tcPr>
            <w:tcW w:w="5879" w:type="dxa"/>
            <w:tcBorders>
              <w:top w:val="single" w:color="auto" w:sz="2" w:space="0"/>
              <w:left w:val="single" w:color="auto" w:sz="2" w:space="0"/>
            </w:tcBorders>
            <w:vAlign w:val="center"/>
          </w:tcPr>
          <w:p w14:paraId="3667D093">
            <w:pPr>
              <w:autoSpaceDE w:val="0"/>
              <w:autoSpaceDN w:val="0"/>
              <w:adjustRightInd w:val="0"/>
              <w:snapToGrid w:val="0"/>
              <w:spacing w:line="360" w:lineRule="auto"/>
              <w:jc w:val="left"/>
              <w:rPr>
                <w:rFonts w:hint="eastAsia" w:ascii="宋体" w:hAnsi="宋体" w:eastAsia="宋体" w:cs="宋体"/>
                <w:iCs/>
                <w:color w:val="auto"/>
                <w:highlight w:val="none"/>
              </w:rPr>
            </w:pPr>
            <w:r>
              <w:rPr>
                <w:rFonts w:hint="eastAsia" w:ascii="宋体" w:hAnsi="宋体" w:eastAsia="宋体" w:cs="宋体"/>
                <w:iCs/>
                <w:color w:val="auto"/>
                <w:highlight w:val="none"/>
              </w:rPr>
              <w:t>因本合同及合同有关事项发生的争议，按下列第</w:t>
            </w:r>
            <w:r>
              <w:rPr>
                <w:rFonts w:hint="eastAsia" w:ascii="宋体" w:hAnsi="宋体" w:eastAsia="宋体" w:cs="宋体"/>
                <w:iCs/>
                <w:color w:val="auto"/>
                <w:highlight w:val="none"/>
                <w:u w:val="single"/>
              </w:rPr>
              <w:t xml:space="preserve">   </w:t>
            </w:r>
            <w:r>
              <w:rPr>
                <w:rFonts w:hint="eastAsia" w:ascii="宋体" w:hAnsi="宋体" w:eastAsia="宋体" w:cs="宋体"/>
                <w:iCs/>
                <w:color w:val="auto"/>
                <w:highlight w:val="none"/>
              </w:rPr>
              <w:t>种方式解决：</w:t>
            </w:r>
          </w:p>
          <w:p w14:paraId="370C4B6A">
            <w:pPr>
              <w:autoSpaceDE w:val="0"/>
              <w:autoSpaceDN w:val="0"/>
              <w:adjustRightInd w:val="0"/>
              <w:snapToGrid w:val="0"/>
              <w:spacing w:line="360" w:lineRule="auto"/>
              <w:jc w:val="left"/>
              <w:rPr>
                <w:rFonts w:hint="eastAsia" w:ascii="宋体" w:hAnsi="宋体" w:eastAsia="宋体" w:cs="宋体"/>
                <w:iCs/>
                <w:color w:val="auto"/>
                <w:highlight w:val="none"/>
              </w:rPr>
            </w:pPr>
            <w:r>
              <w:rPr>
                <w:rFonts w:hint="eastAsia" w:ascii="宋体" w:hAnsi="宋体" w:eastAsia="宋体" w:cs="宋体"/>
                <w:iCs/>
                <w:color w:val="auto"/>
                <w:highlight w:val="none"/>
              </w:rPr>
              <w:t>（1）向</w:t>
            </w:r>
            <w:r>
              <w:rPr>
                <w:rFonts w:hint="eastAsia" w:ascii="宋体" w:hAnsi="宋体" w:eastAsia="宋体" w:cs="宋体"/>
                <w:iCs/>
                <w:color w:val="auto"/>
                <w:highlight w:val="none"/>
                <w:u w:val="single"/>
              </w:rPr>
              <w:t xml:space="preserve">                    </w:t>
            </w:r>
            <w:r>
              <w:rPr>
                <w:rFonts w:hint="eastAsia" w:ascii="宋体" w:hAnsi="宋体" w:eastAsia="宋体" w:cs="宋体"/>
                <w:iCs/>
                <w:color w:val="auto"/>
                <w:highlight w:val="none"/>
              </w:rPr>
              <w:t>仲裁委员会申请仲裁，仲裁地点为</w:t>
            </w:r>
            <w:r>
              <w:rPr>
                <w:rFonts w:hint="eastAsia" w:ascii="宋体" w:hAnsi="宋体" w:eastAsia="宋体" w:cs="宋体"/>
                <w:iCs/>
                <w:color w:val="auto"/>
                <w:highlight w:val="none"/>
                <w:u w:val="single"/>
              </w:rPr>
              <w:t xml:space="preserve">           </w:t>
            </w:r>
            <w:r>
              <w:rPr>
                <w:rFonts w:hint="eastAsia" w:ascii="宋体" w:hAnsi="宋体" w:eastAsia="宋体" w:cs="宋体"/>
                <w:iCs/>
                <w:color w:val="auto"/>
                <w:highlight w:val="none"/>
              </w:rPr>
              <w:t>；</w:t>
            </w:r>
          </w:p>
          <w:p w14:paraId="4D015720">
            <w:pPr>
              <w:adjustRightInd w:val="0"/>
              <w:snapToGrid w:val="0"/>
              <w:spacing w:line="360" w:lineRule="auto"/>
              <w:jc w:val="left"/>
              <w:rPr>
                <w:rFonts w:hint="eastAsia" w:ascii="宋体" w:hAnsi="宋体" w:eastAsia="宋体" w:cs="宋体"/>
                <w:color w:val="auto"/>
                <w:highlight w:val="none"/>
                <w:u w:val="single"/>
              </w:rPr>
            </w:pPr>
            <w:r>
              <w:rPr>
                <w:rFonts w:hint="eastAsia" w:ascii="宋体" w:hAnsi="宋体" w:eastAsia="宋体" w:cs="宋体"/>
                <w:iCs/>
                <w:color w:val="auto"/>
                <w:highlight w:val="none"/>
              </w:rPr>
              <w:t>（2）向</w:t>
            </w:r>
            <w:r>
              <w:rPr>
                <w:rFonts w:hint="eastAsia" w:ascii="宋体" w:hAnsi="宋体" w:eastAsia="宋体" w:cs="宋体"/>
                <w:iCs/>
                <w:color w:val="auto"/>
                <w:highlight w:val="none"/>
                <w:u w:val="single"/>
              </w:rPr>
              <w:t xml:space="preserve">                    </w:t>
            </w:r>
            <w:r>
              <w:rPr>
                <w:rFonts w:hint="eastAsia" w:ascii="宋体" w:hAnsi="宋体" w:eastAsia="宋体" w:cs="宋体"/>
                <w:iCs/>
                <w:color w:val="auto"/>
                <w:highlight w:val="none"/>
              </w:rPr>
              <w:t>人民法院起诉。</w:t>
            </w:r>
          </w:p>
        </w:tc>
      </w:tr>
      <w:tr w14:paraId="3262E1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vAlign w:val="center"/>
          </w:tcPr>
          <w:p w14:paraId="2CD75ECD">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67A417A7">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第23.1款</w:t>
            </w:r>
          </w:p>
        </w:tc>
        <w:tc>
          <w:tcPr>
            <w:tcW w:w="1836" w:type="dxa"/>
            <w:vAlign w:val="center"/>
          </w:tcPr>
          <w:p w14:paraId="5036CFB0">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bCs/>
                <w:color w:val="auto"/>
                <w:highlight w:val="none"/>
              </w:rPr>
              <w:t>其他专用条款</w:t>
            </w:r>
          </w:p>
        </w:tc>
        <w:tc>
          <w:tcPr>
            <w:tcW w:w="5879" w:type="dxa"/>
            <w:vAlign w:val="center"/>
          </w:tcPr>
          <w:p w14:paraId="037727F6">
            <w:pPr>
              <w:adjustRightInd w:val="0"/>
              <w:snapToGrid w:val="0"/>
              <w:spacing w:line="360" w:lineRule="auto"/>
              <w:jc w:val="left"/>
              <w:rPr>
                <w:rFonts w:hint="eastAsia" w:ascii="宋体" w:hAnsi="宋体" w:eastAsia="宋体" w:cs="宋体"/>
                <w:color w:val="auto"/>
                <w:highlight w:val="none"/>
              </w:rPr>
            </w:pPr>
          </w:p>
        </w:tc>
      </w:tr>
    </w:tbl>
    <w:p w14:paraId="32934EA6">
      <w:pPr>
        <w:pStyle w:val="3"/>
        <w:spacing w:before="0" w:after="0" w:line="360" w:lineRule="auto"/>
        <w:jc w:val="both"/>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r>
    </w:p>
    <w:p w14:paraId="75D0D815">
      <w:pPr>
        <w:pStyle w:val="3"/>
        <w:spacing w:before="0" w:after="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第五章 采购需求</w:t>
      </w:r>
      <w:bookmarkEnd w:id="243"/>
    </w:p>
    <w:p w14:paraId="44B62EB8">
      <w:pPr>
        <w:widowControl/>
        <w:snapToGrid w:val="0"/>
        <w:spacing w:before="100" w:beforeAutospacing="1" w:after="100" w:afterAutospacing="1" w:line="240" w:lineRule="auto"/>
        <w:ind w:firstLine="435"/>
        <w:jc w:val="center"/>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lang w:val="en-US" w:eastAsia="zh-CN"/>
        </w:rPr>
        <w:t>有机物料腐熟剂</w:t>
      </w:r>
      <w:r>
        <w:rPr>
          <w:rFonts w:hint="eastAsia" w:ascii="宋体" w:hAnsi="宋体" w:eastAsia="宋体" w:cs="宋体"/>
          <w:b/>
          <w:bCs/>
          <w:color w:val="auto"/>
          <w:kern w:val="0"/>
          <w:sz w:val="28"/>
          <w:szCs w:val="28"/>
        </w:rPr>
        <w:t>产品技术指标要求</w:t>
      </w:r>
    </w:p>
    <w:p w14:paraId="0848E589">
      <w:pPr>
        <w:autoSpaceDE w:val="0"/>
        <w:spacing w:line="400" w:lineRule="exact"/>
        <w:ind w:firstLine="480" w:firstLineChars="200"/>
        <w:jc w:val="center"/>
        <w:rPr>
          <w:rFonts w:hint="eastAsia" w:ascii="宋体" w:hAnsi="宋体"/>
          <w:color w:val="auto"/>
          <w:sz w:val="24"/>
        </w:rPr>
      </w:pPr>
      <w:r>
        <w:rPr>
          <w:rFonts w:hint="eastAsia" w:ascii="宋体" w:hAnsi="宋体"/>
          <w:b/>
          <w:bCs/>
          <w:color w:val="auto"/>
          <w:sz w:val="24"/>
          <w:lang w:eastAsia="zh-CN"/>
        </w:rPr>
        <w:t>有机物料腐熟剂</w:t>
      </w:r>
      <w:r>
        <w:rPr>
          <w:rFonts w:hint="eastAsia" w:ascii="宋体" w:hAnsi="宋体"/>
          <w:b/>
          <w:bCs/>
          <w:color w:val="auto"/>
          <w:sz w:val="24"/>
        </w:rPr>
        <w:t>技术参数：（执行标准</w:t>
      </w:r>
      <w:r>
        <w:rPr>
          <w:rFonts w:ascii="宋体" w:hAnsi="宋体"/>
          <w:b/>
          <w:bCs/>
          <w:color w:val="auto"/>
          <w:sz w:val="24"/>
        </w:rPr>
        <w:t>GB20287-2006</w:t>
      </w:r>
      <w:r>
        <w:rPr>
          <w:rFonts w:hint="eastAsia" w:ascii="宋体" w:hAnsi="宋体"/>
          <w:b/>
          <w:bCs/>
          <w:color w:val="auto"/>
          <w:sz w:val="24"/>
        </w:rPr>
        <w:t>）</w:t>
      </w:r>
    </w:p>
    <w:tbl>
      <w:tblPr>
        <w:tblStyle w:val="39"/>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5"/>
        <w:gridCol w:w="3008"/>
      </w:tblGrid>
      <w:tr w14:paraId="5C08D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9" w:hRule="atLeast"/>
          <w:jc w:val="center"/>
        </w:trPr>
        <w:tc>
          <w:tcPr>
            <w:tcW w:w="5945" w:type="dxa"/>
            <w:vMerge w:val="restart"/>
            <w:tcBorders>
              <w:top w:val="single" w:color="auto" w:sz="4" w:space="0"/>
              <w:left w:val="single" w:color="auto" w:sz="4" w:space="0"/>
              <w:right w:val="single" w:color="auto" w:sz="4" w:space="0"/>
            </w:tcBorders>
            <w:noWrap w:val="0"/>
            <w:vAlign w:val="center"/>
          </w:tcPr>
          <w:p w14:paraId="598EBD13">
            <w:pPr>
              <w:spacing w:line="500" w:lineRule="exact"/>
              <w:jc w:val="center"/>
              <w:rPr>
                <w:color w:val="auto"/>
                <w:sz w:val="24"/>
              </w:rPr>
            </w:pPr>
            <w:r>
              <w:rPr>
                <w:rFonts w:hint="eastAsia"/>
                <w:b/>
                <w:bCs/>
                <w:color w:val="auto"/>
                <w:sz w:val="24"/>
              </w:rPr>
              <w:t>项目</w:t>
            </w:r>
          </w:p>
        </w:tc>
        <w:tc>
          <w:tcPr>
            <w:tcW w:w="3008" w:type="dxa"/>
            <w:tcBorders>
              <w:top w:val="single" w:color="auto" w:sz="4" w:space="0"/>
              <w:left w:val="nil"/>
              <w:bottom w:val="single" w:color="auto" w:sz="4" w:space="0"/>
              <w:right w:val="single" w:color="auto" w:sz="4" w:space="0"/>
            </w:tcBorders>
            <w:noWrap w:val="0"/>
            <w:vAlign w:val="center"/>
          </w:tcPr>
          <w:p w14:paraId="366082B4">
            <w:pPr>
              <w:spacing w:line="500" w:lineRule="exact"/>
              <w:jc w:val="center"/>
              <w:rPr>
                <w:color w:val="auto"/>
                <w:sz w:val="24"/>
              </w:rPr>
            </w:pPr>
            <w:r>
              <w:rPr>
                <w:rFonts w:hint="eastAsia"/>
                <w:b/>
                <w:bCs/>
                <w:color w:val="auto"/>
                <w:sz w:val="24"/>
              </w:rPr>
              <w:t>剂型</w:t>
            </w:r>
          </w:p>
        </w:tc>
      </w:tr>
      <w:tr w14:paraId="52F7C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945" w:type="dxa"/>
            <w:vMerge w:val="continue"/>
            <w:tcBorders>
              <w:left w:val="single" w:color="auto" w:sz="4" w:space="0"/>
              <w:bottom w:val="single" w:color="auto" w:sz="4" w:space="0"/>
              <w:right w:val="single" w:color="auto" w:sz="4" w:space="0"/>
            </w:tcBorders>
            <w:noWrap w:val="0"/>
            <w:vAlign w:val="center"/>
          </w:tcPr>
          <w:p w14:paraId="52B0B0A0">
            <w:pPr>
              <w:spacing w:line="500" w:lineRule="exact"/>
              <w:jc w:val="center"/>
              <w:rPr>
                <w:rFonts w:hint="eastAsia"/>
                <w:color w:val="auto"/>
                <w:sz w:val="24"/>
              </w:rPr>
            </w:pPr>
          </w:p>
        </w:tc>
        <w:tc>
          <w:tcPr>
            <w:tcW w:w="3008" w:type="dxa"/>
            <w:tcBorders>
              <w:top w:val="single" w:color="auto" w:sz="4" w:space="0"/>
              <w:left w:val="nil"/>
              <w:bottom w:val="single" w:color="auto" w:sz="4" w:space="0"/>
              <w:right w:val="single" w:color="auto" w:sz="4" w:space="0"/>
            </w:tcBorders>
            <w:noWrap w:val="0"/>
            <w:vAlign w:val="center"/>
          </w:tcPr>
          <w:p w14:paraId="3313C064">
            <w:pPr>
              <w:spacing w:line="500" w:lineRule="exact"/>
              <w:jc w:val="center"/>
              <w:rPr>
                <w:rFonts w:hint="eastAsia"/>
                <w:color w:val="auto"/>
                <w:sz w:val="24"/>
              </w:rPr>
            </w:pPr>
            <w:r>
              <w:rPr>
                <w:rFonts w:hint="eastAsia"/>
                <w:color w:val="auto"/>
                <w:sz w:val="24"/>
              </w:rPr>
              <w:t>粉剂</w:t>
            </w:r>
          </w:p>
        </w:tc>
      </w:tr>
      <w:tr w14:paraId="33703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945" w:type="dxa"/>
            <w:tcBorders>
              <w:top w:val="single" w:color="auto" w:sz="4" w:space="0"/>
              <w:left w:val="single" w:color="auto" w:sz="4" w:space="0"/>
              <w:bottom w:val="single" w:color="auto" w:sz="4" w:space="0"/>
              <w:right w:val="single" w:color="auto" w:sz="4" w:space="0"/>
            </w:tcBorders>
            <w:noWrap w:val="0"/>
            <w:vAlign w:val="center"/>
          </w:tcPr>
          <w:p w14:paraId="74DE9208">
            <w:pPr>
              <w:spacing w:line="500" w:lineRule="exact"/>
              <w:jc w:val="center"/>
              <w:rPr>
                <w:color w:val="auto"/>
                <w:sz w:val="24"/>
              </w:rPr>
            </w:pPr>
            <w:r>
              <w:rPr>
                <w:rFonts w:hint="eastAsia"/>
                <w:color w:val="auto"/>
                <w:sz w:val="24"/>
              </w:rPr>
              <w:t>有效活菌数（cfu）/(亿/</w:t>
            </w:r>
            <w:r>
              <w:rPr>
                <w:rFonts w:hint="eastAsia" w:ascii="宋体" w:hAnsi="宋体"/>
                <w:color w:val="auto"/>
                <w:sz w:val="24"/>
              </w:rPr>
              <w:t>g</w:t>
            </w:r>
            <w:r>
              <w:rPr>
                <w:rFonts w:hint="eastAsia"/>
                <w:color w:val="auto"/>
                <w:sz w:val="24"/>
              </w:rPr>
              <w:t>)</w:t>
            </w:r>
          </w:p>
        </w:tc>
        <w:tc>
          <w:tcPr>
            <w:tcW w:w="3008" w:type="dxa"/>
            <w:tcBorders>
              <w:top w:val="single" w:color="auto" w:sz="4" w:space="0"/>
              <w:left w:val="nil"/>
              <w:bottom w:val="single" w:color="auto" w:sz="4" w:space="0"/>
              <w:right w:val="single" w:color="auto" w:sz="4" w:space="0"/>
            </w:tcBorders>
            <w:noWrap w:val="0"/>
            <w:vAlign w:val="center"/>
          </w:tcPr>
          <w:p w14:paraId="787D9C91">
            <w:pPr>
              <w:spacing w:line="500" w:lineRule="exact"/>
              <w:jc w:val="center"/>
              <w:rPr>
                <w:color w:val="auto"/>
                <w:sz w:val="24"/>
              </w:rPr>
            </w:pPr>
            <w:r>
              <w:rPr>
                <w:rFonts w:hint="eastAsia"/>
                <w:color w:val="auto"/>
                <w:sz w:val="24"/>
              </w:rPr>
              <w:t>≧0.5</w:t>
            </w:r>
          </w:p>
        </w:tc>
      </w:tr>
      <w:tr w14:paraId="5EB8B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5945" w:type="dxa"/>
            <w:tcBorders>
              <w:top w:val="single" w:color="auto" w:sz="4" w:space="0"/>
              <w:left w:val="single" w:color="auto" w:sz="4" w:space="0"/>
              <w:bottom w:val="single" w:color="auto" w:sz="4" w:space="0"/>
              <w:right w:val="single" w:color="auto" w:sz="4" w:space="0"/>
            </w:tcBorders>
            <w:noWrap w:val="0"/>
            <w:vAlign w:val="center"/>
          </w:tcPr>
          <w:p w14:paraId="672E2C12">
            <w:pPr>
              <w:spacing w:line="500" w:lineRule="exact"/>
              <w:jc w:val="center"/>
              <w:rPr>
                <w:color w:val="auto"/>
                <w:sz w:val="24"/>
              </w:rPr>
            </w:pPr>
            <w:r>
              <w:rPr>
                <w:rFonts w:hint="eastAsia" w:ascii="宋体" w:hAnsi="宋体"/>
                <w:color w:val="auto"/>
                <w:sz w:val="24"/>
              </w:rPr>
              <w:t>纤维素酶活/(U/g)</w:t>
            </w:r>
          </w:p>
        </w:tc>
        <w:tc>
          <w:tcPr>
            <w:tcW w:w="3008" w:type="dxa"/>
            <w:tcBorders>
              <w:top w:val="single" w:color="auto" w:sz="4" w:space="0"/>
              <w:left w:val="nil"/>
              <w:bottom w:val="single" w:color="auto" w:sz="4" w:space="0"/>
              <w:right w:val="single" w:color="auto" w:sz="4" w:space="0"/>
            </w:tcBorders>
            <w:noWrap w:val="0"/>
            <w:vAlign w:val="center"/>
          </w:tcPr>
          <w:p w14:paraId="4223A0D7">
            <w:pPr>
              <w:spacing w:line="500" w:lineRule="exact"/>
              <w:jc w:val="center"/>
              <w:rPr>
                <w:color w:val="auto"/>
                <w:sz w:val="24"/>
              </w:rPr>
            </w:pPr>
            <w:r>
              <w:rPr>
                <w:rFonts w:hint="eastAsia" w:ascii="宋体" w:hAnsi="宋体"/>
                <w:color w:val="auto"/>
                <w:sz w:val="24"/>
              </w:rPr>
              <w:t>≧30</w:t>
            </w:r>
          </w:p>
        </w:tc>
      </w:tr>
      <w:tr w14:paraId="4A8CF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945" w:type="dxa"/>
            <w:tcBorders>
              <w:top w:val="single" w:color="auto" w:sz="4" w:space="0"/>
              <w:left w:val="single" w:color="auto" w:sz="4" w:space="0"/>
              <w:bottom w:val="single" w:color="auto" w:sz="4" w:space="0"/>
              <w:right w:val="single" w:color="auto" w:sz="4" w:space="0"/>
            </w:tcBorders>
            <w:noWrap w:val="0"/>
            <w:vAlign w:val="center"/>
          </w:tcPr>
          <w:p w14:paraId="4A19BEEF">
            <w:pPr>
              <w:spacing w:line="500" w:lineRule="exact"/>
              <w:jc w:val="center"/>
              <w:rPr>
                <w:color w:val="auto"/>
                <w:sz w:val="24"/>
              </w:rPr>
            </w:pPr>
            <w:r>
              <w:rPr>
                <w:rFonts w:hint="eastAsia" w:ascii="宋体" w:hAnsi="宋体"/>
                <w:color w:val="auto"/>
                <w:sz w:val="24"/>
              </w:rPr>
              <w:t>蛋白酶活/(U/g)</w:t>
            </w:r>
          </w:p>
        </w:tc>
        <w:tc>
          <w:tcPr>
            <w:tcW w:w="3008" w:type="dxa"/>
            <w:tcBorders>
              <w:top w:val="single" w:color="auto" w:sz="4" w:space="0"/>
              <w:left w:val="nil"/>
              <w:bottom w:val="single" w:color="auto" w:sz="4" w:space="0"/>
              <w:right w:val="single" w:color="auto" w:sz="4" w:space="0"/>
            </w:tcBorders>
            <w:noWrap w:val="0"/>
            <w:vAlign w:val="center"/>
          </w:tcPr>
          <w:p w14:paraId="106305DD">
            <w:pPr>
              <w:spacing w:line="500" w:lineRule="exact"/>
              <w:jc w:val="center"/>
              <w:rPr>
                <w:color w:val="auto"/>
                <w:sz w:val="24"/>
              </w:rPr>
            </w:pPr>
            <w:r>
              <w:rPr>
                <w:rFonts w:hint="eastAsia" w:ascii="宋体" w:hAnsi="宋体"/>
                <w:color w:val="auto"/>
                <w:sz w:val="24"/>
              </w:rPr>
              <w:t>≧15</w:t>
            </w:r>
          </w:p>
        </w:tc>
      </w:tr>
      <w:tr w14:paraId="7857D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945" w:type="dxa"/>
            <w:tcBorders>
              <w:top w:val="single" w:color="auto" w:sz="4" w:space="0"/>
              <w:left w:val="single" w:color="auto" w:sz="4" w:space="0"/>
              <w:bottom w:val="single" w:color="auto" w:sz="4" w:space="0"/>
              <w:right w:val="single" w:color="auto" w:sz="4" w:space="0"/>
            </w:tcBorders>
            <w:noWrap w:val="0"/>
            <w:vAlign w:val="center"/>
          </w:tcPr>
          <w:p w14:paraId="6AD745BC">
            <w:pPr>
              <w:spacing w:line="500" w:lineRule="exact"/>
              <w:jc w:val="center"/>
              <w:rPr>
                <w:color w:val="auto"/>
                <w:sz w:val="24"/>
              </w:rPr>
            </w:pPr>
            <w:r>
              <w:rPr>
                <w:rFonts w:hint="eastAsia" w:ascii="宋体" w:hAnsi="宋体"/>
                <w:color w:val="auto"/>
                <w:sz w:val="24"/>
              </w:rPr>
              <w:t>水份/(%)</w:t>
            </w:r>
          </w:p>
        </w:tc>
        <w:tc>
          <w:tcPr>
            <w:tcW w:w="3008" w:type="dxa"/>
            <w:tcBorders>
              <w:top w:val="single" w:color="auto" w:sz="4" w:space="0"/>
              <w:left w:val="nil"/>
              <w:bottom w:val="single" w:color="auto" w:sz="4" w:space="0"/>
              <w:right w:val="single" w:color="auto" w:sz="4" w:space="0"/>
            </w:tcBorders>
            <w:noWrap w:val="0"/>
            <w:vAlign w:val="center"/>
          </w:tcPr>
          <w:p w14:paraId="3EDA9B74">
            <w:pPr>
              <w:spacing w:line="500" w:lineRule="exact"/>
              <w:jc w:val="center"/>
              <w:rPr>
                <w:color w:val="auto"/>
                <w:sz w:val="24"/>
              </w:rPr>
            </w:pPr>
            <w:r>
              <w:rPr>
                <w:rFonts w:hint="eastAsia" w:ascii="宋体" w:hAnsi="宋体"/>
                <w:color w:val="auto"/>
                <w:sz w:val="24"/>
              </w:rPr>
              <w:t>≦35</w:t>
            </w:r>
          </w:p>
        </w:tc>
      </w:tr>
      <w:tr w14:paraId="4BEBF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945" w:type="dxa"/>
            <w:tcBorders>
              <w:top w:val="single" w:color="auto" w:sz="4" w:space="0"/>
              <w:left w:val="single" w:color="auto" w:sz="4" w:space="0"/>
              <w:bottom w:val="single" w:color="auto" w:sz="4" w:space="0"/>
              <w:right w:val="single" w:color="auto" w:sz="4" w:space="0"/>
            </w:tcBorders>
            <w:noWrap w:val="0"/>
            <w:vAlign w:val="top"/>
          </w:tcPr>
          <w:p w14:paraId="6ADD4D28">
            <w:pPr>
              <w:spacing w:line="500" w:lineRule="exact"/>
              <w:jc w:val="center"/>
              <w:rPr>
                <w:rFonts w:hint="eastAsia" w:ascii="宋体" w:hAnsi="宋体"/>
                <w:color w:val="auto"/>
                <w:sz w:val="24"/>
              </w:rPr>
            </w:pPr>
            <w:r>
              <w:rPr>
                <w:rFonts w:hint="eastAsia" w:ascii="宋体" w:hAnsi="宋体"/>
                <w:color w:val="auto"/>
                <w:sz w:val="24"/>
              </w:rPr>
              <w:t>细度/(%)</w:t>
            </w:r>
          </w:p>
        </w:tc>
        <w:tc>
          <w:tcPr>
            <w:tcW w:w="3008" w:type="dxa"/>
            <w:tcBorders>
              <w:top w:val="single" w:color="auto" w:sz="4" w:space="0"/>
              <w:left w:val="nil"/>
              <w:bottom w:val="single" w:color="auto" w:sz="4" w:space="0"/>
              <w:right w:val="single" w:color="auto" w:sz="4" w:space="0"/>
            </w:tcBorders>
            <w:noWrap w:val="0"/>
            <w:vAlign w:val="center"/>
          </w:tcPr>
          <w:p w14:paraId="235A0E16">
            <w:pPr>
              <w:spacing w:line="500" w:lineRule="exact"/>
              <w:jc w:val="center"/>
              <w:rPr>
                <w:color w:val="auto"/>
                <w:sz w:val="24"/>
              </w:rPr>
            </w:pPr>
            <w:r>
              <w:rPr>
                <w:rFonts w:hint="eastAsia" w:ascii="宋体" w:hAnsi="宋体"/>
                <w:color w:val="auto"/>
                <w:sz w:val="24"/>
              </w:rPr>
              <w:t>≧70</w:t>
            </w:r>
          </w:p>
        </w:tc>
      </w:tr>
      <w:tr w14:paraId="046E1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945" w:type="dxa"/>
            <w:tcBorders>
              <w:top w:val="single" w:color="auto" w:sz="4" w:space="0"/>
              <w:left w:val="single" w:color="auto" w:sz="4" w:space="0"/>
              <w:bottom w:val="single" w:color="auto" w:sz="4" w:space="0"/>
              <w:right w:val="single" w:color="auto" w:sz="4" w:space="0"/>
            </w:tcBorders>
            <w:noWrap w:val="0"/>
            <w:vAlign w:val="top"/>
          </w:tcPr>
          <w:p w14:paraId="178E0243">
            <w:pPr>
              <w:spacing w:line="500" w:lineRule="exact"/>
              <w:jc w:val="center"/>
              <w:rPr>
                <w:rFonts w:hint="eastAsia" w:ascii="宋体" w:hAnsi="宋体"/>
                <w:color w:val="auto"/>
                <w:sz w:val="24"/>
              </w:rPr>
            </w:pPr>
            <w:r>
              <w:rPr>
                <w:rFonts w:hint="eastAsia" w:ascii="宋体" w:hAnsi="宋体"/>
                <w:color w:val="auto"/>
                <w:sz w:val="24"/>
              </w:rPr>
              <w:t>PH值</w:t>
            </w:r>
          </w:p>
        </w:tc>
        <w:tc>
          <w:tcPr>
            <w:tcW w:w="3008" w:type="dxa"/>
            <w:tcBorders>
              <w:top w:val="single" w:color="auto" w:sz="4" w:space="0"/>
              <w:left w:val="nil"/>
              <w:bottom w:val="single" w:color="auto" w:sz="4" w:space="0"/>
              <w:right w:val="single" w:color="auto" w:sz="4" w:space="0"/>
            </w:tcBorders>
            <w:noWrap w:val="0"/>
            <w:vAlign w:val="center"/>
          </w:tcPr>
          <w:p w14:paraId="352BA6E6">
            <w:pPr>
              <w:spacing w:line="500" w:lineRule="exact"/>
              <w:jc w:val="center"/>
              <w:rPr>
                <w:color w:val="auto"/>
                <w:sz w:val="24"/>
              </w:rPr>
            </w:pPr>
            <w:r>
              <w:rPr>
                <w:rFonts w:hint="eastAsia" w:ascii="宋体" w:hAnsi="宋体"/>
                <w:color w:val="auto"/>
                <w:sz w:val="24"/>
              </w:rPr>
              <w:t>5.5～8.5</w:t>
            </w:r>
          </w:p>
        </w:tc>
      </w:tr>
      <w:tr w14:paraId="33C7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945" w:type="dxa"/>
            <w:tcBorders>
              <w:top w:val="single" w:color="auto" w:sz="4" w:space="0"/>
              <w:left w:val="single" w:color="auto" w:sz="4" w:space="0"/>
              <w:bottom w:val="single" w:color="auto" w:sz="4" w:space="0"/>
              <w:right w:val="single" w:color="auto" w:sz="4" w:space="0"/>
            </w:tcBorders>
            <w:noWrap w:val="0"/>
            <w:vAlign w:val="top"/>
          </w:tcPr>
          <w:p w14:paraId="75C4AA04">
            <w:pPr>
              <w:spacing w:line="500" w:lineRule="exact"/>
              <w:jc w:val="center"/>
              <w:rPr>
                <w:rFonts w:hint="eastAsia" w:ascii="宋体" w:hAnsi="宋体"/>
                <w:color w:val="auto"/>
                <w:sz w:val="24"/>
              </w:rPr>
            </w:pPr>
            <w:r>
              <w:rPr>
                <w:rFonts w:hint="eastAsia" w:ascii="宋体" w:hAnsi="宋体"/>
                <w:color w:val="auto"/>
                <w:sz w:val="24"/>
              </w:rPr>
              <w:t>保质期/月</w:t>
            </w:r>
          </w:p>
        </w:tc>
        <w:tc>
          <w:tcPr>
            <w:tcW w:w="3008" w:type="dxa"/>
            <w:tcBorders>
              <w:top w:val="single" w:color="auto" w:sz="4" w:space="0"/>
              <w:left w:val="nil"/>
              <w:bottom w:val="single" w:color="auto" w:sz="4" w:space="0"/>
              <w:right w:val="single" w:color="auto" w:sz="4" w:space="0"/>
            </w:tcBorders>
            <w:noWrap w:val="0"/>
            <w:vAlign w:val="center"/>
          </w:tcPr>
          <w:p w14:paraId="2F5F46A4">
            <w:pPr>
              <w:spacing w:line="500" w:lineRule="exact"/>
              <w:jc w:val="center"/>
              <w:rPr>
                <w:rFonts w:hint="eastAsia" w:ascii="宋体" w:hAnsi="宋体"/>
                <w:color w:val="auto"/>
                <w:sz w:val="24"/>
              </w:rPr>
            </w:pPr>
            <w:r>
              <w:rPr>
                <w:rFonts w:hint="eastAsia" w:ascii="宋体" w:hAnsi="宋体"/>
                <w:color w:val="auto"/>
                <w:sz w:val="24"/>
              </w:rPr>
              <w:t>≧6</w:t>
            </w:r>
          </w:p>
        </w:tc>
      </w:tr>
      <w:tr w14:paraId="0D6C4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945" w:type="dxa"/>
            <w:tcBorders>
              <w:top w:val="single" w:color="auto" w:sz="4" w:space="0"/>
              <w:left w:val="single" w:color="auto" w:sz="4" w:space="0"/>
              <w:bottom w:val="single" w:color="auto" w:sz="4" w:space="0"/>
              <w:right w:val="single" w:color="auto" w:sz="4" w:space="0"/>
            </w:tcBorders>
            <w:noWrap w:val="0"/>
            <w:vAlign w:val="top"/>
          </w:tcPr>
          <w:p w14:paraId="6847F54B">
            <w:pPr>
              <w:spacing w:line="500" w:lineRule="exact"/>
              <w:jc w:val="center"/>
              <w:rPr>
                <w:rFonts w:hint="eastAsia" w:ascii="宋体" w:hAnsi="宋体"/>
                <w:color w:val="auto"/>
                <w:sz w:val="24"/>
              </w:rPr>
            </w:pPr>
            <w:r>
              <w:rPr>
                <w:rFonts w:hint="eastAsia" w:ascii="宋体" w:hAnsi="宋体"/>
                <w:color w:val="auto"/>
                <w:sz w:val="24"/>
              </w:rPr>
              <w:t>粪大肠菌群数/(个/g)</w:t>
            </w:r>
          </w:p>
        </w:tc>
        <w:tc>
          <w:tcPr>
            <w:tcW w:w="3008" w:type="dxa"/>
            <w:tcBorders>
              <w:top w:val="single" w:color="auto" w:sz="4" w:space="0"/>
              <w:left w:val="nil"/>
              <w:bottom w:val="single" w:color="auto" w:sz="4" w:space="0"/>
              <w:right w:val="single" w:color="auto" w:sz="4" w:space="0"/>
            </w:tcBorders>
            <w:noWrap w:val="0"/>
            <w:vAlign w:val="center"/>
          </w:tcPr>
          <w:p w14:paraId="7D731866">
            <w:pPr>
              <w:spacing w:line="500" w:lineRule="exact"/>
              <w:jc w:val="center"/>
              <w:rPr>
                <w:color w:val="auto"/>
                <w:sz w:val="24"/>
              </w:rPr>
            </w:pPr>
            <w:r>
              <w:rPr>
                <w:rFonts w:hint="eastAsia" w:ascii="宋体" w:hAnsi="宋体"/>
                <w:color w:val="auto"/>
                <w:sz w:val="24"/>
              </w:rPr>
              <w:t>≦100</w:t>
            </w:r>
          </w:p>
        </w:tc>
      </w:tr>
      <w:tr w14:paraId="771B3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945" w:type="dxa"/>
            <w:tcBorders>
              <w:top w:val="single" w:color="auto" w:sz="4" w:space="0"/>
              <w:left w:val="single" w:color="auto" w:sz="4" w:space="0"/>
              <w:bottom w:val="single" w:color="auto" w:sz="4" w:space="0"/>
              <w:right w:val="single" w:color="auto" w:sz="4" w:space="0"/>
            </w:tcBorders>
            <w:noWrap w:val="0"/>
            <w:vAlign w:val="top"/>
          </w:tcPr>
          <w:p w14:paraId="5F897A25">
            <w:pPr>
              <w:spacing w:line="500" w:lineRule="exact"/>
              <w:jc w:val="center"/>
              <w:rPr>
                <w:rFonts w:hint="eastAsia" w:ascii="宋体" w:hAnsi="宋体"/>
                <w:color w:val="auto"/>
                <w:sz w:val="24"/>
              </w:rPr>
            </w:pPr>
            <w:r>
              <w:rPr>
                <w:rFonts w:hint="eastAsia" w:ascii="宋体" w:hAnsi="宋体"/>
                <w:color w:val="auto"/>
                <w:sz w:val="24"/>
              </w:rPr>
              <w:t>蛔虫卵死亡率/(%)</w:t>
            </w:r>
          </w:p>
        </w:tc>
        <w:tc>
          <w:tcPr>
            <w:tcW w:w="3008" w:type="dxa"/>
            <w:tcBorders>
              <w:top w:val="single" w:color="auto" w:sz="4" w:space="0"/>
              <w:left w:val="nil"/>
              <w:bottom w:val="single" w:color="auto" w:sz="4" w:space="0"/>
              <w:right w:val="single" w:color="auto" w:sz="4" w:space="0"/>
            </w:tcBorders>
            <w:noWrap w:val="0"/>
            <w:vAlign w:val="center"/>
          </w:tcPr>
          <w:p w14:paraId="766372A5">
            <w:pPr>
              <w:spacing w:line="500" w:lineRule="exact"/>
              <w:jc w:val="center"/>
              <w:rPr>
                <w:color w:val="auto"/>
                <w:sz w:val="24"/>
              </w:rPr>
            </w:pPr>
            <w:r>
              <w:rPr>
                <w:rFonts w:hint="eastAsia" w:ascii="宋体" w:hAnsi="宋体"/>
                <w:color w:val="auto"/>
                <w:sz w:val="24"/>
              </w:rPr>
              <w:t>≧95</w:t>
            </w:r>
          </w:p>
        </w:tc>
      </w:tr>
      <w:tr w14:paraId="777BF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945" w:type="dxa"/>
            <w:tcBorders>
              <w:top w:val="single" w:color="auto" w:sz="4" w:space="0"/>
              <w:left w:val="single" w:color="auto" w:sz="4" w:space="0"/>
              <w:bottom w:val="single" w:color="auto" w:sz="4" w:space="0"/>
              <w:right w:val="single" w:color="auto" w:sz="4" w:space="0"/>
            </w:tcBorders>
            <w:noWrap w:val="0"/>
            <w:vAlign w:val="top"/>
          </w:tcPr>
          <w:p w14:paraId="77158E32">
            <w:pPr>
              <w:spacing w:line="500" w:lineRule="exact"/>
              <w:jc w:val="center"/>
              <w:rPr>
                <w:rFonts w:hint="eastAsia" w:ascii="宋体" w:hAnsi="宋体"/>
                <w:color w:val="auto"/>
                <w:sz w:val="24"/>
              </w:rPr>
            </w:pPr>
            <w:r>
              <w:rPr>
                <w:rFonts w:hint="eastAsia" w:ascii="宋体" w:hAnsi="宋体"/>
                <w:color w:val="auto"/>
                <w:sz w:val="24"/>
              </w:rPr>
              <w:t>砷及其化合物（以As计）/(mg/kg)</w:t>
            </w:r>
          </w:p>
        </w:tc>
        <w:tc>
          <w:tcPr>
            <w:tcW w:w="3008" w:type="dxa"/>
            <w:tcBorders>
              <w:top w:val="single" w:color="auto" w:sz="4" w:space="0"/>
              <w:left w:val="nil"/>
              <w:bottom w:val="single" w:color="auto" w:sz="4" w:space="0"/>
              <w:right w:val="single" w:color="auto" w:sz="4" w:space="0"/>
            </w:tcBorders>
            <w:noWrap w:val="0"/>
            <w:vAlign w:val="center"/>
          </w:tcPr>
          <w:p w14:paraId="6F310276">
            <w:pPr>
              <w:spacing w:line="500" w:lineRule="exact"/>
              <w:jc w:val="center"/>
              <w:rPr>
                <w:color w:val="auto"/>
                <w:sz w:val="24"/>
              </w:rPr>
            </w:pPr>
            <w:r>
              <w:rPr>
                <w:rFonts w:hint="eastAsia" w:ascii="宋体" w:hAnsi="宋体"/>
                <w:color w:val="auto"/>
                <w:sz w:val="24"/>
              </w:rPr>
              <w:t>≤75</w:t>
            </w:r>
          </w:p>
        </w:tc>
      </w:tr>
      <w:tr w14:paraId="2274F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945" w:type="dxa"/>
            <w:tcBorders>
              <w:top w:val="single" w:color="auto" w:sz="4" w:space="0"/>
              <w:left w:val="single" w:color="auto" w:sz="4" w:space="0"/>
              <w:bottom w:val="single" w:color="auto" w:sz="4" w:space="0"/>
              <w:right w:val="single" w:color="auto" w:sz="4" w:space="0"/>
            </w:tcBorders>
            <w:noWrap w:val="0"/>
            <w:vAlign w:val="top"/>
          </w:tcPr>
          <w:p w14:paraId="043539F2">
            <w:pPr>
              <w:spacing w:line="500" w:lineRule="exact"/>
              <w:jc w:val="center"/>
              <w:rPr>
                <w:rFonts w:hint="eastAsia" w:ascii="宋体" w:hAnsi="宋体"/>
                <w:color w:val="auto"/>
                <w:sz w:val="24"/>
              </w:rPr>
            </w:pPr>
            <w:r>
              <w:rPr>
                <w:rFonts w:hint="eastAsia" w:ascii="宋体" w:hAnsi="宋体"/>
                <w:color w:val="auto"/>
                <w:sz w:val="24"/>
              </w:rPr>
              <w:t>镉及其化合物（以Cd计)/(mg/kg)</w:t>
            </w:r>
          </w:p>
        </w:tc>
        <w:tc>
          <w:tcPr>
            <w:tcW w:w="3008" w:type="dxa"/>
            <w:tcBorders>
              <w:top w:val="single" w:color="auto" w:sz="4" w:space="0"/>
              <w:left w:val="nil"/>
              <w:bottom w:val="single" w:color="auto" w:sz="4" w:space="0"/>
              <w:right w:val="single" w:color="auto" w:sz="4" w:space="0"/>
            </w:tcBorders>
            <w:noWrap w:val="0"/>
            <w:vAlign w:val="center"/>
          </w:tcPr>
          <w:p w14:paraId="6D2CE172">
            <w:pPr>
              <w:spacing w:line="500" w:lineRule="exact"/>
              <w:jc w:val="center"/>
              <w:rPr>
                <w:color w:val="auto"/>
                <w:sz w:val="24"/>
              </w:rPr>
            </w:pPr>
            <w:r>
              <w:rPr>
                <w:rFonts w:hint="eastAsia" w:ascii="宋体" w:hAnsi="宋体"/>
                <w:color w:val="auto"/>
                <w:sz w:val="24"/>
              </w:rPr>
              <w:t>≤10</w:t>
            </w:r>
          </w:p>
        </w:tc>
      </w:tr>
      <w:tr w14:paraId="68CB4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945" w:type="dxa"/>
            <w:tcBorders>
              <w:top w:val="single" w:color="auto" w:sz="4" w:space="0"/>
              <w:left w:val="single" w:color="auto" w:sz="4" w:space="0"/>
              <w:bottom w:val="single" w:color="auto" w:sz="4" w:space="0"/>
              <w:right w:val="single" w:color="auto" w:sz="4" w:space="0"/>
            </w:tcBorders>
            <w:noWrap w:val="0"/>
            <w:vAlign w:val="top"/>
          </w:tcPr>
          <w:p w14:paraId="2965AAAA">
            <w:pPr>
              <w:spacing w:line="500" w:lineRule="exact"/>
              <w:jc w:val="center"/>
              <w:rPr>
                <w:rFonts w:hint="eastAsia" w:ascii="宋体" w:hAnsi="宋体"/>
                <w:color w:val="auto"/>
                <w:sz w:val="24"/>
              </w:rPr>
            </w:pPr>
            <w:r>
              <w:rPr>
                <w:rFonts w:hint="eastAsia" w:ascii="宋体" w:hAnsi="宋体"/>
                <w:color w:val="auto"/>
                <w:sz w:val="24"/>
              </w:rPr>
              <w:t>铅及其化合物（以Pb计) /(mg/kg)</w:t>
            </w:r>
          </w:p>
        </w:tc>
        <w:tc>
          <w:tcPr>
            <w:tcW w:w="3008" w:type="dxa"/>
            <w:tcBorders>
              <w:top w:val="single" w:color="auto" w:sz="4" w:space="0"/>
              <w:left w:val="nil"/>
              <w:bottom w:val="single" w:color="auto" w:sz="4" w:space="0"/>
              <w:right w:val="single" w:color="auto" w:sz="4" w:space="0"/>
            </w:tcBorders>
            <w:noWrap w:val="0"/>
            <w:vAlign w:val="center"/>
          </w:tcPr>
          <w:p w14:paraId="35E00E92">
            <w:pPr>
              <w:spacing w:line="500" w:lineRule="exact"/>
              <w:jc w:val="center"/>
              <w:rPr>
                <w:color w:val="auto"/>
                <w:sz w:val="24"/>
              </w:rPr>
            </w:pPr>
            <w:r>
              <w:rPr>
                <w:rFonts w:hint="eastAsia" w:ascii="宋体" w:hAnsi="宋体"/>
                <w:color w:val="auto"/>
                <w:sz w:val="24"/>
              </w:rPr>
              <w:t>≤100</w:t>
            </w:r>
          </w:p>
        </w:tc>
      </w:tr>
      <w:tr w14:paraId="1E756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945" w:type="dxa"/>
            <w:tcBorders>
              <w:top w:val="single" w:color="auto" w:sz="4" w:space="0"/>
              <w:left w:val="single" w:color="auto" w:sz="4" w:space="0"/>
              <w:bottom w:val="single" w:color="auto" w:sz="4" w:space="0"/>
              <w:right w:val="single" w:color="auto" w:sz="4" w:space="0"/>
            </w:tcBorders>
            <w:noWrap w:val="0"/>
            <w:vAlign w:val="top"/>
          </w:tcPr>
          <w:p w14:paraId="577E4ACB">
            <w:pPr>
              <w:spacing w:line="500" w:lineRule="exact"/>
              <w:jc w:val="center"/>
              <w:rPr>
                <w:rFonts w:hint="eastAsia" w:ascii="宋体" w:hAnsi="宋体"/>
                <w:color w:val="auto"/>
                <w:sz w:val="24"/>
              </w:rPr>
            </w:pPr>
            <w:r>
              <w:rPr>
                <w:rFonts w:hint="eastAsia" w:ascii="宋体" w:hAnsi="宋体"/>
                <w:color w:val="auto"/>
                <w:sz w:val="24"/>
              </w:rPr>
              <w:t>铬及其化合物（以Cr计) /(mg/kg)</w:t>
            </w:r>
          </w:p>
        </w:tc>
        <w:tc>
          <w:tcPr>
            <w:tcW w:w="3008" w:type="dxa"/>
            <w:tcBorders>
              <w:top w:val="single" w:color="auto" w:sz="4" w:space="0"/>
              <w:left w:val="nil"/>
              <w:bottom w:val="single" w:color="auto" w:sz="4" w:space="0"/>
              <w:right w:val="single" w:color="auto" w:sz="4" w:space="0"/>
            </w:tcBorders>
            <w:noWrap w:val="0"/>
            <w:vAlign w:val="center"/>
          </w:tcPr>
          <w:p w14:paraId="4A0471B2">
            <w:pPr>
              <w:spacing w:line="500" w:lineRule="exact"/>
              <w:jc w:val="center"/>
              <w:rPr>
                <w:rFonts w:ascii="宋体" w:hAnsi="宋体"/>
                <w:color w:val="auto"/>
                <w:sz w:val="24"/>
              </w:rPr>
            </w:pPr>
            <w:r>
              <w:rPr>
                <w:rFonts w:hint="eastAsia" w:ascii="宋体" w:hAnsi="宋体"/>
                <w:color w:val="auto"/>
                <w:sz w:val="24"/>
              </w:rPr>
              <w:t>≤150</w:t>
            </w:r>
          </w:p>
        </w:tc>
      </w:tr>
      <w:tr w14:paraId="42B47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945" w:type="dxa"/>
            <w:tcBorders>
              <w:top w:val="single" w:color="auto" w:sz="4" w:space="0"/>
              <w:left w:val="single" w:color="auto" w:sz="4" w:space="0"/>
              <w:bottom w:val="single" w:color="auto" w:sz="4" w:space="0"/>
              <w:right w:val="single" w:color="auto" w:sz="4" w:space="0"/>
            </w:tcBorders>
            <w:noWrap w:val="0"/>
            <w:vAlign w:val="top"/>
          </w:tcPr>
          <w:p w14:paraId="4595A32F">
            <w:pPr>
              <w:spacing w:line="500" w:lineRule="exact"/>
              <w:jc w:val="center"/>
              <w:rPr>
                <w:rFonts w:hint="eastAsia" w:ascii="宋体" w:hAnsi="宋体"/>
                <w:color w:val="auto"/>
                <w:sz w:val="24"/>
              </w:rPr>
            </w:pPr>
            <w:r>
              <w:rPr>
                <w:rFonts w:hint="eastAsia" w:ascii="宋体" w:hAnsi="宋体"/>
                <w:color w:val="auto"/>
                <w:sz w:val="24"/>
              </w:rPr>
              <w:t>汞及其化合物（以Hg计)/(mg/kg)</w:t>
            </w:r>
          </w:p>
        </w:tc>
        <w:tc>
          <w:tcPr>
            <w:tcW w:w="3008" w:type="dxa"/>
            <w:tcBorders>
              <w:top w:val="single" w:color="auto" w:sz="4" w:space="0"/>
              <w:left w:val="nil"/>
              <w:bottom w:val="single" w:color="auto" w:sz="4" w:space="0"/>
              <w:right w:val="single" w:color="auto" w:sz="4" w:space="0"/>
            </w:tcBorders>
            <w:noWrap w:val="0"/>
            <w:vAlign w:val="center"/>
          </w:tcPr>
          <w:p w14:paraId="17BF026D">
            <w:pPr>
              <w:spacing w:line="500" w:lineRule="exact"/>
              <w:jc w:val="center"/>
              <w:rPr>
                <w:rFonts w:ascii="宋体" w:hAnsi="宋体"/>
                <w:color w:val="auto"/>
                <w:sz w:val="24"/>
              </w:rPr>
            </w:pPr>
            <w:r>
              <w:rPr>
                <w:rFonts w:hint="eastAsia" w:ascii="宋体" w:hAnsi="宋体"/>
                <w:color w:val="auto"/>
                <w:sz w:val="24"/>
              </w:rPr>
              <w:t>≤5</w:t>
            </w:r>
          </w:p>
        </w:tc>
      </w:tr>
    </w:tbl>
    <w:p w14:paraId="17615983">
      <w:pPr>
        <w:pStyle w:val="17"/>
        <w:snapToGrid/>
        <w:spacing w:before="0" w:beforeAutospacing="0" w:after="0" w:afterAutospacing="0" w:line="240" w:lineRule="auto"/>
        <w:ind w:firstLine="480" w:firstLineChars="200"/>
        <w:jc w:val="both"/>
        <w:textAlignment w:val="baseline"/>
        <w:rPr>
          <w:rFonts w:hint="eastAsia" w:ascii="宋体" w:hAnsi="宋体" w:eastAsia="宋体" w:cs="宋体"/>
          <w:b w:val="0"/>
          <w:bCs/>
          <w:i w:val="0"/>
          <w:caps w:val="0"/>
          <w:color w:val="auto"/>
          <w:spacing w:val="0"/>
          <w:w w:val="100"/>
          <w:kern w:val="0"/>
          <w:sz w:val="28"/>
          <w:szCs w:val="21"/>
          <w:lang w:val="en-US" w:eastAsia="zh-CN" w:bidi="ar-SA"/>
        </w:rPr>
        <w:sectPr>
          <w:footerReference r:id="rId14" w:type="default"/>
          <w:pgSz w:w="11906" w:h="16838"/>
          <w:pgMar w:top="1418" w:right="1247" w:bottom="1247" w:left="1418" w:header="851" w:footer="992" w:gutter="0"/>
          <w:pgNumType w:fmt="numberInDash"/>
          <w:cols w:space="425" w:num="1"/>
          <w:docGrid w:type="lines" w:linePitch="312" w:charSpace="0"/>
        </w:sectPr>
      </w:pPr>
      <w:r>
        <w:rPr>
          <w:rFonts w:hint="eastAsia" w:ascii="宋体" w:hAnsi="宋体" w:eastAsiaTheme="minorEastAsia" w:cstheme="minorBidi"/>
          <w:b/>
          <w:bCs/>
          <w:color w:val="auto"/>
          <w:kern w:val="2"/>
          <w:sz w:val="24"/>
          <w:szCs w:val="22"/>
          <w:lang w:val="en-US" w:eastAsia="zh-CN" w:bidi="ar-SA"/>
        </w:rPr>
        <w:t>包装规格：2kg/袋</w:t>
      </w:r>
      <w:r>
        <w:rPr>
          <w:rFonts w:hint="eastAsia" w:ascii="宋体" w:hAnsi="宋体" w:cstheme="minorBidi"/>
          <w:b/>
          <w:bCs/>
          <w:color w:val="auto"/>
          <w:kern w:val="2"/>
          <w:sz w:val="24"/>
          <w:szCs w:val="22"/>
          <w:lang w:val="en-US" w:eastAsia="zh-CN" w:bidi="ar-SA"/>
        </w:rPr>
        <w:t>。</w:t>
      </w:r>
    </w:p>
    <w:p w14:paraId="259EFB93">
      <w:pPr>
        <w:pStyle w:val="3"/>
        <w:spacing w:before="0" w:after="0" w:line="360" w:lineRule="auto"/>
        <w:jc w:val="both"/>
        <w:rPr>
          <w:rFonts w:hint="eastAsia" w:ascii="宋体" w:hAnsi="宋体" w:eastAsia="宋体" w:cs="宋体"/>
          <w:color w:val="auto"/>
          <w:sz w:val="36"/>
          <w:szCs w:val="36"/>
          <w:highlight w:val="none"/>
        </w:rPr>
      </w:pPr>
      <w:bookmarkStart w:id="248" w:name="_Toc132208742"/>
    </w:p>
    <w:p w14:paraId="40E2D1A4">
      <w:pPr>
        <w:pStyle w:val="3"/>
        <w:spacing w:before="0" w:after="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第六章 响应文件格式</w:t>
      </w:r>
      <w:bookmarkEnd w:id="248"/>
    </w:p>
    <w:p w14:paraId="262698E1">
      <w:pPr>
        <w:spacing w:line="360" w:lineRule="auto"/>
        <w:rPr>
          <w:rFonts w:hint="eastAsia" w:ascii="宋体" w:hAnsi="宋体" w:eastAsia="宋体" w:cs="宋体"/>
          <w:color w:val="auto"/>
          <w:sz w:val="28"/>
          <w:szCs w:val="32"/>
          <w:highlight w:val="none"/>
        </w:rPr>
      </w:pPr>
    </w:p>
    <w:p w14:paraId="31C3A4F0">
      <w:pPr>
        <w:spacing w:line="360" w:lineRule="auto"/>
        <w:rPr>
          <w:rFonts w:hint="eastAsia" w:ascii="宋体" w:hAnsi="宋体" w:eastAsia="宋体" w:cs="宋体"/>
          <w:color w:val="auto"/>
          <w:sz w:val="28"/>
          <w:szCs w:val="32"/>
          <w:highlight w:val="none"/>
        </w:rPr>
      </w:pPr>
    </w:p>
    <w:p w14:paraId="399B63AE">
      <w:pPr>
        <w:spacing w:line="360" w:lineRule="auto"/>
        <w:rPr>
          <w:rFonts w:hint="eastAsia" w:ascii="宋体" w:hAnsi="宋体" w:eastAsia="宋体" w:cs="宋体"/>
          <w:color w:val="auto"/>
          <w:sz w:val="28"/>
          <w:szCs w:val="32"/>
          <w:highlight w:val="none"/>
        </w:rPr>
      </w:pPr>
    </w:p>
    <w:p w14:paraId="194BD18C">
      <w:pPr>
        <w:spacing w:line="360" w:lineRule="auto"/>
        <w:ind w:firstLine="2976" w:firstLineChars="1063"/>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u w:val="single"/>
        </w:rPr>
        <w:t xml:space="preserve">              （项目名称）</w:t>
      </w:r>
    </w:p>
    <w:p w14:paraId="0CB29857">
      <w:pPr>
        <w:spacing w:line="360" w:lineRule="auto"/>
        <w:rPr>
          <w:rFonts w:hint="eastAsia" w:ascii="宋体" w:hAnsi="宋体" w:eastAsia="宋体" w:cs="宋体"/>
          <w:color w:val="auto"/>
          <w:sz w:val="28"/>
          <w:szCs w:val="32"/>
          <w:highlight w:val="none"/>
        </w:rPr>
      </w:pPr>
    </w:p>
    <w:p w14:paraId="3A8B0916">
      <w:pPr>
        <w:spacing w:line="360" w:lineRule="auto"/>
        <w:rPr>
          <w:rFonts w:hint="eastAsia" w:ascii="宋体" w:hAnsi="宋体" w:eastAsia="宋体" w:cs="宋体"/>
          <w:color w:val="auto"/>
          <w:sz w:val="28"/>
          <w:szCs w:val="32"/>
          <w:highlight w:val="none"/>
        </w:rPr>
      </w:pPr>
    </w:p>
    <w:p w14:paraId="02E875C6">
      <w:pPr>
        <w:spacing w:line="360" w:lineRule="auto"/>
        <w:rPr>
          <w:rFonts w:hint="eastAsia" w:ascii="宋体" w:hAnsi="宋体" w:eastAsia="宋体" w:cs="宋体"/>
          <w:color w:val="auto"/>
          <w:sz w:val="28"/>
          <w:szCs w:val="32"/>
          <w:highlight w:val="none"/>
        </w:rPr>
      </w:pPr>
    </w:p>
    <w:p w14:paraId="2AFAEC2C">
      <w:pPr>
        <w:spacing w:line="360" w:lineRule="auto"/>
        <w:rPr>
          <w:rFonts w:hint="eastAsia" w:ascii="宋体" w:hAnsi="宋体" w:eastAsia="宋体" w:cs="宋体"/>
          <w:color w:val="auto"/>
          <w:sz w:val="28"/>
          <w:szCs w:val="32"/>
          <w:highlight w:val="none"/>
        </w:rPr>
      </w:pPr>
    </w:p>
    <w:p w14:paraId="77431326">
      <w:pPr>
        <w:jc w:val="center"/>
        <w:rPr>
          <w:rFonts w:hint="eastAsia" w:ascii="宋体" w:hAnsi="宋体" w:eastAsia="宋体" w:cs="宋体"/>
          <w:b/>
          <w:bCs/>
          <w:color w:val="auto"/>
          <w:sz w:val="96"/>
          <w:szCs w:val="144"/>
          <w:highlight w:val="none"/>
        </w:rPr>
      </w:pPr>
      <w:r>
        <w:rPr>
          <w:rFonts w:hint="eastAsia" w:ascii="宋体" w:hAnsi="宋体" w:eastAsia="宋体" w:cs="宋体"/>
          <w:b/>
          <w:bCs/>
          <w:color w:val="auto"/>
          <w:sz w:val="96"/>
          <w:szCs w:val="144"/>
          <w:highlight w:val="none"/>
        </w:rPr>
        <w:t>响 应 文 件</w:t>
      </w:r>
    </w:p>
    <w:p w14:paraId="63428E5E">
      <w:pPr>
        <w:spacing w:line="360" w:lineRule="auto"/>
        <w:rPr>
          <w:rFonts w:hint="eastAsia" w:ascii="宋体" w:hAnsi="宋体" w:eastAsia="宋体" w:cs="宋体"/>
          <w:color w:val="auto"/>
          <w:sz w:val="28"/>
          <w:szCs w:val="32"/>
          <w:highlight w:val="none"/>
        </w:rPr>
      </w:pPr>
    </w:p>
    <w:p w14:paraId="0B5C85D7">
      <w:pPr>
        <w:spacing w:line="360" w:lineRule="auto"/>
        <w:jc w:val="center"/>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lang w:eastAsia="zh-CN"/>
        </w:rPr>
        <w:t>项目编号</w:t>
      </w:r>
      <w:r>
        <w:rPr>
          <w:rFonts w:hint="eastAsia" w:ascii="宋体" w:hAnsi="宋体" w:eastAsia="宋体" w:cs="宋体"/>
          <w:color w:val="auto"/>
          <w:sz w:val="28"/>
          <w:szCs w:val="32"/>
          <w:highlight w:val="none"/>
        </w:rPr>
        <w:t>：</w:t>
      </w:r>
    </w:p>
    <w:p w14:paraId="77874CD6">
      <w:pPr>
        <w:spacing w:line="360" w:lineRule="auto"/>
        <w:rPr>
          <w:rFonts w:hint="eastAsia" w:ascii="宋体" w:hAnsi="宋体" w:eastAsia="宋体" w:cs="宋体"/>
          <w:color w:val="auto"/>
          <w:sz w:val="28"/>
          <w:szCs w:val="32"/>
          <w:highlight w:val="none"/>
        </w:rPr>
      </w:pPr>
    </w:p>
    <w:p w14:paraId="1C9BB5BD">
      <w:pPr>
        <w:spacing w:line="360" w:lineRule="auto"/>
        <w:rPr>
          <w:rFonts w:hint="eastAsia" w:ascii="宋体" w:hAnsi="宋体" w:eastAsia="宋体" w:cs="宋体"/>
          <w:color w:val="auto"/>
          <w:sz w:val="28"/>
          <w:szCs w:val="32"/>
          <w:highlight w:val="none"/>
        </w:rPr>
      </w:pPr>
    </w:p>
    <w:p w14:paraId="1C97E137">
      <w:pPr>
        <w:spacing w:line="360" w:lineRule="auto"/>
        <w:rPr>
          <w:rFonts w:hint="eastAsia" w:ascii="宋体" w:hAnsi="宋体" w:eastAsia="宋体" w:cs="宋体"/>
          <w:color w:val="auto"/>
          <w:sz w:val="28"/>
          <w:szCs w:val="32"/>
          <w:highlight w:val="none"/>
        </w:rPr>
      </w:pPr>
    </w:p>
    <w:p w14:paraId="09A7AE63">
      <w:pPr>
        <w:spacing w:line="360" w:lineRule="auto"/>
        <w:rPr>
          <w:rFonts w:hint="eastAsia" w:ascii="宋体" w:hAnsi="宋体" w:eastAsia="宋体" w:cs="宋体"/>
          <w:color w:val="auto"/>
          <w:sz w:val="28"/>
          <w:szCs w:val="32"/>
          <w:highlight w:val="none"/>
        </w:rPr>
      </w:pPr>
    </w:p>
    <w:p w14:paraId="00D9B04F">
      <w:pPr>
        <w:spacing w:line="360" w:lineRule="auto"/>
        <w:rPr>
          <w:rFonts w:hint="eastAsia" w:ascii="宋体" w:hAnsi="宋体" w:eastAsia="宋体" w:cs="宋体"/>
          <w:color w:val="auto"/>
          <w:sz w:val="28"/>
          <w:szCs w:val="32"/>
          <w:highlight w:val="none"/>
        </w:rPr>
      </w:pPr>
    </w:p>
    <w:p w14:paraId="3A4D7DD9">
      <w:pPr>
        <w:spacing w:line="360" w:lineRule="auto"/>
        <w:ind w:firstLine="1680" w:firstLineChars="600"/>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供应商：</w:t>
      </w:r>
      <w:r>
        <w:rPr>
          <w:rFonts w:hint="eastAsia" w:ascii="宋体" w:hAnsi="宋体" w:eastAsia="宋体" w:cs="宋体"/>
          <w:color w:val="auto"/>
          <w:sz w:val="28"/>
          <w:szCs w:val="32"/>
          <w:highlight w:val="none"/>
          <w:u w:val="single"/>
        </w:rPr>
        <w:t xml:space="preserve">                        </w:t>
      </w:r>
      <w:r>
        <w:rPr>
          <w:rFonts w:hint="eastAsia" w:ascii="宋体" w:hAnsi="宋体" w:eastAsia="宋体" w:cs="宋体"/>
          <w:color w:val="auto"/>
          <w:sz w:val="28"/>
          <w:szCs w:val="32"/>
          <w:highlight w:val="none"/>
        </w:rPr>
        <w:t>（电子签章）</w:t>
      </w:r>
    </w:p>
    <w:p w14:paraId="49E1BBAF">
      <w:pPr>
        <w:spacing w:line="360" w:lineRule="auto"/>
        <w:rPr>
          <w:rFonts w:hint="eastAsia" w:ascii="宋体" w:hAnsi="宋体" w:eastAsia="宋体" w:cs="宋体"/>
          <w:color w:val="auto"/>
          <w:highlight w:val="none"/>
        </w:rPr>
      </w:pPr>
      <w:r>
        <w:rPr>
          <w:rFonts w:hint="eastAsia" w:ascii="宋体" w:hAnsi="宋体" w:eastAsia="宋体" w:cs="宋体"/>
          <w:color w:val="auto"/>
          <w:sz w:val="28"/>
          <w:szCs w:val="32"/>
          <w:highlight w:val="none"/>
        </w:rPr>
        <w:t xml:space="preserve">                        年    月    日</w:t>
      </w:r>
      <w:r>
        <w:rPr>
          <w:rFonts w:hint="eastAsia" w:ascii="宋体" w:hAnsi="宋体" w:eastAsia="宋体" w:cs="宋体"/>
          <w:color w:val="auto"/>
          <w:sz w:val="28"/>
          <w:szCs w:val="32"/>
          <w:highlight w:val="none"/>
          <w:u w:val="single"/>
        </w:rPr>
        <w:br w:type="page"/>
      </w:r>
    </w:p>
    <w:p w14:paraId="73EA034F">
      <w:pPr>
        <w:pStyle w:val="107"/>
        <w:ind w:firstLine="640"/>
        <w:jc w:val="center"/>
        <w:rPr>
          <w:rFonts w:hint="eastAsia" w:ascii="宋体" w:hAnsi="宋体" w:eastAsia="宋体" w:cs="宋体"/>
          <w:color w:val="auto"/>
          <w:sz w:val="32"/>
          <w:szCs w:val="32"/>
          <w:highlight w:val="none"/>
          <w:lang w:val="en-US"/>
        </w:rPr>
      </w:pPr>
    </w:p>
    <w:p w14:paraId="738DECA0">
      <w:pPr>
        <w:pStyle w:val="107"/>
        <w:ind w:firstLine="640"/>
        <w:jc w:val="center"/>
        <w:rPr>
          <w:rFonts w:hint="eastAsia" w:ascii="宋体" w:hAnsi="宋体" w:eastAsia="宋体" w:cs="宋体"/>
          <w:color w:val="auto"/>
          <w:sz w:val="32"/>
          <w:szCs w:val="32"/>
          <w:highlight w:val="none"/>
          <w:lang w:val="en-US"/>
        </w:rPr>
      </w:pPr>
    </w:p>
    <w:p w14:paraId="26BBAAF1">
      <w:pPr>
        <w:pStyle w:val="107"/>
        <w:ind w:firstLine="640"/>
        <w:jc w:val="center"/>
        <w:rPr>
          <w:rFonts w:hint="eastAsia" w:ascii="宋体" w:hAnsi="宋体" w:eastAsia="宋体" w:cs="宋体"/>
          <w:color w:val="auto"/>
          <w:sz w:val="32"/>
          <w:szCs w:val="32"/>
          <w:highlight w:val="none"/>
          <w:lang w:val="en-US"/>
        </w:rPr>
      </w:pPr>
    </w:p>
    <w:p w14:paraId="089999EC">
      <w:pPr>
        <w:pStyle w:val="107"/>
        <w:ind w:firstLine="640"/>
        <w:jc w:val="center"/>
        <w:rPr>
          <w:rFonts w:hint="eastAsia" w:ascii="宋体" w:hAnsi="宋体" w:eastAsia="宋体" w:cs="宋体"/>
          <w:color w:val="auto"/>
          <w:sz w:val="32"/>
          <w:szCs w:val="32"/>
          <w:highlight w:val="none"/>
          <w:lang w:val="en-US"/>
        </w:rPr>
      </w:pPr>
    </w:p>
    <w:p w14:paraId="07B2B952">
      <w:pPr>
        <w:pStyle w:val="107"/>
        <w:ind w:firstLine="640"/>
        <w:jc w:val="center"/>
        <w:rPr>
          <w:rFonts w:hint="eastAsia" w:ascii="宋体" w:hAnsi="宋体" w:eastAsia="宋体" w:cs="宋体"/>
          <w:color w:val="auto"/>
          <w:sz w:val="32"/>
          <w:szCs w:val="32"/>
          <w:highlight w:val="none"/>
          <w:lang w:val="en-US"/>
        </w:rPr>
      </w:pPr>
    </w:p>
    <w:p w14:paraId="6E7C364F">
      <w:pPr>
        <w:pStyle w:val="107"/>
        <w:ind w:firstLine="640"/>
        <w:jc w:val="center"/>
        <w:rPr>
          <w:rFonts w:hint="eastAsia" w:ascii="宋体" w:hAnsi="宋体" w:eastAsia="宋体" w:cs="宋体"/>
          <w:color w:val="auto"/>
          <w:sz w:val="32"/>
          <w:szCs w:val="32"/>
          <w:highlight w:val="none"/>
          <w:lang w:val="en-US"/>
        </w:rPr>
      </w:pPr>
    </w:p>
    <w:p w14:paraId="2E3C6565">
      <w:pPr>
        <w:pStyle w:val="107"/>
        <w:ind w:firstLine="640"/>
        <w:jc w:val="center"/>
        <w:rPr>
          <w:rFonts w:hint="eastAsia" w:ascii="宋体" w:hAnsi="宋体" w:eastAsia="宋体" w:cs="宋体"/>
          <w:color w:val="auto"/>
          <w:sz w:val="32"/>
          <w:szCs w:val="32"/>
          <w:highlight w:val="none"/>
          <w:lang w:val="en-US"/>
        </w:rPr>
      </w:pPr>
    </w:p>
    <w:p w14:paraId="5E0A8E5C">
      <w:pPr>
        <w:pStyle w:val="107"/>
        <w:ind w:firstLine="640"/>
        <w:jc w:val="center"/>
        <w:rPr>
          <w:rFonts w:hint="eastAsia" w:ascii="宋体" w:hAnsi="宋体" w:eastAsia="宋体" w:cs="宋体"/>
          <w:color w:val="auto"/>
          <w:sz w:val="32"/>
          <w:szCs w:val="32"/>
          <w:highlight w:val="none"/>
          <w:lang w:val="en-US"/>
        </w:rPr>
      </w:pPr>
    </w:p>
    <w:p w14:paraId="560441E0">
      <w:pPr>
        <w:pStyle w:val="107"/>
        <w:ind w:firstLine="640"/>
        <w:jc w:val="center"/>
        <w:rPr>
          <w:rFonts w:hint="eastAsia" w:ascii="宋体" w:hAnsi="宋体" w:eastAsia="宋体" w:cs="宋体"/>
          <w:color w:val="auto"/>
          <w:sz w:val="32"/>
          <w:szCs w:val="32"/>
          <w:highlight w:val="none"/>
          <w:lang w:val="en-US"/>
        </w:rPr>
      </w:pPr>
    </w:p>
    <w:p w14:paraId="7C602223">
      <w:pPr>
        <w:pStyle w:val="107"/>
        <w:ind w:firstLine="640"/>
        <w:jc w:val="center"/>
        <w:rPr>
          <w:rFonts w:hint="eastAsia" w:ascii="宋体" w:hAnsi="宋体" w:eastAsia="宋体" w:cs="宋体"/>
          <w:color w:val="auto"/>
          <w:sz w:val="32"/>
          <w:szCs w:val="32"/>
          <w:highlight w:val="none"/>
          <w:lang w:val="en-US"/>
        </w:rPr>
      </w:pPr>
    </w:p>
    <w:p w14:paraId="0F0A8AE9">
      <w:pPr>
        <w:pStyle w:val="107"/>
        <w:ind w:firstLine="640"/>
        <w:jc w:val="center"/>
        <w:rPr>
          <w:rFonts w:hint="eastAsia" w:ascii="宋体" w:hAnsi="宋体" w:eastAsia="宋体" w:cs="宋体"/>
          <w:color w:val="auto"/>
          <w:sz w:val="32"/>
          <w:szCs w:val="32"/>
          <w:highlight w:val="none"/>
          <w:lang w:val="en-US"/>
        </w:rPr>
      </w:pPr>
    </w:p>
    <w:p w14:paraId="227FB93B">
      <w:pPr>
        <w:pStyle w:val="107"/>
        <w:ind w:firstLine="640"/>
        <w:jc w:val="center"/>
        <w:rPr>
          <w:rFonts w:hint="eastAsia" w:ascii="宋体" w:hAnsi="宋体" w:eastAsia="宋体" w:cs="宋体"/>
          <w:color w:val="auto"/>
          <w:sz w:val="32"/>
          <w:szCs w:val="32"/>
          <w:highlight w:val="none"/>
          <w:lang w:val="en-US"/>
        </w:rPr>
      </w:pPr>
    </w:p>
    <w:p w14:paraId="18F1C2D6">
      <w:pPr>
        <w:pStyle w:val="107"/>
        <w:ind w:firstLine="640"/>
        <w:jc w:val="center"/>
        <w:rPr>
          <w:rFonts w:hint="eastAsia" w:ascii="宋体" w:hAnsi="宋体" w:eastAsia="宋体" w:cs="宋体"/>
          <w:color w:val="auto"/>
          <w:sz w:val="32"/>
          <w:szCs w:val="32"/>
          <w:highlight w:val="none"/>
          <w:lang w:val="en-US"/>
        </w:rPr>
      </w:pPr>
    </w:p>
    <w:p w14:paraId="0DCC3A47">
      <w:pPr>
        <w:pStyle w:val="107"/>
        <w:ind w:firstLine="640"/>
        <w:jc w:val="center"/>
        <w:rPr>
          <w:rFonts w:hint="eastAsia" w:ascii="宋体" w:hAnsi="宋体" w:eastAsia="宋体" w:cs="宋体"/>
          <w:color w:val="auto"/>
          <w:sz w:val="32"/>
          <w:szCs w:val="32"/>
          <w:highlight w:val="none"/>
          <w:lang w:val="en-US"/>
        </w:rPr>
      </w:pPr>
    </w:p>
    <w:p w14:paraId="6EE4618C">
      <w:pPr>
        <w:widowControl/>
        <w:spacing w:line="800" w:lineRule="exact"/>
        <w:jc w:val="center"/>
        <w:outlineLvl w:val="2"/>
        <w:rPr>
          <w:rFonts w:hint="eastAsia" w:ascii="宋体" w:hAnsi="宋体" w:eastAsia="宋体" w:cs="宋体"/>
          <w:color w:val="auto"/>
          <w:sz w:val="32"/>
          <w:szCs w:val="32"/>
          <w:highlight w:val="none"/>
        </w:rPr>
      </w:pPr>
      <w:r>
        <w:rPr>
          <w:rFonts w:hint="eastAsia" w:ascii="宋体" w:hAnsi="宋体" w:eastAsia="宋体" w:cs="宋体"/>
          <w:b/>
          <w:bCs/>
          <w:color w:val="auto"/>
          <w:sz w:val="36"/>
          <w:szCs w:val="36"/>
          <w:highlight w:val="none"/>
        </w:rPr>
        <w:t>资格审查部分</w:t>
      </w:r>
      <w:r>
        <w:rPr>
          <w:rFonts w:hint="eastAsia" w:ascii="宋体" w:hAnsi="宋体" w:eastAsia="宋体" w:cs="宋体"/>
          <w:color w:val="auto"/>
          <w:sz w:val="32"/>
          <w:szCs w:val="32"/>
          <w:highlight w:val="none"/>
        </w:rPr>
        <w:br w:type="page"/>
      </w:r>
    </w:p>
    <w:p w14:paraId="221960E7">
      <w:pPr>
        <w:pStyle w:val="4"/>
        <w:spacing w:before="0" w:after="0" w:line="360" w:lineRule="auto"/>
        <w:jc w:val="center"/>
        <w:rPr>
          <w:rFonts w:hint="eastAsia" w:ascii="宋体" w:hAnsi="宋体" w:eastAsia="宋体" w:cs="宋体"/>
          <w:color w:val="auto"/>
          <w:sz w:val="24"/>
          <w:szCs w:val="24"/>
          <w:highlight w:val="none"/>
        </w:rPr>
      </w:pPr>
      <w:bookmarkStart w:id="249" w:name="_Toc2464"/>
      <w:bookmarkStart w:id="250" w:name="_Toc164432961"/>
      <w:bookmarkStart w:id="251" w:name="_Toc3896306"/>
      <w:bookmarkStart w:id="252" w:name="_Toc24254"/>
      <w:r>
        <w:rPr>
          <w:rFonts w:hint="eastAsia" w:ascii="宋体" w:hAnsi="宋体" w:eastAsia="宋体" w:cs="宋体"/>
          <w:color w:val="auto"/>
          <w:sz w:val="24"/>
          <w:szCs w:val="24"/>
          <w:highlight w:val="none"/>
        </w:rPr>
        <w:t>一、具有独立承担民事责任的能力</w:t>
      </w:r>
      <w:bookmarkEnd w:id="249"/>
      <w:bookmarkEnd w:id="250"/>
    </w:p>
    <w:p w14:paraId="1EE729DC">
      <w:pPr>
        <w:pStyle w:val="22"/>
        <w:tabs>
          <w:tab w:val="left" w:pos="5580"/>
        </w:tabs>
        <w:spacing w:line="600" w:lineRule="exact"/>
        <w:ind w:firstLine="420" w:firstLineChars="2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提供法人或者其他组织的营业执照等证明文件（原件扫描件）。</w:t>
      </w:r>
      <w:bookmarkStart w:id="253" w:name="_Toc11425"/>
      <w:r>
        <w:rPr>
          <w:rFonts w:hint="eastAsia" w:ascii="宋体" w:hAnsi="宋体" w:eastAsia="宋体" w:cs="宋体"/>
          <w:color w:val="auto"/>
          <w:sz w:val="28"/>
          <w:szCs w:val="28"/>
          <w:highlight w:val="none"/>
        </w:rPr>
        <w:br w:type="page"/>
      </w:r>
    </w:p>
    <w:p w14:paraId="10CC275C">
      <w:pPr>
        <w:pStyle w:val="4"/>
        <w:spacing w:before="0" w:after="0" w:line="360" w:lineRule="auto"/>
        <w:jc w:val="center"/>
        <w:rPr>
          <w:rFonts w:hint="eastAsia" w:ascii="宋体" w:hAnsi="宋体" w:eastAsia="宋体" w:cs="宋体"/>
          <w:color w:val="auto"/>
          <w:sz w:val="24"/>
          <w:szCs w:val="24"/>
          <w:highlight w:val="none"/>
        </w:rPr>
      </w:pPr>
      <w:bookmarkStart w:id="254" w:name="_Toc164432962"/>
      <w:r>
        <w:rPr>
          <w:rFonts w:hint="eastAsia" w:ascii="宋体" w:hAnsi="宋体" w:eastAsia="宋体" w:cs="宋体"/>
          <w:color w:val="auto"/>
          <w:sz w:val="24"/>
          <w:szCs w:val="24"/>
          <w:highlight w:val="none"/>
        </w:rPr>
        <w:t>二、具有良好的商业信誉和健全的财务会计制度</w:t>
      </w:r>
      <w:bookmarkEnd w:id="253"/>
      <w:bookmarkEnd w:id="254"/>
    </w:p>
    <w:p w14:paraId="6B01AE68">
      <w:pPr>
        <w:pStyle w:val="4"/>
        <w:spacing w:before="0" w:after="0" w:line="360" w:lineRule="auto"/>
        <w:jc w:val="center"/>
        <w:rPr>
          <w:rFonts w:hint="eastAsia" w:ascii="宋体" w:hAnsi="宋体" w:eastAsia="宋体" w:cs="宋体"/>
          <w:b w:val="0"/>
          <w:bCs w:val="0"/>
          <w:color w:val="auto"/>
          <w:sz w:val="21"/>
          <w:szCs w:val="21"/>
          <w:highlight w:val="none"/>
          <w:lang w:eastAsia="zh-CN"/>
        </w:rPr>
      </w:pPr>
      <w:bookmarkStart w:id="255" w:name="_Toc26385"/>
    </w:p>
    <w:p w14:paraId="181D1434">
      <w:pPr>
        <w:pStyle w:val="4"/>
        <w:spacing w:before="0" w:after="0" w:line="360" w:lineRule="auto"/>
        <w:jc w:val="center"/>
        <w:rPr>
          <w:rFonts w:hint="eastAsia" w:ascii="宋体" w:hAnsi="宋体" w:eastAsia="宋体" w:cs="宋体"/>
          <w:color w:val="auto"/>
          <w:sz w:val="28"/>
          <w:szCs w:val="28"/>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按竞争性磋商文件要求提供相应的证明材料，格式自拟</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color w:val="auto"/>
          <w:sz w:val="28"/>
          <w:szCs w:val="28"/>
          <w:highlight w:val="none"/>
        </w:rPr>
        <w:br w:type="page"/>
      </w:r>
    </w:p>
    <w:p w14:paraId="7733EF69">
      <w:pPr>
        <w:pStyle w:val="4"/>
        <w:spacing w:before="0" w:after="0" w:line="360" w:lineRule="auto"/>
        <w:jc w:val="center"/>
        <w:rPr>
          <w:rFonts w:hint="eastAsia" w:ascii="宋体" w:hAnsi="宋体" w:eastAsia="宋体" w:cs="宋体"/>
          <w:color w:val="auto"/>
          <w:sz w:val="24"/>
          <w:szCs w:val="24"/>
          <w:highlight w:val="none"/>
        </w:rPr>
      </w:pPr>
      <w:bookmarkStart w:id="256" w:name="_Toc164432963"/>
      <w:r>
        <w:rPr>
          <w:rFonts w:hint="eastAsia" w:ascii="宋体" w:hAnsi="宋体" w:eastAsia="宋体" w:cs="宋体"/>
          <w:color w:val="auto"/>
          <w:sz w:val="24"/>
          <w:szCs w:val="24"/>
          <w:highlight w:val="none"/>
        </w:rPr>
        <w:t>三、具有履行合同所必需的设备和专业技术能力</w:t>
      </w:r>
      <w:bookmarkEnd w:id="255"/>
      <w:bookmarkEnd w:id="256"/>
    </w:p>
    <w:p w14:paraId="0D73CC14">
      <w:pPr>
        <w:pStyle w:val="5"/>
        <w:spacing w:before="120" w:beforeLines="50" w:after="120" w:afterLines="50" w:line="700" w:lineRule="exact"/>
        <w:jc w:val="center"/>
        <w:rPr>
          <w:rFonts w:hint="eastAsia" w:ascii="宋体" w:hAnsi="宋体" w:eastAsia="宋体" w:cs="宋体"/>
          <w:color w:val="auto"/>
          <w:sz w:val="28"/>
          <w:szCs w:val="28"/>
          <w:highlight w:val="none"/>
        </w:rPr>
      </w:pPr>
      <w:bookmarkStart w:id="257" w:name="_Toc25523"/>
      <w:bookmarkStart w:id="258" w:name="_Toc3896301"/>
      <w:bookmarkStart w:id="259" w:name="_Toc26638"/>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按竞争性磋商文件要求提供相应的证明材料，格式自拟</w:t>
      </w:r>
      <w:r>
        <w:rPr>
          <w:rFonts w:hint="eastAsia" w:ascii="宋体" w:hAnsi="宋体" w:eastAsia="宋体" w:cs="宋体"/>
          <w:b w:val="0"/>
          <w:bCs w:val="0"/>
          <w:color w:val="auto"/>
          <w:sz w:val="21"/>
          <w:szCs w:val="21"/>
          <w:highlight w:val="none"/>
          <w:lang w:eastAsia="zh-CN"/>
        </w:rPr>
        <w:t>）</w:t>
      </w:r>
      <w:bookmarkStart w:id="274" w:name="_GoBack"/>
      <w:bookmarkEnd w:id="274"/>
      <w:r>
        <w:rPr>
          <w:rFonts w:hint="eastAsia" w:ascii="宋体" w:hAnsi="宋体" w:eastAsia="宋体" w:cs="宋体"/>
          <w:color w:val="auto"/>
          <w:sz w:val="28"/>
          <w:szCs w:val="28"/>
          <w:highlight w:val="none"/>
        </w:rPr>
        <w:br w:type="page"/>
      </w:r>
    </w:p>
    <w:p w14:paraId="12B9F753">
      <w:pPr>
        <w:pStyle w:val="4"/>
        <w:spacing w:before="0" w:after="0" w:line="360" w:lineRule="auto"/>
        <w:jc w:val="center"/>
        <w:rPr>
          <w:rFonts w:hint="eastAsia" w:ascii="宋体" w:hAnsi="宋体" w:eastAsia="宋体" w:cs="宋体"/>
          <w:color w:val="auto"/>
          <w:sz w:val="24"/>
          <w:szCs w:val="24"/>
          <w:highlight w:val="none"/>
        </w:rPr>
      </w:pPr>
      <w:bookmarkStart w:id="260" w:name="_Toc164432964"/>
      <w:r>
        <w:rPr>
          <w:rFonts w:hint="eastAsia" w:ascii="宋体" w:hAnsi="宋体" w:eastAsia="宋体" w:cs="宋体"/>
          <w:color w:val="auto"/>
          <w:sz w:val="24"/>
          <w:szCs w:val="24"/>
          <w:highlight w:val="none"/>
        </w:rPr>
        <w:t>四、</w:t>
      </w:r>
      <w:bookmarkEnd w:id="257"/>
      <w:bookmarkEnd w:id="258"/>
      <w:r>
        <w:rPr>
          <w:rFonts w:hint="eastAsia" w:ascii="宋体" w:hAnsi="宋体" w:eastAsia="宋体" w:cs="宋体"/>
          <w:color w:val="auto"/>
          <w:sz w:val="24"/>
          <w:szCs w:val="24"/>
          <w:highlight w:val="none"/>
        </w:rPr>
        <w:t>有依法缴纳税收和社会保障资金的良好记录</w:t>
      </w:r>
      <w:bookmarkEnd w:id="259"/>
      <w:bookmarkEnd w:id="260"/>
    </w:p>
    <w:p w14:paraId="7A29E56B">
      <w:pPr>
        <w:pStyle w:val="107"/>
        <w:ind w:left="63" w:right="63" w:firstLine="640"/>
        <w:jc w:val="center"/>
        <w:rPr>
          <w:rFonts w:hint="eastAsia" w:ascii="宋体" w:hAnsi="宋体" w:eastAsia="宋体" w:cs="宋体"/>
          <w:b w:val="0"/>
          <w:bCs w:val="0"/>
          <w:color w:val="auto"/>
          <w:sz w:val="21"/>
          <w:szCs w:val="21"/>
          <w:highlight w:val="none"/>
          <w:lang w:eastAsia="zh-CN"/>
        </w:rPr>
      </w:pPr>
    </w:p>
    <w:p w14:paraId="3D657EA6">
      <w:pPr>
        <w:pStyle w:val="107"/>
        <w:ind w:left="63" w:right="63" w:firstLine="640"/>
        <w:jc w:val="center"/>
        <w:rPr>
          <w:rFonts w:hint="eastAsia" w:ascii="宋体" w:hAnsi="宋体" w:eastAsia="宋体" w:cs="宋体"/>
          <w:color w:val="auto"/>
          <w:sz w:val="32"/>
          <w:szCs w:val="32"/>
          <w:highlight w:val="none"/>
          <w:lang w:val="en-US"/>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按竞争性磋商文件要求提供相应的证明材料，格式自拟</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color w:val="auto"/>
          <w:sz w:val="32"/>
          <w:szCs w:val="32"/>
          <w:highlight w:val="none"/>
          <w:lang w:val="en-US"/>
        </w:rPr>
        <w:br w:type="page"/>
      </w:r>
    </w:p>
    <w:p w14:paraId="3337399C">
      <w:pPr>
        <w:pStyle w:val="4"/>
        <w:spacing w:before="0" w:after="0" w:line="360" w:lineRule="auto"/>
        <w:jc w:val="center"/>
        <w:rPr>
          <w:rFonts w:hint="eastAsia" w:ascii="宋体" w:hAnsi="宋体" w:eastAsia="宋体" w:cs="宋体"/>
          <w:color w:val="auto"/>
          <w:sz w:val="24"/>
          <w:szCs w:val="24"/>
          <w:highlight w:val="none"/>
        </w:rPr>
      </w:pPr>
      <w:bookmarkStart w:id="261" w:name="_Toc21244"/>
      <w:bookmarkStart w:id="262" w:name="_Toc164432965"/>
      <w:r>
        <w:rPr>
          <w:rFonts w:hint="eastAsia" w:ascii="宋体" w:hAnsi="宋体" w:eastAsia="宋体" w:cs="宋体"/>
          <w:color w:val="auto"/>
          <w:sz w:val="24"/>
          <w:szCs w:val="24"/>
          <w:highlight w:val="none"/>
        </w:rPr>
        <w:t>五、参加政府采购活动前三年内，在经营活动中没有重大违法记录</w:t>
      </w:r>
      <w:bookmarkEnd w:id="261"/>
      <w:bookmarkEnd w:id="262"/>
    </w:p>
    <w:p w14:paraId="1E5D1DD0">
      <w:pPr>
        <w:widowControl/>
        <w:spacing w:line="7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致：</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（采购人）</w:t>
      </w:r>
    </w:p>
    <w:p w14:paraId="5738214B">
      <w:pPr>
        <w:widowControl/>
        <w:spacing w:line="7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 （供应商自行承诺及说明，内容自拟）</w:t>
      </w:r>
    </w:p>
    <w:p w14:paraId="26761C0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3BEA9673">
      <w:pPr>
        <w:spacing w:line="360" w:lineRule="auto"/>
        <w:ind w:firstLine="420" w:firstLineChars="200"/>
        <w:rPr>
          <w:rFonts w:hint="eastAsia" w:ascii="宋体" w:hAnsi="宋体" w:eastAsia="宋体" w:cs="宋体"/>
          <w:color w:val="auto"/>
          <w:highlight w:val="none"/>
        </w:rPr>
      </w:pPr>
    </w:p>
    <w:p w14:paraId="417A1654">
      <w:pPr>
        <w:spacing w:line="360" w:lineRule="auto"/>
        <w:ind w:firstLine="420" w:firstLineChars="200"/>
        <w:rPr>
          <w:rFonts w:hint="eastAsia" w:ascii="宋体" w:hAnsi="宋体" w:eastAsia="宋体" w:cs="宋体"/>
          <w:color w:val="auto"/>
          <w:highlight w:val="none"/>
        </w:rPr>
      </w:pPr>
    </w:p>
    <w:p w14:paraId="043C64E3">
      <w:pPr>
        <w:spacing w:line="360" w:lineRule="auto"/>
        <w:ind w:firstLine="420" w:firstLineChars="200"/>
        <w:rPr>
          <w:rFonts w:hint="eastAsia" w:ascii="宋体" w:hAnsi="宋体" w:eastAsia="宋体" w:cs="宋体"/>
          <w:color w:val="auto"/>
          <w:highlight w:val="none"/>
        </w:rPr>
      </w:pPr>
    </w:p>
    <w:p w14:paraId="36048BA5">
      <w:pPr>
        <w:ind w:firstLine="1054" w:firstLineChars="500"/>
        <w:rPr>
          <w:rFonts w:hint="eastAsia" w:ascii="宋体" w:hAnsi="宋体" w:eastAsia="宋体" w:cs="宋体"/>
          <w:b/>
          <w:bCs/>
          <w:color w:val="auto"/>
          <w:highlight w:val="none"/>
        </w:rPr>
      </w:pPr>
    </w:p>
    <w:p w14:paraId="028E9A0C">
      <w:pPr>
        <w:ind w:firstLine="1054" w:firstLineChars="500"/>
        <w:rPr>
          <w:rFonts w:hint="eastAsia" w:ascii="宋体" w:hAnsi="宋体" w:eastAsia="宋体" w:cs="宋体"/>
          <w:b/>
          <w:bCs/>
          <w:color w:val="auto"/>
          <w:highlight w:val="none"/>
        </w:rPr>
      </w:pPr>
    </w:p>
    <w:p w14:paraId="7572477C">
      <w:pPr>
        <w:ind w:firstLine="1054" w:firstLineChars="500"/>
        <w:rPr>
          <w:rFonts w:hint="eastAsia" w:ascii="宋体" w:hAnsi="宋体" w:eastAsia="宋体" w:cs="宋体"/>
          <w:b/>
          <w:bCs/>
          <w:color w:val="auto"/>
          <w:highlight w:val="none"/>
        </w:rPr>
      </w:pPr>
    </w:p>
    <w:p w14:paraId="5DCED335">
      <w:pPr>
        <w:widowControl/>
        <w:spacing w:line="700" w:lineRule="exact"/>
        <w:ind w:firstLine="1054" w:firstLineChars="500"/>
        <w:rPr>
          <w:rFonts w:hint="eastAsia" w:ascii="宋体" w:hAnsi="宋体" w:eastAsia="宋体" w:cs="宋体"/>
          <w:b/>
          <w:bCs/>
          <w:color w:val="auto"/>
          <w:highlight w:val="none"/>
        </w:rPr>
      </w:pPr>
      <w:r>
        <w:rPr>
          <w:rFonts w:hint="eastAsia" w:ascii="宋体" w:hAnsi="宋体" w:eastAsia="宋体" w:cs="宋体"/>
          <w:b/>
          <w:bCs/>
          <w:color w:val="auto"/>
          <w:highlight w:val="none"/>
        </w:rPr>
        <w:t>供应商：</w:t>
      </w:r>
      <w:r>
        <w:rPr>
          <w:rFonts w:hint="eastAsia" w:ascii="宋体" w:hAnsi="宋体" w:eastAsia="宋体" w:cs="宋体"/>
          <w:b/>
          <w:bCs/>
          <w:color w:val="auto"/>
          <w:highlight w:val="none"/>
          <w:u w:val="single"/>
        </w:rPr>
        <w:tab/>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（电子签章）</w:t>
      </w:r>
    </w:p>
    <w:p w14:paraId="11DC528D">
      <w:pPr>
        <w:widowControl/>
        <w:spacing w:line="700" w:lineRule="exact"/>
        <w:ind w:firstLine="1054" w:firstLineChars="500"/>
        <w:rPr>
          <w:rFonts w:hint="eastAsia" w:ascii="宋体" w:hAnsi="宋体" w:eastAsia="宋体" w:cs="宋体"/>
          <w:b/>
          <w:bCs/>
          <w:color w:val="auto"/>
          <w:highlight w:val="none"/>
        </w:rPr>
      </w:pPr>
      <w:r>
        <w:rPr>
          <w:rFonts w:hint="eastAsia" w:ascii="宋体" w:hAnsi="宋体" w:eastAsia="宋体" w:cs="宋体"/>
          <w:b/>
          <w:bCs/>
          <w:color w:val="auto"/>
          <w:highlight w:val="none"/>
        </w:rPr>
        <w:t>法定代表人（单位负责人）或其委托代理人：</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（电子签章）</w:t>
      </w:r>
    </w:p>
    <w:p w14:paraId="6B3B79A8">
      <w:pPr>
        <w:widowControl/>
        <w:spacing w:line="700" w:lineRule="exact"/>
        <w:ind w:firstLine="1054" w:firstLineChars="500"/>
        <w:rPr>
          <w:rFonts w:hint="eastAsia" w:ascii="宋体" w:hAnsi="宋体" w:eastAsia="宋体" w:cs="宋体"/>
          <w:b/>
          <w:bCs/>
          <w:color w:val="auto"/>
          <w:highlight w:val="none"/>
        </w:rPr>
      </w:pPr>
      <w:r>
        <w:rPr>
          <w:rFonts w:hint="eastAsia" w:ascii="宋体" w:hAnsi="宋体" w:eastAsia="宋体" w:cs="宋体"/>
          <w:b/>
          <w:bCs/>
          <w:color w:val="auto"/>
          <w:highlight w:val="none"/>
        </w:rPr>
        <w:t>日期：</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年</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月</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日</w:t>
      </w:r>
    </w:p>
    <w:p w14:paraId="6D5CEBDD">
      <w:pPr>
        <w:pStyle w:val="17"/>
        <w:ind w:left="63" w:right="63"/>
        <w:rPr>
          <w:rFonts w:hint="eastAsia" w:ascii="宋体" w:hAnsi="宋体" w:eastAsia="宋体" w:cs="宋体"/>
          <w:color w:val="auto"/>
          <w:szCs w:val="21"/>
          <w:highlight w:val="none"/>
        </w:rPr>
      </w:pPr>
    </w:p>
    <w:p w14:paraId="2A23929B">
      <w:pPr>
        <w:pStyle w:val="17"/>
        <w:ind w:left="63" w:right="63"/>
        <w:rPr>
          <w:rFonts w:hint="eastAsia" w:ascii="宋体" w:hAnsi="宋体" w:eastAsia="宋体" w:cs="宋体"/>
          <w:color w:val="auto"/>
          <w:szCs w:val="21"/>
          <w:highlight w:val="none"/>
        </w:rPr>
      </w:pPr>
    </w:p>
    <w:p w14:paraId="75176FDB">
      <w:pPr>
        <w:spacing w:line="360" w:lineRule="auto"/>
        <w:ind w:firstLine="420" w:firstLineChars="200"/>
        <w:rPr>
          <w:rFonts w:hint="eastAsia" w:ascii="宋体" w:hAnsi="宋体" w:eastAsia="宋体" w:cs="宋体"/>
          <w:color w:val="auto"/>
          <w:highlight w:val="none"/>
        </w:rPr>
      </w:pPr>
    </w:p>
    <w:p w14:paraId="05578E07">
      <w:pPr>
        <w:widowControl/>
        <w:spacing w:line="6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注：重大违法记录，是指供应商因违法经营受到刑事处罚或者责令停产停业、吊销许可证或者执照、较大数额罚款等行政处罚。</w:t>
      </w:r>
    </w:p>
    <w:p w14:paraId="0038BC3F">
      <w:pPr>
        <w:rPr>
          <w:rFonts w:hint="eastAsia" w:ascii="宋体" w:hAnsi="宋体" w:eastAsia="宋体" w:cs="宋体"/>
          <w:color w:val="auto"/>
          <w:highlight w:val="none"/>
        </w:rPr>
      </w:pPr>
      <w:bookmarkStart w:id="263" w:name="_Toc20558"/>
      <w:r>
        <w:rPr>
          <w:rFonts w:hint="eastAsia" w:ascii="宋体" w:hAnsi="宋体" w:eastAsia="宋体" w:cs="宋体"/>
          <w:color w:val="auto"/>
          <w:highlight w:val="none"/>
        </w:rPr>
        <w:br w:type="page"/>
      </w:r>
      <w:bookmarkEnd w:id="263"/>
      <w:bookmarkStart w:id="264" w:name="_Toc15638"/>
      <w:bookmarkEnd w:id="264"/>
      <w:bookmarkStart w:id="265" w:name="_Toc16296"/>
      <w:bookmarkEnd w:id="265"/>
      <w:bookmarkStart w:id="266" w:name="_Toc9978"/>
      <w:bookmarkStart w:id="267" w:name="_Toc3896305"/>
    </w:p>
    <w:p w14:paraId="56A82654">
      <w:pPr>
        <w:pStyle w:val="4"/>
        <w:spacing w:before="0" w:after="0" w:line="360" w:lineRule="auto"/>
        <w:jc w:val="center"/>
        <w:rPr>
          <w:rFonts w:hint="eastAsia" w:ascii="宋体" w:hAnsi="宋体" w:eastAsia="宋体" w:cs="宋体"/>
          <w:color w:val="auto"/>
          <w:sz w:val="24"/>
          <w:szCs w:val="24"/>
          <w:highlight w:val="none"/>
        </w:rPr>
      </w:pPr>
      <w:bookmarkStart w:id="268" w:name="_Toc4255"/>
      <w:bookmarkStart w:id="269" w:name="_Toc164432966"/>
      <w:r>
        <w:rPr>
          <w:rFonts w:hint="eastAsia" w:ascii="宋体" w:hAnsi="宋体" w:eastAsia="宋体" w:cs="宋体"/>
          <w:color w:val="auto"/>
          <w:sz w:val="24"/>
          <w:szCs w:val="24"/>
          <w:highlight w:val="none"/>
        </w:rPr>
        <w:t>六、其他</w:t>
      </w:r>
      <w:bookmarkEnd w:id="266"/>
      <w:bookmarkEnd w:id="267"/>
      <w:bookmarkEnd w:id="268"/>
      <w:bookmarkEnd w:id="269"/>
    </w:p>
    <w:p w14:paraId="18CE7420">
      <w:pPr>
        <w:adjustRightInd w:val="0"/>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1、供应商在递交投标文件截止时间前未被列入“信用中国”网站(www.creditchina.gov.cn) 失信被执行人、重大税收违法案件当事人名单，中国政府采购网(www.ccgp.gov.cn) </w:t>
      </w:r>
      <w:r>
        <w:rPr>
          <w:rFonts w:hint="eastAsia" w:ascii="宋体" w:hAnsi="宋体" w:eastAsia="宋体" w:cs="宋体"/>
          <w:color w:val="auto"/>
          <w:highlight w:val="none"/>
          <w:lang w:eastAsia="zh-CN"/>
        </w:rPr>
        <w:t>政府采购严重违法失信行为记录名单。（以采购人或代理机构查询结果为准）</w:t>
      </w:r>
    </w:p>
    <w:p w14:paraId="58A27CE8">
      <w:pPr>
        <w:adjustRightIn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2、单位负责人为同一人或者存在控股、管理关系的不同单位，不得同时参加本采购项目投标。</w:t>
      </w:r>
    </w:p>
    <w:p w14:paraId="78B0FF7F">
      <w:pPr>
        <w:adjustRightIn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3、供应商不得存在下列情形之一：</w:t>
      </w:r>
    </w:p>
    <w:p w14:paraId="6E003AB5">
      <w:pPr>
        <w:adjustRightIn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（1）被暂停、取消投标或禁止参加采购活动且处于有效期内的；</w:t>
      </w:r>
    </w:p>
    <w:p w14:paraId="72A081BE">
      <w:pPr>
        <w:adjustRightIn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（2）处于被责令停产停业、暂扣或者吊销执照、暂扣或者吊销许可证、吊销资质证书状态；</w:t>
      </w:r>
    </w:p>
    <w:p w14:paraId="102FE231">
      <w:pPr>
        <w:adjustRightIn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（3）进入清算程序，或被宣告破产，或其他丧失履约能力的情形。</w:t>
      </w:r>
    </w:p>
    <w:p w14:paraId="10B380A3">
      <w:pPr>
        <w:adjustRightIn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eastAsia="zh-CN"/>
        </w:rPr>
        <w:t>竞争性磋商文件</w:t>
      </w:r>
      <w:r>
        <w:rPr>
          <w:rFonts w:hint="eastAsia" w:ascii="宋体" w:hAnsi="宋体" w:eastAsia="宋体" w:cs="宋体"/>
          <w:color w:val="auto"/>
          <w:highlight w:val="none"/>
        </w:rPr>
        <w:t>要求及供应商认为需要提交的其他资格证明材料。</w:t>
      </w:r>
    </w:p>
    <w:p w14:paraId="3A7D272C">
      <w:pPr>
        <w:adjustRightIn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注：书面声明，格式自拟。</w:t>
      </w:r>
    </w:p>
    <w:p w14:paraId="60CE9E53">
      <w:pPr>
        <w:kinsoku w:val="0"/>
        <w:overflowPunct w:val="0"/>
        <w:adjustRightInd w:val="0"/>
        <w:spacing w:before="182" w:after="60" w:line="362" w:lineRule="auto"/>
        <w:ind w:left="63" w:leftChars="30" w:right="63" w:rightChars="30" w:firstLine="7031"/>
        <w:jc w:val="left"/>
        <w:textAlignment w:val="baseline"/>
        <w:rPr>
          <w:rFonts w:hint="eastAsia" w:ascii="宋体" w:hAnsi="宋体" w:eastAsia="宋体" w:cs="宋体"/>
          <w:color w:val="auto"/>
          <w:spacing w:val="-1"/>
          <w:szCs w:val="21"/>
          <w:highlight w:val="none"/>
        </w:rPr>
      </w:pPr>
      <w:r>
        <w:rPr>
          <w:rFonts w:hint="eastAsia" w:ascii="宋体" w:hAnsi="宋体" w:eastAsia="宋体" w:cs="宋体"/>
          <w:color w:val="auto"/>
          <w:spacing w:val="-1"/>
          <w:szCs w:val="21"/>
          <w:highlight w:val="none"/>
        </w:rPr>
        <w:t xml:space="preserve"> </w:t>
      </w:r>
    </w:p>
    <w:p w14:paraId="719CB695">
      <w:pPr>
        <w:ind w:left="63" w:right="63" w:firstLine="640" w:firstLineChars="200"/>
        <w:jc w:val="center"/>
        <w:rPr>
          <w:rFonts w:hint="eastAsia" w:ascii="宋体" w:hAnsi="宋体" w:eastAsia="宋体" w:cs="宋体"/>
          <w:color w:val="auto"/>
          <w:sz w:val="32"/>
          <w:szCs w:val="32"/>
          <w:highlight w:val="none"/>
        </w:rPr>
      </w:pPr>
    </w:p>
    <w:p w14:paraId="7B51DE3E">
      <w:pPr>
        <w:widowControl/>
        <w:spacing w:line="800" w:lineRule="exact"/>
        <w:jc w:val="center"/>
        <w:outlineLvl w:val="2"/>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r>
    </w:p>
    <w:p w14:paraId="0EC7E0B2">
      <w:pPr>
        <w:pStyle w:val="107"/>
        <w:ind w:firstLine="640"/>
        <w:jc w:val="center"/>
        <w:rPr>
          <w:rFonts w:hint="eastAsia" w:ascii="宋体" w:hAnsi="宋体" w:eastAsia="宋体" w:cs="宋体"/>
          <w:color w:val="auto"/>
          <w:sz w:val="32"/>
          <w:szCs w:val="32"/>
          <w:highlight w:val="none"/>
          <w:lang w:val="en-US"/>
        </w:rPr>
      </w:pPr>
    </w:p>
    <w:p w14:paraId="2503BCFF">
      <w:pPr>
        <w:pStyle w:val="107"/>
        <w:ind w:firstLine="640"/>
        <w:jc w:val="center"/>
        <w:rPr>
          <w:rFonts w:hint="eastAsia" w:ascii="宋体" w:hAnsi="宋体" w:eastAsia="宋体" w:cs="宋体"/>
          <w:color w:val="auto"/>
          <w:sz w:val="32"/>
          <w:szCs w:val="32"/>
          <w:highlight w:val="none"/>
          <w:lang w:val="en-US"/>
        </w:rPr>
      </w:pPr>
    </w:p>
    <w:p w14:paraId="1B763C2F">
      <w:pPr>
        <w:pStyle w:val="107"/>
        <w:ind w:firstLine="640"/>
        <w:jc w:val="center"/>
        <w:rPr>
          <w:rFonts w:hint="eastAsia" w:ascii="宋体" w:hAnsi="宋体" w:eastAsia="宋体" w:cs="宋体"/>
          <w:color w:val="auto"/>
          <w:sz w:val="32"/>
          <w:szCs w:val="32"/>
          <w:highlight w:val="none"/>
          <w:lang w:val="en-US"/>
        </w:rPr>
      </w:pPr>
    </w:p>
    <w:p w14:paraId="21EF9DBC">
      <w:pPr>
        <w:pStyle w:val="107"/>
        <w:ind w:firstLine="640"/>
        <w:jc w:val="center"/>
        <w:rPr>
          <w:rFonts w:hint="eastAsia" w:ascii="宋体" w:hAnsi="宋体" w:eastAsia="宋体" w:cs="宋体"/>
          <w:color w:val="auto"/>
          <w:sz w:val="32"/>
          <w:szCs w:val="32"/>
          <w:highlight w:val="none"/>
          <w:lang w:val="en-US"/>
        </w:rPr>
      </w:pPr>
    </w:p>
    <w:p w14:paraId="0082F3CB">
      <w:pPr>
        <w:pStyle w:val="107"/>
        <w:ind w:firstLine="640"/>
        <w:jc w:val="center"/>
        <w:rPr>
          <w:rFonts w:hint="eastAsia" w:ascii="宋体" w:hAnsi="宋体" w:eastAsia="宋体" w:cs="宋体"/>
          <w:color w:val="auto"/>
          <w:sz w:val="32"/>
          <w:szCs w:val="32"/>
          <w:highlight w:val="none"/>
          <w:lang w:val="en-US"/>
        </w:rPr>
      </w:pPr>
    </w:p>
    <w:p w14:paraId="3ACF5297">
      <w:pPr>
        <w:pStyle w:val="107"/>
        <w:ind w:firstLine="640"/>
        <w:jc w:val="center"/>
        <w:rPr>
          <w:rFonts w:hint="eastAsia" w:ascii="宋体" w:hAnsi="宋体" w:eastAsia="宋体" w:cs="宋体"/>
          <w:color w:val="auto"/>
          <w:sz w:val="32"/>
          <w:szCs w:val="32"/>
          <w:highlight w:val="none"/>
          <w:lang w:val="en-US"/>
        </w:rPr>
      </w:pPr>
    </w:p>
    <w:p w14:paraId="3EA04C44">
      <w:pPr>
        <w:pStyle w:val="107"/>
        <w:ind w:firstLine="640"/>
        <w:jc w:val="center"/>
        <w:rPr>
          <w:rFonts w:hint="eastAsia" w:ascii="宋体" w:hAnsi="宋体" w:eastAsia="宋体" w:cs="宋体"/>
          <w:color w:val="auto"/>
          <w:sz w:val="32"/>
          <w:szCs w:val="32"/>
          <w:highlight w:val="none"/>
          <w:lang w:val="en-US"/>
        </w:rPr>
      </w:pPr>
    </w:p>
    <w:p w14:paraId="269A90BD">
      <w:pPr>
        <w:pStyle w:val="107"/>
        <w:ind w:firstLine="640"/>
        <w:jc w:val="center"/>
        <w:rPr>
          <w:rFonts w:hint="eastAsia" w:ascii="宋体" w:hAnsi="宋体" w:eastAsia="宋体" w:cs="宋体"/>
          <w:color w:val="auto"/>
          <w:sz w:val="32"/>
          <w:szCs w:val="32"/>
          <w:highlight w:val="none"/>
          <w:lang w:val="en-US"/>
        </w:rPr>
      </w:pPr>
    </w:p>
    <w:p w14:paraId="12AF79CE">
      <w:pPr>
        <w:pStyle w:val="107"/>
        <w:ind w:firstLine="640"/>
        <w:jc w:val="center"/>
        <w:rPr>
          <w:rFonts w:hint="eastAsia" w:ascii="宋体" w:hAnsi="宋体" w:eastAsia="宋体" w:cs="宋体"/>
          <w:color w:val="auto"/>
          <w:sz w:val="32"/>
          <w:szCs w:val="32"/>
          <w:highlight w:val="none"/>
          <w:lang w:val="en-US"/>
        </w:rPr>
      </w:pPr>
    </w:p>
    <w:p w14:paraId="70E090D3">
      <w:pPr>
        <w:pStyle w:val="107"/>
        <w:ind w:firstLine="640"/>
        <w:jc w:val="center"/>
        <w:rPr>
          <w:rFonts w:hint="eastAsia" w:ascii="宋体" w:hAnsi="宋体" w:eastAsia="宋体" w:cs="宋体"/>
          <w:color w:val="auto"/>
          <w:sz w:val="32"/>
          <w:szCs w:val="32"/>
          <w:highlight w:val="none"/>
          <w:lang w:val="en-US"/>
        </w:rPr>
      </w:pPr>
    </w:p>
    <w:p w14:paraId="7220E94F">
      <w:pPr>
        <w:pStyle w:val="107"/>
        <w:ind w:firstLine="640"/>
        <w:jc w:val="center"/>
        <w:rPr>
          <w:rFonts w:hint="eastAsia" w:ascii="宋体" w:hAnsi="宋体" w:eastAsia="宋体" w:cs="宋体"/>
          <w:color w:val="auto"/>
          <w:sz w:val="32"/>
          <w:szCs w:val="32"/>
          <w:highlight w:val="none"/>
          <w:lang w:val="en-US"/>
        </w:rPr>
      </w:pPr>
    </w:p>
    <w:p w14:paraId="73A362DF">
      <w:pPr>
        <w:pStyle w:val="107"/>
        <w:ind w:firstLine="640"/>
        <w:jc w:val="center"/>
        <w:rPr>
          <w:rFonts w:hint="eastAsia" w:ascii="宋体" w:hAnsi="宋体" w:eastAsia="宋体" w:cs="宋体"/>
          <w:color w:val="auto"/>
          <w:sz w:val="32"/>
          <w:szCs w:val="32"/>
          <w:highlight w:val="none"/>
          <w:lang w:val="en-US"/>
        </w:rPr>
      </w:pPr>
    </w:p>
    <w:p w14:paraId="5E1509DC">
      <w:pPr>
        <w:pStyle w:val="107"/>
        <w:ind w:firstLine="640"/>
        <w:jc w:val="center"/>
        <w:rPr>
          <w:rFonts w:hint="eastAsia" w:ascii="宋体" w:hAnsi="宋体" w:eastAsia="宋体" w:cs="宋体"/>
          <w:color w:val="auto"/>
          <w:sz w:val="32"/>
          <w:szCs w:val="32"/>
          <w:highlight w:val="none"/>
          <w:lang w:val="en-US"/>
        </w:rPr>
      </w:pPr>
    </w:p>
    <w:p w14:paraId="682818B5">
      <w:pPr>
        <w:widowControl/>
        <w:spacing w:line="800" w:lineRule="exact"/>
        <w:jc w:val="center"/>
        <w:outlineLvl w:val="2"/>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商务技术部分</w:t>
      </w:r>
      <w:bookmarkEnd w:id="251"/>
      <w:bookmarkEnd w:id="252"/>
      <w:r>
        <w:rPr>
          <w:rFonts w:hint="eastAsia" w:ascii="宋体" w:hAnsi="宋体" w:eastAsia="宋体" w:cs="宋体"/>
          <w:b/>
          <w:bCs/>
          <w:color w:val="auto"/>
          <w:sz w:val="36"/>
          <w:szCs w:val="36"/>
          <w:highlight w:val="none"/>
        </w:rPr>
        <w:br w:type="page"/>
      </w:r>
    </w:p>
    <w:p w14:paraId="6548C526">
      <w:pPr>
        <w:pStyle w:val="5"/>
        <w:spacing w:before="120" w:beforeLines="50" w:after="120" w:afterLines="50" w:line="700" w:lineRule="exact"/>
        <w:jc w:val="center"/>
        <w:rPr>
          <w:rFonts w:hint="eastAsia" w:ascii="宋体" w:hAnsi="宋体" w:eastAsia="宋体" w:cs="宋体"/>
          <w:color w:val="auto"/>
          <w:sz w:val="28"/>
          <w:szCs w:val="28"/>
          <w:highlight w:val="none"/>
        </w:rPr>
      </w:pPr>
      <w:bookmarkStart w:id="270" w:name="_Toc4570"/>
      <w:bookmarkStart w:id="271" w:name="_Toc151027127"/>
      <w:bookmarkStart w:id="272" w:name="_Toc70424899"/>
      <w:r>
        <w:rPr>
          <w:rFonts w:hint="eastAsia" w:ascii="宋体" w:hAnsi="宋体" w:eastAsia="宋体" w:cs="宋体"/>
          <w:color w:val="auto"/>
          <w:sz w:val="28"/>
          <w:szCs w:val="28"/>
          <w:highlight w:val="none"/>
        </w:rPr>
        <w:t>一、报价一览表</w:t>
      </w:r>
      <w:bookmarkEnd w:id="270"/>
      <w:bookmarkEnd w:id="271"/>
      <w:bookmarkEnd w:id="272"/>
    </w:p>
    <w:p w14:paraId="33C02423">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项目名称：</w:t>
      </w:r>
    </w:p>
    <w:p w14:paraId="6D372AAE">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项目编号</w:t>
      </w:r>
      <w:r>
        <w:rPr>
          <w:rFonts w:hint="eastAsia" w:ascii="宋体" w:hAnsi="宋体" w:eastAsia="宋体" w:cs="宋体"/>
          <w:color w:val="auto"/>
          <w:highlight w:val="none"/>
        </w:rPr>
        <w:t>：</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97"/>
        <w:gridCol w:w="5529"/>
      </w:tblGrid>
      <w:tr w14:paraId="21A91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786D387D">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项目</w:t>
            </w:r>
          </w:p>
        </w:tc>
        <w:tc>
          <w:tcPr>
            <w:tcW w:w="5529" w:type="dxa"/>
            <w:vAlign w:val="center"/>
          </w:tcPr>
          <w:p w14:paraId="111D072D">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内容</w:t>
            </w:r>
          </w:p>
        </w:tc>
      </w:tr>
      <w:tr w14:paraId="7D162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5" w:hRule="atLeast"/>
          <w:jc w:val="center"/>
        </w:trPr>
        <w:tc>
          <w:tcPr>
            <w:tcW w:w="3397" w:type="dxa"/>
            <w:vAlign w:val="center"/>
          </w:tcPr>
          <w:p w14:paraId="6EA11229">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首轮报价</w:t>
            </w:r>
          </w:p>
        </w:tc>
        <w:tc>
          <w:tcPr>
            <w:tcW w:w="5529" w:type="dxa"/>
            <w:vAlign w:val="center"/>
          </w:tcPr>
          <w:p w14:paraId="3442ADE6">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小写：        （大写：                ）</w:t>
            </w:r>
          </w:p>
        </w:tc>
      </w:tr>
      <w:tr w14:paraId="001CE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55B8BE1F">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质量承诺</w:t>
            </w:r>
          </w:p>
        </w:tc>
        <w:tc>
          <w:tcPr>
            <w:tcW w:w="5529" w:type="dxa"/>
            <w:vAlign w:val="center"/>
          </w:tcPr>
          <w:p w14:paraId="2B6295E3">
            <w:pPr>
              <w:spacing w:before="120" w:beforeLines="50" w:line="360" w:lineRule="auto"/>
              <w:rPr>
                <w:rFonts w:hint="eastAsia" w:ascii="宋体" w:hAnsi="宋体" w:eastAsia="宋体" w:cs="宋体"/>
                <w:color w:val="auto"/>
                <w:highlight w:val="none"/>
              </w:rPr>
            </w:pPr>
          </w:p>
        </w:tc>
      </w:tr>
      <w:tr w14:paraId="1C4CE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7075E7CB">
            <w:pPr>
              <w:spacing w:before="120" w:beforeLines="50" w:line="36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完成时间</w:t>
            </w:r>
          </w:p>
        </w:tc>
        <w:tc>
          <w:tcPr>
            <w:tcW w:w="5529" w:type="dxa"/>
            <w:vAlign w:val="center"/>
          </w:tcPr>
          <w:p w14:paraId="764A5287">
            <w:pPr>
              <w:spacing w:before="120" w:beforeLines="50" w:line="360" w:lineRule="auto"/>
              <w:rPr>
                <w:rFonts w:hint="eastAsia" w:ascii="宋体" w:hAnsi="宋体" w:eastAsia="宋体" w:cs="宋体"/>
                <w:color w:val="auto"/>
                <w:highlight w:val="none"/>
              </w:rPr>
            </w:pPr>
          </w:p>
        </w:tc>
      </w:tr>
      <w:tr w14:paraId="26595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60FDE404">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项目负责人</w:t>
            </w:r>
          </w:p>
        </w:tc>
        <w:tc>
          <w:tcPr>
            <w:tcW w:w="5529" w:type="dxa"/>
            <w:vAlign w:val="center"/>
          </w:tcPr>
          <w:p w14:paraId="07215F7F">
            <w:pPr>
              <w:spacing w:before="120" w:beforeLines="50" w:line="360" w:lineRule="auto"/>
              <w:rPr>
                <w:rFonts w:hint="eastAsia" w:ascii="宋体" w:hAnsi="宋体" w:eastAsia="宋体" w:cs="宋体"/>
                <w:color w:val="auto"/>
                <w:highlight w:val="none"/>
              </w:rPr>
            </w:pPr>
          </w:p>
        </w:tc>
      </w:tr>
      <w:tr w14:paraId="1C51F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3397" w:type="dxa"/>
            <w:vAlign w:val="center"/>
          </w:tcPr>
          <w:p w14:paraId="4E9EB85D">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c>
          <w:tcPr>
            <w:tcW w:w="5529" w:type="dxa"/>
            <w:vAlign w:val="center"/>
          </w:tcPr>
          <w:p w14:paraId="3A139543">
            <w:pPr>
              <w:spacing w:before="120" w:beforeLines="50" w:line="360" w:lineRule="auto"/>
              <w:rPr>
                <w:rFonts w:hint="eastAsia" w:ascii="宋体" w:hAnsi="宋体" w:eastAsia="宋体" w:cs="宋体"/>
                <w:color w:val="auto"/>
                <w:highlight w:val="none"/>
              </w:rPr>
            </w:pPr>
          </w:p>
        </w:tc>
      </w:tr>
    </w:tbl>
    <w:p w14:paraId="108F538B">
      <w:pPr>
        <w:spacing w:line="360" w:lineRule="auto"/>
        <w:rPr>
          <w:rFonts w:hint="eastAsia" w:ascii="宋体" w:hAnsi="宋体" w:eastAsia="宋体" w:cs="宋体"/>
          <w:color w:val="auto"/>
          <w:highlight w:val="none"/>
        </w:rPr>
      </w:pPr>
    </w:p>
    <w:p w14:paraId="6584B244">
      <w:pPr>
        <w:spacing w:line="360" w:lineRule="auto"/>
        <w:rPr>
          <w:rFonts w:hint="eastAsia" w:ascii="宋体" w:hAnsi="宋体" w:eastAsia="宋体" w:cs="宋体"/>
          <w:color w:val="auto"/>
          <w:highlight w:val="none"/>
        </w:rPr>
      </w:pPr>
    </w:p>
    <w:p w14:paraId="2EB7D271">
      <w:pPr>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供 应 商：</w:t>
      </w:r>
      <w:r>
        <w:rPr>
          <w:rFonts w:hint="eastAsia" w:ascii="宋体" w:hAnsi="宋体" w:eastAsia="宋体" w:cs="宋体"/>
          <w:color w:val="auto"/>
          <w:highlight w:val="none"/>
          <w:u w:val="single"/>
        </w:rPr>
        <w:t xml:space="preserve">                                       （电子签章）</w:t>
      </w:r>
    </w:p>
    <w:p w14:paraId="5D10F691">
      <w:pPr>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rPr>
        <w:t>法定代表人（单位负责人） 或其授权的代理人：</w:t>
      </w:r>
      <w:r>
        <w:rPr>
          <w:rFonts w:hint="eastAsia" w:ascii="宋体" w:hAnsi="宋体" w:eastAsia="宋体" w:cs="宋体"/>
          <w:color w:val="auto"/>
          <w:highlight w:val="none"/>
          <w:u w:val="single"/>
        </w:rPr>
        <w:t xml:space="preserve">      （电子签章）</w:t>
      </w:r>
    </w:p>
    <w:p w14:paraId="6ECFF762">
      <w:pPr>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375EF56D">
      <w:pPr>
        <w:widowControl/>
        <w:spacing w:line="600" w:lineRule="exact"/>
        <w:ind w:firstLine="422" w:firstLineChars="200"/>
        <w:rPr>
          <w:rFonts w:hint="eastAsia" w:ascii="宋体" w:hAnsi="宋体" w:eastAsia="宋体" w:cs="宋体"/>
          <w:color w:val="auto"/>
          <w:sz w:val="28"/>
          <w:szCs w:val="28"/>
          <w:highlight w:val="none"/>
        </w:rPr>
      </w:pPr>
      <w:r>
        <w:rPr>
          <w:rFonts w:hint="eastAsia" w:ascii="宋体" w:hAnsi="宋体" w:eastAsia="宋体" w:cs="宋体"/>
          <w:b/>
          <w:color w:val="auto"/>
          <w:highlight w:val="none"/>
        </w:rPr>
        <w:t>注：此表请放在响应文件封面后第一页，以方便查找。</w:t>
      </w:r>
      <w:r>
        <w:rPr>
          <w:rFonts w:hint="eastAsia" w:ascii="宋体" w:hAnsi="宋体" w:eastAsia="宋体" w:cs="宋体"/>
          <w:b/>
          <w:bCs/>
          <w:color w:val="auto"/>
          <w:sz w:val="36"/>
          <w:szCs w:val="36"/>
          <w:highlight w:val="none"/>
        </w:rPr>
        <w:br w:type="page"/>
      </w:r>
    </w:p>
    <w:p w14:paraId="5EE3553A">
      <w:pPr>
        <w:pStyle w:val="5"/>
        <w:spacing w:before="120" w:beforeLines="50" w:after="120" w:afterLines="50" w:line="70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二、响应函</w:t>
      </w:r>
    </w:p>
    <w:p w14:paraId="68F3B654">
      <w:pPr>
        <w:spacing w:line="360" w:lineRule="auto"/>
        <w:rPr>
          <w:rFonts w:hint="eastAsia" w:ascii="宋体" w:hAnsi="宋体" w:eastAsia="宋体" w:cs="宋体"/>
          <w:color w:val="auto"/>
          <w:highlight w:val="none"/>
        </w:rPr>
      </w:pPr>
    </w:p>
    <w:p w14:paraId="68A6988B">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（采购人名称）</w:t>
      </w:r>
      <w:r>
        <w:rPr>
          <w:rFonts w:hint="eastAsia" w:ascii="宋体" w:hAnsi="宋体" w:eastAsia="宋体" w:cs="宋体"/>
          <w:color w:val="auto"/>
          <w:highlight w:val="none"/>
        </w:rPr>
        <w:t>：</w:t>
      </w:r>
    </w:p>
    <w:p w14:paraId="5A36F92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 我方已仔细研究了</w:t>
      </w:r>
      <w:r>
        <w:rPr>
          <w:rFonts w:hint="eastAsia" w:ascii="宋体" w:hAnsi="宋体" w:eastAsia="宋体" w:cs="宋体"/>
          <w:color w:val="auto"/>
          <w:highlight w:val="none"/>
          <w:u w:val="single"/>
        </w:rPr>
        <w:t xml:space="preserve">                          （项目名称）</w:t>
      </w:r>
      <w:r>
        <w:rPr>
          <w:rFonts w:hint="eastAsia" w:ascii="宋体" w:hAnsi="宋体" w:eastAsia="宋体" w:cs="宋体"/>
          <w:color w:val="auto"/>
          <w:highlight w:val="none"/>
        </w:rPr>
        <w:t>采购文件的全部内容，愿意以含税价人民币（大写）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）的报价（增值税税率为：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）提供本项目所需服务，并按合同约定履行义务。</w:t>
      </w:r>
    </w:p>
    <w:p w14:paraId="0A00C27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2.我方承诺除商务</w:t>
      </w:r>
      <w:r>
        <w:rPr>
          <w:rFonts w:hint="eastAsia" w:ascii="宋体" w:hAnsi="宋体" w:eastAsia="宋体" w:cs="宋体"/>
          <w:color w:val="auto"/>
          <w:highlight w:val="none"/>
          <w:lang w:val="en-US" w:eastAsia="zh-CN"/>
        </w:rPr>
        <w:t>和技术</w:t>
      </w:r>
      <w:r>
        <w:rPr>
          <w:rFonts w:hint="eastAsia" w:ascii="宋体" w:hAnsi="宋体" w:eastAsia="宋体" w:cs="宋体"/>
          <w:color w:val="auto"/>
          <w:highlight w:val="none"/>
        </w:rPr>
        <w:t>偏差表列出的偏差外，我方响应采购文件的全部要求。</w:t>
      </w:r>
    </w:p>
    <w:p w14:paraId="5A30B6F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3.我方承诺在采购文件规定的响应文件有效期内不撤销响应文件。</w:t>
      </w:r>
    </w:p>
    <w:p w14:paraId="19E78E2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4.如我方成交，我方承诺：</w:t>
      </w:r>
    </w:p>
    <w:p w14:paraId="63461E8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（1）在收到成交通知书后，在成交通知书规定的期限内与你方签订合同；</w:t>
      </w:r>
    </w:p>
    <w:p w14:paraId="140DF42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（2）在签订合同时不向你方提出附加条件；</w:t>
      </w:r>
    </w:p>
    <w:p w14:paraId="765BCD6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（3）按照采购文件要求递交履约保证金；</w:t>
      </w:r>
    </w:p>
    <w:p w14:paraId="3AE4282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（4）在合同约定的期限内完成合同规定的全部义务。</w:t>
      </w:r>
    </w:p>
    <w:p w14:paraId="5DE57FD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5.我方在此声明，所递交的响应文件及有关资料内容完整、真实和准确，且不存在第二章“供应商须知”第1.4.1项中规定的供应商不得存在的情形。</w:t>
      </w:r>
    </w:p>
    <w:p w14:paraId="486637D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highlight w:val="none"/>
          <w:u w:val="single"/>
        </w:rPr>
        <w:t xml:space="preserve">                      （其他补充说明）</w:t>
      </w:r>
      <w:r>
        <w:rPr>
          <w:rFonts w:hint="eastAsia" w:ascii="宋体" w:hAnsi="宋体" w:eastAsia="宋体" w:cs="宋体"/>
          <w:color w:val="auto"/>
          <w:highlight w:val="none"/>
        </w:rPr>
        <w:t>。</w:t>
      </w:r>
    </w:p>
    <w:p w14:paraId="147A148C">
      <w:pPr>
        <w:spacing w:line="360" w:lineRule="auto"/>
        <w:ind w:firstLine="420" w:firstLineChars="200"/>
        <w:rPr>
          <w:rFonts w:hint="eastAsia" w:ascii="宋体" w:hAnsi="宋体" w:eastAsia="宋体" w:cs="宋体"/>
          <w:color w:val="auto"/>
          <w:highlight w:val="none"/>
        </w:rPr>
      </w:pPr>
    </w:p>
    <w:p w14:paraId="2A72EA9F">
      <w:pPr>
        <w:spacing w:line="360" w:lineRule="auto"/>
        <w:ind w:firstLine="420" w:firstLineChars="200"/>
        <w:rPr>
          <w:rFonts w:hint="eastAsia" w:ascii="宋体" w:hAnsi="宋体" w:eastAsia="宋体" w:cs="宋体"/>
          <w:color w:val="auto"/>
          <w:highlight w:val="none"/>
        </w:rPr>
      </w:pPr>
    </w:p>
    <w:p w14:paraId="159F8C3D">
      <w:pPr>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供 应 商：</w:t>
      </w:r>
      <w:r>
        <w:rPr>
          <w:rFonts w:hint="eastAsia" w:ascii="宋体" w:hAnsi="宋体" w:eastAsia="宋体" w:cs="宋体"/>
          <w:color w:val="auto"/>
          <w:highlight w:val="none"/>
          <w:u w:val="single"/>
        </w:rPr>
        <w:t xml:space="preserve">                                        （电子签章）</w:t>
      </w:r>
    </w:p>
    <w:p w14:paraId="24D3B5A9">
      <w:pPr>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rPr>
        <w:t>法定代表人（单位负责人） 或其授权的代理人：</w:t>
      </w:r>
      <w:r>
        <w:rPr>
          <w:rFonts w:hint="eastAsia" w:ascii="宋体" w:hAnsi="宋体" w:eastAsia="宋体" w:cs="宋体"/>
          <w:color w:val="auto"/>
          <w:highlight w:val="none"/>
          <w:u w:val="single"/>
        </w:rPr>
        <w:t xml:space="preserve">       （电子签章）</w:t>
      </w:r>
    </w:p>
    <w:p w14:paraId="68ECE265">
      <w:pPr>
        <w:wordWrap w:val="0"/>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地    址：</w:t>
      </w:r>
      <w:r>
        <w:rPr>
          <w:rFonts w:hint="eastAsia" w:ascii="宋体" w:hAnsi="宋体" w:eastAsia="宋体" w:cs="宋体"/>
          <w:color w:val="auto"/>
          <w:highlight w:val="none"/>
          <w:u w:val="single"/>
        </w:rPr>
        <w:t xml:space="preserve">                                                    </w:t>
      </w:r>
    </w:p>
    <w:p w14:paraId="62B619E7">
      <w:pPr>
        <w:wordWrap w:val="0"/>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电子邮箱：</w:t>
      </w:r>
      <w:r>
        <w:rPr>
          <w:rFonts w:hint="eastAsia" w:ascii="宋体" w:hAnsi="宋体" w:eastAsia="宋体" w:cs="宋体"/>
          <w:color w:val="auto"/>
          <w:highlight w:val="none"/>
          <w:u w:val="single"/>
        </w:rPr>
        <w:t xml:space="preserve">                                                    </w:t>
      </w:r>
    </w:p>
    <w:p w14:paraId="7F0C8B41">
      <w:pPr>
        <w:wordWrap w:val="0"/>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电    话：</w:t>
      </w:r>
      <w:r>
        <w:rPr>
          <w:rFonts w:hint="eastAsia" w:ascii="宋体" w:hAnsi="宋体" w:eastAsia="宋体" w:cs="宋体"/>
          <w:color w:val="auto"/>
          <w:highlight w:val="none"/>
          <w:u w:val="single"/>
        </w:rPr>
        <w:t xml:space="preserve">                                                    </w:t>
      </w:r>
    </w:p>
    <w:p w14:paraId="1F4742BD">
      <w:pPr>
        <w:wordWrap w:val="0"/>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传    真：</w:t>
      </w:r>
      <w:r>
        <w:rPr>
          <w:rFonts w:hint="eastAsia" w:ascii="宋体" w:hAnsi="宋体" w:eastAsia="宋体" w:cs="宋体"/>
          <w:color w:val="auto"/>
          <w:highlight w:val="none"/>
          <w:u w:val="single"/>
        </w:rPr>
        <w:t xml:space="preserve">                                                    </w:t>
      </w:r>
    </w:p>
    <w:p w14:paraId="0BD80589">
      <w:pPr>
        <w:wordWrap w:val="0"/>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rPr>
        <w:t>邮政编码：</w:t>
      </w:r>
      <w:r>
        <w:rPr>
          <w:rFonts w:hint="eastAsia" w:ascii="宋体" w:hAnsi="宋体" w:eastAsia="宋体" w:cs="宋体"/>
          <w:color w:val="auto"/>
          <w:highlight w:val="none"/>
          <w:u w:val="single"/>
        </w:rPr>
        <w:t xml:space="preserve">                                                    </w:t>
      </w:r>
    </w:p>
    <w:p w14:paraId="79590712">
      <w:pPr>
        <w:spacing w:line="360" w:lineRule="auto"/>
        <w:jc w:val="right"/>
        <w:rPr>
          <w:rFonts w:hint="eastAsia" w:ascii="宋体" w:hAnsi="宋体" w:eastAsia="宋体" w:cs="宋体"/>
          <w:color w:val="auto"/>
          <w:highlight w:val="none"/>
        </w:rPr>
      </w:pPr>
    </w:p>
    <w:p w14:paraId="6771477B">
      <w:pPr>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7FD022F4">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ED9F2B5">
      <w:pPr>
        <w:pStyle w:val="5"/>
        <w:spacing w:before="120" w:beforeLines="50" w:after="120" w:afterLines="50" w:line="70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三、法定代表人（单位负责人）身份证明</w:t>
      </w:r>
    </w:p>
    <w:p w14:paraId="3A410490">
      <w:pPr>
        <w:spacing w:line="360" w:lineRule="auto"/>
        <w:rPr>
          <w:rFonts w:hint="eastAsia" w:ascii="宋体" w:hAnsi="宋体" w:eastAsia="宋体" w:cs="宋体"/>
          <w:color w:val="auto"/>
          <w:highlight w:val="none"/>
        </w:rPr>
      </w:pPr>
    </w:p>
    <w:p w14:paraId="6B58D70F">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xml:space="preserve">                          </w:t>
      </w:r>
    </w:p>
    <w:p w14:paraId="4A3F56FB">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姓名：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性别：</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年龄：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职务：</w:t>
      </w:r>
      <w:r>
        <w:rPr>
          <w:rFonts w:hint="eastAsia" w:ascii="宋体" w:hAnsi="宋体" w:eastAsia="宋体" w:cs="宋体"/>
          <w:color w:val="auto"/>
          <w:highlight w:val="none"/>
          <w:u w:val="single"/>
        </w:rPr>
        <w:t xml:space="preserve">        </w:t>
      </w:r>
    </w:p>
    <w:p w14:paraId="7AF8B0D3">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系</w:t>
      </w:r>
      <w:r>
        <w:rPr>
          <w:rFonts w:hint="eastAsia" w:ascii="宋体" w:hAnsi="宋体" w:eastAsia="宋体" w:cs="宋体"/>
          <w:color w:val="auto"/>
          <w:highlight w:val="none"/>
          <w:u w:val="single"/>
        </w:rPr>
        <w:t xml:space="preserve">                     （供应商名称）</w:t>
      </w:r>
      <w:r>
        <w:rPr>
          <w:rFonts w:hint="eastAsia" w:ascii="宋体" w:hAnsi="宋体" w:eastAsia="宋体" w:cs="宋体"/>
          <w:color w:val="auto"/>
          <w:highlight w:val="none"/>
        </w:rPr>
        <w:t>的法定代表人。</w:t>
      </w:r>
    </w:p>
    <w:p w14:paraId="31A48018">
      <w:pPr>
        <w:spacing w:line="360" w:lineRule="auto"/>
        <w:rPr>
          <w:rFonts w:hint="eastAsia" w:ascii="宋体" w:hAnsi="宋体" w:eastAsia="宋体" w:cs="宋体"/>
          <w:color w:val="auto"/>
          <w:highlight w:val="none"/>
        </w:rPr>
      </w:pPr>
    </w:p>
    <w:p w14:paraId="0ED2F2D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特此证明。</w:t>
      </w:r>
    </w:p>
    <w:p w14:paraId="4DBBA91A">
      <w:pPr>
        <w:spacing w:line="360" w:lineRule="auto"/>
        <w:rPr>
          <w:rFonts w:hint="eastAsia" w:ascii="宋体" w:hAnsi="宋体" w:eastAsia="宋体" w:cs="宋体"/>
          <w:color w:val="auto"/>
          <w:highlight w:val="none"/>
        </w:rPr>
      </w:pPr>
    </w:p>
    <w:p w14:paraId="335339B7">
      <w:pPr>
        <w:spacing w:line="360" w:lineRule="auto"/>
        <w:rPr>
          <w:rFonts w:hint="eastAsia" w:ascii="宋体" w:hAnsi="宋体" w:eastAsia="宋体" w:cs="宋体"/>
          <w:color w:val="auto"/>
          <w:highlight w:val="none"/>
        </w:rPr>
      </w:pPr>
    </w:p>
    <w:p w14:paraId="1AD9F135">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附：法定代表人身份证复印件。</w:t>
      </w:r>
    </w:p>
    <w:p w14:paraId="36073BEC">
      <w:pPr>
        <w:spacing w:line="360" w:lineRule="auto"/>
        <w:rPr>
          <w:rFonts w:hint="eastAsia" w:ascii="宋体" w:hAnsi="宋体" w:eastAsia="宋体" w:cs="宋体"/>
          <w:color w:val="auto"/>
          <w:highlight w:val="none"/>
        </w:rPr>
      </w:pPr>
    </w:p>
    <w:p w14:paraId="4E929304">
      <w:pPr>
        <w:spacing w:line="360" w:lineRule="auto"/>
        <w:rPr>
          <w:rFonts w:hint="eastAsia" w:ascii="宋体" w:hAnsi="宋体" w:eastAsia="宋体" w:cs="宋体"/>
          <w:color w:val="auto"/>
          <w:highlight w:val="none"/>
        </w:rPr>
      </w:pPr>
    </w:p>
    <w:p w14:paraId="681EE8D3">
      <w:pPr>
        <w:spacing w:line="360" w:lineRule="auto"/>
        <w:rPr>
          <w:rFonts w:hint="eastAsia" w:ascii="宋体" w:hAnsi="宋体" w:eastAsia="宋体" w:cs="宋体"/>
          <w:color w:val="auto"/>
          <w:highlight w:val="none"/>
        </w:rPr>
      </w:pPr>
    </w:p>
    <w:p w14:paraId="04D6E7D5">
      <w:pPr>
        <w:spacing w:line="360" w:lineRule="auto"/>
        <w:rPr>
          <w:rFonts w:hint="eastAsia" w:ascii="宋体" w:hAnsi="宋体" w:eastAsia="宋体" w:cs="宋体"/>
          <w:color w:val="auto"/>
          <w:highlight w:val="none"/>
        </w:rPr>
      </w:pPr>
    </w:p>
    <w:p w14:paraId="43888F8D">
      <w:pPr>
        <w:spacing w:line="360" w:lineRule="auto"/>
        <w:rPr>
          <w:rFonts w:hint="eastAsia" w:ascii="宋体" w:hAnsi="宋体" w:eastAsia="宋体" w:cs="宋体"/>
          <w:color w:val="auto"/>
          <w:highlight w:val="none"/>
        </w:rPr>
      </w:pPr>
    </w:p>
    <w:p w14:paraId="68F7DE66">
      <w:pPr>
        <w:spacing w:line="360" w:lineRule="auto"/>
        <w:rPr>
          <w:rFonts w:hint="eastAsia" w:ascii="宋体" w:hAnsi="宋体" w:eastAsia="宋体" w:cs="宋体"/>
          <w:color w:val="auto"/>
          <w:highlight w:val="none"/>
        </w:rPr>
      </w:pPr>
    </w:p>
    <w:p w14:paraId="081BE884">
      <w:pPr>
        <w:spacing w:line="360" w:lineRule="auto"/>
        <w:rPr>
          <w:rFonts w:hint="eastAsia" w:ascii="宋体" w:hAnsi="宋体" w:eastAsia="宋体" w:cs="宋体"/>
          <w:color w:val="auto"/>
          <w:highlight w:val="none"/>
        </w:rPr>
      </w:pPr>
    </w:p>
    <w:p w14:paraId="31B3D44A">
      <w:pPr>
        <w:spacing w:line="360" w:lineRule="auto"/>
        <w:rPr>
          <w:rFonts w:hint="eastAsia" w:ascii="宋体" w:hAnsi="宋体" w:eastAsia="宋体" w:cs="宋体"/>
          <w:color w:val="auto"/>
          <w:highlight w:val="none"/>
        </w:rPr>
      </w:pPr>
    </w:p>
    <w:p w14:paraId="5AE3E788">
      <w:pPr>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rPr>
        <w:t>供应商：</w:t>
      </w:r>
      <w:r>
        <w:rPr>
          <w:rFonts w:hint="eastAsia" w:ascii="宋体" w:hAnsi="宋体" w:eastAsia="宋体" w:cs="宋体"/>
          <w:color w:val="auto"/>
          <w:highlight w:val="none"/>
          <w:u w:val="single"/>
        </w:rPr>
        <w:t xml:space="preserve">                    （电子签章）</w:t>
      </w:r>
    </w:p>
    <w:p w14:paraId="743645A3">
      <w:pPr>
        <w:spacing w:line="360" w:lineRule="auto"/>
        <w:jc w:val="right"/>
        <w:rPr>
          <w:rFonts w:hint="eastAsia" w:ascii="宋体" w:hAnsi="宋体" w:eastAsia="宋体" w:cs="宋体"/>
          <w:color w:val="auto"/>
          <w:highlight w:val="none"/>
        </w:rPr>
      </w:pPr>
    </w:p>
    <w:p w14:paraId="611A7A5F">
      <w:pPr>
        <w:jc w:val="right"/>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rPr>
        <w:br w:type="page"/>
      </w:r>
    </w:p>
    <w:p w14:paraId="4FD5679A">
      <w:pPr>
        <w:pStyle w:val="5"/>
        <w:spacing w:before="120" w:beforeLines="50" w:after="120" w:afterLines="50" w:line="70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四、授权委托书</w:t>
      </w:r>
    </w:p>
    <w:p w14:paraId="48F457A9">
      <w:pPr>
        <w:spacing w:line="360" w:lineRule="auto"/>
        <w:rPr>
          <w:rFonts w:hint="eastAsia" w:ascii="宋体" w:hAnsi="宋体" w:eastAsia="宋体" w:cs="宋体"/>
          <w:color w:val="auto"/>
          <w:highlight w:val="none"/>
        </w:rPr>
      </w:pPr>
    </w:p>
    <w:p w14:paraId="60D3CAA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本人</w:t>
      </w:r>
      <w:r>
        <w:rPr>
          <w:rFonts w:hint="eastAsia" w:ascii="宋体" w:hAnsi="宋体" w:eastAsia="宋体" w:cs="宋体"/>
          <w:color w:val="auto"/>
          <w:highlight w:val="none"/>
          <w:u w:val="single"/>
        </w:rPr>
        <w:t xml:space="preserve">        （姓名）</w:t>
      </w:r>
      <w:r>
        <w:rPr>
          <w:rFonts w:hint="eastAsia" w:ascii="宋体" w:hAnsi="宋体" w:eastAsia="宋体" w:cs="宋体"/>
          <w:color w:val="auto"/>
          <w:highlight w:val="none"/>
        </w:rPr>
        <w:t>系</w:t>
      </w:r>
      <w:r>
        <w:rPr>
          <w:rFonts w:hint="eastAsia" w:ascii="宋体" w:hAnsi="宋体" w:eastAsia="宋体" w:cs="宋体"/>
          <w:color w:val="auto"/>
          <w:highlight w:val="none"/>
          <w:u w:val="single"/>
        </w:rPr>
        <w:t xml:space="preserve">                        （供应商名称）</w:t>
      </w:r>
      <w:r>
        <w:rPr>
          <w:rFonts w:hint="eastAsia" w:ascii="宋体" w:hAnsi="宋体" w:eastAsia="宋体" w:cs="宋体"/>
          <w:color w:val="auto"/>
          <w:highlight w:val="none"/>
        </w:rPr>
        <w:t>的法定代表人（单位负责人），现委托</w:t>
      </w:r>
      <w:r>
        <w:rPr>
          <w:rFonts w:hint="eastAsia" w:ascii="宋体" w:hAnsi="宋体" w:eastAsia="宋体" w:cs="宋体"/>
          <w:color w:val="auto"/>
          <w:highlight w:val="none"/>
          <w:u w:val="single"/>
        </w:rPr>
        <w:t xml:space="preserve">        （姓名）</w:t>
      </w:r>
      <w:r>
        <w:rPr>
          <w:rFonts w:hint="eastAsia" w:ascii="宋体" w:hAnsi="宋体" w:eastAsia="宋体" w:cs="宋体"/>
          <w:color w:val="auto"/>
          <w:highlight w:val="none"/>
        </w:rPr>
        <w:t>为我方代理人。代理人根据授权，以我方名义签署、澄清确认、递交、撤回、修改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竞争性磋商采购项目响应文件、签订合同和处理有关事宜，其法律后果由我方承担。</w:t>
      </w:r>
    </w:p>
    <w:p w14:paraId="3811735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委托期限：自本委托书签署之日起至</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竞争性磋商采购项目签订采购合同之日止。</w:t>
      </w:r>
    </w:p>
    <w:p w14:paraId="10824C7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代理人无转委托权。</w:t>
      </w:r>
    </w:p>
    <w:p w14:paraId="71BD0B42">
      <w:pPr>
        <w:spacing w:line="360" w:lineRule="auto"/>
        <w:ind w:firstLine="420" w:firstLineChars="200"/>
        <w:rPr>
          <w:rFonts w:hint="eastAsia" w:ascii="宋体" w:hAnsi="宋体" w:eastAsia="宋体" w:cs="宋体"/>
          <w:color w:val="auto"/>
          <w:highlight w:val="none"/>
        </w:rPr>
      </w:pPr>
    </w:p>
    <w:p w14:paraId="7C65D77D">
      <w:pPr>
        <w:spacing w:line="360" w:lineRule="auto"/>
        <w:ind w:firstLine="420" w:firstLineChars="200"/>
        <w:rPr>
          <w:rFonts w:hint="eastAsia" w:ascii="宋体" w:hAnsi="宋体" w:eastAsia="宋体" w:cs="宋体"/>
          <w:color w:val="auto"/>
          <w:highlight w:val="none"/>
        </w:rPr>
      </w:pPr>
    </w:p>
    <w:p w14:paraId="6A08C1A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附：委托代理人身份证复印件。</w:t>
      </w:r>
    </w:p>
    <w:p w14:paraId="6CF93AFE">
      <w:pPr>
        <w:spacing w:line="360" w:lineRule="auto"/>
        <w:rPr>
          <w:rFonts w:hint="eastAsia" w:ascii="宋体" w:hAnsi="宋体" w:eastAsia="宋体" w:cs="宋体"/>
          <w:color w:val="auto"/>
          <w:highlight w:val="none"/>
        </w:rPr>
      </w:pPr>
    </w:p>
    <w:p w14:paraId="305905A1">
      <w:pPr>
        <w:spacing w:line="360" w:lineRule="auto"/>
        <w:rPr>
          <w:rFonts w:hint="eastAsia" w:ascii="宋体" w:hAnsi="宋体" w:eastAsia="宋体" w:cs="宋体"/>
          <w:color w:val="auto"/>
          <w:highlight w:val="none"/>
        </w:rPr>
      </w:pPr>
    </w:p>
    <w:p w14:paraId="6239C5EE">
      <w:pPr>
        <w:spacing w:line="360" w:lineRule="auto"/>
        <w:rPr>
          <w:rFonts w:hint="eastAsia" w:ascii="宋体" w:hAnsi="宋体" w:eastAsia="宋体" w:cs="宋体"/>
          <w:color w:val="auto"/>
          <w:highlight w:val="none"/>
        </w:rPr>
      </w:pPr>
    </w:p>
    <w:p w14:paraId="5D6B307F">
      <w:pPr>
        <w:spacing w:line="360" w:lineRule="auto"/>
        <w:rPr>
          <w:rFonts w:hint="eastAsia" w:ascii="宋体" w:hAnsi="宋体" w:eastAsia="宋体" w:cs="宋体"/>
          <w:color w:val="auto"/>
          <w:highlight w:val="none"/>
        </w:rPr>
      </w:pPr>
    </w:p>
    <w:p w14:paraId="74306DB2">
      <w:pPr>
        <w:spacing w:line="360" w:lineRule="auto"/>
        <w:rPr>
          <w:rFonts w:hint="eastAsia" w:ascii="宋体" w:hAnsi="宋体" w:eastAsia="宋体" w:cs="宋体"/>
          <w:color w:val="auto"/>
          <w:highlight w:val="none"/>
        </w:rPr>
      </w:pPr>
    </w:p>
    <w:p w14:paraId="00ED45A5">
      <w:pPr>
        <w:spacing w:line="360" w:lineRule="auto"/>
        <w:rPr>
          <w:rFonts w:hint="eastAsia" w:ascii="宋体" w:hAnsi="宋体" w:eastAsia="宋体" w:cs="宋体"/>
          <w:color w:val="auto"/>
          <w:highlight w:val="none"/>
        </w:rPr>
      </w:pPr>
    </w:p>
    <w:p w14:paraId="299587B6">
      <w:pPr>
        <w:spacing w:line="360" w:lineRule="auto"/>
        <w:rPr>
          <w:rFonts w:hint="eastAsia" w:ascii="宋体" w:hAnsi="宋体" w:eastAsia="宋体" w:cs="宋体"/>
          <w:color w:val="auto"/>
          <w:highlight w:val="none"/>
        </w:rPr>
      </w:pPr>
    </w:p>
    <w:p w14:paraId="68841081">
      <w:pPr>
        <w:spacing w:line="360" w:lineRule="auto"/>
        <w:rPr>
          <w:rFonts w:hint="eastAsia" w:ascii="宋体" w:hAnsi="宋体" w:eastAsia="宋体" w:cs="宋体"/>
          <w:color w:val="auto"/>
          <w:highlight w:val="none"/>
        </w:rPr>
      </w:pPr>
    </w:p>
    <w:p w14:paraId="2D7A23D5">
      <w:pPr>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rPr>
        <w:t>供应商：</w:t>
      </w:r>
      <w:r>
        <w:rPr>
          <w:rFonts w:hint="eastAsia" w:ascii="宋体" w:hAnsi="宋体" w:eastAsia="宋体" w:cs="宋体"/>
          <w:color w:val="auto"/>
          <w:highlight w:val="none"/>
          <w:u w:val="single"/>
        </w:rPr>
        <w:t xml:space="preserve">                        （电子签章）</w:t>
      </w:r>
    </w:p>
    <w:p w14:paraId="41BD6105">
      <w:pPr>
        <w:wordWrap w:val="0"/>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rPr>
        <w:t>法定代表人（单位负责人）：</w:t>
      </w:r>
      <w:r>
        <w:rPr>
          <w:rFonts w:hint="eastAsia" w:ascii="宋体" w:hAnsi="宋体" w:eastAsia="宋体" w:cs="宋体"/>
          <w:color w:val="auto"/>
          <w:highlight w:val="none"/>
          <w:u w:val="single"/>
        </w:rPr>
        <w:t xml:space="preserve">      （电子签章）</w:t>
      </w:r>
    </w:p>
    <w:p w14:paraId="193FD0F7">
      <w:pPr>
        <w:wordWrap w:val="0"/>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rPr>
        <w:t>身份证号码：</w:t>
      </w:r>
      <w:r>
        <w:rPr>
          <w:rFonts w:hint="eastAsia" w:ascii="宋体" w:hAnsi="宋体" w:eastAsia="宋体" w:cs="宋体"/>
          <w:color w:val="auto"/>
          <w:highlight w:val="none"/>
          <w:u w:val="single"/>
        </w:rPr>
        <w:t xml:space="preserve">                                </w:t>
      </w:r>
    </w:p>
    <w:p w14:paraId="40404688">
      <w:pPr>
        <w:wordWrap w:val="0"/>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rPr>
        <w:t>委托代理人：</w:t>
      </w:r>
      <w:r>
        <w:rPr>
          <w:rFonts w:hint="eastAsia" w:ascii="宋体" w:hAnsi="宋体" w:eastAsia="宋体" w:cs="宋体"/>
          <w:color w:val="auto"/>
          <w:highlight w:val="none"/>
          <w:u w:val="single"/>
        </w:rPr>
        <w:t xml:space="preserve">                                </w:t>
      </w:r>
    </w:p>
    <w:p w14:paraId="7CDEAF16">
      <w:pPr>
        <w:wordWrap w:val="0"/>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rPr>
        <w:t>身份证号码：</w:t>
      </w:r>
      <w:r>
        <w:rPr>
          <w:rFonts w:hint="eastAsia" w:ascii="宋体" w:hAnsi="宋体" w:eastAsia="宋体" w:cs="宋体"/>
          <w:color w:val="auto"/>
          <w:highlight w:val="none"/>
          <w:u w:val="single"/>
        </w:rPr>
        <w:t xml:space="preserve">                                </w:t>
      </w:r>
    </w:p>
    <w:p w14:paraId="05EFDD7A">
      <w:pPr>
        <w:spacing w:line="360" w:lineRule="auto"/>
        <w:jc w:val="right"/>
        <w:rPr>
          <w:rFonts w:hint="eastAsia" w:ascii="宋体" w:hAnsi="宋体" w:eastAsia="宋体" w:cs="宋体"/>
          <w:color w:val="auto"/>
          <w:highlight w:val="none"/>
        </w:rPr>
      </w:pPr>
    </w:p>
    <w:p w14:paraId="5E1035CF">
      <w:pPr>
        <w:wordWrap w:val="0"/>
        <w:spacing w:line="360" w:lineRule="auto"/>
        <w:ind w:firstLine="420" w:firstLineChars="200"/>
        <w:jc w:val="right"/>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EED31A6">
      <w:pPr>
        <w:spacing w:line="360" w:lineRule="auto"/>
        <w:rPr>
          <w:rFonts w:hint="eastAsia" w:ascii="宋体" w:hAnsi="宋体" w:eastAsia="宋体" w:cs="宋体"/>
          <w:color w:val="auto"/>
          <w:highlight w:val="none"/>
        </w:rPr>
      </w:pPr>
    </w:p>
    <w:p w14:paraId="5C9672E9">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注：无授权委托的无需提供。</w:t>
      </w:r>
    </w:p>
    <w:p w14:paraId="12C34B09">
      <w:pPr>
        <w:tabs>
          <w:tab w:val="left" w:pos="3119"/>
        </w:tabs>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9224B72">
      <w:pPr>
        <w:pStyle w:val="5"/>
        <w:spacing w:before="120" w:beforeLines="50" w:after="120" w:afterLines="50" w:line="70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五、联合体协议书（本项目不适用）</w:t>
      </w:r>
    </w:p>
    <w:p w14:paraId="63B53093">
      <w:pPr>
        <w:autoSpaceDE w:val="0"/>
        <w:autoSpaceDN w:val="0"/>
        <w:adjustRightInd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牵头人名称：</w:t>
      </w:r>
      <w:r>
        <w:rPr>
          <w:rFonts w:hint="eastAsia" w:ascii="宋体" w:hAnsi="宋体" w:eastAsia="宋体" w:cs="宋体"/>
          <w:color w:val="auto"/>
          <w:szCs w:val="21"/>
          <w:highlight w:val="none"/>
          <w:u w:val="single"/>
        </w:rPr>
        <w:t xml:space="preserve">                                    </w:t>
      </w:r>
    </w:p>
    <w:p w14:paraId="39156147">
      <w:pPr>
        <w:autoSpaceDE w:val="0"/>
        <w:autoSpaceDN w:val="0"/>
        <w:adjustRightInd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rPr>
        <w:t xml:space="preserve">                                    </w:t>
      </w:r>
    </w:p>
    <w:p w14:paraId="0441AD86">
      <w:pPr>
        <w:autoSpaceDE w:val="0"/>
        <w:autoSpaceDN w:val="0"/>
        <w:adjustRightInd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法定住所：</w:t>
      </w:r>
      <w:r>
        <w:rPr>
          <w:rFonts w:hint="eastAsia" w:ascii="宋体" w:hAnsi="宋体" w:eastAsia="宋体" w:cs="宋体"/>
          <w:color w:val="auto"/>
          <w:szCs w:val="21"/>
          <w:highlight w:val="none"/>
          <w:u w:val="single"/>
        </w:rPr>
        <w:t xml:space="preserve">                                      </w:t>
      </w:r>
    </w:p>
    <w:p w14:paraId="66AAA127">
      <w:pPr>
        <w:autoSpaceDE w:val="0"/>
        <w:autoSpaceDN w:val="0"/>
        <w:adjustRightInd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成员二名称：</w:t>
      </w:r>
      <w:r>
        <w:rPr>
          <w:rFonts w:hint="eastAsia" w:ascii="宋体" w:hAnsi="宋体" w:eastAsia="宋体" w:cs="宋体"/>
          <w:color w:val="auto"/>
          <w:szCs w:val="21"/>
          <w:highlight w:val="none"/>
          <w:u w:val="single"/>
        </w:rPr>
        <w:t xml:space="preserve">                                    </w:t>
      </w:r>
    </w:p>
    <w:p w14:paraId="3AF54D34">
      <w:pPr>
        <w:autoSpaceDE w:val="0"/>
        <w:autoSpaceDN w:val="0"/>
        <w:adjustRightInd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rPr>
        <w:t xml:space="preserve">                                    </w:t>
      </w:r>
    </w:p>
    <w:p w14:paraId="6F9F9D47">
      <w:pPr>
        <w:autoSpaceDE w:val="0"/>
        <w:autoSpaceDN w:val="0"/>
        <w:adjustRightInd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法定住所：</w:t>
      </w:r>
      <w:r>
        <w:rPr>
          <w:rFonts w:hint="eastAsia" w:ascii="宋体" w:hAnsi="宋体" w:eastAsia="宋体" w:cs="宋体"/>
          <w:color w:val="auto"/>
          <w:szCs w:val="21"/>
          <w:highlight w:val="none"/>
          <w:u w:val="single"/>
        </w:rPr>
        <w:t xml:space="preserve">                                      </w:t>
      </w:r>
    </w:p>
    <w:p w14:paraId="5961A161">
      <w:pPr>
        <w:autoSpaceDE w:val="0"/>
        <w:autoSpaceDN w:val="0"/>
        <w:adjustRightIn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1178F85B">
      <w:pPr>
        <w:autoSpaceDE w:val="0"/>
        <w:autoSpaceDN w:val="0"/>
        <w:adjustRightIn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鉴于上述各成员单位经过友好协商，自愿组成（联合体名称）联合体，共同参加</w:t>
      </w:r>
      <w:r>
        <w:rPr>
          <w:rFonts w:hint="eastAsia" w:ascii="宋体" w:hAnsi="宋体" w:eastAsia="宋体" w:cs="宋体"/>
          <w:color w:val="auto"/>
          <w:szCs w:val="21"/>
          <w:highlight w:val="none"/>
          <w:u w:val="single"/>
        </w:rPr>
        <w:t xml:space="preserve">               </w:t>
      </w:r>
    </w:p>
    <w:p w14:paraId="68DC8709">
      <w:pPr>
        <w:autoSpaceDE w:val="0"/>
        <w:autoSpaceDN w:val="0"/>
        <w:adjustRightIn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（采购人名称）（以下简称</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（项目名称）      </w:t>
      </w:r>
      <w:r>
        <w:rPr>
          <w:rFonts w:hint="eastAsia" w:ascii="宋体" w:hAnsi="宋体" w:eastAsia="宋体" w:cs="宋体"/>
          <w:color w:val="auto"/>
          <w:szCs w:val="21"/>
          <w:highlight w:val="none"/>
        </w:rPr>
        <w:t>以下简称本工程）的竞争性磋商并争取赢得本项目效果评估报告编制合同（以下简称合同）。现就联合体磋商事宜订立如下协议：</w:t>
      </w:r>
    </w:p>
    <w:p w14:paraId="6F354526">
      <w:pPr>
        <w:autoSpaceDE w:val="0"/>
        <w:autoSpaceDN w:val="0"/>
        <w:adjustRightIn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u w:val="single"/>
        </w:rPr>
        <w:t xml:space="preserve">   （某成员单位名称）     </w:t>
      </w:r>
      <w:r>
        <w:rPr>
          <w:rFonts w:hint="eastAsia" w:ascii="宋体" w:hAnsi="宋体" w:eastAsia="宋体" w:cs="宋体"/>
          <w:color w:val="auto"/>
          <w:szCs w:val="21"/>
          <w:highlight w:val="none"/>
        </w:rPr>
        <w:t>为</w:t>
      </w:r>
      <w:r>
        <w:rPr>
          <w:rFonts w:hint="eastAsia" w:ascii="宋体" w:hAnsi="宋体" w:eastAsia="宋体" w:cs="宋体"/>
          <w:color w:val="auto"/>
          <w:szCs w:val="21"/>
          <w:highlight w:val="none"/>
          <w:u w:val="single"/>
        </w:rPr>
        <w:t xml:space="preserve">    （联合体名称）    </w:t>
      </w:r>
      <w:r>
        <w:rPr>
          <w:rFonts w:hint="eastAsia" w:ascii="宋体" w:hAnsi="宋体" w:eastAsia="宋体" w:cs="宋体"/>
          <w:color w:val="auto"/>
          <w:szCs w:val="21"/>
          <w:highlight w:val="none"/>
        </w:rPr>
        <w:t>牵头人。</w:t>
      </w:r>
    </w:p>
    <w:p w14:paraId="69AABDAF">
      <w:pPr>
        <w:autoSpaceDE w:val="0"/>
        <w:autoSpaceDN w:val="0"/>
        <w:adjustRightIn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报告编制的主办、组织和协调工作。</w:t>
      </w:r>
    </w:p>
    <w:p w14:paraId="563BDE94">
      <w:pPr>
        <w:autoSpaceDE w:val="0"/>
        <w:autoSpaceDN w:val="0"/>
        <w:adjustRightIn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3．联合体将严格按照</w:t>
      </w:r>
      <w:r>
        <w:rPr>
          <w:rFonts w:hint="eastAsia" w:ascii="宋体" w:hAnsi="宋体" w:eastAsia="宋体" w:cs="宋体"/>
          <w:color w:val="auto"/>
          <w:szCs w:val="21"/>
          <w:highlight w:val="none"/>
          <w:lang w:eastAsia="zh-CN"/>
        </w:rPr>
        <w:t>竞争性磋商文件</w:t>
      </w:r>
      <w:r>
        <w:rPr>
          <w:rFonts w:hint="eastAsia" w:ascii="宋体" w:hAnsi="宋体" w:eastAsia="宋体" w:cs="宋体"/>
          <w:color w:val="auto"/>
          <w:szCs w:val="21"/>
          <w:highlight w:val="none"/>
        </w:rPr>
        <w:t>的各项要求，递交投标文件，履行投标义务和中标后的合同，共同承担合同规定的一切义务和责任，联合体各成员单位按照内部职责的划分，承担各自所负的责任和风险，并向</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承担连带责任。</w:t>
      </w:r>
    </w:p>
    <w:p w14:paraId="51D6C535">
      <w:pPr>
        <w:autoSpaceDE w:val="0"/>
        <w:autoSpaceDN w:val="0"/>
        <w:adjustRightIn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4．联合体各成员单位内部的职责分工如下：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7585C3E">
      <w:pPr>
        <w:autoSpaceDE w:val="0"/>
        <w:autoSpaceDN w:val="0"/>
        <w:adjustRightIn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5．投标工作和联合体在中标后项目报告编制过程中的有关费用按各自承担的工作量分摊。</w:t>
      </w:r>
    </w:p>
    <w:p w14:paraId="53D79622">
      <w:pPr>
        <w:autoSpaceDE w:val="0"/>
        <w:autoSpaceDN w:val="0"/>
        <w:adjustRightIn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6．联合体中标后，本联合体协议是合同的附件，对联合体各成员单位有合同约束力。</w:t>
      </w:r>
    </w:p>
    <w:p w14:paraId="10A76781">
      <w:pPr>
        <w:autoSpaceDE w:val="0"/>
        <w:autoSpaceDN w:val="0"/>
        <w:adjustRightIn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7．本协议书自签署之日起生效，联合体未中标或者中标时合同履行完毕后自动失效。</w:t>
      </w:r>
    </w:p>
    <w:p w14:paraId="013A687B">
      <w:pPr>
        <w:autoSpaceDE w:val="0"/>
        <w:autoSpaceDN w:val="0"/>
        <w:adjustRightIn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8．本协议书一式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份，联合体成员和</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各执一份。</w:t>
      </w:r>
    </w:p>
    <w:p w14:paraId="38C6D508">
      <w:pPr>
        <w:autoSpaceDE w:val="0"/>
        <w:autoSpaceDN w:val="0"/>
        <w:adjustRightInd w:val="0"/>
        <w:spacing w:line="360" w:lineRule="auto"/>
        <w:jc w:val="righ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牵头人名称：</w:t>
      </w:r>
      <w:r>
        <w:rPr>
          <w:rFonts w:hint="eastAsia" w:ascii="宋体" w:hAnsi="宋体" w:eastAsia="宋体" w:cs="宋体"/>
          <w:color w:val="auto"/>
          <w:szCs w:val="21"/>
          <w:highlight w:val="none"/>
          <w:u w:val="single"/>
        </w:rPr>
        <w:t xml:space="preserve">           （盖单位章）                 </w:t>
      </w:r>
    </w:p>
    <w:p w14:paraId="3EE75D0A">
      <w:pPr>
        <w:autoSpaceDE w:val="0"/>
        <w:autoSpaceDN w:val="0"/>
        <w:adjustRightInd w:val="0"/>
        <w:spacing w:line="360" w:lineRule="auto"/>
        <w:jc w:val="righ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（签字）              </w:t>
      </w:r>
    </w:p>
    <w:p w14:paraId="4CE9125D">
      <w:pPr>
        <w:spacing w:line="360" w:lineRule="auto"/>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成员二名称：</w:t>
      </w:r>
      <w:r>
        <w:rPr>
          <w:rFonts w:hint="eastAsia" w:ascii="宋体" w:hAnsi="宋体" w:eastAsia="宋体" w:cs="宋体"/>
          <w:color w:val="auto"/>
          <w:szCs w:val="21"/>
          <w:highlight w:val="none"/>
          <w:u w:val="single"/>
        </w:rPr>
        <w:t xml:space="preserve">           （盖单位章）</w:t>
      </w:r>
    </w:p>
    <w:p w14:paraId="24724970">
      <w:pPr>
        <w:autoSpaceDE w:val="0"/>
        <w:autoSpaceDN w:val="0"/>
        <w:adjustRightInd w:val="0"/>
        <w:spacing w:line="360" w:lineRule="auto"/>
        <w:jc w:val="righ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（签字）</w:t>
      </w:r>
    </w:p>
    <w:p w14:paraId="4F780462">
      <w:pPr>
        <w:autoSpaceDE w:val="0"/>
        <w:autoSpaceDN w:val="0"/>
        <w:adjustRightInd w:val="0"/>
        <w:spacing w:line="360" w:lineRule="auto"/>
        <w:ind w:right="880" w:firstLine="4410" w:firstLineChars="2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4A4D145E">
      <w:pPr>
        <w:autoSpaceDE w:val="0"/>
        <w:autoSpaceDN w:val="0"/>
        <w:adjustRightInd w:val="0"/>
        <w:spacing w:line="360" w:lineRule="auto"/>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年    月    日</w:t>
      </w:r>
    </w:p>
    <w:p w14:paraId="0A134227">
      <w:pPr>
        <w:autoSpaceDE w:val="0"/>
        <w:autoSpaceDN w:val="0"/>
        <w:adjustRightInd w:val="0"/>
        <w:spacing w:line="360" w:lineRule="auto"/>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备注：本协议书由委托代理人签字的，应附法定代表人签字的授权委托书。</w:t>
      </w:r>
    </w:p>
    <w:p w14:paraId="1FDD8A24">
      <w:pPr>
        <w:tabs>
          <w:tab w:val="left" w:pos="3119"/>
        </w:tabs>
        <w:rPr>
          <w:rFonts w:hint="eastAsia" w:ascii="宋体" w:hAnsi="宋体" w:eastAsia="宋体" w:cs="宋体"/>
          <w:color w:val="auto"/>
          <w:highlight w:val="none"/>
        </w:rPr>
      </w:pPr>
    </w:p>
    <w:p w14:paraId="110954DB">
      <w:pPr>
        <w:tabs>
          <w:tab w:val="left" w:pos="3119"/>
        </w:tabs>
        <w:rPr>
          <w:rFonts w:hint="eastAsia" w:ascii="宋体" w:hAnsi="宋体" w:eastAsia="宋体" w:cs="宋体"/>
          <w:color w:val="auto"/>
          <w:highlight w:val="none"/>
        </w:rPr>
      </w:pPr>
    </w:p>
    <w:p w14:paraId="59BB3E5D">
      <w:pPr>
        <w:pStyle w:val="5"/>
        <w:spacing w:before="120" w:beforeLines="50" w:after="120" w:afterLines="50" w:line="70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六、响应保证金</w:t>
      </w:r>
    </w:p>
    <w:p w14:paraId="7F54511F">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本项目不适用。</w:t>
      </w:r>
    </w:p>
    <w:p w14:paraId="60B8FC35">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383907F">
      <w:pPr>
        <w:pStyle w:val="4"/>
        <w:spacing w:before="0" w:after="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七、</w:t>
      </w:r>
      <w:r>
        <w:rPr>
          <w:rFonts w:hint="eastAsia" w:ascii="宋体" w:hAnsi="宋体" w:eastAsia="宋体" w:cs="宋体"/>
          <w:b/>
          <w:bCs/>
          <w:color w:val="auto"/>
          <w:kern w:val="2"/>
          <w:sz w:val="28"/>
          <w:szCs w:val="28"/>
          <w:highlight w:val="none"/>
          <w:lang w:val="en-US" w:eastAsia="zh-CN" w:bidi="ar-SA"/>
        </w:rPr>
        <w:t>商务和技术偏差表</w:t>
      </w:r>
    </w:p>
    <w:p w14:paraId="7DC51E2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（一）商务偏差表</w:t>
      </w:r>
    </w:p>
    <w:tbl>
      <w:tblPr>
        <w:tblStyle w:val="39"/>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551"/>
        <w:gridCol w:w="2552"/>
        <w:gridCol w:w="3565"/>
      </w:tblGrid>
      <w:tr w14:paraId="40534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4C2FDD3">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551" w:type="dxa"/>
            <w:vAlign w:val="center"/>
          </w:tcPr>
          <w:p w14:paraId="3C82F211">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竞争性磋商文件</w:t>
            </w:r>
            <w:r>
              <w:rPr>
                <w:rFonts w:hint="eastAsia" w:ascii="宋体" w:hAnsi="宋体" w:eastAsia="宋体" w:cs="宋体"/>
                <w:color w:val="auto"/>
                <w:highlight w:val="none"/>
              </w:rPr>
              <w:t>章节及条款号</w:t>
            </w:r>
          </w:p>
        </w:tc>
        <w:tc>
          <w:tcPr>
            <w:tcW w:w="2552" w:type="dxa"/>
            <w:vAlign w:val="center"/>
          </w:tcPr>
          <w:p w14:paraId="26A17B37">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投标文件章节及条款号</w:t>
            </w:r>
          </w:p>
        </w:tc>
        <w:tc>
          <w:tcPr>
            <w:tcW w:w="3565" w:type="dxa"/>
            <w:vAlign w:val="center"/>
          </w:tcPr>
          <w:p w14:paraId="1C13E244">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偏差说明</w:t>
            </w:r>
          </w:p>
        </w:tc>
      </w:tr>
      <w:tr w14:paraId="7CE74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6CAB5607">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551" w:type="dxa"/>
            <w:vAlign w:val="center"/>
          </w:tcPr>
          <w:p w14:paraId="7B6A7364">
            <w:pPr>
              <w:spacing w:before="120" w:beforeLines="50" w:line="360" w:lineRule="auto"/>
              <w:jc w:val="center"/>
              <w:rPr>
                <w:rFonts w:hint="eastAsia" w:ascii="宋体" w:hAnsi="宋体" w:eastAsia="宋体" w:cs="宋体"/>
                <w:color w:val="auto"/>
                <w:highlight w:val="none"/>
              </w:rPr>
            </w:pPr>
          </w:p>
        </w:tc>
        <w:tc>
          <w:tcPr>
            <w:tcW w:w="2552" w:type="dxa"/>
            <w:vAlign w:val="center"/>
          </w:tcPr>
          <w:p w14:paraId="5A369D65">
            <w:pPr>
              <w:spacing w:before="120" w:beforeLines="50" w:line="360" w:lineRule="auto"/>
              <w:jc w:val="center"/>
              <w:rPr>
                <w:rFonts w:hint="eastAsia" w:ascii="宋体" w:hAnsi="宋体" w:eastAsia="宋体" w:cs="宋体"/>
                <w:color w:val="auto"/>
                <w:highlight w:val="none"/>
              </w:rPr>
            </w:pPr>
          </w:p>
        </w:tc>
        <w:tc>
          <w:tcPr>
            <w:tcW w:w="3565" w:type="dxa"/>
            <w:vAlign w:val="center"/>
          </w:tcPr>
          <w:p w14:paraId="0E1D594D">
            <w:pPr>
              <w:spacing w:before="120" w:beforeLines="50" w:line="360" w:lineRule="auto"/>
              <w:jc w:val="center"/>
              <w:rPr>
                <w:rFonts w:hint="eastAsia" w:ascii="宋体" w:hAnsi="宋体" w:eastAsia="宋体" w:cs="宋体"/>
                <w:color w:val="auto"/>
                <w:highlight w:val="none"/>
              </w:rPr>
            </w:pPr>
          </w:p>
        </w:tc>
      </w:tr>
      <w:tr w14:paraId="3C74E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5FF0E705">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551" w:type="dxa"/>
            <w:vAlign w:val="center"/>
          </w:tcPr>
          <w:p w14:paraId="47D7BF91">
            <w:pPr>
              <w:spacing w:before="120" w:beforeLines="50" w:line="360" w:lineRule="auto"/>
              <w:jc w:val="center"/>
              <w:rPr>
                <w:rFonts w:hint="eastAsia" w:ascii="宋体" w:hAnsi="宋体" w:eastAsia="宋体" w:cs="宋体"/>
                <w:color w:val="auto"/>
                <w:highlight w:val="none"/>
              </w:rPr>
            </w:pPr>
          </w:p>
        </w:tc>
        <w:tc>
          <w:tcPr>
            <w:tcW w:w="2552" w:type="dxa"/>
            <w:vAlign w:val="center"/>
          </w:tcPr>
          <w:p w14:paraId="6C06E7FE">
            <w:pPr>
              <w:spacing w:before="120" w:beforeLines="50" w:line="360" w:lineRule="auto"/>
              <w:jc w:val="center"/>
              <w:rPr>
                <w:rFonts w:hint="eastAsia" w:ascii="宋体" w:hAnsi="宋体" w:eastAsia="宋体" w:cs="宋体"/>
                <w:color w:val="auto"/>
                <w:highlight w:val="none"/>
              </w:rPr>
            </w:pPr>
          </w:p>
        </w:tc>
        <w:tc>
          <w:tcPr>
            <w:tcW w:w="3565" w:type="dxa"/>
            <w:vAlign w:val="center"/>
          </w:tcPr>
          <w:p w14:paraId="6EB6E7A5">
            <w:pPr>
              <w:spacing w:before="120" w:beforeLines="50" w:line="360" w:lineRule="auto"/>
              <w:jc w:val="center"/>
              <w:rPr>
                <w:rFonts w:hint="eastAsia" w:ascii="宋体" w:hAnsi="宋体" w:eastAsia="宋体" w:cs="宋体"/>
                <w:color w:val="auto"/>
                <w:highlight w:val="none"/>
              </w:rPr>
            </w:pPr>
          </w:p>
        </w:tc>
      </w:tr>
      <w:tr w14:paraId="1471A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5D105313">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551" w:type="dxa"/>
            <w:vAlign w:val="center"/>
          </w:tcPr>
          <w:p w14:paraId="0094564D">
            <w:pPr>
              <w:spacing w:before="120" w:beforeLines="50" w:line="360" w:lineRule="auto"/>
              <w:jc w:val="center"/>
              <w:rPr>
                <w:rFonts w:hint="eastAsia" w:ascii="宋体" w:hAnsi="宋体" w:eastAsia="宋体" w:cs="宋体"/>
                <w:color w:val="auto"/>
                <w:highlight w:val="none"/>
              </w:rPr>
            </w:pPr>
          </w:p>
        </w:tc>
        <w:tc>
          <w:tcPr>
            <w:tcW w:w="2552" w:type="dxa"/>
            <w:vAlign w:val="center"/>
          </w:tcPr>
          <w:p w14:paraId="756A6ACE">
            <w:pPr>
              <w:spacing w:before="120" w:beforeLines="50" w:line="360" w:lineRule="auto"/>
              <w:jc w:val="center"/>
              <w:rPr>
                <w:rFonts w:hint="eastAsia" w:ascii="宋体" w:hAnsi="宋体" w:eastAsia="宋体" w:cs="宋体"/>
                <w:color w:val="auto"/>
                <w:highlight w:val="none"/>
              </w:rPr>
            </w:pPr>
          </w:p>
        </w:tc>
        <w:tc>
          <w:tcPr>
            <w:tcW w:w="3565" w:type="dxa"/>
            <w:vAlign w:val="center"/>
          </w:tcPr>
          <w:p w14:paraId="4028BB66">
            <w:pPr>
              <w:spacing w:before="120" w:beforeLines="50" w:line="360" w:lineRule="auto"/>
              <w:jc w:val="center"/>
              <w:rPr>
                <w:rFonts w:hint="eastAsia" w:ascii="宋体" w:hAnsi="宋体" w:eastAsia="宋体" w:cs="宋体"/>
                <w:color w:val="auto"/>
                <w:highlight w:val="none"/>
              </w:rPr>
            </w:pPr>
          </w:p>
        </w:tc>
      </w:tr>
      <w:tr w14:paraId="732EE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59026EB">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2551" w:type="dxa"/>
            <w:vAlign w:val="center"/>
          </w:tcPr>
          <w:p w14:paraId="7466508E">
            <w:pPr>
              <w:spacing w:before="120" w:beforeLines="50" w:line="360" w:lineRule="auto"/>
              <w:jc w:val="center"/>
              <w:rPr>
                <w:rFonts w:hint="eastAsia" w:ascii="宋体" w:hAnsi="宋体" w:eastAsia="宋体" w:cs="宋体"/>
                <w:color w:val="auto"/>
                <w:highlight w:val="none"/>
              </w:rPr>
            </w:pPr>
          </w:p>
        </w:tc>
        <w:tc>
          <w:tcPr>
            <w:tcW w:w="2552" w:type="dxa"/>
            <w:vAlign w:val="center"/>
          </w:tcPr>
          <w:p w14:paraId="5923D826">
            <w:pPr>
              <w:spacing w:before="120" w:beforeLines="50" w:line="360" w:lineRule="auto"/>
              <w:jc w:val="center"/>
              <w:rPr>
                <w:rFonts w:hint="eastAsia" w:ascii="宋体" w:hAnsi="宋体" w:eastAsia="宋体" w:cs="宋体"/>
                <w:color w:val="auto"/>
                <w:highlight w:val="none"/>
              </w:rPr>
            </w:pPr>
          </w:p>
        </w:tc>
        <w:tc>
          <w:tcPr>
            <w:tcW w:w="3565" w:type="dxa"/>
            <w:vAlign w:val="center"/>
          </w:tcPr>
          <w:p w14:paraId="43269397">
            <w:pPr>
              <w:spacing w:before="120" w:beforeLines="50" w:line="360" w:lineRule="auto"/>
              <w:jc w:val="center"/>
              <w:rPr>
                <w:rFonts w:hint="eastAsia" w:ascii="宋体" w:hAnsi="宋体" w:eastAsia="宋体" w:cs="宋体"/>
                <w:color w:val="auto"/>
                <w:highlight w:val="none"/>
              </w:rPr>
            </w:pPr>
          </w:p>
        </w:tc>
      </w:tr>
      <w:tr w14:paraId="00341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853D220">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2551" w:type="dxa"/>
            <w:vAlign w:val="center"/>
          </w:tcPr>
          <w:p w14:paraId="4CBE1860">
            <w:pPr>
              <w:spacing w:before="120" w:beforeLines="50" w:line="360" w:lineRule="auto"/>
              <w:jc w:val="center"/>
              <w:rPr>
                <w:rFonts w:hint="eastAsia" w:ascii="宋体" w:hAnsi="宋体" w:eastAsia="宋体" w:cs="宋体"/>
                <w:color w:val="auto"/>
                <w:highlight w:val="none"/>
              </w:rPr>
            </w:pPr>
          </w:p>
        </w:tc>
        <w:tc>
          <w:tcPr>
            <w:tcW w:w="2552" w:type="dxa"/>
            <w:vAlign w:val="center"/>
          </w:tcPr>
          <w:p w14:paraId="7B20BD3A">
            <w:pPr>
              <w:spacing w:before="120" w:beforeLines="50" w:line="360" w:lineRule="auto"/>
              <w:jc w:val="center"/>
              <w:rPr>
                <w:rFonts w:hint="eastAsia" w:ascii="宋体" w:hAnsi="宋体" w:eastAsia="宋体" w:cs="宋体"/>
                <w:color w:val="auto"/>
                <w:highlight w:val="none"/>
              </w:rPr>
            </w:pPr>
          </w:p>
        </w:tc>
        <w:tc>
          <w:tcPr>
            <w:tcW w:w="3565" w:type="dxa"/>
            <w:vAlign w:val="center"/>
          </w:tcPr>
          <w:p w14:paraId="3D400501">
            <w:pPr>
              <w:spacing w:before="120" w:beforeLines="50" w:line="360" w:lineRule="auto"/>
              <w:jc w:val="center"/>
              <w:rPr>
                <w:rFonts w:hint="eastAsia" w:ascii="宋体" w:hAnsi="宋体" w:eastAsia="宋体" w:cs="宋体"/>
                <w:color w:val="auto"/>
                <w:highlight w:val="none"/>
              </w:rPr>
            </w:pPr>
          </w:p>
        </w:tc>
      </w:tr>
      <w:tr w14:paraId="167F6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D78DA28">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551" w:type="dxa"/>
            <w:vAlign w:val="center"/>
          </w:tcPr>
          <w:p w14:paraId="693E29FC">
            <w:pPr>
              <w:spacing w:before="120" w:beforeLines="50" w:line="360" w:lineRule="auto"/>
              <w:jc w:val="center"/>
              <w:rPr>
                <w:rFonts w:hint="eastAsia" w:ascii="宋体" w:hAnsi="宋体" w:eastAsia="宋体" w:cs="宋体"/>
                <w:color w:val="auto"/>
                <w:highlight w:val="none"/>
              </w:rPr>
            </w:pPr>
          </w:p>
        </w:tc>
        <w:tc>
          <w:tcPr>
            <w:tcW w:w="2552" w:type="dxa"/>
            <w:vAlign w:val="center"/>
          </w:tcPr>
          <w:p w14:paraId="040BE1E0">
            <w:pPr>
              <w:spacing w:before="120" w:beforeLines="50" w:line="360" w:lineRule="auto"/>
              <w:jc w:val="center"/>
              <w:rPr>
                <w:rFonts w:hint="eastAsia" w:ascii="宋体" w:hAnsi="宋体" w:eastAsia="宋体" w:cs="宋体"/>
                <w:color w:val="auto"/>
                <w:highlight w:val="none"/>
              </w:rPr>
            </w:pPr>
          </w:p>
        </w:tc>
        <w:tc>
          <w:tcPr>
            <w:tcW w:w="3565" w:type="dxa"/>
            <w:vAlign w:val="center"/>
          </w:tcPr>
          <w:p w14:paraId="721064A1">
            <w:pPr>
              <w:spacing w:before="120" w:beforeLines="50" w:line="360" w:lineRule="auto"/>
              <w:jc w:val="center"/>
              <w:rPr>
                <w:rFonts w:hint="eastAsia" w:ascii="宋体" w:hAnsi="宋体" w:eastAsia="宋体" w:cs="宋体"/>
                <w:color w:val="auto"/>
                <w:highlight w:val="none"/>
              </w:rPr>
            </w:pPr>
          </w:p>
        </w:tc>
      </w:tr>
    </w:tbl>
    <w:p w14:paraId="6C294C89">
      <w:pPr>
        <w:spacing w:line="360" w:lineRule="auto"/>
        <w:rPr>
          <w:rFonts w:hint="eastAsia" w:ascii="宋体" w:hAnsi="宋体" w:eastAsia="宋体" w:cs="宋体"/>
          <w:color w:val="auto"/>
          <w:highlight w:val="none"/>
        </w:rPr>
      </w:pPr>
    </w:p>
    <w:p w14:paraId="2AB2461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保证：除商务条款偏差表列出的偏差外，</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响应</w:t>
      </w:r>
      <w:r>
        <w:rPr>
          <w:rFonts w:hint="eastAsia" w:ascii="宋体" w:hAnsi="宋体" w:eastAsia="宋体" w:cs="宋体"/>
          <w:color w:val="auto"/>
          <w:highlight w:val="none"/>
          <w:lang w:eastAsia="zh-CN"/>
        </w:rPr>
        <w:t>竞争性磋商文件</w:t>
      </w:r>
      <w:r>
        <w:rPr>
          <w:rFonts w:hint="eastAsia" w:ascii="宋体" w:hAnsi="宋体" w:eastAsia="宋体" w:cs="宋体"/>
          <w:color w:val="auto"/>
          <w:highlight w:val="none"/>
        </w:rPr>
        <w:t>的全部要求。</w:t>
      </w:r>
    </w:p>
    <w:p w14:paraId="5EE38117">
      <w:pPr>
        <w:spacing w:line="360" w:lineRule="auto"/>
        <w:rPr>
          <w:rFonts w:hint="eastAsia" w:ascii="宋体" w:hAnsi="宋体" w:eastAsia="宋体" w:cs="宋体"/>
          <w:color w:val="auto"/>
          <w:highlight w:val="none"/>
        </w:rPr>
      </w:pPr>
    </w:p>
    <w:p w14:paraId="570FB1C5">
      <w:pPr>
        <w:spacing w:line="360" w:lineRule="auto"/>
        <w:jc w:val="center"/>
        <w:rPr>
          <w:rFonts w:hint="eastAsia" w:ascii="宋体" w:hAnsi="宋体" w:eastAsia="宋体" w:cs="宋体"/>
          <w:color w:val="auto"/>
          <w:highlight w:val="none"/>
        </w:rPr>
      </w:pPr>
      <w:bookmarkStart w:id="273" w:name="_Hlk167351804"/>
      <w:r>
        <w:rPr>
          <w:rFonts w:hint="eastAsia" w:ascii="宋体" w:hAnsi="宋体" w:eastAsia="宋体" w:cs="宋体"/>
          <w:color w:val="auto"/>
          <w:highlight w:val="none"/>
        </w:rPr>
        <w:br w:type="page"/>
      </w:r>
    </w:p>
    <w:p w14:paraId="48600FEA">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（二）技术偏差表</w:t>
      </w:r>
    </w:p>
    <w:tbl>
      <w:tblPr>
        <w:tblStyle w:val="39"/>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207"/>
        <w:gridCol w:w="2268"/>
        <w:gridCol w:w="2268"/>
        <w:gridCol w:w="2951"/>
      </w:tblGrid>
      <w:tr w14:paraId="47CC6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28610DCA">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207" w:type="dxa"/>
            <w:vAlign w:val="center"/>
          </w:tcPr>
          <w:p w14:paraId="1A5F54F4">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货物名称</w:t>
            </w:r>
          </w:p>
        </w:tc>
        <w:tc>
          <w:tcPr>
            <w:tcW w:w="2268" w:type="dxa"/>
          </w:tcPr>
          <w:p w14:paraId="36FC5F07">
            <w:pPr>
              <w:spacing w:before="120" w:beforeLines="50"/>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竞争性磋商文件</w:t>
            </w:r>
            <w:r>
              <w:rPr>
                <w:rFonts w:hint="eastAsia" w:ascii="宋体" w:hAnsi="宋体" w:eastAsia="宋体" w:cs="宋体"/>
                <w:color w:val="auto"/>
                <w:highlight w:val="none"/>
              </w:rPr>
              <w:t>技术</w:t>
            </w:r>
          </w:p>
          <w:p w14:paraId="5F6F9508">
            <w:pPr>
              <w:spacing w:before="120" w:beforeLines="50"/>
              <w:jc w:val="center"/>
              <w:rPr>
                <w:rFonts w:hint="eastAsia" w:ascii="宋体" w:hAnsi="宋体" w:eastAsia="宋体" w:cs="宋体"/>
                <w:color w:val="auto"/>
                <w:highlight w:val="none"/>
              </w:rPr>
            </w:pPr>
            <w:r>
              <w:rPr>
                <w:rFonts w:hint="eastAsia" w:ascii="宋体" w:hAnsi="宋体" w:eastAsia="宋体" w:cs="宋体"/>
                <w:color w:val="auto"/>
                <w:highlight w:val="none"/>
              </w:rPr>
              <w:t>参数要求</w:t>
            </w:r>
          </w:p>
        </w:tc>
        <w:tc>
          <w:tcPr>
            <w:tcW w:w="2268" w:type="dxa"/>
            <w:vAlign w:val="center"/>
          </w:tcPr>
          <w:p w14:paraId="06CAF35E">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投标产品的品牌、型号、技术参数及配置</w:t>
            </w:r>
          </w:p>
        </w:tc>
        <w:tc>
          <w:tcPr>
            <w:tcW w:w="2951" w:type="dxa"/>
            <w:vAlign w:val="center"/>
          </w:tcPr>
          <w:p w14:paraId="309091DF">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偏差说明</w:t>
            </w:r>
          </w:p>
        </w:tc>
      </w:tr>
      <w:tr w14:paraId="5ADE9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0EC7A08D">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207" w:type="dxa"/>
            <w:vAlign w:val="center"/>
          </w:tcPr>
          <w:p w14:paraId="0407AED9">
            <w:pPr>
              <w:spacing w:before="120" w:beforeLines="50" w:line="360" w:lineRule="auto"/>
              <w:jc w:val="center"/>
              <w:rPr>
                <w:rFonts w:hint="eastAsia" w:ascii="宋体" w:hAnsi="宋体" w:eastAsia="宋体" w:cs="宋体"/>
                <w:color w:val="auto"/>
                <w:highlight w:val="none"/>
              </w:rPr>
            </w:pPr>
          </w:p>
        </w:tc>
        <w:tc>
          <w:tcPr>
            <w:tcW w:w="2268" w:type="dxa"/>
          </w:tcPr>
          <w:p w14:paraId="377C3EDC">
            <w:pPr>
              <w:spacing w:before="120" w:beforeLines="50" w:line="360" w:lineRule="auto"/>
              <w:jc w:val="center"/>
              <w:rPr>
                <w:rFonts w:hint="eastAsia" w:ascii="宋体" w:hAnsi="宋体" w:eastAsia="宋体" w:cs="宋体"/>
                <w:color w:val="auto"/>
                <w:highlight w:val="none"/>
              </w:rPr>
            </w:pPr>
          </w:p>
        </w:tc>
        <w:tc>
          <w:tcPr>
            <w:tcW w:w="2268" w:type="dxa"/>
            <w:vAlign w:val="center"/>
          </w:tcPr>
          <w:p w14:paraId="120B8B14">
            <w:pPr>
              <w:spacing w:before="120" w:beforeLines="50" w:line="360" w:lineRule="auto"/>
              <w:jc w:val="center"/>
              <w:rPr>
                <w:rFonts w:hint="eastAsia" w:ascii="宋体" w:hAnsi="宋体" w:eastAsia="宋体" w:cs="宋体"/>
                <w:color w:val="auto"/>
                <w:highlight w:val="none"/>
              </w:rPr>
            </w:pPr>
          </w:p>
        </w:tc>
        <w:tc>
          <w:tcPr>
            <w:tcW w:w="2951" w:type="dxa"/>
            <w:vAlign w:val="center"/>
          </w:tcPr>
          <w:p w14:paraId="31EB8C89">
            <w:pPr>
              <w:spacing w:before="120" w:beforeLines="50" w:line="360" w:lineRule="auto"/>
              <w:jc w:val="center"/>
              <w:rPr>
                <w:rFonts w:hint="eastAsia" w:ascii="宋体" w:hAnsi="宋体" w:eastAsia="宋体" w:cs="宋体"/>
                <w:color w:val="auto"/>
                <w:highlight w:val="none"/>
              </w:rPr>
            </w:pPr>
          </w:p>
        </w:tc>
      </w:tr>
      <w:tr w14:paraId="72479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0A3AF9B0">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207" w:type="dxa"/>
            <w:vAlign w:val="center"/>
          </w:tcPr>
          <w:p w14:paraId="1E0E9E08">
            <w:pPr>
              <w:spacing w:before="120" w:beforeLines="50" w:line="360" w:lineRule="auto"/>
              <w:jc w:val="center"/>
              <w:rPr>
                <w:rFonts w:hint="eastAsia" w:ascii="宋体" w:hAnsi="宋体" w:eastAsia="宋体" w:cs="宋体"/>
                <w:color w:val="auto"/>
                <w:highlight w:val="none"/>
              </w:rPr>
            </w:pPr>
          </w:p>
        </w:tc>
        <w:tc>
          <w:tcPr>
            <w:tcW w:w="2268" w:type="dxa"/>
          </w:tcPr>
          <w:p w14:paraId="713556AE">
            <w:pPr>
              <w:spacing w:before="120" w:beforeLines="50" w:line="360" w:lineRule="auto"/>
              <w:jc w:val="center"/>
              <w:rPr>
                <w:rFonts w:hint="eastAsia" w:ascii="宋体" w:hAnsi="宋体" w:eastAsia="宋体" w:cs="宋体"/>
                <w:color w:val="auto"/>
                <w:highlight w:val="none"/>
              </w:rPr>
            </w:pPr>
          </w:p>
        </w:tc>
        <w:tc>
          <w:tcPr>
            <w:tcW w:w="2268" w:type="dxa"/>
            <w:vAlign w:val="center"/>
          </w:tcPr>
          <w:p w14:paraId="135371E4">
            <w:pPr>
              <w:spacing w:before="120" w:beforeLines="50" w:line="360" w:lineRule="auto"/>
              <w:jc w:val="center"/>
              <w:rPr>
                <w:rFonts w:hint="eastAsia" w:ascii="宋体" w:hAnsi="宋体" w:eastAsia="宋体" w:cs="宋体"/>
                <w:color w:val="auto"/>
                <w:highlight w:val="none"/>
              </w:rPr>
            </w:pPr>
          </w:p>
        </w:tc>
        <w:tc>
          <w:tcPr>
            <w:tcW w:w="2951" w:type="dxa"/>
            <w:vAlign w:val="center"/>
          </w:tcPr>
          <w:p w14:paraId="072BF0F9">
            <w:pPr>
              <w:spacing w:before="120" w:beforeLines="50" w:line="360" w:lineRule="auto"/>
              <w:jc w:val="center"/>
              <w:rPr>
                <w:rFonts w:hint="eastAsia" w:ascii="宋体" w:hAnsi="宋体" w:eastAsia="宋体" w:cs="宋体"/>
                <w:color w:val="auto"/>
                <w:highlight w:val="none"/>
              </w:rPr>
            </w:pPr>
          </w:p>
        </w:tc>
      </w:tr>
      <w:tr w14:paraId="67C8A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6677A502">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207" w:type="dxa"/>
            <w:vAlign w:val="center"/>
          </w:tcPr>
          <w:p w14:paraId="719D88A8">
            <w:pPr>
              <w:spacing w:before="120" w:beforeLines="50" w:line="360" w:lineRule="auto"/>
              <w:jc w:val="center"/>
              <w:rPr>
                <w:rFonts w:hint="eastAsia" w:ascii="宋体" w:hAnsi="宋体" w:eastAsia="宋体" w:cs="宋体"/>
                <w:color w:val="auto"/>
                <w:highlight w:val="none"/>
              </w:rPr>
            </w:pPr>
          </w:p>
        </w:tc>
        <w:tc>
          <w:tcPr>
            <w:tcW w:w="2268" w:type="dxa"/>
          </w:tcPr>
          <w:p w14:paraId="7C91B0D6">
            <w:pPr>
              <w:spacing w:before="120" w:beforeLines="50" w:line="360" w:lineRule="auto"/>
              <w:jc w:val="center"/>
              <w:rPr>
                <w:rFonts w:hint="eastAsia" w:ascii="宋体" w:hAnsi="宋体" w:eastAsia="宋体" w:cs="宋体"/>
                <w:color w:val="auto"/>
                <w:highlight w:val="none"/>
              </w:rPr>
            </w:pPr>
          </w:p>
        </w:tc>
        <w:tc>
          <w:tcPr>
            <w:tcW w:w="2268" w:type="dxa"/>
            <w:vAlign w:val="center"/>
          </w:tcPr>
          <w:p w14:paraId="127E2D59">
            <w:pPr>
              <w:spacing w:before="120" w:beforeLines="50" w:line="360" w:lineRule="auto"/>
              <w:jc w:val="center"/>
              <w:rPr>
                <w:rFonts w:hint="eastAsia" w:ascii="宋体" w:hAnsi="宋体" w:eastAsia="宋体" w:cs="宋体"/>
                <w:color w:val="auto"/>
                <w:highlight w:val="none"/>
              </w:rPr>
            </w:pPr>
          </w:p>
        </w:tc>
        <w:tc>
          <w:tcPr>
            <w:tcW w:w="2951" w:type="dxa"/>
            <w:vAlign w:val="center"/>
          </w:tcPr>
          <w:p w14:paraId="1F94819A">
            <w:pPr>
              <w:spacing w:before="120" w:beforeLines="50" w:line="360" w:lineRule="auto"/>
              <w:jc w:val="center"/>
              <w:rPr>
                <w:rFonts w:hint="eastAsia" w:ascii="宋体" w:hAnsi="宋体" w:eastAsia="宋体" w:cs="宋体"/>
                <w:color w:val="auto"/>
                <w:highlight w:val="none"/>
              </w:rPr>
            </w:pPr>
          </w:p>
        </w:tc>
      </w:tr>
      <w:tr w14:paraId="27143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12058DAB">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207" w:type="dxa"/>
            <w:vAlign w:val="center"/>
          </w:tcPr>
          <w:p w14:paraId="6F45EF6F">
            <w:pPr>
              <w:spacing w:before="120" w:beforeLines="50" w:line="360" w:lineRule="auto"/>
              <w:jc w:val="center"/>
              <w:rPr>
                <w:rFonts w:hint="eastAsia" w:ascii="宋体" w:hAnsi="宋体" w:eastAsia="宋体" w:cs="宋体"/>
                <w:color w:val="auto"/>
                <w:highlight w:val="none"/>
              </w:rPr>
            </w:pPr>
          </w:p>
        </w:tc>
        <w:tc>
          <w:tcPr>
            <w:tcW w:w="2268" w:type="dxa"/>
          </w:tcPr>
          <w:p w14:paraId="15754419">
            <w:pPr>
              <w:spacing w:before="120" w:beforeLines="50" w:line="360" w:lineRule="auto"/>
              <w:jc w:val="center"/>
              <w:rPr>
                <w:rFonts w:hint="eastAsia" w:ascii="宋体" w:hAnsi="宋体" w:eastAsia="宋体" w:cs="宋体"/>
                <w:color w:val="auto"/>
                <w:highlight w:val="none"/>
              </w:rPr>
            </w:pPr>
          </w:p>
        </w:tc>
        <w:tc>
          <w:tcPr>
            <w:tcW w:w="2268" w:type="dxa"/>
            <w:vAlign w:val="center"/>
          </w:tcPr>
          <w:p w14:paraId="44E3BDB3">
            <w:pPr>
              <w:spacing w:before="120" w:beforeLines="50" w:line="360" w:lineRule="auto"/>
              <w:jc w:val="center"/>
              <w:rPr>
                <w:rFonts w:hint="eastAsia" w:ascii="宋体" w:hAnsi="宋体" w:eastAsia="宋体" w:cs="宋体"/>
                <w:color w:val="auto"/>
                <w:highlight w:val="none"/>
              </w:rPr>
            </w:pPr>
          </w:p>
        </w:tc>
        <w:tc>
          <w:tcPr>
            <w:tcW w:w="2951" w:type="dxa"/>
            <w:vAlign w:val="center"/>
          </w:tcPr>
          <w:p w14:paraId="073AE92C">
            <w:pPr>
              <w:spacing w:before="120" w:beforeLines="50" w:line="360" w:lineRule="auto"/>
              <w:jc w:val="center"/>
              <w:rPr>
                <w:rFonts w:hint="eastAsia" w:ascii="宋体" w:hAnsi="宋体" w:eastAsia="宋体" w:cs="宋体"/>
                <w:color w:val="auto"/>
                <w:highlight w:val="none"/>
              </w:rPr>
            </w:pPr>
          </w:p>
        </w:tc>
      </w:tr>
      <w:tr w14:paraId="3CCE0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08A78E95">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207" w:type="dxa"/>
            <w:vAlign w:val="center"/>
          </w:tcPr>
          <w:p w14:paraId="28435477">
            <w:pPr>
              <w:spacing w:before="120" w:beforeLines="50" w:line="360" w:lineRule="auto"/>
              <w:jc w:val="center"/>
              <w:rPr>
                <w:rFonts w:hint="eastAsia" w:ascii="宋体" w:hAnsi="宋体" w:eastAsia="宋体" w:cs="宋体"/>
                <w:color w:val="auto"/>
                <w:highlight w:val="none"/>
              </w:rPr>
            </w:pPr>
          </w:p>
        </w:tc>
        <w:tc>
          <w:tcPr>
            <w:tcW w:w="2268" w:type="dxa"/>
          </w:tcPr>
          <w:p w14:paraId="3DB36464">
            <w:pPr>
              <w:spacing w:before="120" w:beforeLines="50" w:line="360" w:lineRule="auto"/>
              <w:jc w:val="center"/>
              <w:rPr>
                <w:rFonts w:hint="eastAsia" w:ascii="宋体" w:hAnsi="宋体" w:eastAsia="宋体" w:cs="宋体"/>
                <w:color w:val="auto"/>
                <w:highlight w:val="none"/>
              </w:rPr>
            </w:pPr>
          </w:p>
        </w:tc>
        <w:tc>
          <w:tcPr>
            <w:tcW w:w="2268" w:type="dxa"/>
            <w:vAlign w:val="center"/>
          </w:tcPr>
          <w:p w14:paraId="6B10DD39">
            <w:pPr>
              <w:spacing w:before="120" w:beforeLines="50" w:line="360" w:lineRule="auto"/>
              <w:jc w:val="center"/>
              <w:rPr>
                <w:rFonts w:hint="eastAsia" w:ascii="宋体" w:hAnsi="宋体" w:eastAsia="宋体" w:cs="宋体"/>
                <w:color w:val="auto"/>
                <w:highlight w:val="none"/>
              </w:rPr>
            </w:pPr>
          </w:p>
        </w:tc>
        <w:tc>
          <w:tcPr>
            <w:tcW w:w="2951" w:type="dxa"/>
            <w:vAlign w:val="center"/>
          </w:tcPr>
          <w:p w14:paraId="7CC8C479">
            <w:pPr>
              <w:spacing w:before="120" w:beforeLines="50" w:line="360" w:lineRule="auto"/>
              <w:jc w:val="center"/>
              <w:rPr>
                <w:rFonts w:hint="eastAsia" w:ascii="宋体" w:hAnsi="宋体" w:eastAsia="宋体" w:cs="宋体"/>
                <w:color w:val="auto"/>
                <w:highlight w:val="none"/>
              </w:rPr>
            </w:pPr>
          </w:p>
        </w:tc>
      </w:tr>
      <w:tr w14:paraId="66A82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09B5AB71">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207" w:type="dxa"/>
            <w:vAlign w:val="center"/>
          </w:tcPr>
          <w:p w14:paraId="0BF9F2BA">
            <w:pPr>
              <w:spacing w:before="120" w:beforeLines="50" w:line="360" w:lineRule="auto"/>
              <w:jc w:val="center"/>
              <w:rPr>
                <w:rFonts w:hint="eastAsia" w:ascii="宋体" w:hAnsi="宋体" w:eastAsia="宋体" w:cs="宋体"/>
                <w:color w:val="auto"/>
                <w:highlight w:val="none"/>
              </w:rPr>
            </w:pPr>
          </w:p>
        </w:tc>
        <w:tc>
          <w:tcPr>
            <w:tcW w:w="2268" w:type="dxa"/>
          </w:tcPr>
          <w:p w14:paraId="429FD47C">
            <w:pPr>
              <w:spacing w:before="120" w:beforeLines="50" w:line="360" w:lineRule="auto"/>
              <w:jc w:val="center"/>
              <w:rPr>
                <w:rFonts w:hint="eastAsia" w:ascii="宋体" w:hAnsi="宋体" w:eastAsia="宋体" w:cs="宋体"/>
                <w:color w:val="auto"/>
                <w:highlight w:val="none"/>
              </w:rPr>
            </w:pPr>
          </w:p>
        </w:tc>
        <w:tc>
          <w:tcPr>
            <w:tcW w:w="2268" w:type="dxa"/>
            <w:vAlign w:val="center"/>
          </w:tcPr>
          <w:p w14:paraId="7B57E823">
            <w:pPr>
              <w:spacing w:before="120" w:beforeLines="50" w:line="360" w:lineRule="auto"/>
              <w:jc w:val="center"/>
              <w:rPr>
                <w:rFonts w:hint="eastAsia" w:ascii="宋体" w:hAnsi="宋体" w:eastAsia="宋体" w:cs="宋体"/>
                <w:color w:val="auto"/>
                <w:highlight w:val="none"/>
              </w:rPr>
            </w:pPr>
          </w:p>
        </w:tc>
        <w:tc>
          <w:tcPr>
            <w:tcW w:w="2951" w:type="dxa"/>
            <w:vAlign w:val="center"/>
          </w:tcPr>
          <w:p w14:paraId="7C7D8FC2">
            <w:pPr>
              <w:spacing w:before="120" w:beforeLines="50" w:line="360" w:lineRule="auto"/>
              <w:jc w:val="center"/>
              <w:rPr>
                <w:rFonts w:hint="eastAsia" w:ascii="宋体" w:hAnsi="宋体" w:eastAsia="宋体" w:cs="宋体"/>
                <w:color w:val="auto"/>
                <w:highlight w:val="none"/>
              </w:rPr>
            </w:pPr>
          </w:p>
        </w:tc>
      </w:tr>
      <w:bookmarkEnd w:id="273"/>
    </w:tbl>
    <w:p w14:paraId="07463F04">
      <w:pPr>
        <w:spacing w:line="360" w:lineRule="auto"/>
        <w:rPr>
          <w:rFonts w:hint="eastAsia" w:ascii="宋体" w:hAnsi="宋体" w:eastAsia="宋体" w:cs="宋体"/>
          <w:color w:val="auto"/>
          <w:highlight w:val="none"/>
        </w:rPr>
      </w:pPr>
    </w:p>
    <w:p w14:paraId="4028D8EE">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表格填写说明：</w:t>
      </w:r>
    </w:p>
    <w:p w14:paraId="72E314F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应按所投产品的实际技术参数，逐条对应</w:t>
      </w:r>
      <w:r>
        <w:rPr>
          <w:rFonts w:hint="eastAsia" w:ascii="宋体" w:hAnsi="宋体" w:eastAsia="宋体" w:cs="宋体"/>
          <w:color w:val="auto"/>
          <w:highlight w:val="none"/>
          <w:lang w:eastAsia="zh-CN"/>
        </w:rPr>
        <w:t>竞争性磋商文件</w:t>
      </w:r>
      <w:r>
        <w:rPr>
          <w:rFonts w:hint="eastAsia" w:ascii="宋体" w:hAnsi="宋体" w:eastAsia="宋体" w:cs="宋体"/>
          <w:color w:val="auto"/>
          <w:highlight w:val="none"/>
        </w:rPr>
        <w:t>的第五章“采购需求”中要求的技术规范如实、完整、准确的填写该表，不得虚假响应，否则将取消其投标或中标资格。</w:t>
      </w:r>
    </w:p>
    <w:p w14:paraId="24AF4ED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2.本表格将作为评标委员会对</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技术部分的评审依据，未填写本表格的</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将不能通过符合性审查。</w:t>
      </w:r>
    </w:p>
    <w:p w14:paraId="15FFA87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3.表格中“货物名称”及“</w:t>
      </w:r>
      <w:r>
        <w:rPr>
          <w:rFonts w:hint="eastAsia" w:ascii="宋体" w:hAnsi="宋体" w:eastAsia="宋体" w:cs="宋体"/>
          <w:color w:val="auto"/>
          <w:highlight w:val="none"/>
          <w:lang w:eastAsia="zh-CN"/>
        </w:rPr>
        <w:t>竞争性磋商文件</w:t>
      </w:r>
      <w:r>
        <w:rPr>
          <w:rFonts w:hint="eastAsia" w:ascii="宋体" w:hAnsi="宋体" w:eastAsia="宋体" w:cs="宋体"/>
          <w:color w:val="auto"/>
          <w:highlight w:val="none"/>
        </w:rPr>
        <w:t>技术参数要求”可按“采购需求”内容复制。</w:t>
      </w:r>
    </w:p>
    <w:p w14:paraId="2BBC3E2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4.表格中“投标产品的品牌、型号、技术参数及配置”请</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根据实际投标情况如实、完整、准确地填写，请勿复制、粘贴采购需求。若由于</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的疏忽大意或未能完整、如实填写，导致的一切后果由</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自行承担。</w:t>
      </w:r>
    </w:p>
    <w:p w14:paraId="0A099B9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5.表格中“偏差说明”部分，</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如实填写“正偏离”或“负偏离”，</w:t>
      </w:r>
      <w:r>
        <w:rPr>
          <w:rFonts w:hint="eastAsia" w:ascii="宋体" w:hAnsi="宋体" w:eastAsia="宋体" w:cs="宋体"/>
          <w:b/>
          <w:bCs/>
          <w:color w:val="auto"/>
          <w:highlight w:val="none"/>
        </w:rPr>
        <w:t>若为正偏离，须提供相关依据及说明，否则视为负偏离处理</w:t>
      </w:r>
      <w:r>
        <w:rPr>
          <w:rFonts w:hint="eastAsia" w:ascii="宋体" w:hAnsi="宋体" w:eastAsia="宋体" w:cs="宋体"/>
          <w:color w:val="auto"/>
          <w:highlight w:val="none"/>
        </w:rPr>
        <w:t>。凡投标产品与采购需求有区别的均按有偏离处理，并写明技术指标。若无偏离，则不填写其他内容。</w:t>
      </w:r>
    </w:p>
    <w:p w14:paraId="5EF50C9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6.货物验收时采购人将依据此表对</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提供的产品进行验收。</w:t>
      </w:r>
    </w:p>
    <w:p w14:paraId="7AC238E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7.本表格中内容与投标文件其余部分不一致的，以本表格为准。</w:t>
      </w:r>
    </w:p>
    <w:p w14:paraId="42221A72">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15D6A2C">
      <w:pPr>
        <w:pStyle w:val="5"/>
        <w:spacing w:before="120" w:beforeLines="50" w:after="120" w:afterLines="50" w:line="70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八、报价表</w:t>
      </w:r>
    </w:p>
    <w:p w14:paraId="50EE33EF">
      <w:pPr>
        <w:spacing w:line="360" w:lineRule="auto"/>
        <w:rPr>
          <w:rFonts w:hint="eastAsia" w:ascii="宋体" w:hAnsi="宋体" w:eastAsia="宋体" w:cs="宋体"/>
          <w:color w:val="auto"/>
          <w:highlight w:val="none"/>
        </w:rPr>
      </w:pPr>
    </w:p>
    <w:p w14:paraId="38377016">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1.报价说明</w:t>
      </w:r>
    </w:p>
    <w:p w14:paraId="3809B10E">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2.报价表</w:t>
      </w:r>
    </w:p>
    <w:p w14:paraId="7C3DED6F">
      <w:pPr>
        <w:spacing w:line="360" w:lineRule="auto"/>
        <w:rPr>
          <w:rFonts w:hint="eastAsia" w:ascii="宋体" w:hAnsi="宋体" w:eastAsia="宋体" w:cs="宋体"/>
          <w:color w:val="auto"/>
          <w:highlight w:val="none"/>
        </w:rPr>
      </w:pPr>
    </w:p>
    <w:p w14:paraId="2C04D2AA">
      <w:pPr>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单位：人民币</w:t>
      </w:r>
    </w:p>
    <w:tbl>
      <w:tblPr>
        <w:tblStyle w:val="39"/>
        <w:tblW w:w="985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202"/>
        <w:gridCol w:w="1985"/>
        <w:gridCol w:w="708"/>
        <w:gridCol w:w="709"/>
        <w:gridCol w:w="851"/>
        <w:gridCol w:w="708"/>
        <w:gridCol w:w="709"/>
        <w:gridCol w:w="851"/>
        <w:gridCol w:w="1494"/>
      </w:tblGrid>
      <w:tr w14:paraId="118F4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36" w:type="dxa"/>
            <w:vMerge w:val="restart"/>
            <w:vAlign w:val="center"/>
          </w:tcPr>
          <w:p w14:paraId="75820FDD">
            <w:pPr>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202" w:type="dxa"/>
            <w:vMerge w:val="restart"/>
            <w:vAlign w:val="center"/>
          </w:tcPr>
          <w:p w14:paraId="37BFF896">
            <w:pPr>
              <w:jc w:val="center"/>
              <w:rPr>
                <w:rFonts w:hint="eastAsia" w:ascii="宋体" w:hAnsi="宋体" w:eastAsia="宋体" w:cs="宋体"/>
                <w:color w:val="auto"/>
                <w:highlight w:val="none"/>
              </w:rPr>
            </w:pPr>
            <w:r>
              <w:rPr>
                <w:rFonts w:hint="eastAsia" w:ascii="宋体" w:hAnsi="宋体" w:eastAsia="宋体" w:cs="宋体"/>
                <w:color w:val="auto"/>
                <w:highlight w:val="none"/>
              </w:rPr>
              <w:t>货物名称</w:t>
            </w:r>
          </w:p>
        </w:tc>
        <w:tc>
          <w:tcPr>
            <w:tcW w:w="1985" w:type="dxa"/>
            <w:vMerge w:val="restart"/>
            <w:vAlign w:val="center"/>
          </w:tcPr>
          <w:p w14:paraId="4A2C5BCB">
            <w:pPr>
              <w:jc w:val="center"/>
              <w:rPr>
                <w:rFonts w:hint="eastAsia" w:ascii="宋体" w:hAnsi="宋体" w:eastAsia="宋体" w:cs="宋体"/>
                <w:color w:val="auto"/>
                <w:highlight w:val="none"/>
              </w:rPr>
            </w:pPr>
            <w:r>
              <w:rPr>
                <w:rFonts w:hint="eastAsia" w:ascii="宋体" w:hAnsi="宋体" w:eastAsia="宋体" w:cs="宋体"/>
                <w:color w:val="auto"/>
                <w:highlight w:val="none"/>
              </w:rPr>
              <w:t>品牌（如有）</w:t>
            </w:r>
          </w:p>
          <w:p w14:paraId="33A1C80D">
            <w:pPr>
              <w:jc w:val="center"/>
              <w:rPr>
                <w:rFonts w:hint="eastAsia" w:ascii="宋体" w:hAnsi="宋体" w:eastAsia="宋体" w:cs="宋体"/>
                <w:color w:val="auto"/>
                <w:highlight w:val="none"/>
              </w:rPr>
            </w:pPr>
            <w:r>
              <w:rPr>
                <w:rFonts w:hint="eastAsia" w:ascii="宋体" w:hAnsi="宋体" w:eastAsia="宋体" w:cs="宋体"/>
                <w:color w:val="auto"/>
                <w:highlight w:val="none"/>
              </w:rPr>
              <w:t>及规格型号</w:t>
            </w:r>
          </w:p>
        </w:tc>
        <w:tc>
          <w:tcPr>
            <w:tcW w:w="708" w:type="dxa"/>
            <w:vMerge w:val="restart"/>
            <w:vAlign w:val="center"/>
          </w:tcPr>
          <w:p w14:paraId="6502949E">
            <w:pPr>
              <w:jc w:val="center"/>
              <w:rPr>
                <w:rFonts w:hint="eastAsia" w:ascii="宋体" w:hAnsi="宋体" w:eastAsia="宋体" w:cs="宋体"/>
                <w:color w:val="auto"/>
                <w:highlight w:val="none"/>
              </w:rPr>
            </w:pPr>
            <w:r>
              <w:rPr>
                <w:rFonts w:hint="eastAsia" w:ascii="宋体" w:hAnsi="宋体" w:eastAsia="宋体" w:cs="宋体"/>
                <w:color w:val="auto"/>
                <w:highlight w:val="none"/>
              </w:rPr>
              <w:t>单位</w:t>
            </w:r>
          </w:p>
        </w:tc>
        <w:tc>
          <w:tcPr>
            <w:tcW w:w="709" w:type="dxa"/>
            <w:vMerge w:val="restart"/>
            <w:vAlign w:val="center"/>
          </w:tcPr>
          <w:p w14:paraId="6C2E688D">
            <w:pPr>
              <w:jc w:val="center"/>
              <w:rPr>
                <w:rFonts w:hint="eastAsia" w:ascii="宋体" w:hAnsi="宋体" w:eastAsia="宋体" w:cs="宋体"/>
                <w:color w:val="auto"/>
                <w:highlight w:val="none"/>
              </w:rPr>
            </w:pPr>
            <w:r>
              <w:rPr>
                <w:rFonts w:hint="eastAsia" w:ascii="宋体" w:hAnsi="宋体" w:eastAsia="宋体" w:cs="宋体"/>
                <w:color w:val="auto"/>
                <w:highlight w:val="none"/>
              </w:rPr>
              <w:t>数量</w:t>
            </w:r>
          </w:p>
        </w:tc>
        <w:tc>
          <w:tcPr>
            <w:tcW w:w="2268" w:type="dxa"/>
            <w:gridSpan w:val="3"/>
            <w:vAlign w:val="center"/>
          </w:tcPr>
          <w:p w14:paraId="65D8ADE5">
            <w:pPr>
              <w:jc w:val="center"/>
              <w:rPr>
                <w:rFonts w:hint="eastAsia" w:ascii="宋体" w:hAnsi="宋体" w:eastAsia="宋体" w:cs="宋体"/>
                <w:color w:val="auto"/>
                <w:highlight w:val="none"/>
              </w:rPr>
            </w:pPr>
            <w:r>
              <w:rPr>
                <w:rFonts w:hint="eastAsia" w:ascii="宋体" w:hAnsi="宋体" w:eastAsia="宋体" w:cs="宋体"/>
                <w:color w:val="auto"/>
                <w:highlight w:val="none"/>
              </w:rPr>
              <w:t>单价</w:t>
            </w:r>
          </w:p>
        </w:tc>
        <w:tc>
          <w:tcPr>
            <w:tcW w:w="851" w:type="dxa"/>
            <w:vMerge w:val="restart"/>
            <w:vAlign w:val="center"/>
          </w:tcPr>
          <w:p w14:paraId="764DBD7F">
            <w:pPr>
              <w:jc w:val="center"/>
              <w:rPr>
                <w:rFonts w:hint="eastAsia" w:ascii="宋体" w:hAnsi="宋体" w:eastAsia="宋体" w:cs="宋体"/>
                <w:color w:val="auto"/>
                <w:highlight w:val="none"/>
              </w:rPr>
            </w:pPr>
            <w:r>
              <w:rPr>
                <w:rFonts w:hint="eastAsia" w:ascii="宋体" w:hAnsi="宋体" w:eastAsia="宋体" w:cs="宋体"/>
                <w:color w:val="auto"/>
                <w:highlight w:val="none"/>
              </w:rPr>
              <w:t>总价</w:t>
            </w:r>
          </w:p>
        </w:tc>
        <w:tc>
          <w:tcPr>
            <w:tcW w:w="1494" w:type="dxa"/>
            <w:vMerge w:val="restart"/>
            <w:vAlign w:val="center"/>
          </w:tcPr>
          <w:p w14:paraId="6F07B868">
            <w:pPr>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p w14:paraId="254A01CB">
            <w:pPr>
              <w:jc w:val="center"/>
              <w:rPr>
                <w:rFonts w:hint="eastAsia" w:ascii="宋体" w:hAnsi="宋体" w:eastAsia="宋体" w:cs="宋体"/>
                <w:color w:val="auto"/>
                <w:highlight w:val="none"/>
              </w:rPr>
            </w:pPr>
            <w:r>
              <w:rPr>
                <w:rFonts w:hint="eastAsia" w:ascii="宋体" w:hAnsi="宋体" w:eastAsia="宋体" w:cs="宋体"/>
                <w:color w:val="auto"/>
                <w:highlight w:val="none"/>
              </w:rPr>
              <w:t>（生产厂商企业类型）</w:t>
            </w:r>
          </w:p>
        </w:tc>
      </w:tr>
      <w:tr w14:paraId="029DD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36" w:type="dxa"/>
            <w:vMerge w:val="continue"/>
            <w:vAlign w:val="center"/>
          </w:tcPr>
          <w:p w14:paraId="2C921055">
            <w:pPr>
              <w:jc w:val="center"/>
              <w:rPr>
                <w:rFonts w:hint="eastAsia" w:ascii="宋体" w:hAnsi="宋体" w:eastAsia="宋体" w:cs="宋体"/>
                <w:color w:val="auto"/>
                <w:highlight w:val="none"/>
              </w:rPr>
            </w:pPr>
          </w:p>
        </w:tc>
        <w:tc>
          <w:tcPr>
            <w:tcW w:w="1202" w:type="dxa"/>
            <w:vMerge w:val="continue"/>
            <w:vAlign w:val="center"/>
          </w:tcPr>
          <w:p w14:paraId="46DA35F2">
            <w:pPr>
              <w:jc w:val="center"/>
              <w:rPr>
                <w:rFonts w:hint="eastAsia" w:ascii="宋体" w:hAnsi="宋体" w:eastAsia="宋体" w:cs="宋体"/>
                <w:color w:val="auto"/>
                <w:highlight w:val="none"/>
              </w:rPr>
            </w:pPr>
          </w:p>
        </w:tc>
        <w:tc>
          <w:tcPr>
            <w:tcW w:w="1985" w:type="dxa"/>
            <w:vMerge w:val="continue"/>
            <w:vAlign w:val="center"/>
          </w:tcPr>
          <w:p w14:paraId="390D8B89">
            <w:pPr>
              <w:jc w:val="center"/>
              <w:rPr>
                <w:rFonts w:hint="eastAsia" w:ascii="宋体" w:hAnsi="宋体" w:eastAsia="宋体" w:cs="宋体"/>
                <w:color w:val="auto"/>
                <w:highlight w:val="none"/>
              </w:rPr>
            </w:pPr>
          </w:p>
        </w:tc>
        <w:tc>
          <w:tcPr>
            <w:tcW w:w="708" w:type="dxa"/>
            <w:vMerge w:val="continue"/>
            <w:vAlign w:val="center"/>
          </w:tcPr>
          <w:p w14:paraId="7D3413C4">
            <w:pPr>
              <w:jc w:val="center"/>
              <w:rPr>
                <w:rFonts w:hint="eastAsia" w:ascii="宋体" w:hAnsi="宋体" w:eastAsia="宋体" w:cs="宋体"/>
                <w:color w:val="auto"/>
                <w:highlight w:val="none"/>
              </w:rPr>
            </w:pPr>
          </w:p>
        </w:tc>
        <w:tc>
          <w:tcPr>
            <w:tcW w:w="709" w:type="dxa"/>
            <w:vMerge w:val="continue"/>
            <w:vAlign w:val="center"/>
          </w:tcPr>
          <w:p w14:paraId="28835758">
            <w:pPr>
              <w:jc w:val="center"/>
              <w:rPr>
                <w:rFonts w:hint="eastAsia" w:ascii="宋体" w:hAnsi="宋体" w:eastAsia="宋体" w:cs="宋体"/>
                <w:color w:val="auto"/>
                <w:highlight w:val="none"/>
              </w:rPr>
            </w:pPr>
          </w:p>
        </w:tc>
        <w:tc>
          <w:tcPr>
            <w:tcW w:w="851" w:type="dxa"/>
            <w:vAlign w:val="center"/>
          </w:tcPr>
          <w:p w14:paraId="0FE59F65">
            <w:pPr>
              <w:jc w:val="center"/>
              <w:rPr>
                <w:rFonts w:hint="eastAsia" w:ascii="宋体" w:hAnsi="宋体" w:eastAsia="宋体" w:cs="宋体"/>
                <w:color w:val="auto"/>
                <w:highlight w:val="none"/>
              </w:rPr>
            </w:pPr>
            <w:r>
              <w:rPr>
                <w:rFonts w:hint="eastAsia" w:ascii="宋体" w:hAnsi="宋体" w:eastAsia="宋体" w:cs="宋体"/>
                <w:color w:val="auto"/>
                <w:highlight w:val="none"/>
              </w:rPr>
              <w:t>不含税金额</w:t>
            </w:r>
          </w:p>
        </w:tc>
        <w:tc>
          <w:tcPr>
            <w:tcW w:w="708" w:type="dxa"/>
            <w:vAlign w:val="center"/>
          </w:tcPr>
          <w:p w14:paraId="42DA4BA3">
            <w:pPr>
              <w:jc w:val="center"/>
              <w:rPr>
                <w:rFonts w:hint="eastAsia" w:ascii="宋体" w:hAnsi="宋体" w:eastAsia="宋体" w:cs="宋体"/>
                <w:color w:val="auto"/>
                <w:highlight w:val="none"/>
              </w:rPr>
            </w:pPr>
            <w:r>
              <w:rPr>
                <w:rFonts w:hint="eastAsia" w:ascii="宋体" w:hAnsi="宋体" w:eastAsia="宋体" w:cs="宋体"/>
                <w:color w:val="auto"/>
                <w:highlight w:val="none"/>
              </w:rPr>
              <w:t>税率</w:t>
            </w:r>
          </w:p>
        </w:tc>
        <w:tc>
          <w:tcPr>
            <w:tcW w:w="709" w:type="dxa"/>
            <w:vAlign w:val="center"/>
          </w:tcPr>
          <w:p w14:paraId="61F19536">
            <w:pPr>
              <w:jc w:val="center"/>
              <w:rPr>
                <w:rFonts w:hint="eastAsia" w:ascii="宋体" w:hAnsi="宋体" w:eastAsia="宋体" w:cs="宋体"/>
                <w:color w:val="auto"/>
                <w:highlight w:val="none"/>
              </w:rPr>
            </w:pPr>
            <w:r>
              <w:rPr>
                <w:rFonts w:hint="eastAsia" w:ascii="宋体" w:hAnsi="宋体" w:eastAsia="宋体" w:cs="宋体"/>
                <w:color w:val="auto"/>
                <w:highlight w:val="none"/>
              </w:rPr>
              <w:t>价税合计</w:t>
            </w:r>
          </w:p>
        </w:tc>
        <w:tc>
          <w:tcPr>
            <w:tcW w:w="851" w:type="dxa"/>
            <w:vMerge w:val="continue"/>
            <w:vAlign w:val="center"/>
          </w:tcPr>
          <w:p w14:paraId="2746164E">
            <w:pPr>
              <w:jc w:val="center"/>
              <w:rPr>
                <w:rFonts w:hint="eastAsia" w:ascii="宋体" w:hAnsi="宋体" w:eastAsia="宋体" w:cs="宋体"/>
                <w:color w:val="auto"/>
                <w:highlight w:val="none"/>
              </w:rPr>
            </w:pPr>
          </w:p>
        </w:tc>
        <w:tc>
          <w:tcPr>
            <w:tcW w:w="1494" w:type="dxa"/>
            <w:vMerge w:val="continue"/>
            <w:vAlign w:val="center"/>
          </w:tcPr>
          <w:p w14:paraId="4D4C87BA">
            <w:pPr>
              <w:jc w:val="center"/>
              <w:rPr>
                <w:rFonts w:hint="eastAsia" w:ascii="宋体" w:hAnsi="宋体" w:eastAsia="宋体" w:cs="宋体"/>
                <w:color w:val="auto"/>
                <w:highlight w:val="none"/>
              </w:rPr>
            </w:pPr>
          </w:p>
        </w:tc>
      </w:tr>
      <w:tr w14:paraId="6240B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06046D1F">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202" w:type="dxa"/>
            <w:vAlign w:val="center"/>
          </w:tcPr>
          <w:p w14:paraId="486B1A09">
            <w:pPr>
              <w:jc w:val="center"/>
              <w:rPr>
                <w:rFonts w:hint="eastAsia" w:ascii="宋体" w:hAnsi="宋体" w:eastAsia="宋体" w:cs="宋体"/>
                <w:color w:val="auto"/>
                <w:highlight w:val="none"/>
              </w:rPr>
            </w:pPr>
          </w:p>
        </w:tc>
        <w:tc>
          <w:tcPr>
            <w:tcW w:w="1985" w:type="dxa"/>
            <w:vAlign w:val="center"/>
          </w:tcPr>
          <w:p w14:paraId="463993C6">
            <w:pPr>
              <w:jc w:val="center"/>
              <w:rPr>
                <w:rFonts w:hint="eastAsia" w:ascii="宋体" w:hAnsi="宋体" w:eastAsia="宋体" w:cs="宋体"/>
                <w:color w:val="auto"/>
                <w:highlight w:val="none"/>
              </w:rPr>
            </w:pPr>
          </w:p>
        </w:tc>
        <w:tc>
          <w:tcPr>
            <w:tcW w:w="708" w:type="dxa"/>
            <w:vAlign w:val="center"/>
          </w:tcPr>
          <w:p w14:paraId="7FBA7B29">
            <w:pPr>
              <w:jc w:val="center"/>
              <w:rPr>
                <w:rFonts w:hint="eastAsia" w:ascii="宋体" w:hAnsi="宋体" w:eastAsia="宋体" w:cs="宋体"/>
                <w:color w:val="auto"/>
                <w:highlight w:val="none"/>
              </w:rPr>
            </w:pPr>
          </w:p>
        </w:tc>
        <w:tc>
          <w:tcPr>
            <w:tcW w:w="709" w:type="dxa"/>
            <w:vAlign w:val="center"/>
          </w:tcPr>
          <w:p w14:paraId="1F593CF4">
            <w:pPr>
              <w:jc w:val="center"/>
              <w:rPr>
                <w:rFonts w:hint="eastAsia" w:ascii="宋体" w:hAnsi="宋体" w:eastAsia="宋体" w:cs="宋体"/>
                <w:color w:val="auto"/>
                <w:highlight w:val="none"/>
              </w:rPr>
            </w:pPr>
          </w:p>
        </w:tc>
        <w:tc>
          <w:tcPr>
            <w:tcW w:w="851" w:type="dxa"/>
            <w:vAlign w:val="center"/>
          </w:tcPr>
          <w:p w14:paraId="41A1B7DA">
            <w:pPr>
              <w:jc w:val="center"/>
              <w:rPr>
                <w:rFonts w:hint="eastAsia" w:ascii="宋体" w:hAnsi="宋体" w:eastAsia="宋体" w:cs="宋体"/>
                <w:color w:val="auto"/>
                <w:highlight w:val="none"/>
              </w:rPr>
            </w:pPr>
          </w:p>
        </w:tc>
        <w:tc>
          <w:tcPr>
            <w:tcW w:w="708" w:type="dxa"/>
            <w:vAlign w:val="center"/>
          </w:tcPr>
          <w:p w14:paraId="69EFF309">
            <w:pPr>
              <w:jc w:val="center"/>
              <w:rPr>
                <w:rFonts w:hint="eastAsia" w:ascii="宋体" w:hAnsi="宋体" w:eastAsia="宋体" w:cs="宋体"/>
                <w:color w:val="auto"/>
                <w:highlight w:val="none"/>
              </w:rPr>
            </w:pPr>
          </w:p>
        </w:tc>
        <w:tc>
          <w:tcPr>
            <w:tcW w:w="709" w:type="dxa"/>
            <w:vAlign w:val="center"/>
          </w:tcPr>
          <w:p w14:paraId="266DED98">
            <w:pPr>
              <w:jc w:val="center"/>
              <w:rPr>
                <w:rFonts w:hint="eastAsia" w:ascii="宋体" w:hAnsi="宋体" w:eastAsia="宋体" w:cs="宋体"/>
                <w:color w:val="auto"/>
                <w:highlight w:val="none"/>
              </w:rPr>
            </w:pPr>
          </w:p>
        </w:tc>
        <w:tc>
          <w:tcPr>
            <w:tcW w:w="851" w:type="dxa"/>
            <w:vAlign w:val="center"/>
          </w:tcPr>
          <w:p w14:paraId="1E382E55">
            <w:pPr>
              <w:jc w:val="center"/>
              <w:rPr>
                <w:rFonts w:hint="eastAsia" w:ascii="宋体" w:hAnsi="宋体" w:eastAsia="宋体" w:cs="宋体"/>
                <w:color w:val="auto"/>
                <w:highlight w:val="none"/>
              </w:rPr>
            </w:pPr>
          </w:p>
        </w:tc>
        <w:tc>
          <w:tcPr>
            <w:tcW w:w="1494" w:type="dxa"/>
            <w:vAlign w:val="center"/>
          </w:tcPr>
          <w:p w14:paraId="5DC7A2CC">
            <w:pPr>
              <w:jc w:val="center"/>
              <w:rPr>
                <w:rFonts w:hint="eastAsia" w:ascii="宋体" w:hAnsi="宋体" w:eastAsia="宋体" w:cs="宋体"/>
                <w:color w:val="auto"/>
                <w:highlight w:val="none"/>
              </w:rPr>
            </w:pPr>
          </w:p>
        </w:tc>
      </w:tr>
      <w:tr w14:paraId="3A564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33F11AC4">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202" w:type="dxa"/>
            <w:vAlign w:val="center"/>
          </w:tcPr>
          <w:p w14:paraId="1D12FECA">
            <w:pPr>
              <w:jc w:val="center"/>
              <w:rPr>
                <w:rFonts w:hint="eastAsia" w:ascii="宋体" w:hAnsi="宋体" w:eastAsia="宋体" w:cs="宋体"/>
                <w:color w:val="auto"/>
                <w:highlight w:val="none"/>
              </w:rPr>
            </w:pPr>
          </w:p>
        </w:tc>
        <w:tc>
          <w:tcPr>
            <w:tcW w:w="1985" w:type="dxa"/>
            <w:vAlign w:val="center"/>
          </w:tcPr>
          <w:p w14:paraId="7DBE5859">
            <w:pPr>
              <w:jc w:val="center"/>
              <w:rPr>
                <w:rFonts w:hint="eastAsia" w:ascii="宋体" w:hAnsi="宋体" w:eastAsia="宋体" w:cs="宋体"/>
                <w:color w:val="auto"/>
                <w:highlight w:val="none"/>
              </w:rPr>
            </w:pPr>
          </w:p>
        </w:tc>
        <w:tc>
          <w:tcPr>
            <w:tcW w:w="708" w:type="dxa"/>
            <w:vAlign w:val="center"/>
          </w:tcPr>
          <w:p w14:paraId="7DBEB958">
            <w:pPr>
              <w:jc w:val="center"/>
              <w:rPr>
                <w:rFonts w:hint="eastAsia" w:ascii="宋体" w:hAnsi="宋体" w:eastAsia="宋体" w:cs="宋体"/>
                <w:color w:val="auto"/>
                <w:highlight w:val="none"/>
              </w:rPr>
            </w:pPr>
          </w:p>
        </w:tc>
        <w:tc>
          <w:tcPr>
            <w:tcW w:w="709" w:type="dxa"/>
            <w:vAlign w:val="center"/>
          </w:tcPr>
          <w:p w14:paraId="77AFF84E">
            <w:pPr>
              <w:jc w:val="center"/>
              <w:rPr>
                <w:rFonts w:hint="eastAsia" w:ascii="宋体" w:hAnsi="宋体" w:eastAsia="宋体" w:cs="宋体"/>
                <w:color w:val="auto"/>
                <w:highlight w:val="none"/>
              </w:rPr>
            </w:pPr>
          </w:p>
        </w:tc>
        <w:tc>
          <w:tcPr>
            <w:tcW w:w="851" w:type="dxa"/>
            <w:vAlign w:val="center"/>
          </w:tcPr>
          <w:p w14:paraId="70B165E1">
            <w:pPr>
              <w:jc w:val="center"/>
              <w:rPr>
                <w:rFonts w:hint="eastAsia" w:ascii="宋体" w:hAnsi="宋体" w:eastAsia="宋体" w:cs="宋体"/>
                <w:color w:val="auto"/>
                <w:highlight w:val="none"/>
              </w:rPr>
            </w:pPr>
          </w:p>
        </w:tc>
        <w:tc>
          <w:tcPr>
            <w:tcW w:w="708" w:type="dxa"/>
            <w:vAlign w:val="center"/>
          </w:tcPr>
          <w:p w14:paraId="306B5C99">
            <w:pPr>
              <w:jc w:val="center"/>
              <w:rPr>
                <w:rFonts w:hint="eastAsia" w:ascii="宋体" w:hAnsi="宋体" w:eastAsia="宋体" w:cs="宋体"/>
                <w:color w:val="auto"/>
                <w:highlight w:val="none"/>
              </w:rPr>
            </w:pPr>
          </w:p>
        </w:tc>
        <w:tc>
          <w:tcPr>
            <w:tcW w:w="709" w:type="dxa"/>
            <w:vAlign w:val="center"/>
          </w:tcPr>
          <w:p w14:paraId="6F63A808">
            <w:pPr>
              <w:jc w:val="center"/>
              <w:rPr>
                <w:rFonts w:hint="eastAsia" w:ascii="宋体" w:hAnsi="宋体" w:eastAsia="宋体" w:cs="宋体"/>
                <w:color w:val="auto"/>
                <w:highlight w:val="none"/>
              </w:rPr>
            </w:pPr>
          </w:p>
        </w:tc>
        <w:tc>
          <w:tcPr>
            <w:tcW w:w="851" w:type="dxa"/>
            <w:vAlign w:val="center"/>
          </w:tcPr>
          <w:p w14:paraId="069F7AB1">
            <w:pPr>
              <w:jc w:val="center"/>
              <w:rPr>
                <w:rFonts w:hint="eastAsia" w:ascii="宋体" w:hAnsi="宋体" w:eastAsia="宋体" w:cs="宋体"/>
                <w:color w:val="auto"/>
                <w:highlight w:val="none"/>
              </w:rPr>
            </w:pPr>
          </w:p>
        </w:tc>
        <w:tc>
          <w:tcPr>
            <w:tcW w:w="1494" w:type="dxa"/>
            <w:vAlign w:val="center"/>
          </w:tcPr>
          <w:p w14:paraId="6B5E1386">
            <w:pPr>
              <w:jc w:val="center"/>
              <w:rPr>
                <w:rFonts w:hint="eastAsia" w:ascii="宋体" w:hAnsi="宋体" w:eastAsia="宋体" w:cs="宋体"/>
                <w:color w:val="auto"/>
                <w:highlight w:val="none"/>
              </w:rPr>
            </w:pPr>
          </w:p>
        </w:tc>
      </w:tr>
      <w:tr w14:paraId="18E8A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3F82F722">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202" w:type="dxa"/>
            <w:vAlign w:val="center"/>
          </w:tcPr>
          <w:p w14:paraId="31B29476">
            <w:pPr>
              <w:jc w:val="center"/>
              <w:rPr>
                <w:rFonts w:hint="eastAsia" w:ascii="宋体" w:hAnsi="宋体" w:eastAsia="宋体" w:cs="宋体"/>
                <w:color w:val="auto"/>
                <w:highlight w:val="none"/>
              </w:rPr>
            </w:pPr>
          </w:p>
        </w:tc>
        <w:tc>
          <w:tcPr>
            <w:tcW w:w="1985" w:type="dxa"/>
            <w:vAlign w:val="center"/>
          </w:tcPr>
          <w:p w14:paraId="5521EE92">
            <w:pPr>
              <w:jc w:val="center"/>
              <w:rPr>
                <w:rFonts w:hint="eastAsia" w:ascii="宋体" w:hAnsi="宋体" w:eastAsia="宋体" w:cs="宋体"/>
                <w:color w:val="auto"/>
                <w:highlight w:val="none"/>
              </w:rPr>
            </w:pPr>
          </w:p>
        </w:tc>
        <w:tc>
          <w:tcPr>
            <w:tcW w:w="708" w:type="dxa"/>
            <w:vAlign w:val="center"/>
          </w:tcPr>
          <w:p w14:paraId="7EB82443">
            <w:pPr>
              <w:jc w:val="center"/>
              <w:rPr>
                <w:rFonts w:hint="eastAsia" w:ascii="宋体" w:hAnsi="宋体" w:eastAsia="宋体" w:cs="宋体"/>
                <w:color w:val="auto"/>
                <w:highlight w:val="none"/>
              </w:rPr>
            </w:pPr>
          </w:p>
        </w:tc>
        <w:tc>
          <w:tcPr>
            <w:tcW w:w="709" w:type="dxa"/>
            <w:vAlign w:val="center"/>
          </w:tcPr>
          <w:p w14:paraId="5962F1DE">
            <w:pPr>
              <w:jc w:val="center"/>
              <w:rPr>
                <w:rFonts w:hint="eastAsia" w:ascii="宋体" w:hAnsi="宋体" w:eastAsia="宋体" w:cs="宋体"/>
                <w:color w:val="auto"/>
                <w:highlight w:val="none"/>
              </w:rPr>
            </w:pPr>
          </w:p>
        </w:tc>
        <w:tc>
          <w:tcPr>
            <w:tcW w:w="851" w:type="dxa"/>
            <w:vAlign w:val="center"/>
          </w:tcPr>
          <w:p w14:paraId="2565F502">
            <w:pPr>
              <w:jc w:val="center"/>
              <w:rPr>
                <w:rFonts w:hint="eastAsia" w:ascii="宋体" w:hAnsi="宋体" w:eastAsia="宋体" w:cs="宋体"/>
                <w:color w:val="auto"/>
                <w:highlight w:val="none"/>
              </w:rPr>
            </w:pPr>
          </w:p>
        </w:tc>
        <w:tc>
          <w:tcPr>
            <w:tcW w:w="708" w:type="dxa"/>
            <w:vAlign w:val="center"/>
          </w:tcPr>
          <w:p w14:paraId="30719A90">
            <w:pPr>
              <w:jc w:val="center"/>
              <w:rPr>
                <w:rFonts w:hint="eastAsia" w:ascii="宋体" w:hAnsi="宋体" w:eastAsia="宋体" w:cs="宋体"/>
                <w:color w:val="auto"/>
                <w:highlight w:val="none"/>
              </w:rPr>
            </w:pPr>
          </w:p>
        </w:tc>
        <w:tc>
          <w:tcPr>
            <w:tcW w:w="709" w:type="dxa"/>
            <w:vAlign w:val="center"/>
          </w:tcPr>
          <w:p w14:paraId="7D64A21F">
            <w:pPr>
              <w:jc w:val="center"/>
              <w:rPr>
                <w:rFonts w:hint="eastAsia" w:ascii="宋体" w:hAnsi="宋体" w:eastAsia="宋体" w:cs="宋体"/>
                <w:color w:val="auto"/>
                <w:highlight w:val="none"/>
              </w:rPr>
            </w:pPr>
          </w:p>
        </w:tc>
        <w:tc>
          <w:tcPr>
            <w:tcW w:w="851" w:type="dxa"/>
            <w:vAlign w:val="center"/>
          </w:tcPr>
          <w:p w14:paraId="2D39D217">
            <w:pPr>
              <w:jc w:val="center"/>
              <w:rPr>
                <w:rFonts w:hint="eastAsia" w:ascii="宋体" w:hAnsi="宋体" w:eastAsia="宋体" w:cs="宋体"/>
                <w:color w:val="auto"/>
                <w:highlight w:val="none"/>
              </w:rPr>
            </w:pPr>
          </w:p>
        </w:tc>
        <w:tc>
          <w:tcPr>
            <w:tcW w:w="1494" w:type="dxa"/>
            <w:vAlign w:val="center"/>
          </w:tcPr>
          <w:p w14:paraId="3E4EE0F1">
            <w:pPr>
              <w:jc w:val="center"/>
              <w:rPr>
                <w:rFonts w:hint="eastAsia" w:ascii="宋体" w:hAnsi="宋体" w:eastAsia="宋体" w:cs="宋体"/>
                <w:color w:val="auto"/>
                <w:highlight w:val="none"/>
              </w:rPr>
            </w:pPr>
          </w:p>
        </w:tc>
      </w:tr>
      <w:tr w14:paraId="1AC31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7D1E269C">
            <w:pPr>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202" w:type="dxa"/>
            <w:vAlign w:val="center"/>
          </w:tcPr>
          <w:p w14:paraId="20C918C4">
            <w:pPr>
              <w:jc w:val="center"/>
              <w:rPr>
                <w:rFonts w:hint="eastAsia" w:ascii="宋体" w:hAnsi="宋体" w:eastAsia="宋体" w:cs="宋体"/>
                <w:color w:val="auto"/>
                <w:highlight w:val="none"/>
              </w:rPr>
            </w:pPr>
          </w:p>
        </w:tc>
        <w:tc>
          <w:tcPr>
            <w:tcW w:w="1985" w:type="dxa"/>
            <w:vAlign w:val="center"/>
          </w:tcPr>
          <w:p w14:paraId="662565F4">
            <w:pPr>
              <w:jc w:val="center"/>
              <w:rPr>
                <w:rFonts w:hint="eastAsia" w:ascii="宋体" w:hAnsi="宋体" w:eastAsia="宋体" w:cs="宋体"/>
                <w:color w:val="auto"/>
                <w:highlight w:val="none"/>
              </w:rPr>
            </w:pPr>
          </w:p>
        </w:tc>
        <w:tc>
          <w:tcPr>
            <w:tcW w:w="708" w:type="dxa"/>
            <w:vAlign w:val="center"/>
          </w:tcPr>
          <w:p w14:paraId="155C83A7">
            <w:pPr>
              <w:jc w:val="center"/>
              <w:rPr>
                <w:rFonts w:hint="eastAsia" w:ascii="宋体" w:hAnsi="宋体" w:eastAsia="宋体" w:cs="宋体"/>
                <w:color w:val="auto"/>
                <w:highlight w:val="none"/>
              </w:rPr>
            </w:pPr>
          </w:p>
        </w:tc>
        <w:tc>
          <w:tcPr>
            <w:tcW w:w="709" w:type="dxa"/>
            <w:vAlign w:val="center"/>
          </w:tcPr>
          <w:p w14:paraId="7F4DD8C8">
            <w:pPr>
              <w:jc w:val="center"/>
              <w:rPr>
                <w:rFonts w:hint="eastAsia" w:ascii="宋体" w:hAnsi="宋体" w:eastAsia="宋体" w:cs="宋体"/>
                <w:color w:val="auto"/>
                <w:highlight w:val="none"/>
              </w:rPr>
            </w:pPr>
          </w:p>
        </w:tc>
        <w:tc>
          <w:tcPr>
            <w:tcW w:w="851" w:type="dxa"/>
            <w:vAlign w:val="center"/>
          </w:tcPr>
          <w:p w14:paraId="668C85D3">
            <w:pPr>
              <w:jc w:val="center"/>
              <w:rPr>
                <w:rFonts w:hint="eastAsia" w:ascii="宋体" w:hAnsi="宋体" w:eastAsia="宋体" w:cs="宋体"/>
                <w:color w:val="auto"/>
                <w:highlight w:val="none"/>
              </w:rPr>
            </w:pPr>
          </w:p>
        </w:tc>
        <w:tc>
          <w:tcPr>
            <w:tcW w:w="708" w:type="dxa"/>
            <w:vAlign w:val="center"/>
          </w:tcPr>
          <w:p w14:paraId="27FDAE9D">
            <w:pPr>
              <w:jc w:val="center"/>
              <w:rPr>
                <w:rFonts w:hint="eastAsia" w:ascii="宋体" w:hAnsi="宋体" w:eastAsia="宋体" w:cs="宋体"/>
                <w:color w:val="auto"/>
                <w:highlight w:val="none"/>
              </w:rPr>
            </w:pPr>
          </w:p>
        </w:tc>
        <w:tc>
          <w:tcPr>
            <w:tcW w:w="709" w:type="dxa"/>
            <w:vAlign w:val="center"/>
          </w:tcPr>
          <w:p w14:paraId="23AAA32C">
            <w:pPr>
              <w:jc w:val="center"/>
              <w:rPr>
                <w:rFonts w:hint="eastAsia" w:ascii="宋体" w:hAnsi="宋体" w:eastAsia="宋体" w:cs="宋体"/>
                <w:color w:val="auto"/>
                <w:highlight w:val="none"/>
              </w:rPr>
            </w:pPr>
          </w:p>
        </w:tc>
        <w:tc>
          <w:tcPr>
            <w:tcW w:w="851" w:type="dxa"/>
            <w:vAlign w:val="center"/>
          </w:tcPr>
          <w:p w14:paraId="22B250ED">
            <w:pPr>
              <w:jc w:val="center"/>
              <w:rPr>
                <w:rFonts w:hint="eastAsia" w:ascii="宋体" w:hAnsi="宋体" w:eastAsia="宋体" w:cs="宋体"/>
                <w:color w:val="auto"/>
                <w:highlight w:val="none"/>
              </w:rPr>
            </w:pPr>
          </w:p>
        </w:tc>
        <w:tc>
          <w:tcPr>
            <w:tcW w:w="1494" w:type="dxa"/>
            <w:vAlign w:val="center"/>
          </w:tcPr>
          <w:p w14:paraId="23683415">
            <w:pPr>
              <w:jc w:val="center"/>
              <w:rPr>
                <w:rFonts w:hint="eastAsia" w:ascii="宋体" w:hAnsi="宋体" w:eastAsia="宋体" w:cs="宋体"/>
                <w:color w:val="auto"/>
                <w:highlight w:val="none"/>
              </w:rPr>
            </w:pPr>
          </w:p>
        </w:tc>
      </w:tr>
      <w:tr w14:paraId="52595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2B6B7D92">
            <w:pPr>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202" w:type="dxa"/>
            <w:vAlign w:val="center"/>
          </w:tcPr>
          <w:p w14:paraId="0517BBA5">
            <w:pPr>
              <w:jc w:val="center"/>
              <w:rPr>
                <w:rFonts w:hint="eastAsia" w:ascii="宋体" w:hAnsi="宋体" w:eastAsia="宋体" w:cs="宋体"/>
                <w:color w:val="auto"/>
                <w:highlight w:val="none"/>
              </w:rPr>
            </w:pPr>
          </w:p>
        </w:tc>
        <w:tc>
          <w:tcPr>
            <w:tcW w:w="1985" w:type="dxa"/>
            <w:vAlign w:val="center"/>
          </w:tcPr>
          <w:p w14:paraId="1E8D1CD8">
            <w:pPr>
              <w:jc w:val="center"/>
              <w:rPr>
                <w:rFonts w:hint="eastAsia" w:ascii="宋体" w:hAnsi="宋体" w:eastAsia="宋体" w:cs="宋体"/>
                <w:color w:val="auto"/>
                <w:highlight w:val="none"/>
              </w:rPr>
            </w:pPr>
          </w:p>
        </w:tc>
        <w:tc>
          <w:tcPr>
            <w:tcW w:w="708" w:type="dxa"/>
            <w:vAlign w:val="center"/>
          </w:tcPr>
          <w:p w14:paraId="7BB8F088">
            <w:pPr>
              <w:jc w:val="center"/>
              <w:rPr>
                <w:rFonts w:hint="eastAsia" w:ascii="宋体" w:hAnsi="宋体" w:eastAsia="宋体" w:cs="宋体"/>
                <w:color w:val="auto"/>
                <w:highlight w:val="none"/>
              </w:rPr>
            </w:pPr>
          </w:p>
        </w:tc>
        <w:tc>
          <w:tcPr>
            <w:tcW w:w="709" w:type="dxa"/>
            <w:vAlign w:val="center"/>
          </w:tcPr>
          <w:p w14:paraId="21AF3B3E">
            <w:pPr>
              <w:jc w:val="center"/>
              <w:rPr>
                <w:rFonts w:hint="eastAsia" w:ascii="宋体" w:hAnsi="宋体" w:eastAsia="宋体" w:cs="宋体"/>
                <w:color w:val="auto"/>
                <w:highlight w:val="none"/>
              </w:rPr>
            </w:pPr>
          </w:p>
        </w:tc>
        <w:tc>
          <w:tcPr>
            <w:tcW w:w="851" w:type="dxa"/>
            <w:vAlign w:val="center"/>
          </w:tcPr>
          <w:p w14:paraId="06171D4A">
            <w:pPr>
              <w:jc w:val="center"/>
              <w:rPr>
                <w:rFonts w:hint="eastAsia" w:ascii="宋体" w:hAnsi="宋体" w:eastAsia="宋体" w:cs="宋体"/>
                <w:color w:val="auto"/>
                <w:highlight w:val="none"/>
              </w:rPr>
            </w:pPr>
          </w:p>
        </w:tc>
        <w:tc>
          <w:tcPr>
            <w:tcW w:w="708" w:type="dxa"/>
            <w:vAlign w:val="center"/>
          </w:tcPr>
          <w:p w14:paraId="6AF9F7D2">
            <w:pPr>
              <w:jc w:val="center"/>
              <w:rPr>
                <w:rFonts w:hint="eastAsia" w:ascii="宋体" w:hAnsi="宋体" w:eastAsia="宋体" w:cs="宋体"/>
                <w:color w:val="auto"/>
                <w:highlight w:val="none"/>
              </w:rPr>
            </w:pPr>
          </w:p>
        </w:tc>
        <w:tc>
          <w:tcPr>
            <w:tcW w:w="709" w:type="dxa"/>
            <w:vAlign w:val="center"/>
          </w:tcPr>
          <w:p w14:paraId="253BBCD3">
            <w:pPr>
              <w:jc w:val="center"/>
              <w:rPr>
                <w:rFonts w:hint="eastAsia" w:ascii="宋体" w:hAnsi="宋体" w:eastAsia="宋体" w:cs="宋体"/>
                <w:color w:val="auto"/>
                <w:highlight w:val="none"/>
              </w:rPr>
            </w:pPr>
          </w:p>
        </w:tc>
        <w:tc>
          <w:tcPr>
            <w:tcW w:w="851" w:type="dxa"/>
            <w:vAlign w:val="center"/>
          </w:tcPr>
          <w:p w14:paraId="35D3356F">
            <w:pPr>
              <w:jc w:val="center"/>
              <w:rPr>
                <w:rFonts w:hint="eastAsia" w:ascii="宋体" w:hAnsi="宋体" w:eastAsia="宋体" w:cs="宋体"/>
                <w:color w:val="auto"/>
                <w:highlight w:val="none"/>
              </w:rPr>
            </w:pPr>
          </w:p>
        </w:tc>
        <w:tc>
          <w:tcPr>
            <w:tcW w:w="1494" w:type="dxa"/>
            <w:vAlign w:val="center"/>
          </w:tcPr>
          <w:p w14:paraId="567EF0D9">
            <w:pPr>
              <w:jc w:val="center"/>
              <w:rPr>
                <w:rFonts w:hint="eastAsia" w:ascii="宋体" w:hAnsi="宋体" w:eastAsia="宋体" w:cs="宋体"/>
                <w:color w:val="auto"/>
                <w:highlight w:val="none"/>
              </w:rPr>
            </w:pPr>
          </w:p>
        </w:tc>
      </w:tr>
      <w:tr w14:paraId="1B0B4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1D4B9AD2">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202" w:type="dxa"/>
            <w:vAlign w:val="center"/>
          </w:tcPr>
          <w:p w14:paraId="18DC9A3C">
            <w:pPr>
              <w:jc w:val="center"/>
              <w:rPr>
                <w:rFonts w:hint="eastAsia" w:ascii="宋体" w:hAnsi="宋体" w:eastAsia="宋体" w:cs="宋体"/>
                <w:color w:val="auto"/>
                <w:highlight w:val="none"/>
              </w:rPr>
            </w:pPr>
          </w:p>
        </w:tc>
        <w:tc>
          <w:tcPr>
            <w:tcW w:w="1985" w:type="dxa"/>
            <w:vAlign w:val="center"/>
          </w:tcPr>
          <w:p w14:paraId="4983DDDD">
            <w:pPr>
              <w:jc w:val="center"/>
              <w:rPr>
                <w:rFonts w:hint="eastAsia" w:ascii="宋体" w:hAnsi="宋体" w:eastAsia="宋体" w:cs="宋体"/>
                <w:color w:val="auto"/>
                <w:highlight w:val="none"/>
              </w:rPr>
            </w:pPr>
          </w:p>
        </w:tc>
        <w:tc>
          <w:tcPr>
            <w:tcW w:w="708" w:type="dxa"/>
            <w:vAlign w:val="center"/>
          </w:tcPr>
          <w:p w14:paraId="7FD42E83">
            <w:pPr>
              <w:jc w:val="center"/>
              <w:rPr>
                <w:rFonts w:hint="eastAsia" w:ascii="宋体" w:hAnsi="宋体" w:eastAsia="宋体" w:cs="宋体"/>
                <w:color w:val="auto"/>
                <w:highlight w:val="none"/>
              </w:rPr>
            </w:pPr>
          </w:p>
        </w:tc>
        <w:tc>
          <w:tcPr>
            <w:tcW w:w="709" w:type="dxa"/>
            <w:vAlign w:val="center"/>
          </w:tcPr>
          <w:p w14:paraId="419FF78F">
            <w:pPr>
              <w:jc w:val="center"/>
              <w:rPr>
                <w:rFonts w:hint="eastAsia" w:ascii="宋体" w:hAnsi="宋体" w:eastAsia="宋体" w:cs="宋体"/>
                <w:color w:val="auto"/>
                <w:highlight w:val="none"/>
              </w:rPr>
            </w:pPr>
          </w:p>
        </w:tc>
        <w:tc>
          <w:tcPr>
            <w:tcW w:w="851" w:type="dxa"/>
            <w:vAlign w:val="center"/>
          </w:tcPr>
          <w:p w14:paraId="49B39D66">
            <w:pPr>
              <w:jc w:val="center"/>
              <w:rPr>
                <w:rFonts w:hint="eastAsia" w:ascii="宋体" w:hAnsi="宋体" w:eastAsia="宋体" w:cs="宋体"/>
                <w:color w:val="auto"/>
                <w:highlight w:val="none"/>
              </w:rPr>
            </w:pPr>
          </w:p>
        </w:tc>
        <w:tc>
          <w:tcPr>
            <w:tcW w:w="708" w:type="dxa"/>
            <w:vAlign w:val="center"/>
          </w:tcPr>
          <w:p w14:paraId="08134C2B">
            <w:pPr>
              <w:jc w:val="center"/>
              <w:rPr>
                <w:rFonts w:hint="eastAsia" w:ascii="宋体" w:hAnsi="宋体" w:eastAsia="宋体" w:cs="宋体"/>
                <w:color w:val="auto"/>
                <w:highlight w:val="none"/>
              </w:rPr>
            </w:pPr>
          </w:p>
        </w:tc>
        <w:tc>
          <w:tcPr>
            <w:tcW w:w="709" w:type="dxa"/>
            <w:vAlign w:val="center"/>
          </w:tcPr>
          <w:p w14:paraId="5F3C69E8">
            <w:pPr>
              <w:jc w:val="center"/>
              <w:rPr>
                <w:rFonts w:hint="eastAsia" w:ascii="宋体" w:hAnsi="宋体" w:eastAsia="宋体" w:cs="宋体"/>
                <w:color w:val="auto"/>
                <w:highlight w:val="none"/>
              </w:rPr>
            </w:pPr>
          </w:p>
        </w:tc>
        <w:tc>
          <w:tcPr>
            <w:tcW w:w="851" w:type="dxa"/>
            <w:vAlign w:val="center"/>
          </w:tcPr>
          <w:p w14:paraId="45FE5169">
            <w:pPr>
              <w:jc w:val="center"/>
              <w:rPr>
                <w:rFonts w:hint="eastAsia" w:ascii="宋体" w:hAnsi="宋体" w:eastAsia="宋体" w:cs="宋体"/>
                <w:color w:val="auto"/>
                <w:highlight w:val="none"/>
              </w:rPr>
            </w:pPr>
          </w:p>
        </w:tc>
        <w:tc>
          <w:tcPr>
            <w:tcW w:w="1494" w:type="dxa"/>
            <w:vAlign w:val="center"/>
          </w:tcPr>
          <w:p w14:paraId="64083478">
            <w:pPr>
              <w:jc w:val="center"/>
              <w:rPr>
                <w:rFonts w:hint="eastAsia" w:ascii="宋体" w:hAnsi="宋体" w:eastAsia="宋体" w:cs="宋体"/>
                <w:color w:val="auto"/>
                <w:highlight w:val="none"/>
              </w:rPr>
            </w:pPr>
          </w:p>
        </w:tc>
      </w:tr>
      <w:tr w14:paraId="690D7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Pr>
          <w:p w14:paraId="7DD1CD42">
            <w:pPr>
              <w:jc w:val="center"/>
              <w:rPr>
                <w:rFonts w:hint="eastAsia" w:ascii="宋体" w:hAnsi="宋体" w:eastAsia="宋体" w:cs="宋体"/>
                <w:color w:val="auto"/>
                <w:highlight w:val="none"/>
              </w:rPr>
            </w:pPr>
          </w:p>
        </w:tc>
        <w:tc>
          <w:tcPr>
            <w:tcW w:w="6872" w:type="dxa"/>
            <w:gridSpan w:val="7"/>
            <w:vAlign w:val="center"/>
          </w:tcPr>
          <w:p w14:paraId="702E0F06">
            <w:pPr>
              <w:jc w:val="center"/>
              <w:rPr>
                <w:rFonts w:hint="eastAsia" w:ascii="宋体" w:hAnsi="宋体" w:eastAsia="宋体" w:cs="宋体"/>
                <w:color w:val="auto"/>
                <w:highlight w:val="none"/>
              </w:rPr>
            </w:pPr>
            <w:r>
              <w:rPr>
                <w:rFonts w:hint="eastAsia" w:ascii="宋体" w:hAnsi="宋体" w:eastAsia="宋体" w:cs="宋体"/>
                <w:color w:val="auto"/>
                <w:highlight w:val="none"/>
              </w:rPr>
              <w:t>合计报价</w:t>
            </w:r>
          </w:p>
        </w:tc>
        <w:tc>
          <w:tcPr>
            <w:tcW w:w="851" w:type="dxa"/>
            <w:vAlign w:val="center"/>
          </w:tcPr>
          <w:p w14:paraId="4FC8DADC">
            <w:pPr>
              <w:jc w:val="center"/>
              <w:rPr>
                <w:rFonts w:hint="eastAsia" w:ascii="宋体" w:hAnsi="宋体" w:eastAsia="宋体" w:cs="宋体"/>
                <w:color w:val="auto"/>
                <w:highlight w:val="none"/>
              </w:rPr>
            </w:pPr>
          </w:p>
        </w:tc>
        <w:tc>
          <w:tcPr>
            <w:tcW w:w="1494" w:type="dxa"/>
            <w:vAlign w:val="center"/>
          </w:tcPr>
          <w:p w14:paraId="28F0E59F">
            <w:pPr>
              <w:jc w:val="center"/>
              <w:rPr>
                <w:rFonts w:hint="eastAsia" w:ascii="宋体" w:hAnsi="宋体" w:eastAsia="宋体" w:cs="宋体"/>
                <w:color w:val="auto"/>
                <w:highlight w:val="none"/>
              </w:rPr>
            </w:pPr>
          </w:p>
        </w:tc>
      </w:tr>
    </w:tbl>
    <w:p w14:paraId="37F5DB28">
      <w:pPr>
        <w:spacing w:line="360" w:lineRule="auto"/>
        <w:rPr>
          <w:rFonts w:hint="eastAsia" w:ascii="宋体" w:hAnsi="宋体" w:eastAsia="宋体" w:cs="宋体"/>
          <w:color w:val="auto"/>
          <w:highlight w:val="none"/>
        </w:rPr>
      </w:pPr>
    </w:p>
    <w:p w14:paraId="67BEDCE5">
      <w:pPr>
        <w:rPr>
          <w:rFonts w:hint="eastAsia" w:ascii="宋体" w:hAnsi="宋体" w:eastAsia="宋体" w:cs="宋体"/>
          <w:color w:val="auto"/>
          <w:highlight w:val="none"/>
        </w:rPr>
      </w:pPr>
      <w:r>
        <w:rPr>
          <w:rFonts w:hint="eastAsia" w:ascii="宋体" w:hAnsi="宋体" w:eastAsia="宋体" w:cs="宋体"/>
          <w:color w:val="auto"/>
          <w:highlight w:val="none"/>
        </w:rPr>
        <w:t>注：此表中无需详列货物技术参数。</w:t>
      </w:r>
      <w:r>
        <w:rPr>
          <w:rFonts w:hint="eastAsia" w:ascii="宋体" w:hAnsi="宋体" w:eastAsia="宋体" w:cs="宋体"/>
          <w:color w:val="auto"/>
          <w:highlight w:val="none"/>
        </w:rPr>
        <w:br w:type="page"/>
      </w:r>
    </w:p>
    <w:p w14:paraId="202D1EE6">
      <w:pPr>
        <w:pStyle w:val="5"/>
        <w:spacing w:before="120" w:beforeLines="50" w:after="120" w:afterLines="50" w:line="70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九、响应方案</w:t>
      </w:r>
    </w:p>
    <w:p w14:paraId="2D37D666">
      <w:pPr>
        <w:spacing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（一）货物质量标准或技术性能指标的详细表述</w:t>
      </w:r>
    </w:p>
    <w:p w14:paraId="7FA90396">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如所投产品品牌（如有）、规格型号、技术参数、产品（零部件）实物彩色图片等，格式自拟。</w:t>
      </w:r>
    </w:p>
    <w:p w14:paraId="646092F1">
      <w:pPr>
        <w:spacing w:line="360" w:lineRule="auto"/>
        <w:jc w:val="left"/>
        <w:rPr>
          <w:rFonts w:hint="eastAsia" w:ascii="宋体" w:hAnsi="宋体" w:eastAsia="宋体" w:cs="宋体"/>
          <w:color w:val="auto"/>
          <w:highlight w:val="none"/>
        </w:rPr>
      </w:pPr>
    </w:p>
    <w:p w14:paraId="150B7EBA">
      <w:pPr>
        <w:spacing w:line="360" w:lineRule="auto"/>
        <w:jc w:val="left"/>
        <w:rPr>
          <w:rFonts w:hint="eastAsia" w:ascii="宋体" w:hAnsi="宋体" w:eastAsia="宋体" w:cs="宋体"/>
          <w:color w:val="auto"/>
          <w:highlight w:val="none"/>
        </w:rPr>
      </w:pPr>
    </w:p>
    <w:p w14:paraId="623532D9">
      <w:pPr>
        <w:spacing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（二）技术支持资料</w:t>
      </w:r>
    </w:p>
    <w:p w14:paraId="27B947F6">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如检测报告（如有）、相关证书（如有）、必要的产品说明书（如有）、合格证（如有）等。</w:t>
      </w:r>
    </w:p>
    <w:p w14:paraId="5D90AADA">
      <w:pPr>
        <w:spacing w:line="360" w:lineRule="auto"/>
        <w:jc w:val="left"/>
        <w:rPr>
          <w:rFonts w:hint="eastAsia" w:ascii="宋体" w:hAnsi="宋体" w:eastAsia="宋体" w:cs="宋体"/>
          <w:color w:val="auto"/>
          <w:highlight w:val="none"/>
        </w:rPr>
      </w:pPr>
    </w:p>
    <w:p w14:paraId="12108DB4">
      <w:pPr>
        <w:spacing w:line="360" w:lineRule="auto"/>
        <w:jc w:val="left"/>
        <w:rPr>
          <w:rFonts w:hint="eastAsia" w:ascii="宋体" w:hAnsi="宋体" w:eastAsia="宋体" w:cs="宋体"/>
          <w:color w:val="auto"/>
          <w:highlight w:val="none"/>
        </w:rPr>
      </w:pPr>
    </w:p>
    <w:p w14:paraId="2A5429B9">
      <w:pPr>
        <w:spacing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（三）相关服务计划</w:t>
      </w:r>
    </w:p>
    <w:p w14:paraId="4B298D7B">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包含但不限于以下内容</w:t>
      </w:r>
    </w:p>
    <w:p w14:paraId="3CD7FA3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1、服务方案</w:t>
      </w:r>
    </w:p>
    <w:p w14:paraId="21931F3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2、重点和难点理解及分析</w:t>
      </w:r>
    </w:p>
    <w:p w14:paraId="2F27BE4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3、项目工作时间、进度计划、组织实施流程及保障措施</w:t>
      </w:r>
    </w:p>
    <w:p w14:paraId="6EF5EB4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4、服务承诺及保障措施</w:t>
      </w:r>
    </w:p>
    <w:p w14:paraId="4524B56A">
      <w:pPr>
        <w:spacing w:line="360" w:lineRule="auto"/>
        <w:jc w:val="left"/>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br w:type="page"/>
      </w:r>
    </w:p>
    <w:p w14:paraId="2C506D04">
      <w:pPr>
        <w:pStyle w:val="5"/>
        <w:spacing w:before="120" w:beforeLines="50" w:after="120" w:afterLines="50" w:line="70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十、其他资料</w:t>
      </w:r>
    </w:p>
    <w:p w14:paraId="2472ED33">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竞争性磋商文件要求或</w:t>
      </w:r>
      <w:r>
        <w:rPr>
          <w:rFonts w:hint="eastAsia" w:ascii="宋体" w:hAnsi="宋体" w:eastAsia="宋体" w:cs="宋体"/>
          <w:color w:val="auto"/>
          <w:highlight w:val="none"/>
        </w:rPr>
        <w:t>供应商认为需要提交的其他资料，有格式的按照要求填写，无格式的自拟。</w:t>
      </w:r>
    </w:p>
    <w:p w14:paraId="68028096">
      <w:pPr>
        <w:spacing w:line="360" w:lineRule="auto"/>
        <w:ind w:firstLine="482" w:firstLineChars="200"/>
        <w:jc w:val="left"/>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br w:type="page"/>
      </w:r>
    </w:p>
    <w:p w14:paraId="36009E3F">
      <w:pPr>
        <w:pStyle w:val="5"/>
        <w:spacing w:before="120" w:beforeLines="50" w:after="120" w:afterLines="50" w:line="7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rPr>
        <w:t>：</w:t>
      </w:r>
    </w:p>
    <w:p w14:paraId="62E643A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中小企业声明函</w:t>
      </w:r>
    </w:p>
    <w:p w14:paraId="36BD3AB3">
      <w:pPr>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本公司（联合体）郑重声明，根据《政府采购促进中小企业发展暂行办法》（财库〔2020〕46号）的规定，本公司（联合体）参加</w:t>
      </w:r>
      <w:r>
        <w:rPr>
          <w:rFonts w:hint="eastAsia" w:ascii="宋体" w:hAnsi="宋体" w:eastAsia="宋体" w:cs="宋体"/>
          <w:color w:val="auto"/>
          <w:highlight w:val="none"/>
          <w:u w:val="single"/>
        </w:rPr>
        <w:t xml:space="preserve"> （单位名称） </w:t>
      </w:r>
      <w:r>
        <w:rPr>
          <w:rFonts w:hint="eastAsia" w:ascii="宋体" w:hAnsi="宋体" w:eastAsia="宋体" w:cs="宋体"/>
          <w:color w:val="auto"/>
          <w:highlight w:val="none"/>
        </w:rPr>
        <w:t>的</w:t>
      </w:r>
      <w:r>
        <w:rPr>
          <w:rFonts w:hint="eastAsia" w:ascii="宋体" w:hAnsi="宋体" w:eastAsia="宋体" w:cs="宋体"/>
          <w:color w:val="auto"/>
          <w:highlight w:val="none"/>
          <w:u w:val="single"/>
        </w:rPr>
        <w:t xml:space="preserve"> （项目名称） </w:t>
      </w:r>
      <w:r>
        <w:rPr>
          <w:rFonts w:hint="eastAsia" w:ascii="宋体" w:hAnsi="宋体" w:eastAsia="宋体" w:cs="宋体"/>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1481BC3F">
      <w:pPr>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 xml:space="preserve"> （标的名称） </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行业</w:t>
      </w:r>
      <w:r>
        <w:rPr>
          <w:rFonts w:hint="eastAsia" w:ascii="宋体" w:hAnsi="宋体" w:eastAsia="宋体" w:cs="宋体"/>
          <w:color w:val="auto"/>
          <w:highlight w:val="none"/>
        </w:rPr>
        <w:t>；承接企业为</w:t>
      </w:r>
      <w:r>
        <w:rPr>
          <w:rFonts w:hint="eastAsia" w:ascii="宋体" w:hAnsi="宋体" w:eastAsia="宋体" w:cs="宋体"/>
          <w:color w:val="auto"/>
          <w:highlight w:val="none"/>
          <w:u w:val="single"/>
        </w:rPr>
        <w:t xml:space="preserve"> （企业名称） </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Style w:val="47"/>
          <w:rFonts w:hint="eastAsia" w:ascii="宋体" w:hAnsi="宋体" w:eastAsia="宋体" w:cs="宋体"/>
          <w:color w:val="auto"/>
          <w:highlight w:val="none"/>
        </w:rPr>
        <w:footnoteReference w:id="0"/>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（中型企业、小型企业、 微型企业）</w:t>
      </w:r>
      <w:r>
        <w:rPr>
          <w:rFonts w:hint="eastAsia" w:ascii="宋体" w:hAnsi="宋体" w:eastAsia="宋体" w:cs="宋体"/>
          <w:color w:val="auto"/>
          <w:highlight w:val="none"/>
        </w:rPr>
        <w:t>；</w:t>
      </w:r>
    </w:p>
    <w:p w14:paraId="501F80D9">
      <w:pPr>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 xml:space="preserve"> （标的名称） </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行业</w:t>
      </w:r>
      <w:r>
        <w:rPr>
          <w:rFonts w:hint="eastAsia" w:ascii="宋体" w:hAnsi="宋体" w:eastAsia="宋体" w:cs="宋体"/>
          <w:color w:val="auto"/>
          <w:highlight w:val="none"/>
        </w:rPr>
        <w:t>；承接企业为</w:t>
      </w:r>
      <w:r>
        <w:rPr>
          <w:rFonts w:hint="eastAsia" w:ascii="宋体" w:hAnsi="宋体" w:eastAsia="宋体" w:cs="宋体"/>
          <w:color w:val="auto"/>
          <w:highlight w:val="none"/>
          <w:u w:val="single"/>
        </w:rPr>
        <w:t xml:space="preserve"> （企业名称） </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（中型企业、小型企业、 微型企业）</w:t>
      </w:r>
      <w:r>
        <w:rPr>
          <w:rFonts w:hint="eastAsia" w:ascii="宋体" w:hAnsi="宋体" w:eastAsia="宋体" w:cs="宋体"/>
          <w:color w:val="auto"/>
          <w:highlight w:val="none"/>
        </w:rPr>
        <w:t>；</w:t>
      </w:r>
    </w:p>
    <w:p w14:paraId="639ED501">
      <w:pPr>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w:t>
      </w:r>
    </w:p>
    <w:p w14:paraId="5F5E6ED6">
      <w:pPr>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44CF0206">
      <w:pPr>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本企业对上述声明内容的真实性负责。如有虚假，将依法承担相应责任。</w:t>
      </w:r>
    </w:p>
    <w:p w14:paraId="548D8ACD">
      <w:pPr>
        <w:spacing w:line="480" w:lineRule="auto"/>
        <w:ind w:firstLine="420" w:firstLineChars="200"/>
        <w:rPr>
          <w:rFonts w:hint="eastAsia" w:ascii="宋体" w:hAnsi="宋体" w:eastAsia="宋体" w:cs="宋体"/>
          <w:color w:val="auto"/>
          <w:highlight w:val="none"/>
        </w:rPr>
      </w:pPr>
    </w:p>
    <w:p w14:paraId="5512C685">
      <w:pPr>
        <w:spacing w:line="480" w:lineRule="auto"/>
        <w:ind w:firstLine="420" w:firstLineChars="200"/>
        <w:rPr>
          <w:rFonts w:hint="eastAsia" w:ascii="宋体" w:hAnsi="宋体" w:eastAsia="宋体" w:cs="宋体"/>
          <w:color w:val="auto"/>
          <w:highlight w:val="none"/>
        </w:rPr>
      </w:pPr>
    </w:p>
    <w:p w14:paraId="4C56B34F">
      <w:pPr>
        <w:wordWrap w:val="0"/>
        <w:spacing w:line="48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企业名称（</w:t>
      </w:r>
      <w:r>
        <w:rPr>
          <w:rFonts w:hint="eastAsia" w:ascii="宋体" w:hAnsi="宋体" w:eastAsia="宋体" w:cs="宋体"/>
          <w:color w:val="auto"/>
          <w:highlight w:val="none"/>
          <w:u w:val="single"/>
        </w:rPr>
        <w:t>电子签章</w:t>
      </w:r>
      <w:r>
        <w:rPr>
          <w:rFonts w:hint="eastAsia" w:ascii="宋体" w:hAnsi="宋体" w:eastAsia="宋体" w:cs="宋体"/>
          <w:color w:val="auto"/>
          <w:highlight w:val="none"/>
        </w:rPr>
        <w:t xml:space="preserve">）：                </w:t>
      </w:r>
    </w:p>
    <w:p w14:paraId="3529B31E">
      <w:pPr>
        <w:wordWrap w:val="0"/>
        <w:spacing w:line="48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日 期：                          </w:t>
      </w:r>
    </w:p>
    <w:p w14:paraId="1BC96270">
      <w:pPr>
        <w:spacing w:line="480" w:lineRule="auto"/>
        <w:rPr>
          <w:rFonts w:hint="eastAsia" w:ascii="宋体" w:hAnsi="宋体" w:eastAsia="宋体" w:cs="宋体"/>
          <w:color w:val="auto"/>
          <w:highlight w:val="none"/>
        </w:rPr>
      </w:pPr>
    </w:p>
    <w:p w14:paraId="17D222AE">
      <w:pPr>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3892554">
      <w:pPr>
        <w:pStyle w:val="5"/>
        <w:spacing w:before="120" w:beforeLines="50" w:after="120" w:afterLines="50" w:line="7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附件二：</w:t>
      </w:r>
    </w:p>
    <w:p w14:paraId="6F6A0997">
      <w:pPr>
        <w:spacing w:line="360" w:lineRule="auto"/>
        <w:rPr>
          <w:rFonts w:hint="eastAsia" w:ascii="宋体" w:hAnsi="宋体" w:eastAsia="宋体" w:cs="宋体"/>
          <w:color w:val="auto"/>
          <w:highlight w:val="none"/>
        </w:rPr>
      </w:pPr>
    </w:p>
    <w:p w14:paraId="51FECC48">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残疾人福利性单位声明函</w:t>
      </w:r>
    </w:p>
    <w:p w14:paraId="36EFCBA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单位的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项目采购活动提供本单位制造的货物（由本单位承担工程/提供服务），或者提供其他残疾人福利性单位制造的货物（不包括使用非残疾人福利性单位注册商标的货物）。</w:t>
      </w:r>
    </w:p>
    <w:p w14:paraId="2865D72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65FB1608">
      <w:pPr>
        <w:spacing w:line="360" w:lineRule="auto"/>
        <w:rPr>
          <w:rFonts w:hint="eastAsia" w:ascii="宋体" w:hAnsi="宋体" w:eastAsia="宋体" w:cs="宋体"/>
          <w:color w:val="auto"/>
          <w:highlight w:val="none"/>
        </w:rPr>
      </w:pPr>
    </w:p>
    <w:p w14:paraId="6C891336">
      <w:pPr>
        <w:spacing w:line="360" w:lineRule="auto"/>
        <w:rPr>
          <w:rFonts w:hint="eastAsia" w:ascii="宋体" w:hAnsi="宋体" w:eastAsia="宋体" w:cs="宋体"/>
          <w:color w:val="auto"/>
          <w:highlight w:val="none"/>
        </w:rPr>
      </w:pPr>
    </w:p>
    <w:p w14:paraId="61B2E471">
      <w:pPr>
        <w:spacing w:line="360" w:lineRule="auto"/>
        <w:ind w:right="420"/>
        <w:jc w:val="right"/>
        <w:rPr>
          <w:rFonts w:hint="eastAsia" w:ascii="宋体" w:hAnsi="宋体" w:eastAsia="宋体" w:cs="宋体"/>
          <w:color w:val="auto"/>
          <w:highlight w:val="none"/>
        </w:rPr>
      </w:pPr>
      <w:r>
        <w:rPr>
          <w:rFonts w:hint="eastAsia" w:ascii="宋体" w:hAnsi="宋体" w:eastAsia="宋体" w:cs="宋体"/>
          <w:color w:val="auto"/>
          <w:highlight w:val="none"/>
        </w:rPr>
        <w:t>单位名称（</w:t>
      </w:r>
      <w:r>
        <w:rPr>
          <w:rFonts w:hint="eastAsia" w:ascii="宋体" w:hAnsi="宋体" w:eastAsia="宋体" w:cs="宋体"/>
          <w:color w:val="auto"/>
          <w:highlight w:val="none"/>
          <w:u w:val="single"/>
        </w:rPr>
        <w:t>电子签章</w:t>
      </w:r>
      <w:r>
        <w:rPr>
          <w:rFonts w:hint="eastAsia" w:ascii="宋体" w:hAnsi="宋体" w:eastAsia="宋体" w:cs="宋体"/>
          <w:color w:val="auto"/>
          <w:highlight w:val="none"/>
        </w:rPr>
        <w:t xml:space="preserve">）：                </w:t>
      </w:r>
    </w:p>
    <w:p w14:paraId="26F2BD8F">
      <w:pPr>
        <w:spacing w:line="360" w:lineRule="auto"/>
        <w:ind w:right="84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日  期：                         </w:t>
      </w:r>
      <w:r>
        <w:rPr>
          <w:rFonts w:hint="eastAsia" w:ascii="宋体" w:hAnsi="宋体" w:eastAsia="宋体" w:cs="宋体"/>
          <w:color w:val="auto"/>
          <w:highlight w:val="none"/>
        </w:rPr>
        <w:br w:type="page"/>
      </w:r>
    </w:p>
    <w:p w14:paraId="495EF01D">
      <w:pPr>
        <w:pStyle w:val="5"/>
        <w:spacing w:before="120" w:beforeLines="50" w:after="120" w:afterLines="50" w:line="7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附件三：</w:t>
      </w:r>
    </w:p>
    <w:p w14:paraId="5A2E6838">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监狱企业证明文件</w:t>
      </w:r>
    </w:p>
    <w:p w14:paraId="4161047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1F4EDB9">
      <w:pPr>
        <w:spacing w:line="360" w:lineRule="auto"/>
        <w:jc w:val="left"/>
        <w:rPr>
          <w:rFonts w:hint="eastAsia" w:ascii="宋体" w:hAnsi="宋体" w:eastAsia="宋体" w:cs="宋体"/>
          <w:b/>
          <w:bCs/>
          <w:color w:val="auto"/>
          <w:sz w:val="24"/>
          <w:szCs w:val="28"/>
          <w:highlight w:val="none"/>
        </w:rPr>
      </w:pPr>
    </w:p>
    <w:p w14:paraId="50C3A5EF">
      <w:pPr>
        <w:spacing w:line="360" w:lineRule="auto"/>
        <w:rPr>
          <w:rFonts w:hint="eastAsia" w:ascii="宋体" w:hAnsi="宋体" w:eastAsia="宋体" w:cs="宋体"/>
          <w:color w:val="auto"/>
          <w:highlight w:val="none"/>
        </w:rPr>
      </w:pPr>
    </w:p>
    <w:sectPr>
      <w:pgSz w:w="11906" w:h="16838"/>
      <w:pgMar w:top="1418" w:right="1191" w:bottom="1418" w:left="1191" w:header="992" w:footer="964" w:gutter="0"/>
      <w:pgNumType w:fmt="numberInDash"/>
      <w:cols w:space="425" w:num="1"/>
      <w:docGrid w:linePitch="326" w:charSpace="4833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C3245">
    <w:pPr>
      <w:pStyle w:val="27"/>
      <w:pBdr>
        <w:top w:val="thinThickSmallGap" w:color="622423" w:sz="24" w:space="0"/>
      </w:pBdr>
      <w:tabs>
        <w:tab w:val="clear" w:pos="4153"/>
        <w:tab w:val="clear" w:pos="8306"/>
      </w:tabs>
      <w:rPr>
        <w:rFonts w:ascii="Times New Roman" w:hAnsi="Times New Roman" w:eastAsia="黑体"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01444">
    <w:pPr>
      <w:pStyle w:val="27"/>
      <w:pBdr>
        <w:top w:val="thinThickSmallGap" w:color="622423" w:sz="24" w:space="0"/>
      </w:pBdr>
      <w:tabs>
        <w:tab w:val="clear" w:pos="4153"/>
        <w:tab w:val="clear" w:pos="8306"/>
      </w:tabs>
      <w:rPr>
        <w:rFonts w:ascii="Times New Roman" w:hAnsi="Times New Roman" w:eastAsia="黑体" w:cs="Times New Roman"/>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FC5D1">
    <w:pPr>
      <w:pStyle w:val="27"/>
      <w:pBdr>
        <w:top w:val="thinThickSmallGap" w:color="622423" w:sz="24" w:space="0"/>
      </w:pBdr>
      <w:tabs>
        <w:tab w:val="clear" w:pos="4153"/>
        <w:tab w:val="clear" w:pos="8306"/>
      </w:tabs>
      <w:rPr>
        <w:rFonts w:ascii="Times New Roman" w:hAnsi="Times New Roman" w:eastAsia="黑体" w:cs="Times New Roman"/>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3255D1">
                          <w:pPr>
                            <w:pStyle w:val="27"/>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23255D1">
                    <w:pPr>
                      <w:pStyle w:val="27"/>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F8DCD">
    <w:pPr>
      <w:pStyle w:val="27"/>
      <w:pBdr>
        <w:top w:val="thinThickSmallGap" w:color="622423" w:sz="24" w:space="0"/>
      </w:pBdr>
      <w:tabs>
        <w:tab w:val="clear" w:pos="4153"/>
        <w:tab w:val="clear" w:pos="8306"/>
      </w:tabs>
      <w:rPr>
        <w:rFonts w:ascii="Times New Roman" w:hAnsi="Times New Roman" w:eastAsia="黑体"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BD5FDD">
                          <w:pPr>
                            <w:pStyle w:val="27"/>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0BD5FDD">
                    <w:pPr>
                      <w:pStyle w:val="27"/>
                    </w:pPr>
                    <w:r>
                      <w:fldChar w:fldCharType="begin"/>
                    </w:r>
                    <w:r>
                      <w:instrText xml:space="preserve"> PAGE  \* MERGEFORMAT </w:instrText>
                    </w:r>
                    <w:r>
                      <w:fldChar w:fldCharType="separate"/>
                    </w:r>
                    <w:r>
                      <w:t>ii</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F0200">
    <w:pPr>
      <w:pStyle w:val="2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0FCFA1">
                          <w:pPr>
                            <w:pStyle w:val="27"/>
                          </w:pPr>
                          <w:r>
                            <w:fldChar w:fldCharType="begin"/>
                          </w:r>
                          <w:r>
                            <w:instrText xml:space="preserve"> PAGE  \* MERGEFORMAT </w:instrText>
                          </w:r>
                          <w:r>
                            <w:fldChar w:fldCharType="separate"/>
                          </w:r>
                          <w:r>
                            <w:t>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60FCFA1">
                    <w:pPr>
                      <w:pStyle w:val="27"/>
                    </w:pPr>
                    <w:r>
                      <w:fldChar w:fldCharType="begin"/>
                    </w:r>
                    <w:r>
                      <w:instrText xml:space="preserve"> PAGE  \* MERGEFORMAT </w:instrText>
                    </w:r>
                    <w:r>
                      <w:fldChar w:fldCharType="separate"/>
                    </w:r>
                    <w:r>
                      <w:t>v</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87102">
    <w:pPr>
      <w:pStyle w:val="2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F802A4">
                          <w:pPr>
                            <w:pStyle w:val="27"/>
                          </w:pPr>
                          <w:r>
                            <w:fldChar w:fldCharType="begin"/>
                          </w:r>
                          <w:r>
                            <w:instrText xml:space="preserve"> PAGE  \* MERGEFORMAT </w:instrText>
                          </w:r>
                          <w:r>
                            <w:fldChar w:fldCharType="separate"/>
                          </w:r>
                          <w:r>
                            <w:t>iv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EF802A4">
                    <w:pPr>
                      <w:pStyle w:val="27"/>
                    </w:pPr>
                    <w:r>
                      <w:fldChar w:fldCharType="begin"/>
                    </w:r>
                    <w:r>
                      <w:instrText xml:space="preserve"> PAGE  \* MERGEFORMAT </w:instrText>
                    </w:r>
                    <w:r>
                      <w:fldChar w:fldCharType="separate"/>
                    </w:r>
                    <w:r>
                      <w:t>iv</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812A0">
    <w:pPr>
      <w:pStyle w:val="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80043451" name="文本框 8800434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0D7DDB">
                          <w:pPr>
                            <w:pStyle w:val="2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702qkzAgAAZQQAAA4AAAAAAAAAAQAgAAAAHwEAAGRycy9lMm9Eb2MueG1sUEsF&#10;BgAAAAAGAAYAWQEAAMQFAAAAAA==&#10;">
              <v:fill on="f" focussize="0,0"/>
              <v:stroke on="f" weight="0.5pt"/>
              <v:imagedata o:title=""/>
              <o:lock v:ext="edit" aspectratio="f"/>
              <v:textbox inset="0mm,0mm,0mm,0mm" style="mso-fit-shape-to-text:t;">
                <w:txbxContent>
                  <w:p w14:paraId="690D7DDB">
                    <w:pPr>
                      <w:pStyle w:val="2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DCCB7">
    <w:pPr>
      <w:pStyle w:val="27"/>
      <w:tabs>
        <w:tab w:val="center" w:pos="4620"/>
        <w:tab w:val="clear" w:pos="4153"/>
      </w:tabs>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FA1C14">
                          <w:pPr>
                            <w:pStyle w:val="27"/>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EFA1C14">
                    <w:pPr>
                      <w:pStyle w:val="27"/>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C50974A">
      <w:pPr>
        <w:pStyle w:val="32"/>
        <w:rPr>
          <w:rFonts w:hint="eastAsia" w:ascii="宋体" w:hAnsi="宋体"/>
        </w:rPr>
      </w:pPr>
      <w:r>
        <w:rPr>
          <w:rStyle w:val="47"/>
          <w:rFonts w:ascii="宋体" w:hAnsi="宋体"/>
        </w:rPr>
        <w:footnoteRef/>
      </w:r>
      <w:r>
        <w:rPr>
          <w:rFonts w:ascii="宋体" w:hAnsi="宋体"/>
        </w:rPr>
        <w:t xml:space="preserve"> </w:t>
      </w:r>
      <w:r>
        <w:rPr>
          <w:rFonts w:hint="eastAsia" w:ascii="宋体" w:hAnsi="宋体"/>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7A787">
    <w:pPr>
      <w:pStyle w:val="28"/>
      <w:pBdr>
        <w:bottom w:val="thickThinSmallGap" w:color="622423" w:sz="24" w:space="0"/>
      </w:pBdr>
      <w:tabs>
        <w:tab w:val="clear" w:pos="4153"/>
        <w:tab w:val="clear" w:pos="8306"/>
      </w:tabs>
      <w:ind w:firstLine="200" w:firstLineChars="100"/>
      <w:jc w:val="both"/>
      <w:rPr>
        <w:rFonts w:hint="eastAsia" w:ascii="华文新魏" w:eastAsia="华文新魏"/>
        <w:sz w:val="20"/>
        <w:szCs w:val="20"/>
      </w:rPr>
    </w:pPr>
    <w:r>
      <w:rPr>
        <w:rFonts w:hint="eastAsia" w:ascii="华文新魏" w:eastAsia="华文新魏"/>
        <w:sz w:val="20"/>
        <w:szCs w:val="20"/>
        <w:lang w:eastAsia="zh-CN"/>
      </w:rPr>
      <w:t>镇雄县2024年农作物秸秆综合利用重点县建设项目(秸秆腐熟剂采购及培训服务)</w:t>
    </w:r>
    <w:r>
      <w:rPr>
        <w:rFonts w:hint="eastAsia" w:ascii="华文新魏" w:eastAsia="华文新魏"/>
        <w:sz w:val="20"/>
        <w:szCs w:val="20"/>
      </w:rPr>
      <w:t xml:space="preserve"> </w:t>
    </w:r>
    <w:r>
      <w:rPr>
        <w:rFonts w:ascii="华文新魏" w:eastAsia="华文新魏"/>
        <w:sz w:val="20"/>
        <w:szCs w:val="20"/>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6194C">
    <w:pPr>
      <w:pStyle w:val="28"/>
      <w:pBdr>
        <w:bottom w:val="thickThinSmallGap" w:color="622423" w:sz="24" w:space="0"/>
      </w:pBdr>
      <w:tabs>
        <w:tab w:val="clear" w:pos="4153"/>
        <w:tab w:val="clear" w:pos="8306"/>
      </w:tabs>
      <w:ind w:firstLine="200" w:firstLineChars="100"/>
      <w:jc w:val="both"/>
      <w:rPr>
        <w:rFonts w:hint="eastAsia" w:ascii="华文新魏" w:eastAsia="华文新魏"/>
        <w:sz w:val="15"/>
        <w:szCs w:val="15"/>
      </w:rPr>
    </w:pPr>
    <w:r>
      <w:rPr>
        <w:rFonts w:hint="eastAsia" w:ascii="华文新魏" w:eastAsia="华文新魏"/>
        <w:sz w:val="20"/>
        <w:szCs w:val="20"/>
        <w:lang w:eastAsia="zh-CN"/>
      </w:rPr>
      <w:t>镇雄县2024年农作物秸秆综合利用重点县建设项目(秸秆腐熟剂采购及培训服务)</w:t>
    </w:r>
    <w:r>
      <w:rPr>
        <w:rFonts w:hint="eastAsia" w:ascii="华文新魏" w:eastAsia="华文新魏"/>
        <w:sz w:val="20"/>
        <w:szCs w:val="20"/>
      </w:rPr>
      <w:t xml:space="preserve"> </w:t>
    </w:r>
    <w:r>
      <w:rPr>
        <w:rFonts w:ascii="华文新魏" w:eastAsia="华文新魏"/>
        <w:sz w:val="20"/>
        <w:szCs w:val="20"/>
      </w:rPr>
      <w:t xml:space="preserve">  </w:t>
    </w:r>
    <w:r>
      <w:rPr>
        <w:rFonts w:hint="eastAsia" w:ascii="华文新魏" w:eastAsia="华文新魏"/>
        <w:sz w:val="20"/>
        <w:szCs w:val="20"/>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03827">
    <w:pPr>
      <w:pStyle w:val="28"/>
      <w:pBdr>
        <w:bottom w:val="thickThinSmallGap" w:color="622423" w:sz="24" w:space="0"/>
      </w:pBdr>
      <w:jc w:val="both"/>
      <w:rPr>
        <w:rFonts w:hint="eastAsia" w:ascii="华文行楷" w:eastAsia="华文行楷"/>
        <w:lang w:eastAsia="zh-CN"/>
      </w:rPr>
    </w:pPr>
    <w:r>
      <w:rPr>
        <w:rFonts w:hint="eastAsia" w:ascii="华文行楷" w:eastAsia="华文行楷"/>
      </w:rPr>
      <w:t>云南省昭通市基层防灾能力提升项目（</w:t>
    </w:r>
    <w:r>
      <w:rPr>
        <w:rFonts w:ascii="华文行楷" w:eastAsia="华文行楷"/>
      </w:rPr>
      <w:t xml:space="preserve">11-20标段）                    </w:t>
    </w:r>
    <w:r>
      <w:rPr>
        <w:rFonts w:hint="eastAsia" w:ascii="华文行楷" w:eastAsia="华文行楷"/>
      </w:rPr>
      <w:t xml:space="preserve">    </w:t>
    </w:r>
    <w:r>
      <w:rPr>
        <w:rFonts w:ascii="华文行楷" w:eastAsia="华文行楷"/>
      </w:rPr>
      <w:t xml:space="preserve">         </w:t>
    </w:r>
    <w:r>
      <w:rPr>
        <w:rFonts w:hint="eastAsia" w:ascii="华文行楷" w:eastAsia="华文行楷"/>
      </w:rPr>
      <w:t xml:space="preserve">                       </w:t>
    </w:r>
    <w:r>
      <w:rPr>
        <w:rFonts w:hint="eastAsia" w:ascii="华文行楷" w:eastAsia="华文行楷"/>
        <w:lang w:eastAsia="zh-CN"/>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7A0F6431"/>
    <w:multiLevelType w:val="singleLevel"/>
    <w:tmpl w:val="7A0F6431"/>
    <w:lvl w:ilvl="0" w:tentative="0">
      <w:start w:val="1"/>
      <w:numFmt w:val="decimal"/>
      <w:suff w:val="space"/>
      <w:lvlText w:val="%1."/>
      <w:lvlJc w:val="left"/>
    </w:lvl>
  </w:abstractNum>
  <w:num w:numId="1">
    <w:abstractNumId w:val="6"/>
  </w:num>
  <w:num w:numId="2">
    <w:abstractNumId w:val="1"/>
  </w:num>
  <w:num w:numId="3">
    <w:abstractNumId w:val="5"/>
  </w:num>
  <w:num w:numId="4">
    <w:abstractNumId w:val="3"/>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evenAndOddHeaders w:val="1"/>
  <w:drawingGridHorizontalSpacing w:val="238"/>
  <w:drawingGridVerticalSpacing w:val="163"/>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VjN2FmOGIyZDUyODgzYjA5Nzk2MWNkMGQ3ZDZmMGMifQ=="/>
  </w:docVars>
  <w:rsids>
    <w:rsidRoot w:val="00DE7F02"/>
    <w:rsid w:val="00000AF7"/>
    <w:rsid w:val="000040FB"/>
    <w:rsid w:val="000044F7"/>
    <w:rsid w:val="000046A3"/>
    <w:rsid w:val="000056F9"/>
    <w:rsid w:val="0001343F"/>
    <w:rsid w:val="00014774"/>
    <w:rsid w:val="000208EE"/>
    <w:rsid w:val="00022520"/>
    <w:rsid w:val="00024F39"/>
    <w:rsid w:val="000260D5"/>
    <w:rsid w:val="000333EF"/>
    <w:rsid w:val="00033C30"/>
    <w:rsid w:val="000446B9"/>
    <w:rsid w:val="0004718F"/>
    <w:rsid w:val="00047827"/>
    <w:rsid w:val="00052DED"/>
    <w:rsid w:val="00056A1E"/>
    <w:rsid w:val="00057750"/>
    <w:rsid w:val="000646D5"/>
    <w:rsid w:val="00067425"/>
    <w:rsid w:val="000700F9"/>
    <w:rsid w:val="000744E5"/>
    <w:rsid w:val="00075251"/>
    <w:rsid w:val="000918F7"/>
    <w:rsid w:val="00093B4B"/>
    <w:rsid w:val="000A2C91"/>
    <w:rsid w:val="000B1248"/>
    <w:rsid w:val="000C1204"/>
    <w:rsid w:val="000C6866"/>
    <w:rsid w:val="000E44AD"/>
    <w:rsid w:val="000F281E"/>
    <w:rsid w:val="000F539A"/>
    <w:rsid w:val="000F602D"/>
    <w:rsid w:val="0011066B"/>
    <w:rsid w:val="00121266"/>
    <w:rsid w:val="001250E2"/>
    <w:rsid w:val="00125709"/>
    <w:rsid w:val="001259EB"/>
    <w:rsid w:val="0013463E"/>
    <w:rsid w:val="00134F61"/>
    <w:rsid w:val="001405A2"/>
    <w:rsid w:val="0015079B"/>
    <w:rsid w:val="001513EC"/>
    <w:rsid w:val="00152857"/>
    <w:rsid w:val="00157647"/>
    <w:rsid w:val="0016204D"/>
    <w:rsid w:val="00170941"/>
    <w:rsid w:val="00176BF1"/>
    <w:rsid w:val="00176F3E"/>
    <w:rsid w:val="001830C6"/>
    <w:rsid w:val="0019051F"/>
    <w:rsid w:val="00190FBA"/>
    <w:rsid w:val="00195627"/>
    <w:rsid w:val="00196EC7"/>
    <w:rsid w:val="001A09BF"/>
    <w:rsid w:val="001A31FF"/>
    <w:rsid w:val="001A4228"/>
    <w:rsid w:val="001A5E8E"/>
    <w:rsid w:val="001A6BC5"/>
    <w:rsid w:val="001B0967"/>
    <w:rsid w:val="001B3C00"/>
    <w:rsid w:val="001B694B"/>
    <w:rsid w:val="001C51DE"/>
    <w:rsid w:val="001C5AA0"/>
    <w:rsid w:val="001D1F33"/>
    <w:rsid w:val="001D4DE5"/>
    <w:rsid w:val="001D5D54"/>
    <w:rsid w:val="001E6BE5"/>
    <w:rsid w:val="001F204E"/>
    <w:rsid w:val="001F5EB8"/>
    <w:rsid w:val="00215876"/>
    <w:rsid w:val="002221BE"/>
    <w:rsid w:val="002363FD"/>
    <w:rsid w:val="00237FBC"/>
    <w:rsid w:val="00237FD8"/>
    <w:rsid w:val="00240039"/>
    <w:rsid w:val="002402E1"/>
    <w:rsid w:val="00242039"/>
    <w:rsid w:val="00245E3F"/>
    <w:rsid w:val="002511B8"/>
    <w:rsid w:val="002535D2"/>
    <w:rsid w:val="0025785F"/>
    <w:rsid w:val="00261D34"/>
    <w:rsid w:val="0026323C"/>
    <w:rsid w:val="00263B1A"/>
    <w:rsid w:val="0026609A"/>
    <w:rsid w:val="00270027"/>
    <w:rsid w:val="002708D6"/>
    <w:rsid w:val="00281819"/>
    <w:rsid w:val="00281CBB"/>
    <w:rsid w:val="002829CB"/>
    <w:rsid w:val="0028326A"/>
    <w:rsid w:val="00286172"/>
    <w:rsid w:val="002872BF"/>
    <w:rsid w:val="00290190"/>
    <w:rsid w:val="00290680"/>
    <w:rsid w:val="002A7327"/>
    <w:rsid w:val="002B2489"/>
    <w:rsid w:val="002B653F"/>
    <w:rsid w:val="002C1E45"/>
    <w:rsid w:val="002C61E6"/>
    <w:rsid w:val="002D3F71"/>
    <w:rsid w:val="002D43B9"/>
    <w:rsid w:val="002D598A"/>
    <w:rsid w:val="002E0C26"/>
    <w:rsid w:val="002E2444"/>
    <w:rsid w:val="002E29AE"/>
    <w:rsid w:val="002E57DD"/>
    <w:rsid w:val="002E6CC6"/>
    <w:rsid w:val="002F12DB"/>
    <w:rsid w:val="002F16FB"/>
    <w:rsid w:val="002F625B"/>
    <w:rsid w:val="002F69D5"/>
    <w:rsid w:val="002F6CA2"/>
    <w:rsid w:val="002F7901"/>
    <w:rsid w:val="00303F6C"/>
    <w:rsid w:val="0031248C"/>
    <w:rsid w:val="00312BAB"/>
    <w:rsid w:val="00315F33"/>
    <w:rsid w:val="003175AD"/>
    <w:rsid w:val="00323471"/>
    <w:rsid w:val="00326A17"/>
    <w:rsid w:val="003309E2"/>
    <w:rsid w:val="00331D18"/>
    <w:rsid w:val="00341F14"/>
    <w:rsid w:val="00343A79"/>
    <w:rsid w:val="00343E66"/>
    <w:rsid w:val="00345D88"/>
    <w:rsid w:val="003462B2"/>
    <w:rsid w:val="003466C6"/>
    <w:rsid w:val="003471D0"/>
    <w:rsid w:val="00351DC3"/>
    <w:rsid w:val="00352BE7"/>
    <w:rsid w:val="00353988"/>
    <w:rsid w:val="00354CF5"/>
    <w:rsid w:val="0035755B"/>
    <w:rsid w:val="00363EA2"/>
    <w:rsid w:val="00366D2C"/>
    <w:rsid w:val="00375025"/>
    <w:rsid w:val="003800DC"/>
    <w:rsid w:val="00381338"/>
    <w:rsid w:val="00386ABC"/>
    <w:rsid w:val="00386B74"/>
    <w:rsid w:val="003A210E"/>
    <w:rsid w:val="003A3596"/>
    <w:rsid w:val="003A4C66"/>
    <w:rsid w:val="003A6466"/>
    <w:rsid w:val="003B4BBA"/>
    <w:rsid w:val="003C2DCC"/>
    <w:rsid w:val="003C4200"/>
    <w:rsid w:val="003D0AD0"/>
    <w:rsid w:val="003D6FA2"/>
    <w:rsid w:val="003E3836"/>
    <w:rsid w:val="003E38FA"/>
    <w:rsid w:val="003E471C"/>
    <w:rsid w:val="003E6829"/>
    <w:rsid w:val="003F3D12"/>
    <w:rsid w:val="003F3D7A"/>
    <w:rsid w:val="003F4737"/>
    <w:rsid w:val="00404ABF"/>
    <w:rsid w:val="0042431B"/>
    <w:rsid w:val="00436677"/>
    <w:rsid w:val="004368EA"/>
    <w:rsid w:val="004450AB"/>
    <w:rsid w:val="004457C6"/>
    <w:rsid w:val="00462CAA"/>
    <w:rsid w:val="00462E76"/>
    <w:rsid w:val="004647A1"/>
    <w:rsid w:val="0046735C"/>
    <w:rsid w:val="00467A2B"/>
    <w:rsid w:val="00472A90"/>
    <w:rsid w:val="0047748A"/>
    <w:rsid w:val="00482DDD"/>
    <w:rsid w:val="0049129F"/>
    <w:rsid w:val="00493F87"/>
    <w:rsid w:val="00497022"/>
    <w:rsid w:val="004A113F"/>
    <w:rsid w:val="004A3A1B"/>
    <w:rsid w:val="004A6E05"/>
    <w:rsid w:val="004B4C51"/>
    <w:rsid w:val="004B59AD"/>
    <w:rsid w:val="004C00D6"/>
    <w:rsid w:val="004C10D6"/>
    <w:rsid w:val="004C6A1E"/>
    <w:rsid w:val="004D59C3"/>
    <w:rsid w:val="004E3DE1"/>
    <w:rsid w:val="004E7EF9"/>
    <w:rsid w:val="004F3C8E"/>
    <w:rsid w:val="004F3CB4"/>
    <w:rsid w:val="005033A1"/>
    <w:rsid w:val="00514802"/>
    <w:rsid w:val="00516939"/>
    <w:rsid w:val="0051718D"/>
    <w:rsid w:val="00520C06"/>
    <w:rsid w:val="0052133A"/>
    <w:rsid w:val="005236F2"/>
    <w:rsid w:val="00525835"/>
    <w:rsid w:val="00525F16"/>
    <w:rsid w:val="00527277"/>
    <w:rsid w:val="00531292"/>
    <w:rsid w:val="005317F6"/>
    <w:rsid w:val="005334F7"/>
    <w:rsid w:val="00543786"/>
    <w:rsid w:val="00547F8B"/>
    <w:rsid w:val="005533B1"/>
    <w:rsid w:val="005544FA"/>
    <w:rsid w:val="0056041F"/>
    <w:rsid w:val="0056142E"/>
    <w:rsid w:val="0056481C"/>
    <w:rsid w:val="0056690A"/>
    <w:rsid w:val="00574D0F"/>
    <w:rsid w:val="00577C73"/>
    <w:rsid w:val="00583131"/>
    <w:rsid w:val="00585324"/>
    <w:rsid w:val="005865DE"/>
    <w:rsid w:val="005A1A3A"/>
    <w:rsid w:val="005A4D46"/>
    <w:rsid w:val="005A5C9A"/>
    <w:rsid w:val="005A7247"/>
    <w:rsid w:val="005B0CE1"/>
    <w:rsid w:val="005B0D3C"/>
    <w:rsid w:val="005B0EEF"/>
    <w:rsid w:val="005B4B67"/>
    <w:rsid w:val="005B6141"/>
    <w:rsid w:val="005C6A87"/>
    <w:rsid w:val="005D1401"/>
    <w:rsid w:val="005D2BE5"/>
    <w:rsid w:val="005D2E48"/>
    <w:rsid w:val="005D3FAE"/>
    <w:rsid w:val="005D689C"/>
    <w:rsid w:val="005E12C7"/>
    <w:rsid w:val="005E16C3"/>
    <w:rsid w:val="005E198C"/>
    <w:rsid w:val="005E57F0"/>
    <w:rsid w:val="005E7E8B"/>
    <w:rsid w:val="005F181D"/>
    <w:rsid w:val="005F2A8B"/>
    <w:rsid w:val="005F37F5"/>
    <w:rsid w:val="005F4B5E"/>
    <w:rsid w:val="005F78F6"/>
    <w:rsid w:val="006015AC"/>
    <w:rsid w:val="00610ED4"/>
    <w:rsid w:val="00612E39"/>
    <w:rsid w:val="00613480"/>
    <w:rsid w:val="00617D16"/>
    <w:rsid w:val="006211FB"/>
    <w:rsid w:val="006237B8"/>
    <w:rsid w:val="00631EF9"/>
    <w:rsid w:val="0063620F"/>
    <w:rsid w:val="006427AA"/>
    <w:rsid w:val="00651ED9"/>
    <w:rsid w:val="0065345B"/>
    <w:rsid w:val="006539E9"/>
    <w:rsid w:val="00664DFF"/>
    <w:rsid w:val="00664F4F"/>
    <w:rsid w:val="00673CDB"/>
    <w:rsid w:val="00674C56"/>
    <w:rsid w:val="00676062"/>
    <w:rsid w:val="006773A0"/>
    <w:rsid w:val="00680488"/>
    <w:rsid w:val="006840C8"/>
    <w:rsid w:val="006941D2"/>
    <w:rsid w:val="006B4411"/>
    <w:rsid w:val="006C7BDB"/>
    <w:rsid w:val="006D0055"/>
    <w:rsid w:val="006D3440"/>
    <w:rsid w:val="006D6FAC"/>
    <w:rsid w:val="006D79B0"/>
    <w:rsid w:val="006E0749"/>
    <w:rsid w:val="006E074D"/>
    <w:rsid w:val="006E6246"/>
    <w:rsid w:val="006F0E0C"/>
    <w:rsid w:val="006F3475"/>
    <w:rsid w:val="006F39F5"/>
    <w:rsid w:val="00703547"/>
    <w:rsid w:val="00705932"/>
    <w:rsid w:val="00706AA6"/>
    <w:rsid w:val="007176B1"/>
    <w:rsid w:val="007334E1"/>
    <w:rsid w:val="007368CE"/>
    <w:rsid w:val="00737100"/>
    <w:rsid w:val="007407A2"/>
    <w:rsid w:val="0074105E"/>
    <w:rsid w:val="0074255E"/>
    <w:rsid w:val="00743FE1"/>
    <w:rsid w:val="00744C35"/>
    <w:rsid w:val="0074635A"/>
    <w:rsid w:val="00746BC3"/>
    <w:rsid w:val="00750E51"/>
    <w:rsid w:val="007514B8"/>
    <w:rsid w:val="00754341"/>
    <w:rsid w:val="007576CD"/>
    <w:rsid w:val="007637F3"/>
    <w:rsid w:val="00764A49"/>
    <w:rsid w:val="00767446"/>
    <w:rsid w:val="00767C0E"/>
    <w:rsid w:val="00772269"/>
    <w:rsid w:val="00772C55"/>
    <w:rsid w:val="007736D0"/>
    <w:rsid w:val="0077388E"/>
    <w:rsid w:val="00780CF3"/>
    <w:rsid w:val="00782925"/>
    <w:rsid w:val="00783571"/>
    <w:rsid w:val="00784E7E"/>
    <w:rsid w:val="0078751B"/>
    <w:rsid w:val="00791BD2"/>
    <w:rsid w:val="007972E2"/>
    <w:rsid w:val="007975B8"/>
    <w:rsid w:val="007A4B44"/>
    <w:rsid w:val="007A7EF0"/>
    <w:rsid w:val="007B3D83"/>
    <w:rsid w:val="007B6445"/>
    <w:rsid w:val="007B7504"/>
    <w:rsid w:val="007C7AEE"/>
    <w:rsid w:val="007D0250"/>
    <w:rsid w:val="007D028C"/>
    <w:rsid w:val="007D20B6"/>
    <w:rsid w:val="007D3820"/>
    <w:rsid w:val="007D6C41"/>
    <w:rsid w:val="007E30C8"/>
    <w:rsid w:val="007E3859"/>
    <w:rsid w:val="007F65C2"/>
    <w:rsid w:val="008022C0"/>
    <w:rsid w:val="00802B5A"/>
    <w:rsid w:val="008106E8"/>
    <w:rsid w:val="0081218D"/>
    <w:rsid w:val="00825B20"/>
    <w:rsid w:val="00825E69"/>
    <w:rsid w:val="0083589D"/>
    <w:rsid w:val="00840B9C"/>
    <w:rsid w:val="00846A28"/>
    <w:rsid w:val="0085264D"/>
    <w:rsid w:val="00854684"/>
    <w:rsid w:val="00860BF6"/>
    <w:rsid w:val="008628A3"/>
    <w:rsid w:val="00862DCD"/>
    <w:rsid w:val="00865718"/>
    <w:rsid w:val="008724FA"/>
    <w:rsid w:val="0087343C"/>
    <w:rsid w:val="0088013F"/>
    <w:rsid w:val="0088057D"/>
    <w:rsid w:val="008A3FE5"/>
    <w:rsid w:val="008B1A7E"/>
    <w:rsid w:val="008B2F14"/>
    <w:rsid w:val="008B3855"/>
    <w:rsid w:val="008B7935"/>
    <w:rsid w:val="008C23D9"/>
    <w:rsid w:val="008C6E2F"/>
    <w:rsid w:val="008D0DD5"/>
    <w:rsid w:val="008D4570"/>
    <w:rsid w:val="008E09C4"/>
    <w:rsid w:val="008E1356"/>
    <w:rsid w:val="008E25A2"/>
    <w:rsid w:val="008E3EA3"/>
    <w:rsid w:val="008F7F5B"/>
    <w:rsid w:val="0090622A"/>
    <w:rsid w:val="009138D7"/>
    <w:rsid w:val="00922C5A"/>
    <w:rsid w:val="00924353"/>
    <w:rsid w:val="00927724"/>
    <w:rsid w:val="009311BF"/>
    <w:rsid w:val="00933611"/>
    <w:rsid w:val="0093675C"/>
    <w:rsid w:val="00942942"/>
    <w:rsid w:val="009531B1"/>
    <w:rsid w:val="00955BC3"/>
    <w:rsid w:val="00961886"/>
    <w:rsid w:val="00961D40"/>
    <w:rsid w:val="0096324F"/>
    <w:rsid w:val="00964086"/>
    <w:rsid w:val="00970470"/>
    <w:rsid w:val="00970912"/>
    <w:rsid w:val="00970BBC"/>
    <w:rsid w:val="00981932"/>
    <w:rsid w:val="00986776"/>
    <w:rsid w:val="00986BE0"/>
    <w:rsid w:val="009A0F6D"/>
    <w:rsid w:val="009A7EF2"/>
    <w:rsid w:val="009B1293"/>
    <w:rsid w:val="009B34D7"/>
    <w:rsid w:val="009B3671"/>
    <w:rsid w:val="009B73C1"/>
    <w:rsid w:val="009C1578"/>
    <w:rsid w:val="009C6E81"/>
    <w:rsid w:val="009C7F29"/>
    <w:rsid w:val="009D05BF"/>
    <w:rsid w:val="009D36D4"/>
    <w:rsid w:val="009D3C48"/>
    <w:rsid w:val="009D5762"/>
    <w:rsid w:val="009D60EB"/>
    <w:rsid w:val="009E1DAF"/>
    <w:rsid w:val="009E3353"/>
    <w:rsid w:val="009E69D8"/>
    <w:rsid w:val="009E7E36"/>
    <w:rsid w:val="00A16142"/>
    <w:rsid w:val="00A26E33"/>
    <w:rsid w:val="00A31A74"/>
    <w:rsid w:val="00A31FCF"/>
    <w:rsid w:val="00A3579A"/>
    <w:rsid w:val="00A5092F"/>
    <w:rsid w:val="00A51D46"/>
    <w:rsid w:val="00A55318"/>
    <w:rsid w:val="00A66E15"/>
    <w:rsid w:val="00A85994"/>
    <w:rsid w:val="00A941A2"/>
    <w:rsid w:val="00AA19D2"/>
    <w:rsid w:val="00AA54C5"/>
    <w:rsid w:val="00AA71AA"/>
    <w:rsid w:val="00AA758A"/>
    <w:rsid w:val="00AB4546"/>
    <w:rsid w:val="00AB67C8"/>
    <w:rsid w:val="00AB7BDE"/>
    <w:rsid w:val="00AB7F34"/>
    <w:rsid w:val="00AC533D"/>
    <w:rsid w:val="00AC6D49"/>
    <w:rsid w:val="00AC7526"/>
    <w:rsid w:val="00AD0772"/>
    <w:rsid w:val="00AD20A8"/>
    <w:rsid w:val="00AD259E"/>
    <w:rsid w:val="00AD4B0B"/>
    <w:rsid w:val="00AE0BEE"/>
    <w:rsid w:val="00AE32C4"/>
    <w:rsid w:val="00AE384E"/>
    <w:rsid w:val="00AE57DF"/>
    <w:rsid w:val="00AE6ECE"/>
    <w:rsid w:val="00AE7B36"/>
    <w:rsid w:val="00AF2C39"/>
    <w:rsid w:val="00AF43A5"/>
    <w:rsid w:val="00B02EC3"/>
    <w:rsid w:val="00B07F2C"/>
    <w:rsid w:val="00B112C9"/>
    <w:rsid w:val="00B13EBB"/>
    <w:rsid w:val="00B1564B"/>
    <w:rsid w:val="00B302FA"/>
    <w:rsid w:val="00B3355B"/>
    <w:rsid w:val="00B413DD"/>
    <w:rsid w:val="00B44530"/>
    <w:rsid w:val="00B45DBC"/>
    <w:rsid w:val="00B45E5E"/>
    <w:rsid w:val="00B55F15"/>
    <w:rsid w:val="00B561ED"/>
    <w:rsid w:val="00B604E4"/>
    <w:rsid w:val="00B627D5"/>
    <w:rsid w:val="00B66B5C"/>
    <w:rsid w:val="00B744DB"/>
    <w:rsid w:val="00B76B14"/>
    <w:rsid w:val="00B81A08"/>
    <w:rsid w:val="00B82BB4"/>
    <w:rsid w:val="00B91C53"/>
    <w:rsid w:val="00B96BE4"/>
    <w:rsid w:val="00BA2276"/>
    <w:rsid w:val="00BB0671"/>
    <w:rsid w:val="00BB3805"/>
    <w:rsid w:val="00BB5D10"/>
    <w:rsid w:val="00BC1D7D"/>
    <w:rsid w:val="00BC3592"/>
    <w:rsid w:val="00BC5745"/>
    <w:rsid w:val="00BC6B51"/>
    <w:rsid w:val="00BD2ADA"/>
    <w:rsid w:val="00BD4C35"/>
    <w:rsid w:val="00BD547B"/>
    <w:rsid w:val="00BE329D"/>
    <w:rsid w:val="00BE62FB"/>
    <w:rsid w:val="00C01B89"/>
    <w:rsid w:val="00C02D14"/>
    <w:rsid w:val="00C03878"/>
    <w:rsid w:val="00C0566E"/>
    <w:rsid w:val="00C07383"/>
    <w:rsid w:val="00C111A3"/>
    <w:rsid w:val="00C11506"/>
    <w:rsid w:val="00C120A4"/>
    <w:rsid w:val="00C34A0C"/>
    <w:rsid w:val="00C35C1F"/>
    <w:rsid w:val="00C3611F"/>
    <w:rsid w:val="00C377DA"/>
    <w:rsid w:val="00C408DA"/>
    <w:rsid w:val="00C47969"/>
    <w:rsid w:val="00C52D65"/>
    <w:rsid w:val="00C53D39"/>
    <w:rsid w:val="00C5646E"/>
    <w:rsid w:val="00C56C94"/>
    <w:rsid w:val="00C6384E"/>
    <w:rsid w:val="00C63B00"/>
    <w:rsid w:val="00C64901"/>
    <w:rsid w:val="00C67F31"/>
    <w:rsid w:val="00C707A7"/>
    <w:rsid w:val="00C77415"/>
    <w:rsid w:val="00C822FB"/>
    <w:rsid w:val="00C82BD6"/>
    <w:rsid w:val="00C851FE"/>
    <w:rsid w:val="00C8557A"/>
    <w:rsid w:val="00C86535"/>
    <w:rsid w:val="00C90557"/>
    <w:rsid w:val="00C91A83"/>
    <w:rsid w:val="00CA2498"/>
    <w:rsid w:val="00CA3EFA"/>
    <w:rsid w:val="00CA4693"/>
    <w:rsid w:val="00CB11C1"/>
    <w:rsid w:val="00CB1B68"/>
    <w:rsid w:val="00CB1DBF"/>
    <w:rsid w:val="00CB3983"/>
    <w:rsid w:val="00CB4AE0"/>
    <w:rsid w:val="00CB6872"/>
    <w:rsid w:val="00CC1209"/>
    <w:rsid w:val="00CC204E"/>
    <w:rsid w:val="00CC5E58"/>
    <w:rsid w:val="00CC705B"/>
    <w:rsid w:val="00CD79ED"/>
    <w:rsid w:val="00CE0393"/>
    <w:rsid w:val="00CE06AD"/>
    <w:rsid w:val="00CE1D71"/>
    <w:rsid w:val="00CE3A0D"/>
    <w:rsid w:val="00CE40C5"/>
    <w:rsid w:val="00CF1D4C"/>
    <w:rsid w:val="00CF283B"/>
    <w:rsid w:val="00CF3E01"/>
    <w:rsid w:val="00CF41C5"/>
    <w:rsid w:val="00CF766A"/>
    <w:rsid w:val="00D027CE"/>
    <w:rsid w:val="00D0640A"/>
    <w:rsid w:val="00D172E9"/>
    <w:rsid w:val="00D20C87"/>
    <w:rsid w:val="00D25120"/>
    <w:rsid w:val="00D25972"/>
    <w:rsid w:val="00D25D3C"/>
    <w:rsid w:val="00D2618A"/>
    <w:rsid w:val="00D262E2"/>
    <w:rsid w:val="00D33FC5"/>
    <w:rsid w:val="00D3433E"/>
    <w:rsid w:val="00D4029C"/>
    <w:rsid w:val="00D417B6"/>
    <w:rsid w:val="00D43B3E"/>
    <w:rsid w:val="00D44008"/>
    <w:rsid w:val="00D46AAF"/>
    <w:rsid w:val="00D52375"/>
    <w:rsid w:val="00D55527"/>
    <w:rsid w:val="00D6018C"/>
    <w:rsid w:val="00D62B7F"/>
    <w:rsid w:val="00D63F81"/>
    <w:rsid w:val="00D66B7E"/>
    <w:rsid w:val="00D70924"/>
    <w:rsid w:val="00D72E24"/>
    <w:rsid w:val="00D72FA4"/>
    <w:rsid w:val="00D77FE2"/>
    <w:rsid w:val="00D85D5E"/>
    <w:rsid w:val="00D93F9F"/>
    <w:rsid w:val="00D958B5"/>
    <w:rsid w:val="00DA1AB0"/>
    <w:rsid w:val="00DA2DD6"/>
    <w:rsid w:val="00DB6FB9"/>
    <w:rsid w:val="00DD07D9"/>
    <w:rsid w:val="00DD10E0"/>
    <w:rsid w:val="00DD3796"/>
    <w:rsid w:val="00DD4F2B"/>
    <w:rsid w:val="00DD5113"/>
    <w:rsid w:val="00DD6DCA"/>
    <w:rsid w:val="00DE0F4E"/>
    <w:rsid w:val="00DE503C"/>
    <w:rsid w:val="00DE7F02"/>
    <w:rsid w:val="00DF0CD3"/>
    <w:rsid w:val="00DF5386"/>
    <w:rsid w:val="00E0218D"/>
    <w:rsid w:val="00E10D66"/>
    <w:rsid w:val="00E10E08"/>
    <w:rsid w:val="00E143D7"/>
    <w:rsid w:val="00E16336"/>
    <w:rsid w:val="00E21092"/>
    <w:rsid w:val="00E24767"/>
    <w:rsid w:val="00E25431"/>
    <w:rsid w:val="00E30E4B"/>
    <w:rsid w:val="00E3106D"/>
    <w:rsid w:val="00E42DC3"/>
    <w:rsid w:val="00E4302B"/>
    <w:rsid w:val="00E5337F"/>
    <w:rsid w:val="00E5463C"/>
    <w:rsid w:val="00E546ED"/>
    <w:rsid w:val="00E60D13"/>
    <w:rsid w:val="00E6674E"/>
    <w:rsid w:val="00E71A4D"/>
    <w:rsid w:val="00E741E7"/>
    <w:rsid w:val="00E85649"/>
    <w:rsid w:val="00E85AD9"/>
    <w:rsid w:val="00E85D4C"/>
    <w:rsid w:val="00E867D0"/>
    <w:rsid w:val="00E86BB7"/>
    <w:rsid w:val="00E91892"/>
    <w:rsid w:val="00E9583B"/>
    <w:rsid w:val="00E96303"/>
    <w:rsid w:val="00E97100"/>
    <w:rsid w:val="00EA2BD6"/>
    <w:rsid w:val="00EA3B40"/>
    <w:rsid w:val="00EA49B2"/>
    <w:rsid w:val="00EA5C04"/>
    <w:rsid w:val="00EC0104"/>
    <w:rsid w:val="00EC13A9"/>
    <w:rsid w:val="00EC3961"/>
    <w:rsid w:val="00EC6ADE"/>
    <w:rsid w:val="00ED0222"/>
    <w:rsid w:val="00ED104B"/>
    <w:rsid w:val="00ED1C65"/>
    <w:rsid w:val="00ED2197"/>
    <w:rsid w:val="00ED4074"/>
    <w:rsid w:val="00ED4A97"/>
    <w:rsid w:val="00ED536E"/>
    <w:rsid w:val="00ED55B8"/>
    <w:rsid w:val="00EE2769"/>
    <w:rsid w:val="00EF1C3E"/>
    <w:rsid w:val="00F011CF"/>
    <w:rsid w:val="00F052C4"/>
    <w:rsid w:val="00F1407D"/>
    <w:rsid w:val="00F21C39"/>
    <w:rsid w:val="00F26E3B"/>
    <w:rsid w:val="00F27EE6"/>
    <w:rsid w:val="00F312C6"/>
    <w:rsid w:val="00F32602"/>
    <w:rsid w:val="00F34762"/>
    <w:rsid w:val="00F35D02"/>
    <w:rsid w:val="00F4137F"/>
    <w:rsid w:val="00F43FE5"/>
    <w:rsid w:val="00F4579B"/>
    <w:rsid w:val="00F50CE3"/>
    <w:rsid w:val="00F50E08"/>
    <w:rsid w:val="00F52E83"/>
    <w:rsid w:val="00F539D1"/>
    <w:rsid w:val="00F55260"/>
    <w:rsid w:val="00F57337"/>
    <w:rsid w:val="00F607F3"/>
    <w:rsid w:val="00F62666"/>
    <w:rsid w:val="00F65139"/>
    <w:rsid w:val="00F71A9B"/>
    <w:rsid w:val="00F86930"/>
    <w:rsid w:val="00F86ABC"/>
    <w:rsid w:val="00F86DCC"/>
    <w:rsid w:val="00F90AC4"/>
    <w:rsid w:val="00F93461"/>
    <w:rsid w:val="00F94809"/>
    <w:rsid w:val="00FB2104"/>
    <w:rsid w:val="00FB3A53"/>
    <w:rsid w:val="00FB4A4E"/>
    <w:rsid w:val="00FB5A35"/>
    <w:rsid w:val="00FC1F5B"/>
    <w:rsid w:val="00FC4AE2"/>
    <w:rsid w:val="00FC54A7"/>
    <w:rsid w:val="00FD19CC"/>
    <w:rsid w:val="00FD1C8F"/>
    <w:rsid w:val="00FD4A44"/>
    <w:rsid w:val="00FD66E2"/>
    <w:rsid w:val="00FE1093"/>
    <w:rsid w:val="00FE1D00"/>
    <w:rsid w:val="00FE293E"/>
    <w:rsid w:val="00FE4A83"/>
    <w:rsid w:val="00FF4113"/>
    <w:rsid w:val="00FF7EE1"/>
    <w:rsid w:val="014A102B"/>
    <w:rsid w:val="026B74AB"/>
    <w:rsid w:val="028D2302"/>
    <w:rsid w:val="02CD3CC1"/>
    <w:rsid w:val="03B5196C"/>
    <w:rsid w:val="04931CFB"/>
    <w:rsid w:val="049870FD"/>
    <w:rsid w:val="04C11604"/>
    <w:rsid w:val="051060E7"/>
    <w:rsid w:val="05A607FA"/>
    <w:rsid w:val="05DC3C2C"/>
    <w:rsid w:val="05ED06CF"/>
    <w:rsid w:val="06D5195E"/>
    <w:rsid w:val="07115AEA"/>
    <w:rsid w:val="072E0AA7"/>
    <w:rsid w:val="07465DF0"/>
    <w:rsid w:val="08DF5C37"/>
    <w:rsid w:val="08EE6740"/>
    <w:rsid w:val="09B24D00"/>
    <w:rsid w:val="0ACA2434"/>
    <w:rsid w:val="0AD025A1"/>
    <w:rsid w:val="0B5F56D3"/>
    <w:rsid w:val="0C0369A6"/>
    <w:rsid w:val="0F713BF0"/>
    <w:rsid w:val="0F9F0E23"/>
    <w:rsid w:val="10BD7CC8"/>
    <w:rsid w:val="112326E2"/>
    <w:rsid w:val="11800151"/>
    <w:rsid w:val="128C1930"/>
    <w:rsid w:val="13922D76"/>
    <w:rsid w:val="13C22CA3"/>
    <w:rsid w:val="150D619F"/>
    <w:rsid w:val="15722F53"/>
    <w:rsid w:val="163065E9"/>
    <w:rsid w:val="16691AFB"/>
    <w:rsid w:val="167E55A7"/>
    <w:rsid w:val="178560D7"/>
    <w:rsid w:val="178F7340"/>
    <w:rsid w:val="17A10E21"/>
    <w:rsid w:val="185D11EC"/>
    <w:rsid w:val="1B6073B6"/>
    <w:rsid w:val="1B7B34CC"/>
    <w:rsid w:val="1C427076"/>
    <w:rsid w:val="1C511068"/>
    <w:rsid w:val="1CB82E95"/>
    <w:rsid w:val="1D4E37F9"/>
    <w:rsid w:val="1D772D50"/>
    <w:rsid w:val="1D7B36F8"/>
    <w:rsid w:val="1D9629D5"/>
    <w:rsid w:val="1E05035C"/>
    <w:rsid w:val="1F134CFA"/>
    <w:rsid w:val="1F5A6485"/>
    <w:rsid w:val="1FD06747"/>
    <w:rsid w:val="20054643"/>
    <w:rsid w:val="20AA3F86"/>
    <w:rsid w:val="21022930"/>
    <w:rsid w:val="22D622C7"/>
    <w:rsid w:val="22EC725D"/>
    <w:rsid w:val="240D3AC6"/>
    <w:rsid w:val="25F00780"/>
    <w:rsid w:val="27F54F9D"/>
    <w:rsid w:val="28237D5C"/>
    <w:rsid w:val="293D4E4D"/>
    <w:rsid w:val="293E5DCA"/>
    <w:rsid w:val="29F86FC6"/>
    <w:rsid w:val="2A0D1E8A"/>
    <w:rsid w:val="2A9D5FA4"/>
    <w:rsid w:val="2AA65A79"/>
    <w:rsid w:val="2AC465CD"/>
    <w:rsid w:val="2AFE23BA"/>
    <w:rsid w:val="2B344D13"/>
    <w:rsid w:val="2C6646BB"/>
    <w:rsid w:val="2C7F752B"/>
    <w:rsid w:val="2D2C76B3"/>
    <w:rsid w:val="2DA14432"/>
    <w:rsid w:val="2DC6679F"/>
    <w:rsid w:val="2E67471B"/>
    <w:rsid w:val="2E6C1D31"/>
    <w:rsid w:val="2E7D4305"/>
    <w:rsid w:val="2E905A1F"/>
    <w:rsid w:val="2F627BF9"/>
    <w:rsid w:val="31EF0CAF"/>
    <w:rsid w:val="327A2C6E"/>
    <w:rsid w:val="32DC7485"/>
    <w:rsid w:val="34270EEA"/>
    <w:rsid w:val="34DC5DC5"/>
    <w:rsid w:val="35A10512"/>
    <w:rsid w:val="35AC38F8"/>
    <w:rsid w:val="3667175C"/>
    <w:rsid w:val="36981F10"/>
    <w:rsid w:val="36FF3742"/>
    <w:rsid w:val="37051EE1"/>
    <w:rsid w:val="37732382"/>
    <w:rsid w:val="383438BF"/>
    <w:rsid w:val="388136E7"/>
    <w:rsid w:val="38DC4FC6"/>
    <w:rsid w:val="392C0A3B"/>
    <w:rsid w:val="39700927"/>
    <w:rsid w:val="39790D03"/>
    <w:rsid w:val="39791514"/>
    <w:rsid w:val="39B27938"/>
    <w:rsid w:val="39D013C6"/>
    <w:rsid w:val="3A3A2CE3"/>
    <w:rsid w:val="3AA82343"/>
    <w:rsid w:val="3AD01494"/>
    <w:rsid w:val="3BA64AD4"/>
    <w:rsid w:val="3C1F6B18"/>
    <w:rsid w:val="3D126FA1"/>
    <w:rsid w:val="3DBC05DF"/>
    <w:rsid w:val="3DD43238"/>
    <w:rsid w:val="3E330175"/>
    <w:rsid w:val="3EA11583"/>
    <w:rsid w:val="3F3B28B8"/>
    <w:rsid w:val="4068633C"/>
    <w:rsid w:val="40BE01CA"/>
    <w:rsid w:val="42884F34"/>
    <w:rsid w:val="42962257"/>
    <w:rsid w:val="431A1904"/>
    <w:rsid w:val="43205EE7"/>
    <w:rsid w:val="43A26DAB"/>
    <w:rsid w:val="44550E45"/>
    <w:rsid w:val="45CD0EAF"/>
    <w:rsid w:val="45DB61A8"/>
    <w:rsid w:val="45F33C53"/>
    <w:rsid w:val="47330F0E"/>
    <w:rsid w:val="479F7448"/>
    <w:rsid w:val="484E4529"/>
    <w:rsid w:val="48817AFF"/>
    <w:rsid w:val="488A2442"/>
    <w:rsid w:val="49104DA4"/>
    <w:rsid w:val="491F5ACD"/>
    <w:rsid w:val="49725FF6"/>
    <w:rsid w:val="4A080708"/>
    <w:rsid w:val="4A1452FF"/>
    <w:rsid w:val="4A5120AF"/>
    <w:rsid w:val="4A6242BC"/>
    <w:rsid w:val="4B1C090F"/>
    <w:rsid w:val="4B315A3D"/>
    <w:rsid w:val="4BAB1C93"/>
    <w:rsid w:val="4C43011D"/>
    <w:rsid w:val="4C781F8E"/>
    <w:rsid w:val="4DF55447"/>
    <w:rsid w:val="4E6E5290"/>
    <w:rsid w:val="4F806F93"/>
    <w:rsid w:val="4F8151E4"/>
    <w:rsid w:val="4FF46602"/>
    <w:rsid w:val="503009B9"/>
    <w:rsid w:val="503A5393"/>
    <w:rsid w:val="517270CE"/>
    <w:rsid w:val="521A1E5E"/>
    <w:rsid w:val="528257B0"/>
    <w:rsid w:val="54322F51"/>
    <w:rsid w:val="54C7485B"/>
    <w:rsid w:val="551B5EE4"/>
    <w:rsid w:val="558D41B7"/>
    <w:rsid w:val="559A6030"/>
    <w:rsid w:val="55BE410B"/>
    <w:rsid w:val="55F21507"/>
    <w:rsid w:val="56513437"/>
    <w:rsid w:val="566969D2"/>
    <w:rsid w:val="584C2108"/>
    <w:rsid w:val="59205A6E"/>
    <w:rsid w:val="598F6750"/>
    <w:rsid w:val="5A7B0A82"/>
    <w:rsid w:val="5B060C94"/>
    <w:rsid w:val="5B3F7D02"/>
    <w:rsid w:val="5C073C36"/>
    <w:rsid w:val="5D447664"/>
    <w:rsid w:val="5EB85E58"/>
    <w:rsid w:val="5ECD1EC1"/>
    <w:rsid w:val="5F775CBC"/>
    <w:rsid w:val="5F903222"/>
    <w:rsid w:val="6005151A"/>
    <w:rsid w:val="607F6330"/>
    <w:rsid w:val="60A0631D"/>
    <w:rsid w:val="619568CD"/>
    <w:rsid w:val="623A1223"/>
    <w:rsid w:val="629220C1"/>
    <w:rsid w:val="62B17B86"/>
    <w:rsid w:val="6410048D"/>
    <w:rsid w:val="64137F7D"/>
    <w:rsid w:val="64532D31"/>
    <w:rsid w:val="650E0E71"/>
    <w:rsid w:val="65BF03BD"/>
    <w:rsid w:val="661F70AE"/>
    <w:rsid w:val="662E6D7E"/>
    <w:rsid w:val="6657748D"/>
    <w:rsid w:val="66997804"/>
    <w:rsid w:val="669C24AC"/>
    <w:rsid w:val="66A8647B"/>
    <w:rsid w:val="66D02604"/>
    <w:rsid w:val="675D7E8D"/>
    <w:rsid w:val="67AB1E60"/>
    <w:rsid w:val="67E66B9C"/>
    <w:rsid w:val="68330BEE"/>
    <w:rsid w:val="689A2A1B"/>
    <w:rsid w:val="68AD6BF3"/>
    <w:rsid w:val="68C01746"/>
    <w:rsid w:val="68F760C0"/>
    <w:rsid w:val="69EF223C"/>
    <w:rsid w:val="6A7D04E3"/>
    <w:rsid w:val="6B1B6095"/>
    <w:rsid w:val="6B60689D"/>
    <w:rsid w:val="6C00528B"/>
    <w:rsid w:val="6C415EC1"/>
    <w:rsid w:val="6C9E5681"/>
    <w:rsid w:val="6D05792E"/>
    <w:rsid w:val="6DB70D43"/>
    <w:rsid w:val="6DCC00CE"/>
    <w:rsid w:val="6E0504F8"/>
    <w:rsid w:val="6E30425B"/>
    <w:rsid w:val="6EAC488C"/>
    <w:rsid w:val="6FD44A65"/>
    <w:rsid w:val="6FED71BE"/>
    <w:rsid w:val="703D260A"/>
    <w:rsid w:val="71AD1A11"/>
    <w:rsid w:val="71F3329F"/>
    <w:rsid w:val="72133F6A"/>
    <w:rsid w:val="7234392A"/>
    <w:rsid w:val="72435D4C"/>
    <w:rsid w:val="72755D25"/>
    <w:rsid w:val="727D7636"/>
    <w:rsid w:val="73663A61"/>
    <w:rsid w:val="73BA63F0"/>
    <w:rsid w:val="76862D4D"/>
    <w:rsid w:val="76B05CF6"/>
    <w:rsid w:val="774B1AB0"/>
    <w:rsid w:val="775070C7"/>
    <w:rsid w:val="779C21B1"/>
    <w:rsid w:val="77CE4490"/>
    <w:rsid w:val="78314F5D"/>
    <w:rsid w:val="78353345"/>
    <w:rsid w:val="78504E83"/>
    <w:rsid w:val="79927E6B"/>
    <w:rsid w:val="7B424F78"/>
    <w:rsid w:val="7B454A69"/>
    <w:rsid w:val="7BB00E33"/>
    <w:rsid w:val="7C0A7E9F"/>
    <w:rsid w:val="7E3B6CE1"/>
    <w:rsid w:val="7F7105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48"/>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9"/>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50"/>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5"/>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56"/>
    <w:qFormat/>
    <w:uiPriority w:val="0"/>
    <w:pPr>
      <w:keepNext/>
      <w:keepLines/>
      <w:spacing w:before="280" w:after="290" w:line="372" w:lineRule="auto"/>
      <w:outlineLvl w:val="4"/>
    </w:pPr>
    <w:rPr>
      <w:rFonts w:ascii="Calibri" w:hAnsi="Calibri" w:eastAsia="宋体" w:cs="Times New Roman"/>
      <w:b/>
      <w:bCs/>
      <w:sz w:val="28"/>
      <w:szCs w:val="28"/>
    </w:rPr>
  </w:style>
  <w:style w:type="paragraph" w:styleId="8">
    <w:name w:val="heading 6"/>
    <w:basedOn w:val="1"/>
    <w:next w:val="1"/>
    <w:link w:val="57"/>
    <w:qFormat/>
    <w:uiPriority w:val="0"/>
    <w:pPr>
      <w:keepNext/>
      <w:keepLines/>
      <w:spacing w:before="240" w:after="64" w:line="317" w:lineRule="auto"/>
      <w:outlineLvl w:val="5"/>
    </w:pPr>
    <w:rPr>
      <w:rFonts w:ascii="Cambria" w:hAnsi="Cambria" w:eastAsia="宋体" w:cs="Times New Roman"/>
      <w:b/>
      <w:bCs/>
      <w:sz w:val="24"/>
      <w:szCs w:val="24"/>
    </w:rPr>
  </w:style>
  <w:style w:type="paragraph" w:styleId="9">
    <w:name w:val="heading 7"/>
    <w:basedOn w:val="1"/>
    <w:next w:val="1"/>
    <w:link w:val="58"/>
    <w:qFormat/>
    <w:uiPriority w:val="0"/>
    <w:pPr>
      <w:keepNext/>
      <w:keepLines/>
      <w:spacing w:before="240" w:after="64" w:line="317" w:lineRule="auto"/>
      <w:outlineLvl w:val="6"/>
    </w:pPr>
    <w:rPr>
      <w:rFonts w:ascii="Calibri" w:hAnsi="Calibri" w:eastAsia="宋体" w:cs="Times New Roman"/>
      <w:b/>
      <w:bCs/>
      <w:sz w:val="24"/>
      <w:szCs w:val="24"/>
    </w:rPr>
  </w:style>
  <w:style w:type="paragraph" w:styleId="10">
    <w:name w:val="heading 8"/>
    <w:basedOn w:val="1"/>
    <w:next w:val="1"/>
    <w:link w:val="59"/>
    <w:qFormat/>
    <w:uiPriority w:val="0"/>
    <w:pPr>
      <w:keepNext/>
      <w:keepLines/>
      <w:spacing w:before="240" w:after="64" w:line="317" w:lineRule="auto"/>
      <w:outlineLvl w:val="7"/>
    </w:pPr>
    <w:rPr>
      <w:rFonts w:ascii="Cambria" w:hAnsi="Cambria" w:eastAsia="宋体" w:cs="Times New Roman"/>
      <w:sz w:val="24"/>
      <w:szCs w:val="24"/>
    </w:rPr>
  </w:style>
  <w:style w:type="paragraph" w:styleId="11">
    <w:name w:val="heading 9"/>
    <w:basedOn w:val="1"/>
    <w:next w:val="1"/>
    <w:link w:val="60"/>
    <w:qFormat/>
    <w:uiPriority w:val="0"/>
    <w:pPr>
      <w:keepNext/>
      <w:keepLines/>
      <w:spacing w:before="240" w:after="64" w:line="317" w:lineRule="auto"/>
      <w:outlineLvl w:val="8"/>
    </w:pPr>
    <w:rPr>
      <w:rFonts w:ascii="Cambria" w:hAnsi="Cambria" w:eastAsia="宋体" w:cs="Times New Roman"/>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12">
    <w:name w:val="toc 7"/>
    <w:basedOn w:val="1"/>
    <w:next w:val="1"/>
    <w:unhideWhenUsed/>
    <w:qFormat/>
    <w:uiPriority w:val="39"/>
    <w:pPr>
      <w:ind w:left="2520" w:leftChars="1200"/>
    </w:pPr>
  </w:style>
  <w:style w:type="paragraph" w:styleId="13">
    <w:name w:val="Normal Indent"/>
    <w:basedOn w:val="1"/>
    <w:qFormat/>
    <w:uiPriority w:val="0"/>
    <w:pPr>
      <w:adjustRightInd w:val="0"/>
      <w:spacing w:line="360" w:lineRule="atLeast"/>
      <w:ind w:firstLine="482"/>
      <w:textAlignment w:val="baseline"/>
    </w:pPr>
    <w:rPr>
      <w:rFonts w:ascii="Times New Roman" w:hAnsi="Times New Roman" w:eastAsia="宋体" w:cs="Times New Roman"/>
      <w:kern w:val="0"/>
      <w:sz w:val="24"/>
      <w:szCs w:val="20"/>
    </w:rPr>
  </w:style>
  <w:style w:type="paragraph" w:styleId="14">
    <w:name w:val="caption"/>
    <w:basedOn w:val="1"/>
    <w:next w:val="1"/>
    <w:qFormat/>
    <w:uiPriority w:val="0"/>
    <w:rPr>
      <w:rFonts w:ascii="Cambria" w:hAnsi="Cambria" w:eastAsia="黑体" w:cs="Times New Roman"/>
      <w:sz w:val="20"/>
      <w:szCs w:val="20"/>
    </w:rPr>
  </w:style>
  <w:style w:type="paragraph" w:styleId="15">
    <w:name w:val="Document Map"/>
    <w:basedOn w:val="1"/>
    <w:link w:val="73"/>
    <w:qFormat/>
    <w:uiPriority w:val="0"/>
    <w:pPr>
      <w:shd w:val="clear" w:color="auto" w:fill="000080"/>
    </w:pPr>
    <w:rPr>
      <w:rFonts w:ascii="Times New Roman" w:hAnsi="Times New Roman"/>
      <w:szCs w:val="24"/>
      <w:shd w:val="clear" w:color="auto" w:fill="000080"/>
    </w:rPr>
  </w:style>
  <w:style w:type="paragraph" w:styleId="16">
    <w:name w:val="annotation text"/>
    <w:basedOn w:val="1"/>
    <w:link w:val="92"/>
    <w:unhideWhenUsed/>
    <w:qFormat/>
    <w:uiPriority w:val="0"/>
    <w:pPr>
      <w:jc w:val="left"/>
    </w:pPr>
  </w:style>
  <w:style w:type="paragraph" w:styleId="17">
    <w:name w:val="Body Text"/>
    <w:basedOn w:val="1"/>
    <w:link w:val="77"/>
    <w:qFormat/>
    <w:uiPriority w:val="0"/>
    <w:pPr>
      <w:adjustRightInd w:val="0"/>
      <w:spacing w:after="60" w:line="360" w:lineRule="atLeast"/>
      <w:ind w:left="72" w:leftChars="30" w:right="30" w:rightChars="30"/>
      <w:jc w:val="center"/>
      <w:textAlignment w:val="baseline"/>
    </w:pPr>
    <w:rPr>
      <w:rFonts w:ascii="Times New Roman" w:hAnsi="Times New Roman"/>
    </w:rPr>
  </w:style>
  <w:style w:type="paragraph" w:styleId="18">
    <w:name w:val="Body Text Indent"/>
    <w:basedOn w:val="1"/>
    <w:link w:val="124"/>
    <w:autoRedefine/>
    <w:semiHidden/>
    <w:unhideWhenUsed/>
    <w:qFormat/>
    <w:uiPriority w:val="99"/>
    <w:pPr>
      <w:spacing w:after="120"/>
      <w:ind w:left="420" w:leftChars="200"/>
    </w:pPr>
  </w:style>
  <w:style w:type="paragraph" w:styleId="19">
    <w:name w:val="index 4"/>
    <w:basedOn w:val="1"/>
    <w:next w:val="1"/>
    <w:qFormat/>
    <w:uiPriority w:val="0"/>
    <w:pPr>
      <w:ind w:left="600" w:leftChars="600"/>
    </w:pPr>
    <w:rPr>
      <w:rFonts w:ascii="Times New Roman" w:hAnsi="Times New Roman" w:eastAsia="宋体" w:cs="Times New Roman"/>
      <w:szCs w:val="24"/>
    </w:rPr>
  </w:style>
  <w:style w:type="paragraph" w:styleId="20">
    <w:name w:val="toc 5"/>
    <w:basedOn w:val="1"/>
    <w:next w:val="1"/>
    <w:unhideWhenUsed/>
    <w:qFormat/>
    <w:uiPriority w:val="39"/>
    <w:pPr>
      <w:ind w:left="1680" w:leftChars="800"/>
    </w:pPr>
  </w:style>
  <w:style w:type="paragraph" w:styleId="21">
    <w:name w:val="toc 3"/>
    <w:basedOn w:val="1"/>
    <w:next w:val="1"/>
    <w:unhideWhenUsed/>
    <w:qFormat/>
    <w:uiPriority w:val="39"/>
    <w:pPr>
      <w:ind w:left="840" w:leftChars="400"/>
    </w:pPr>
  </w:style>
  <w:style w:type="paragraph" w:styleId="22">
    <w:name w:val="Plain Text"/>
    <w:basedOn w:val="1"/>
    <w:link w:val="126"/>
    <w:autoRedefine/>
    <w:qFormat/>
    <w:uiPriority w:val="0"/>
    <w:pPr>
      <w:widowControl/>
      <w:jc w:val="left"/>
    </w:pPr>
    <w:rPr>
      <w:rFonts w:ascii="宋体" w:hAnsi="Courier New" w:eastAsia="宋体" w:cs="Times New Roman"/>
      <w:kern w:val="0"/>
      <w:szCs w:val="20"/>
    </w:rPr>
  </w:style>
  <w:style w:type="paragraph" w:styleId="23">
    <w:name w:val="toc 8"/>
    <w:basedOn w:val="1"/>
    <w:next w:val="1"/>
    <w:unhideWhenUsed/>
    <w:qFormat/>
    <w:uiPriority w:val="39"/>
    <w:pPr>
      <w:ind w:left="2940" w:leftChars="1400"/>
    </w:pPr>
  </w:style>
  <w:style w:type="paragraph" w:styleId="24">
    <w:name w:val="Date"/>
    <w:basedOn w:val="1"/>
    <w:next w:val="1"/>
    <w:link w:val="69"/>
    <w:qFormat/>
    <w:uiPriority w:val="0"/>
    <w:pPr>
      <w:ind w:left="100" w:leftChars="2500"/>
    </w:pPr>
    <w:rPr>
      <w:rFonts w:ascii="宋体" w:hAnsi="Times New Roman"/>
      <w:sz w:val="28"/>
    </w:rPr>
  </w:style>
  <w:style w:type="paragraph" w:styleId="25">
    <w:name w:val="endnote text"/>
    <w:basedOn w:val="1"/>
    <w:unhideWhenUsed/>
    <w:qFormat/>
    <w:uiPriority w:val="99"/>
    <w:pPr>
      <w:snapToGrid w:val="0"/>
      <w:jc w:val="left"/>
    </w:pPr>
  </w:style>
  <w:style w:type="paragraph" w:styleId="26">
    <w:name w:val="Balloon Text"/>
    <w:basedOn w:val="1"/>
    <w:link w:val="78"/>
    <w:qFormat/>
    <w:uiPriority w:val="0"/>
    <w:rPr>
      <w:rFonts w:ascii="宋体" w:hAnsi="Times New Roman"/>
      <w:sz w:val="18"/>
      <w:szCs w:val="18"/>
    </w:rPr>
  </w:style>
  <w:style w:type="paragraph" w:styleId="27">
    <w:name w:val="footer"/>
    <w:basedOn w:val="1"/>
    <w:link w:val="52"/>
    <w:unhideWhenUsed/>
    <w:qFormat/>
    <w:uiPriority w:val="0"/>
    <w:pPr>
      <w:tabs>
        <w:tab w:val="center" w:pos="4153"/>
        <w:tab w:val="right" w:pos="8306"/>
      </w:tabs>
      <w:snapToGrid w:val="0"/>
      <w:jc w:val="left"/>
    </w:pPr>
    <w:rPr>
      <w:sz w:val="18"/>
      <w:szCs w:val="18"/>
    </w:rPr>
  </w:style>
  <w:style w:type="paragraph" w:styleId="28">
    <w:name w:val="header"/>
    <w:basedOn w:val="1"/>
    <w:link w:val="51"/>
    <w:unhideWhenUsed/>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unhideWhenUsed/>
    <w:qFormat/>
    <w:uiPriority w:val="39"/>
    <w:pPr>
      <w:tabs>
        <w:tab w:val="right" w:leader="dot" w:pos="9514"/>
      </w:tabs>
      <w:spacing w:line="480" w:lineRule="auto"/>
    </w:pPr>
  </w:style>
  <w:style w:type="paragraph" w:styleId="30">
    <w:name w:val="toc 4"/>
    <w:basedOn w:val="1"/>
    <w:next w:val="1"/>
    <w:unhideWhenUsed/>
    <w:qFormat/>
    <w:uiPriority w:val="39"/>
    <w:pPr>
      <w:ind w:left="1260" w:leftChars="600"/>
    </w:pPr>
  </w:style>
  <w:style w:type="paragraph" w:styleId="31">
    <w:name w:val="Subtitle"/>
    <w:basedOn w:val="1"/>
    <w:next w:val="1"/>
    <w:link w:val="87"/>
    <w:qFormat/>
    <w:uiPriority w:val="0"/>
    <w:pPr>
      <w:spacing w:before="240" w:after="60" w:line="312" w:lineRule="auto"/>
      <w:jc w:val="center"/>
      <w:outlineLvl w:val="1"/>
    </w:pPr>
    <w:rPr>
      <w:rFonts w:ascii="Cambria" w:hAnsi="Cambria" w:cs="Times New Roman"/>
      <w:b/>
      <w:bCs/>
      <w:kern w:val="28"/>
      <w:sz w:val="32"/>
      <w:szCs w:val="32"/>
    </w:rPr>
  </w:style>
  <w:style w:type="paragraph" w:styleId="32">
    <w:name w:val="footnote text"/>
    <w:basedOn w:val="1"/>
    <w:link w:val="119"/>
    <w:unhideWhenUsed/>
    <w:qFormat/>
    <w:uiPriority w:val="99"/>
    <w:pPr>
      <w:snapToGrid w:val="0"/>
      <w:jc w:val="left"/>
    </w:pPr>
    <w:rPr>
      <w:sz w:val="18"/>
      <w:szCs w:val="18"/>
    </w:rPr>
  </w:style>
  <w:style w:type="paragraph" w:styleId="33">
    <w:name w:val="toc 6"/>
    <w:basedOn w:val="1"/>
    <w:next w:val="1"/>
    <w:unhideWhenUsed/>
    <w:qFormat/>
    <w:uiPriority w:val="39"/>
    <w:pPr>
      <w:ind w:left="2100" w:leftChars="1000"/>
    </w:pPr>
  </w:style>
  <w:style w:type="paragraph" w:styleId="34">
    <w:name w:val="toc 2"/>
    <w:basedOn w:val="1"/>
    <w:next w:val="1"/>
    <w:unhideWhenUsed/>
    <w:qFormat/>
    <w:uiPriority w:val="39"/>
    <w:pPr>
      <w:ind w:left="420" w:leftChars="200"/>
    </w:pPr>
  </w:style>
  <w:style w:type="paragraph" w:styleId="35">
    <w:name w:val="toc 9"/>
    <w:basedOn w:val="1"/>
    <w:next w:val="1"/>
    <w:unhideWhenUsed/>
    <w:qFormat/>
    <w:uiPriority w:val="39"/>
    <w:pPr>
      <w:ind w:left="3360" w:leftChars="1600"/>
    </w:pPr>
  </w:style>
  <w:style w:type="paragraph" w:styleId="36">
    <w:name w:val="Normal (Web)"/>
    <w:basedOn w:val="1"/>
    <w:qFormat/>
    <w:uiPriority w:val="0"/>
    <w:pPr>
      <w:widowControl/>
      <w:spacing w:before="100" w:beforeAutospacing="1" w:after="100" w:afterAutospacing="1" w:line="320" w:lineRule="atLeast"/>
      <w:jc w:val="left"/>
    </w:pPr>
    <w:rPr>
      <w:rFonts w:ascii="宋体" w:hAnsi="宋体" w:eastAsia="宋体" w:cs="Times New Roman"/>
      <w:kern w:val="0"/>
      <w:sz w:val="18"/>
      <w:szCs w:val="18"/>
    </w:rPr>
  </w:style>
  <w:style w:type="paragraph" w:styleId="37">
    <w:name w:val="Title"/>
    <w:basedOn w:val="1"/>
    <w:next w:val="1"/>
    <w:link w:val="85"/>
    <w:qFormat/>
    <w:uiPriority w:val="0"/>
    <w:pPr>
      <w:spacing w:before="240" w:after="60"/>
      <w:jc w:val="center"/>
      <w:outlineLvl w:val="0"/>
    </w:pPr>
    <w:rPr>
      <w:rFonts w:ascii="Cambria" w:hAnsi="Cambria" w:cs="Times New Roman"/>
      <w:b/>
      <w:bCs/>
      <w:sz w:val="32"/>
      <w:szCs w:val="32"/>
    </w:rPr>
  </w:style>
  <w:style w:type="paragraph" w:styleId="38">
    <w:name w:val="annotation subject"/>
    <w:basedOn w:val="16"/>
    <w:next w:val="16"/>
    <w:link w:val="79"/>
    <w:qFormat/>
    <w:uiPriority w:val="0"/>
    <w:rPr>
      <w:rFonts w:ascii="宋体" w:hAnsi="Times New Roman"/>
      <w:b/>
      <w:bCs/>
      <w:sz w:val="28"/>
    </w:rPr>
  </w:style>
  <w:style w:type="table" w:styleId="40">
    <w:name w:val="Table Grid"/>
    <w:basedOn w:val="3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0"/>
    <w:rPr>
      <w:b/>
      <w:bCs/>
    </w:rPr>
  </w:style>
  <w:style w:type="character" w:styleId="43">
    <w:name w:val="page number"/>
    <w:qFormat/>
    <w:uiPriority w:val="0"/>
    <w:rPr>
      <w:rFonts w:cs="Times New Roman"/>
    </w:rPr>
  </w:style>
  <w:style w:type="character" w:styleId="44">
    <w:name w:val="Emphasis"/>
    <w:qFormat/>
    <w:uiPriority w:val="0"/>
    <w:rPr>
      <w:i/>
      <w:iCs/>
    </w:rPr>
  </w:style>
  <w:style w:type="character" w:styleId="45">
    <w:name w:val="Hyperlink"/>
    <w:basedOn w:val="41"/>
    <w:unhideWhenUsed/>
    <w:qFormat/>
    <w:uiPriority w:val="99"/>
    <w:rPr>
      <w:color w:val="0563C1" w:themeColor="hyperlink"/>
      <w:u w:val="single"/>
      <w14:textFill>
        <w14:solidFill>
          <w14:schemeClr w14:val="hlink"/>
        </w14:solidFill>
      </w14:textFill>
    </w:rPr>
  </w:style>
  <w:style w:type="character" w:styleId="46">
    <w:name w:val="annotation reference"/>
    <w:qFormat/>
    <w:uiPriority w:val="0"/>
    <w:rPr>
      <w:rFonts w:cs="Times New Roman"/>
      <w:sz w:val="21"/>
      <w:szCs w:val="21"/>
    </w:rPr>
  </w:style>
  <w:style w:type="character" w:styleId="47">
    <w:name w:val="footnote reference"/>
    <w:qFormat/>
    <w:uiPriority w:val="99"/>
    <w:rPr>
      <w:vertAlign w:val="superscript"/>
    </w:rPr>
  </w:style>
  <w:style w:type="character" w:customStyle="1" w:styleId="48">
    <w:name w:val="标题 1 字符"/>
    <w:basedOn w:val="41"/>
    <w:link w:val="3"/>
    <w:qFormat/>
    <w:uiPriority w:val="0"/>
    <w:rPr>
      <w:b/>
      <w:bCs/>
      <w:kern w:val="44"/>
      <w:sz w:val="44"/>
      <w:szCs w:val="44"/>
    </w:rPr>
  </w:style>
  <w:style w:type="character" w:customStyle="1" w:styleId="49">
    <w:name w:val="标题 2 字符"/>
    <w:basedOn w:val="41"/>
    <w:link w:val="4"/>
    <w:qFormat/>
    <w:uiPriority w:val="0"/>
    <w:rPr>
      <w:rFonts w:asciiTheme="majorHAnsi" w:hAnsiTheme="majorHAnsi" w:eastAsiaTheme="majorEastAsia" w:cstheme="majorBidi"/>
      <w:b/>
      <w:bCs/>
      <w:sz w:val="32"/>
      <w:szCs w:val="32"/>
    </w:rPr>
  </w:style>
  <w:style w:type="character" w:customStyle="1" w:styleId="50">
    <w:name w:val="标题 3 字符"/>
    <w:basedOn w:val="41"/>
    <w:link w:val="5"/>
    <w:qFormat/>
    <w:uiPriority w:val="0"/>
    <w:rPr>
      <w:b/>
      <w:bCs/>
      <w:sz w:val="32"/>
      <w:szCs w:val="32"/>
    </w:rPr>
  </w:style>
  <w:style w:type="character" w:customStyle="1" w:styleId="51">
    <w:name w:val="页眉 字符"/>
    <w:basedOn w:val="41"/>
    <w:link w:val="28"/>
    <w:qFormat/>
    <w:uiPriority w:val="0"/>
    <w:rPr>
      <w:sz w:val="18"/>
      <w:szCs w:val="18"/>
    </w:rPr>
  </w:style>
  <w:style w:type="character" w:customStyle="1" w:styleId="52">
    <w:name w:val="页脚 字符"/>
    <w:basedOn w:val="41"/>
    <w:link w:val="27"/>
    <w:qFormat/>
    <w:uiPriority w:val="0"/>
    <w:rPr>
      <w:sz w:val="18"/>
      <w:szCs w:val="18"/>
    </w:rPr>
  </w:style>
  <w:style w:type="paragraph" w:customStyle="1" w:styleId="53">
    <w:name w:val="TOC 标题1"/>
    <w:basedOn w:val="3"/>
    <w:next w:val="1"/>
    <w:unhideWhenUsed/>
    <w:qFormat/>
    <w:uiPriority w:val="0"/>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54">
    <w:name w:val="未处理的提及1"/>
    <w:basedOn w:val="41"/>
    <w:semiHidden/>
    <w:unhideWhenUsed/>
    <w:qFormat/>
    <w:uiPriority w:val="99"/>
    <w:rPr>
      <w:color w:val="605E5C"/>
      <w:shd w:val="clear" w:color="auto" w:fill="E1DFDD"/>
    </w:rPr>
  </w:style>
  <w:style w:type="character" w:customStyle="1" w:styleId="55">
    <w:name w:val="标题 4 字符"/>
    <w:basedOn w:val="41"/>
    <w:link w:val="6"/>
    <w:qFormat/>
    <w:uiPriority w:val="0"/>
    <w:rPr>
      <w:rFonts w:asciiTheme="majorHAnsi" w:hAnsiTheme="majorHAnsi" w:eastAsiaTheme="majorEastAsia" w:cstheme="majorBidi"/>
      <w:b/>
      <w:bCs/>
      <w:sz w:val="28"/>
      <w:szCs w:val="28"/>
    </w:rPr>
  </w:style>
  <w:style w:type="character" w:customStyle="1" w:styleId="56">
    <w:name w:val="标题 5 字符"/>
    <w:basedOn w:val="41"/>
    <w:link w:val="7"/>
    <w:qFormat/>
    <w:uiPriority w:val="0"/>
    <w:rPr>
      <w:rFonts w:ascii="Calibri" w:hAnsi="Calibri" w:eastAsia="宋体" w:cs="Times New Roman"/>
      <w:b/>
      <w:bCs/>
      <w:sz w:val="28"/>
      <w:szCs w:val="28"/>
    </w:rPr>
  </w:style>
  <w:style w:type="character" w:customStyle="1" w:styleId="57">
    <w:name w:val="标题 6 字符"/>
    <w:basedOn w:val="41"/>
    <w:link w:val="8"/>
    <w:qFormat/>
    <w:uiPriority w:val="0"/>
    <w:rPr>
      <w:rFonts w:ascii="Cambria" w:hAnsi="Cambria" w:eastAsia="宋体" w:cs="Times New Roman"/>
      <w:b/>
      <w:bCs/>
      <w:sz w:val="24"/>
      <w:szCs w:val="24"/>
    </w:rPr>
  </w:style>
  <w:style w:type="character" w:customStyle="1" w:styleId="58">
    <w:name w:val="标题 7 字符"/>
    <w:basedOn w:val="41"/>
    <w:link w:val="9"/>
    <w:qFormat/>
    <w:uiPriority w:val="0"/>
    <w:rPr>
      <w:rFonts w:ascii="Calibri" w:hAnsi="Calibri" w:eastAsia="宋体" w:cs="Times New Roman"/>
      <w:b/>
      <w:bCs/>
      <w:sz w:val="24"/>
      <w:szCs w:val="24"/>
    </w:rPr>
  </w:style>
  <w:style w:type="character" w:customStyle="1" w:styleId="59">
    <w:name w:val="标题 8 字符"/>
    <w:basedOn w:val="41"/>
    <w:link w:val="10"/>
    <w:qFormat/>
    <w:uiPriority w:val="0"/>
    <w:rPr>
      <w:rFonts w:ascii="Cambria" w:hAnsi="Cambria" w:eastAsia="宋体" w:cs="Times New Roman"/>
      <w:sz w:val="24"/>
      <w:szCs w:val="24"/>
    </w:rPr>
  </w:style>
  <w:style w:type="character" w:customStyle="1" w:styleId="60">
    <w:name w:val="标题 9 字符"/>
    <w:basedOn w:val="41"/>
    <w:link w:val="11"/>
    <w:qFormat/>
    <w:uiPriority w:val="0"/>
    <w:rPr>
      <w:rFonts w:ascii="Cambria" w:hAnsi="Cambria" w:eastAsia="宋体" w:cs="Times New Roman"/>
      <w:szCs w:val="21"/>
    </w:rPr>
  </w:style>
  <w:style w:type="character" w:customStyle="1" w:styleId="61">
    <w:name w:val="正文文本 Char1"/>
    <w:qFormat/>
    <w:uiPriority w:val="0"/>
    <w:rPr>
      <w:kern w:val="2"/>
      <w:sz w:val="21"/>
      <w:szCs w:val="22"/>
    </w:rPr>
  </w:style>
  <w:style w:type="character" w:customStyle="1" w:styleId="62">
    <w:name w:val="明显引用 字符"/>
    <w:link w:val="63"/>
    <w:qFormat/>
    <w:uiPriority w:val="0"/>
    <w:rPr>
      <w:b/>
      <w:bCs/>
      <w:i/>
      <w:iCs/>
      <w:color w:val="4F81BD"/>
    </w:rPr>
  </w:style>
  <w:style w:type="paragraph" w:styleId="63">
    <w:name w:val="Intense Quote"/>
    <w:basedOn w:val="1"/>
    <w:next w:val="1"/>
    <w:link w:val="62"/>
    <w:qFormat/>
    <w:uiPriority w:val="0"/>
    <w:pPr>
      <w:pBdr>
        <w:bottom w:val="single" w:color="4F81BD" w:sz="4" w:space="4"/>
      </w:pBdr>
      <w:spacing w:before="200" w:after="280"/>
      <w:ind w:left="936" w:right="936"/>
    </w:pPr>
    <w:rPr>
      <w:b/>
      <w:bCs/>
      <w:i/>
      <w:iCs/>
      <w:color w:val="4F81BD"/>
    </w:rPr>
  </w:style>
  <w:style w:type="character" w:customStyle="1" w:styleId="64">
    <w:name w:val="不明显强调1"/>
    <w:qFormat/>
    <w:uiPriority w:val="0"/>
    <w:rPr>
      <w:i/>
      <w:iCs/>
      <w:color w:val="808080"/>
    </w:rPr>
  </w:style>
  <w:style w:type="character" w:customStyle="1" w:styleId="65">
    <w:name w:val="标题4 Char Char"/>
    <w:link w:val="66"/>
    <w:qFormat/>
    <w:uiPriority w:val="0"/>
    <w:rPr>
      <w:rFonts w:ascii="Arial" w:hAnsi="Arial"/>
      <w:b/>
      <w:bCs/>
      <w:sz w:val="24"/>
      <w:szCs w:val="32"/>
    </w:rPr>
  </w:style>
  <w:style w:type="paragraph" w:customStyle="1" w:styleId="66">
    <w:name w:val="标题4"/>
    <w:basedOn w:val="4"/>
    <w:next w:val="19"/>
    <w:link w:val="65"/>
    <w:qFormat/>
    <w:uiPriority w:val="0"/>
    <w:pPr>
      <w:spacing w:line="413" w:lineRule="auto"/>
    </w:pPr>
    <w:rPr>
      <w:rFonts w:ascii="Arial" w:hAnsi="Arial" w:eastAsiaTheme="minorEastAsia" w:cstheme="minorBidi"/>
      <w:sz w:val="24"/>
    </w:rPr>
  </w:style>
  <w:style w:type="character" w:customStyle="1" w:styleId="67">
    <w:name w:val="标题5 Char Char"/>
    <w:link w:val="68"/>
    <w:qFormat/>
    <w:uiPriority w:val="0"/>
    <w:rPr>
      <w:rFonts w:ascii="Arial" w:hAnsi="Arial"/>
      <w:b/>
      <w:bCs/>
      <w:sz w:val="24"/>
      <w:szCs w:val="32"/>
    </w:rPr>
  </w:style>
  <w:style w:type="paragraph" w:customStyle="1" w:styleId="68">
    <w:name w:val="标题5"/>
    <w:basedOn w:val="5"/>
    <w:link w:val="67"/>
    <w:qFormat/>
    <w:uiPriority w:val="0"/>
    <w:pPr>
      <w:spacing w:line="413" w:lineRule="auto"/>
    </w:pPr>
    <w:rPr>
      <w:rFonts w:ascii="Arial" w:hAnsi="Arial"/>
      <w:sz w:val="24"/>
    </w:rPr>
  </w:style>
  <w:style w:type="character" w:customStyle="1" w:styleId="69">
    <w:name w:val="日期 字符"/>
    <w:link w:val="24"/>
    <w:qFormat/>
    <w:uiPriority w:val="0"/>
    <w:rPr>
      <w:rFonts w:ascii="宋体" w:hAnsi="Times New Roman"/>
      <w:sz w:val="28"/>
    </w:rPr>
  </w:style>
  <w:style w:type="character" w:customStyle="1" w:styleId="70">
    <w:name w:val="明显参考1"/>
    <w:qFormat/>
    <w:uiPriority w:val="0"/>
    <w:rPr>
      <w:b/>
      <w:bCs/>
      <w:smallCaps/>
      <w:color w:val="C0504D"/>
      <w:spacing w:val="5"/>
      <w:u w:val="single"/>
    </w:rPr>
  </w:style>
  <w:style w:type="character" w:customStyle="1" w:styleId="71">
    <w:name w:val="书籍标题1"/>
    <w:qFormat/>
    <w:uiPriority w:val="0"/>
    <w:rPr>
      <w:b/>
      <w:bCs/>
      <w:smallCaps/>
      <w:spacing w:val="5"/>
    </w:rPr>
  </w:style>
  <w:style w:type="character" w:customStyle="1" w:styleId="72">
    <w:name w:val="批注框文本 Char1"/>
    <w:qFormat/>
    <w:uiPriority w:val="0"/>
    <w:rPr>
      <w:kern w:val="2"/>
      <w:sz w:val="18"/>
      <w:szCs w:val="18"/>
    </w:rPr>
  </w:style>
  <w:style w:type="character" w:customStyle="1" w:styleId="73">
    <w:name w:val="文档结构图 字符"/>
    <w:link w:val="15"/>
    <w:qFormat/>
    <w:uiPriority w:val="0"/>
    <w:rPr>
      <w:rFonts w:ascii="Times New Roman" w:hAnsi="Times New Roman"/>
      <w:szCs w:val="24"/>
      <w:shd w:val="clear" w:color="auto" w:fill="000080"/>
    </w:rPr>
  </w:style>
  <w:style w:type="character" w:customStyle="1" w:styleId="74">
    <w:name w:val="引用 字符"/>
    <w:link w:val="75"/>
    <w:qFormat/>
    <w:uiPriority w:val="0"/>
    <w:rPr>
      <w:i/>
      <w:iCs/>
      <w:color w:val="000000"/>
    </w:rPr>
  </w:style>
  <w:style w:type="paragraph" w:styleId="75">
    <w:name w:val="Quote"/>
    <w:basedOn w:val="1"/>
    <w:next w:val="1"/>
    <w:link w:val="74"/>
    <w:qFormat/>
    <w:uiPriority w:val="0"/>
    <w:rPr>
      <w:i/>
      <w:iCs/>
      <w:color w:val="000000"/>
    </w:rPr>
  </w:style>
  <w:style w:type="character" w:customStyle="1" w:styleId="76">
    <w:name w:val="批注主题 Char1"/>
    <w:qFormat/>
    <w:uiPriority w:val="0"/>
    <w:rPr>
      <w:b/>
      <w:bCs/>
      <w:kern w:val="2"/>
      <w:sz w:val="21"/>
      <w:szCs w:val="22"/>
    </w:rPr>
  </w:style>
  <w:style w:type="character" w:customStyle="1" w:styleId="77">
    <w:name w:val="正文文本 字符"/>
    <w:link w:val="17"/>
    <w:qFormat/>
    <w:uiPriority w:val="0"/>
    <w:rPr>
      <w:rFonts w:ascii="Times New Roman" w:hAnsi="Times New Roman"/>
    </w:rPr>
  </w:style>
  <w:style w:type="character" w:customStyle="1" w:styleId="78">
    <w:name w:val="批注框文本 字符"/>
    <w:link w:val="26"/>
    <w:qFormat/>
    <w:uiPriority w:val="0"/>
    <w:rPr>
      <w:rFonts w:ascii="宋体" w:hAnsi="Times New Roman"/>
      <w:sz w:val="18"/>
      <w:szCs w:val="18"/>
    </w:rPr>
  </w:style>
  <w:style w:type="character" w:customStyle="1" w:styleId="79">
    <w:name w:val="批注主题 字符"/>
    <w:link w:val="38"/>
    <w:qFormat/>
    <w:uiPriority w:val="0"/>
    <w:rPr>
      <w:rFonts w:ascii="宋体" w:hAnsi="Times New Roman"/>
      <w:b/>
      <w:bCs/>
      <w:sz w:val="28"/>
    </w:rPr>
  </w:style>
  <w:style w:type="character" w:customStyle="1" w:styleId="80">
    <w:name w:val="日期 Char1"/>
    <w:qFormat/>
    <w:uiPriority w:val="0"/>
    <w:rPr>
      <w:kern w:val="2"/>
      <w:sz w:val="21"/>
      <w:szCs w:val="22"/>
    </w:rPr>
  </w:style>
  <w:style w:type="character" w:customStyle="1" w:styleId="81">
    <w:name w:val="明显强调1"/>
    <w:qFormat/>
    <w:uiPriority w:val="0"/>
    <w:rPr>
      <w:b/>
      <w:bCs/>
      <w:i/>
      <w:iCs/>
      <w:color w:val="4F81BD"/>
    </w:rPr>
  </w:style>
  <w:style w:type="character" w:customStyle="1" w:styleId="82">
    <w:name w:val="textcontents"/>
    <w:qFormat/>
    <w:uiPriority w:val="0"/>
    <w:rPr>
      <w:rFonts w:cs="Times New Roman"/>
    </w:rPr>
  </w:style>
  <w:style w:type="character" w:customStyle="1" w:styleId="83">
    <w:name w:val="不明显参考1"/>
    <w:qFormat/>
    <w:uiPriority w:val="0"/>
    <w:rPr>
      <w:smallCaps/>
      <w:color w:val="C0504D"/>
      <w:u w:val="single"/>
    </w:rPr>
  </w:style>
  <w:style w:type="character" w:customStyle="1" w:styleId="84">
    <w:name w:val="批注文字 Char Char"/>
    <w:qFormat/>
    <w:uiPriority w:val="0"/>
    <w:rPr>
      <w:rFonts w:ascii="宋体" w:hAnsi="Times New Roman" w:eastAsia="宋体" w:cs="Times New Roman"/>
      <w:sz w:val="28"/>
      <w:szCs w:val="20"/>
    </w:rPr>
  </w:style>
  <w:style w:type="character" w:customStyle="1" w:styleId="85">
    <w:name w:val="标题 字符"/>
    <w:link w:val="37"/>
    <w:qFormat/>
    <w:uiPriority w:val="0"/>
    <w:rPr>
      <w:rFonts w:ascii="Cambria" w:hAnsi="Cambria" w:cs="Times New Roman"/>
      <w:b/>
      <w:bCs/>
      <w:sz w:val="32"/>
      <w:szCs w:val="32"/>
    </w:rPr>
  </w:style>
  <w:style w:type="character" w:customStyle="1" w:styleId="86">
    <w:name w:val="批注文字 字符"/>
    <w:qFormat/>
    <w:uiPriority w:val="0"/>
    <w:rPr>
      <w:kern w:val="2"/>
      <w:sz w:val="21"/>
      <w:szCs w:val="22"/>
    </w:rPr>
  </w:style>
  <w:style w:type="character" w:customStyle="1" w:styleId="87">
    <w:name w:val="副标题 字符"/>
    <w:link w:val="31"/>
    <w:qFormat/>
    <w:uiPriority w:val="0"/>
    <w:rPr>
      <w:rFonts w:ascii="Cambria" w:hAnsi="Cambria" w:cs="Times New Roman"/>
      <w:b/>
      <w:bCs/>
      <w:kern w:val="28"/>
      <w:sz w:val="32"/>
      <w:szCs w:val="32"/>
    </w:rPr>
  </w:style>
  <w:style w:type="character" w:customStyle="1" w:styleId="88">
    <w:name w:val="文档结构图 Char1"/>
    <w:qFormat/>
    <w:uiPriority w:val="0"/>
    <w:rPr>
      <w:rFonts w:ascii="宋体"/>
      <w:kern w:val="2"/>
      <w:sz w:val="18"/>
      <w:szCs w:val="18"/>
    </w:rPr>
  </w:style>
  <w:style w:type="paragraph" w:customStyle="1" w:styleId="89">
    <w:name w:val="修订1"/>
    <w:qFormat/>
    <w:uiPriority w:val="0"/>
    <w:rPr>
      <w:rFonts w:ascii="Times New Roman" w:hAnsi="Times New Roman" w:eastAsia="宋体" w:cs="Times New Roman"/>
      <w:kern w:val="2"/>
      <w:sz w:val="21"/>
      <w:szCs w:val="24"/>
      <w:lang w:val="en-US" w:eastAsia="zh-CN" w:bidi="ar-SA"/>
    </w:rPr>
  </w:style>
  <w:style w:type="paragraph" w:customStyle="1" w:styleId="90">
    <w:name w:val="样式 标题 2 + Times New Roman 四号 非加粗 段前: 5 磅 段后: 0 磅 行距: 固定值 20..."/>
    <w:basedOn w:val="4"/>
    <w:qFormat/>
    <w:uiPriority w:val="0"/>
    <w:pPr>
      <w:spacing w:before="100" w:after="0" w:line="400" w:lineRule="exact"/>
    </w:pPr>
    <w:rPr>
      <w:rFonts w:ascii="Times New Roman" w:hAnsi="Times New Roman" w:eastAsia="黑体" w:cs="宋体"/>
      <w:b w:val="0"/>
      <w:bCs w:val="0"/>
      <w:kern w:val="0"/>
      <w:sz w:val="28"/>
      <w:szCs w:val="20"/>
    </w:rPr>
  </w:style>
  <w:style w:type="character" w:customStyle="1" w:styleId="91">
    <w:name w:val="批注框文本 字符1"/>
    <w:basedOn w:val="41"/>
    <w:semiHidden/>
    <w:qFormat/>
    <w:uiPriority w:val="99"/>
    <w:rPr>
      <w:sz w:val="18"/>
      <w:szCs w:val="18"/>
    </w:rPr>
  </w:style>
  <w:style w:type="character" w:customStyle="1" w:styleId="92">
    <w:name w:val="批注文字 字符1"/>
    <w:basedOn w:val="41"/>
    <w:link w:val="16"/>
    <w:qFormat/>
    <w:uiPriority w:val="99"/>
  </w:style>
  <w:style w:type="character" w:customStyle="1" w:styleId="93">
    <w:name w:val="批注主题 字符1"/>
    <w:basedOn w:val="92"/>
    <w:semiHidden/>
    <w:qFormat/>
    <w:uiPriority w:val="99"/>
    <w:rPr>
      <w:b/>
      <w:bCs/>
    </w:rPr>
  </w:style>
  <w:style w:type="character" w:customStyle="1" w:styleId="94">
    <w:name w:val="文档结构图 字符1"/>
    <w:basedOn w:val="41"/>
    <w:semiHidden/>
    <w:qFormat/>
    <w:uiPriority w:val="99"/>
    <w:rPr>
      <w:rFonts w:ascii="Microsoft YaHei UI" w:eastAsia="Microsoft YaHei UI"/>
      <w:sz w:val="18"/>
      <w:szCs w:val="18"/>
    </w:rPr>
  </w:style>
  <w:style w:type="character" w:customStyle="1" w:styleId="95">
    <w:name w:val="日期 字符1"/>
    <w:basedOn w:val="41"/>
    <w:semiHidden/>
    <w:qFormat/>
    <w:uiPriority w:val="99"/>
  </w:style>
  <w:style w:type="character" w:customStyle="1" w:styleId="96">
    <w:name w:val="正文文本 字符1"/>
    <w:basedOn w:val="41"/>
    <w:semiHidden/>
    <w:qFormat/>
    <w:uiPriority w:val="99"/>
  </w:style>
  <w:style w:type="character" w:customStyle="1" w:styleId="97">
    <w:name w:val="标题 字符1"/>
    <w:basedOn w:val="41"/>
    <w:qFormat/>
    <w:uiPriority w:val="10"/>
    <w:rPr>
      <w:rFonts w:asciiTheme="majorHAnsi" w:hAnsiTheme="majorHAnsi" w:eastAsiaTheme="majorEastAsia" w:cstheme="majorBidi"/>
      <w:b/>
      <w:bCs/>
      <w:sz w:val="32"/>
      <w:szCs w:val="32"/>
    </w:rPr>
  </w:style>
  <w:style w:type="character" w:customStyle="1" w:styleId="98">
    <w:name w:val="副标题 字符1"/>
    <w:basedOn w:val="41"/>
    <w:qFormat/>
    <w:uiPriority w:val="11"/>
    <w:rPr>
      <w:b/>
      <w:bCs/>
      <w:kern w:val="28"/>
      <w:sz w:val="32"/>
      <w:szCs w:val="32"/>
    </w:rPr>
  </w:style>
  <w:style w:type="character" w:customStyle="1" w:styleId="99">
    <w:name w:val="明显引用 字符1"/>
    <w:basedOn w:val="41"/>
    <w:qFormat/>
    <w:uiPriority w:val="30"/>
    <w:rPr>
      <w:i/>
      <w:iCs/>
      <w:color w:val="4472C4" w:themeColor="accent1"/>
      <w14:textFill>
        <w14:solidFill>
          <w14:schemeClr w14:val="accent1"/>
        </w14:solidFill>
      </w14:textFill>
    </w:rPr>
  </w:style>
  <w:style w:type="paragraph" w:customStyle="1" w:styleId="100">
    <w:name w:val="样式 标题 3 + (中文) 黑体 小四 非加粗 段前: 7.8 磅 段后: 0 磅 行距: 固定值 20 磅"/>
    <w:basedOn w:val="5"/>
    <w:qFormat/>
    <w:uiPriority w:val="0"/>
    <w:pPr>
      <w:spacing w:before="0" w:after="0" w:line="400" w:lineRule="exact"/>
    </w:pPr>
    <w:rPr>
      <w:rFonts w:ascii="Times New Roman" w:hAnsi="Times New Roman" w:eastAsia="黑体" w:cs="宋体"/>
      <w:b w:val="0"/>
      <w:bCs w:val="0"/>
      <w:sz w:val="24"/>
      <w:szCs w:val="20"/>
    </w:rPr>
  </w:style>
  <w:style w:type="paragraph" w:customStyle="1" w:styleId="101">
    <w:name w:val="空半行"/>
    <w:basedOn w:val="1"/>
    <w:qFormat/>
    <w:uiPriority w:val="0"/>
    <w:pPr>
      <w:adjustRightInd w:val="0"/>
      <w:spacing w:line="120" w:lineRule="exact"/>
      <w:textAlignment w:val="baseline"/>
    </w:pPr>
    <w:rPr>
      <w:rFonts w:ascii="Times New Roman" w:hAnsi="Times New Roman" w:eastAsia="仿宋_GB2312" w:cs="Times New Roman"/>
      <w:color w:val="FFFFFF"/>
      <w:kern w:val="0"/>
      <w:sz w:val="30"/>
      <w:szCs w:val="20"/>
    </w:rPr>
  </w:style>
  <w:style w:type="paragraph" w:styleId="102">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103">
    <w:name w:val="引用 字符1"/>
    <w:basedOn w:val="41"/>
    <w:qFormat/>
    <w:uiPriority w:val="29"/>
    <w:rPr>
      <w:i/>
      <w:iCs/>
      <w:color w:val="404040" w:themeColor="text1" w:themeTint="BF"/>
      <w14:textFill>
        <w14:solidFill>
          <w14:schemeClr w14:val="tx1">
            <w14:lumMod w14:val="75000"/>
            <w14:lumOff w14:val="25000"/>
          </w14:schemeClr>
        </w14:solidFill>
      </w14:textFill>
    </w:rPr>
  </w:style>
  <w:style w:type="paragraph" w:styleId="104">
    <w:name w:val="List Paragraph"/>
    <w:basedOn w:val="1"/>
    <w:next w:val="1"/>
    <w:qFormat/>
    <w:uiPriority w:val="0"/>
    <w:pPr>
      <w:ind w:firstLine="420" w:firstLineChars="200"/>
    </w:pPr>
    <w:rPr>
      <w:rFonts w:ascii="Calibri" w:hAnsi="Calibri" w:eastAsia="宋体" w:cs="Times New Roman"/>
    </w:rPr>
  </w:style>
  <w:style w:type="paragraph" w:customStyle="1" w:styleId="105">
    <w:name w:val="flNote"/>
    <w:basedOn w:val="1"/>
    <w:qFormat/>
    <w:uiPriority w:val="0"/>
    <w:pPr>
      <w:adjustRightInd w:val="0"/>
      <w:spacing w:before="320" w:after="160" w:line="360" w:lineRule="atLeast"/>
      <w:jc w:val="center"/>
      <w:textAlignment w:val="baseline"/>
    </w:pPr>
    <w:rPr>
      <w:rFonts w:ascii="Arial" w:hAnsi="Times New Roman" w:eastAsia="黑体" w:cs="Times New Roman"/>
      <w:kern w:val="0"/>
      <w:sz w:val="30"/>
      <w:szCs w:val="20"/>
    </w:rPr>
  </w:style>
  <w:style w:type="character" w:customStyle="1" w:styleId="106">
    <w:name w:val="font41"/>
    <w:basedOn w:val="41"/>
    <w:qFormat/>
    <w:uiPriority w:val="0"/>
    <w:rPr>
      <w:rFonts w:hint="default" w:ascii="仿宋_GB2312" w:eastAsia="仿宋_GB2312" w:cs="仿宋_GB2312"/>
      <w:color w:val="000000"/>
      <w:sz w:val="24"/>
      <w:szCs w:val="24"/>
      <w:u w:val="none"/>
      <w:vertAlign w:val="superscript"/>
    </w:rPr>
  </w:style>
  <w:style w:type="paragraph" w:customStyle="1" w:styleId="107">
    <w:name w:val="首行缩进"/>
    <w:basedOn w:val="1"/>
    <w:qFormat/>
    <w:uiPriority w:val="0"/>
    <w:pPr>
      <w:ind w:firstLine="480" w:firstLineChars="200"/>
    </w:pPr>
    <w:rPr>
      <w:lang w:val="zh-CN"/>
    </w:rPr>
  </w:style>
  <w:style w:type="paragraph" w:customStyle="1" w:styleId="108">
    <w:name w:val="Main Title"/>
    <w:next w:val="1"/>
    <w:qFormat/>
    <w:uiPriority w:val="0"/>
    <w:pPr>
      <w:adjustRightInd w:val="0"/>
      <w:snapToGrid w:val="0"/>
      <w:spacing w:afterLines="50" w:line="360" w:lineRule="auto"/>
      <w:jc w:val="center"/>
    </w:pPr>
    <w:rPr>
      <w:rFonts w:ascii="黑体" w:hAnsi="黑体" w:eastAsia="黑体" w:cs="Times New Roman"/>
      <w:b/>
      <w:kern w:val="2"/>
      <w:sz w:val="36"/>
      <w:szCs w:val="22"/>
      <w:lang w:val="zh-CN" w:eastAsia="zh-CN" w:bidi="ar-SA"/>
    </w:rPr>
  </w:style>
  <w:style w:type="paragraph" w:customStyle="1" w:styleId="109">
    <w:name w:val="TOC 标题2"/>
    <w:basedOn w:val="3"/>
    <w:next w:val="1"/>
    <w:unhideWhenUsed/>
    <w:qFormat/>
    <w:uiPriority w:val="0"/>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110">
    <w:name w:val="未处理的提及2"/>
    <w:basedOn w:val="41"/>
    <w:semiHidden/>
    <w:unhideWhenUsed/>
    <w:qFormat/>
    <w:uiPriority w:val="99"/>
    <w:rPr>
      <w:color w:val="605E5C"/>
      <w:shd w:val="clear" w:color="auto" w:fill="E1DFDD"/>
    </w:rPr>
  </w:style>
  <w:style w:type="character" w:customStyle="1" w:styleId="111">
    <w:name w:val="不明显强调2"/>
    <w:qFormat/>
    <w:uiPriority w:val="0"/>
    <w:rPr>
      <w:i/>
      <w:iCs/>
      <w:color w:val="808080"/>
    </w:rPr>
  </w:style>
  <w:style w:type="character" w:customStyle="1" w:styleId="112">
    <w:name w:val="明显参考2"/>
    <w:qFormat/>
    <w:uiPriority w:val="0"/>
    <w:rPr>
      <w:b/>
      <w:bCs/>
      <w:smallCaps/>
      <w:color w:val="C0504D"/>
      <w:spacing w:val="5"/>
      <w:u w:val="single"/>
    </w:rPr>
  </w:style>
  <w:style w:type="character" w:customStyle="1" w:styleId="113">
    <w:name w:val="书籍标题2"/>
    <w:qFormat/>
    <w:uiPriority w:val="0"/>
    <w:rPr>
      <w:b/>
      <w:bCs/>
      <w:smallCaps/>
      <w:spacing w:val="5"/>
    </w:rPr>
  </w:style>
  <w:style w:type="character" w:customStyle="1" w:styleId="114">
    <w:name w:val="明显强调2"/>
    <w:qFormat/>
    <w:uiPriority w:val="0"/>
    <w:rPr>
      <w:b/>
      <w:bCs/>
      <w:i/>
      <w:iCs/>
      <w:color w:val="4F81BD"/>
    </w:rPr>
  </w:style>
  <w:style w:type="character" w:customStyle="1" w:styleId="115">
    <w:name w:val="不明显参考2"/>
    <w:qFormat/>
    <w:uiPriority w:val="0"/>
    <w:rPr>
      <w:smallCaps/>
      <w:color w:val="C0504D"/>
      <w:u w:val="single"/>
    </w:rPr>
  </w:style>
  <w:style w:type="paragraph" w:customStyle="1" w:styleId="116">
    <w:name w:val="修订2"/>
    <w:qFormat/>
    <w:uiPriority w:val="0"/>
    <w:rPr>
      <w:rFonts w:ascii="Times New Roman" w:hAnsi="Times New Roman" w:eastAsia="宋体" w:cs="Times New Roman"/>
      <w:kern w:val="2"/>
      <w:sz w:val="21"/>
      <w:szCs w:val="24"/>
      <w:lang w:val="en-US" w:eastAsia="zh-CN" w:bidi="ar-SA"/>
    </w:rPr>
  </w:style>
  <w:style w:type="character" w:customStyle="1" w:styleId="117">
    <w:name w:val="未处理的提及3"/>
    <w:basedOn w:val="41"/>
    <w:semiHidden/>
    <w:unhideWhenUsed/>
    <w:qFormat/>
    <w:uiPriority w:val="99"/>
    <w:rPr>
      <w:color w:val="605E5C"/>
      <w:shd w:val="clear" w:color="auto" w:fill="E1DFDD"/>
    </w:rPr>
  </w:style>
  <w:style w:type="character" w:customStyle="1" w:styleId="118">
    <w:name w:val="未处理的提及4"/>
    <w:basedOn w:val="41"/>
    <w:semiHidden/>
    <w:unhideWhenUsed/>
    <w:qFormat/>
    <w:uiPriority w:val="99"/>
    <w:rPr>
      <w:color w:val="605E5C"/>
      <w:shd w:val="clear" w:color="auto" w:fill="E1DFDD"/>
    </w:rPr>
  </w:style>
  <w:style w:type="character" w:customStyle="1" w:styleId="119">
    <w:name w:val="脚注文本 字符"/>
    <w:basedOn w:val="41"/>
    <w:link w:val="32"/>
    <w:qFormat/>
    <w:uiPriority w:val="99"/>
    <w:rPr>
      <w:rFonts w:asciiTheme="minorHAnsi" w:hAnsiTheme="minorHAnsi" w:eastAsiaTheme="minorEastAsia" w:cstheme="minorBidi"/>
      <w:kern w:val="2"/>
      <w:sz w:val="18"/>
      <w:szCs w:val="18"/>
    </w:rPr>
  </w:style>
  <w:style w:type="character" w:customStyle="1" w:styleId="120">
    <w:name w:val="明显引用 Char1"/>
    <w:basedOn w:val="41"/>
    <w:qFormat/>
    <w:uiPriority w:val="30"/>
    <w:rPr>
      <w:rFonts w:asciiTheme="minorHAnsi" w:hAnsiTheme="minorHAnsi" w:eastAsiaTheme="minorEastAsia" w:cstheme="minorBidi"/>
      <w:b/>
      <w:bCs/>
      <w:i/>
      <w:iCs/>
      <w:color w:val="4472C4" w:themeColor="accent1"/>
      <w:kern w:val="2"/>
      <w:sz w:val="21"/>
      <w:szCs w:val="22"/>
      <w14:textFill>
        <w14:solidFill>
          <w14:schemeClr w14:val="accent1"/>
        </w14:solidFill>
      </w14:textFill>
    </w:rPr>
  </w:style>
  <w:style w:type="character" w:customStyle="1" w:styleId="121">
    <w:name w:val="引用 Char1"/>
    <w:basedOn w:val="41"/>
    <w:qFormat/>
    <w:uiPriority w:val="29"/>
    <w:rPr>
      <w:rFonts w:asciiTheme="minorHAnsi" w:hAnsiTheme="minorHAnsi" w:eastAsiaTheme="minorEastAsia" w:cstheme="minorBidi"/>
      <w:i/>
      <w:iCs/>
      <w:color w:val="000000" w:themeColor="text1"/>
      <w:kern w:val="2"/>
      <w:sz w:val="21"/>
      <w:szCs w:val="22"/>
      <w14:textFill>
        <w14:solidFill>
          <w14:schemeClr w14:val="tx1"/>
        </w14:solidFill>
      </w14:textFill>
    </w:rPr>
  </w:style>
  <w:style w:type="paragraph" w:customStyle="1" w:styleId="122">
    <w:name w:val="TOC 标题3"/>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2F5597" w:themeColor="accent1" w:themeShade="BF"/>
      <w:kern w:val="0"/>
      <w:sz w:val="28"/>
      <w:szCs w:val="28"/>
    </w:rPr>
  </w:style>
  <w:style w:type="character" w:customStyle="1" w:styleId="123">
    <w:name w:val="NormalCharacter"/>
    <w:qFormat/>
    <w:uiPriority w:val="0"/>
    <w:rPr>
      <w:rFonts w:asciiTheme="minorHAnsi" w:hAnsiTheme="minorHAnsi" w:eastAsiaTheme="minorEastAsia" w:cstheme="minorBidi"/>
      <w:kern w:val="2"/>
      <w:sz w:val="21"/>
      <w:szCs w:val="22"/>
      <w:lang w:val="en-US" w:eastAsia="zh-CN" w:bidi="ar-SA"/>
    </w:rPr>
  </w:style>
  <w:style w:type="character" w:customStyle="1" w:styleId="124">
    <w:name w:val="正文文本缩进 字符"/>
    <w:basedOn w:val="41"/>
    <w:link w:val="18"/>
    <w:semiHidden/>
    <w:qFormat/>
    <w:uiPriority w:val="99"/>
    <w:rPr>
      <w:rFonts w:asciiTheme="minorHAnsi" w:hAnsiTheme="minorHAnsi" w:eastAsiaTheme="minorEastAsia" w:cstheme="minorBidi"/>
      <w:kern w:val="2"/>
      <w:sz w:val="21"/>
      <w:szCs w:val="22"/>
    </w:rPr>
  </w:style>
  <w:style w:type="paragraph" w:customStyle="1" w:styleId="125">
    <w:name w:val="正文 A"/>
    <w:autoRedefine/>
    <w:qFormat/>
    <w:uiPriority w:val="0"/>
    <w:pPr>
      <w:widowControl w:val="0"/>
      <w:jc w:val="both"/>
    </w:pPr>
    <w:rPr>
      <w:rFonts w:ascii="Times New Roman" w:hAnsi="Times New Roman" w:eastAsia="黑体" w:cs="Times New Roman"/>
      <w:color w:val="000000"/>
      <w:kern w:val="2"/>
      <w:sz w:val="21"/>
      <w:szCs w:val="21"/>
      <w:u w:color="000000"/>
      <w:lang w:val="en-US" w:eastAsia="zh-CN" w:bidi="ar-SA"/>
    </w:rPr>
  </w:style>
  <w:style w:type="character" w:customStyle="1" w:styleId="126">
    <w:name w:val="纯文本 字符"/>
    <w:basedOn w:val="41"/>
    <w:link w:val="22"/>
    <w:qFormat/>
    <w:uiPriority w:val="0"/>
    <w:rPr>
      <w:rFonts w:ascii="宋体" w:hAnsi="Courier New"/>
      <w:sz w:val="21"/>
    </w:rPr>
  </w:style>
  <w:style w:type="paragraph" w:customStyle="1" w:styleId="127">
    <w:name w:val="*正文"/>
    <w:basedOn w:val="1"/>
    <w:qFormat/>
    <w:uiPriority w:val="0"/>
    <w:pPr>
      <w:spacing w:line="360" w:lineRule="auto"/>
      <w:ind w:firstLine="200" w:firstLineChars="200"/>
      <w:jc w:val="left"/>
    </w:pPr>
    <w:rPr>
      <w:rFonts w:cs="Times New Roman"/>
      <w:sz w:val="30"/>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CE3DF1-C45D-4EE9-BFF8-A307D7630B36}">
  <ds:schemaRefs/>
</ds:datastoreItem>
</file>

<file path=docProps/app.xml><?xml version="1.0" encoding="utf-8"?>
<Properties xmlns="http://schemas.openxmlformats.org/officeDocument/2006/extended-properties" xmlns:vt="http://schemas.openxmlformats.org/officeDocument/2006/docPropsVTypes">
  <Template>Normal.dotm</Template>
  <Pages>71</Pages>
  <Words>31366</Words>
  <Characters>33332</Characters>
  <Lines>322</Lines>
  <Paragraphs>90</Paragraphs>
  <TotalTime>7</TotalTime>
  <ScaleCrop>false</ScaleCrop>
  <LinksUpToDate>false</LinksUpToDate>
  <CharactersWithSpaces>37074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2024-08-12T10:13:00Z</dcterms:created>
  <dc:creator>Zuzu</dc:creator>
  <cp:lastModifiedBy>杨付祥</cp:lastModifiedBy>
  <cp:lastPrinted>2022-05-22T16:06:00Z</cp:lastPrinted>
  <dcterms:modified xsi:type="dcterms:W3CDTF">2024-09-24T02:48:25Z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DDA6A810966347BF9634EEBEED638C1B_13</vt:lpwstr>
  </property>
</Properties>
</file>