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0E2C6">
      <w:pPr>
        <w:jc w:val="center"/>
        <w:rPr>
          <w:rFonts w:hint="eastAsia"/>
          <w:b/>
          <w:bCs/>
          <w:sz w:val="28"/>
          <w:szCs w:val="36"/>
          <w:lang w:val="en-US" w:eastAsia="zh-CN"/>
        </w:rPr>
      </w:pPr>
      <w:r>
        <w:rPr>
          <w:rFonts w:hint="eastAsia"/>
          <w:b/>
          <w:bCs/>
          <w:sz w:val="28"/>
          <w:szCs w:val="36"/>
          <w:lang w:val="en-US" w:eastAsia="zh-CN"/>
        </w:rPr>
        <w:t>采购需求</w:t>
      </w:r>
    </w:p>
    <w:p w14:paraId="54A514F4">
      <w:pPr>
        <w:pStyle w:val="2"/>
        <w:shd w:val="clear"/>
        <w:spacing w:before="0" w:after="120" w:afterLines="50"/>
        <w:rPr>
          <w:rStyle w:val="6"/>
          <w:rFonts w:hint="eastAsia" w:asciiTheme="minorEastAsia" w:hAnsiTheme="minorEastAsia" w:eastAsiaTheme="minorEastAsia" w:cstheme="minorEastAsia"/>
          <w:b/>
          <w:bCs/>
          <w:color w:val="auto"/>
          <w:kern w:val="0"/>
          <w:sz w:val="24"/>
          <w:szCs w:val="24"/>
          <w:highlight w:val="none"/>
          <w:lang w:eastAsia="zh-TW"/>
        </w:rPr>
      </w:pPr>
      <w:r>
        <w:rPr>
          <w:rStyle w:val="6"/>
          <w:rFonts w:hint="eastAsia" w:asciiTheme="minorEastAsia" w:hAnsiTheme="minorEastAsia" w:eastAsiaTheme="minorEastAsia" w:cstheme="minorEastAsia"/>
          <w:b/>
          <w:bCs/>
          <w:color w:val="auto"/>
          <w:kern w:val="0"/>
          <w:sz w:val="24"/>
          <w:szCs w:val="24"/>
          <w:highlight w:val="none"/>
          <w:lang w:val="en-US" w:eastAsia="zh-CN" w:bidi="ar-SA"/>
        </w:rPr>
        <w:t>一、</w:t>
      </w:r>
      <w:r>
        <w:rPr>
          <w:rStyle w:val="6"/>
          <w:rFonts w:hint="eastAsia" w:asciiTheme="minorEastAsia" w:hAnsiTheme="minorEastAsia" w:eastAsiaTheme="minorEastAsia" w:cstheme="minorEastAsia"/>
          <w:b/>
          <w:bCs/>
          <w:color w:val="auto"/>
          <w:kern w:val="0"/>
          <w:sz w:val="24"/>
          <w:szCs w:val="24"/>
          <w:highlight w:val="none"/>
          <w:lang w:eastAsia="zh-TW"/>
        </w:rPr>
        <w:t>特别说明：</w:t>
      </w:r>
    </w:p>
    <w:p w14:paraId="38E7F33C">
      <w:pPr>
        <w:shd w:val="clear"/>
        <w:spacing w:line="360" w:lineRule="auto"/>
        <w:ind w:firstLine="480" w:firstLineChars="200"/>
        <w:rPr>
          <w:rStyle w:val="6"/>
          <w:rFonts w:hint="eastAsia" w:asciiTheme="minorEastAsia" w:hAnsiTheme="minorEastAsia" w:eastAsiaTheme="minorEastAsia" w:cstheme="minorEastAsia"/>
          <w:b w:val="0"/>
          <w:bCs w:val="0"/>
          <w:color w:val="auto"/>
          <w:kern w:val="0"/>
          <w:sz w:val="24"/>
          <w:szCs w:val="24"/>
          <w:highlight w:val="none"/>
          <w:lang w:eastAsia="zh-TW"/>
        </w:rPr>
      </w:pPr>
      <w:r>
        <w:rPr>
          <w:rStyle w:val="6"/>
          <w:rFonts w:hint="eastAsia" w:asciiTheme="minorEastAsia" w:hAnsiTheme="minorEastAsia" w:eastAsiaTheme="minorEastAsia" w:cstheme="minorEastAsia"/>
          <w:b w:val="0"/>
          <w:bCs w:val="0"/>
          <w:color w:val="auto"/>
          <w:kern w:val="0"/>
          <w:sz w:val="24"/>
          <w:szCs w:val="24"/>
          <w:highlight w:val="none"/>
          <w:lang w:eastAsia="zh-TW"/>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14:paraId="2E3E2033">
      <w:pPr>
        <w:shd w:val="clear"/>
        <w:spacing w:line="360" w:lineRule="auto"/>
        <w:ind w:firstLine="480" w:firstLineChars="200"/>
        <w:rPr>
          <w:rFonts w:hint="eastAsia" w:asciiTheme="minorEastAsia" w:hAnsiTheme="minorEastAsia" w:eastAsiaTheme="minorEastAsia" w:cstheme="minorEastAsia"/>
          <w:b w:val="0"/>
          <w:bCs w:val="0"/>
          <w:color w:val="auto"/>
          <w:sz w:val="24"/>
          <w:szCs w:val="24"/>
          <w:highlight w:val="none"/>
        </w:rPr>
      </w:pPr>
      <w:r>
        <w:rPr>
          <w:rStyle w:val="6"/>
          <w:rFonts w:hint="eastAsia" w:asciiTheme="minorEastAsia" w:hAnsiTheme="minorEastAsia" w:eastAsiaTheme="minorEastAsia" w:cstheme="minorEastAsia"/>
          <w:b w:val="0"/>
          <w:bCs w:val="0"/>
          <w:color w:val="auto"/>
          <w:kern w:val="0"/>
          <w:sz w:val="24"/>
          <w:szCs w:val="24"/>
          <w:highlight w:val="none"/>
          <w:lang w:eastAsia="zh-TW"/>
        </w:rPr>
        <w:t>2、为了落实公告要求，采购人将技术参数中的标准代号调整为XF。目前，参考资料、检测报告等相关资料，在实际投标中，使用代号GA标准仍有效。</w:t>
      </w:r>
    </w:p>
    <w:p w14:paraId="4EB8B317">
      <w:pPr>
        <w:shd w:val="clea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rPr>
        <w:t>、技术参数及要求</w:t>
      </w:r>
    </w:p>
    <w:p w14:paraId="5C09E1AD">
      <w:pPr>
        <w:pStyle w:val="3"/>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第二包</w:t>
      </w:r>
    </w:p>
    <w:tbl>
      <w:tblPr>
        <w:tblStyle w:val="4"/>
        <w:tblW w:w="9664"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06"/>
        <w:gridCol w:w="1109"/>
        <w:gridCol w:w="564"/>
        <w:gridCol w:w="732"/>
        <w:gridCol w:w="6653"/>
      </w:tblGrid>
      <w:tr w14:paraId="5813E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6" w:type="dxa"/>
            <w:tcBorders>
              <w:bottom w:val="single" w:color="000000" w:sz="4" w:space="0"/>
              <w:right w:val="single" w:color="000000" w:sz="4" w:space="0"/>
            </w:tcBorders>
            <w:noWrap w:val="0"/>
            <w:vAlign w:val="center"/>
          </w:tcPr>
          <w:p w14:paraId="1CC9D9C2">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109" w:type="dxa"/>
            <w:tcBorders>
              <w:left w:val="single" w:color="000000" w:sz="4" w:space="0"/>
              <w:bottom w:val="single" w:color="000000" w:sz="4" w:space="0"/>
              <w:right w:val="single" w:color="000000" w:sz="4" w:space="0"/>
            </w:tcBorders>
            <w:noWrap w:val="0"/>
            <w:vAlign w:val="center"/>
          </w:tcPr>
          <w:p w14:paraId="0E4682B0">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装备（物资）名称</w:t>
            </w:r>
          </w:p>
        </w:tc>
        <w:tc>
          <w:tcPr>
            <w:tcW w:w="564" w:type="dxa"/>
            <w:tcBorders>
              <w:left w:val="single" w:color="000000" w:sz="4" w:space="0"/>
              <w:bottom w:val="single" w:color="000000" w:sz="4" w:space="0"/>
              <w:right w:val="single" w:color="000000" w:sz="4" w:space="0"/>
            </w:tcBorders>
            <w:noWrap w:val="0"/>
            <w:vAlign w:val="center"/>
          </w:tcPr>
          <w:p w14:paraId="565EEE65">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732" w:type="dxa"/>
            <w:tcBorders>
              <w:left w:val="single" w:color="000000" w:sz="4" w:space="0"/>
              <w:bottom w:val="nil"/>
              <w:right w:val="single" w:color="000000" w:sz="4" w:space="0"/>
            </w:tcBorders>
            <w:noWrap w:val="0"/>
            <w:vAlign w:val="center"/>
          </w:tcPr>
          <w:p w14:paraId="26160B21">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数量</w:t>
            </w:r>
          </w:p>
        </w:tc>
        <w:tc>
          <w:tcPr>
            <w:tcW w:w="6653" w:type="dxa"/>
            <w:tcBorders>
              <w:left w:val="single" w:color="000000" w:sz="4" w:space="0"/>
              <w:bottom w:val="nil"/>
            </w:tcBorders>
            <w:noWrap w:val="0"/>
            <w:vAlign w:val="center"/>
          </w:tcPr>
          <w:p w14:paraId="1F36322B">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技术要求</w:t>
            </w:r>
          </w:p>
        </w:tc>
      </w:tr>
      <w:tr w14:paraId="3FC56B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6" w:type="dxa"/>
            <w:tcBorders>
              <w:top w:val="single" w:color="000000" w:sz="4" w:space="0"/>
              <w:bottom w:val="single" w:color="000000" w:sz="4" w:space="0"/>
              <w:right w:val="single" w:color="000000" w:sz="4" w:space="0"/>
            </w:tcBorders>
            <w:noWrap w:val="0"/>
            <w:vAlign w:val="center"/>
          </w:tcPr>
          <w:p w14:paraId="545E7A9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390EBC2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过滤式综合防毒面具</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B9FE46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个</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14:paraId="4BB7133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4810FCCB">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p>
          <w:p w14:paraId="62C96C80">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★符合GB 2890-2022《呼吸防护 自吸过滤式防毒面具》标准。</w:t>
            </w:r>
          </w:p>
          <w:p w14:paraId="197A6877">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2"/>
                <w:sz w:val="24"/>
                <w:szCs w:val="24"/>
                <w:lang w:val="en-US" w:eastAsia="zh-CN" w:bidi="ar-SA"/>
              </w:rPr>
              <w:t>1.</w:t>
            </w:r>
            <w:r>
              <w:rPr>
                <w:rFonts w:hint="eastAsia" w:ascii="宋体" w:hAnsi="宋体" w:eastAsia="宋体" w:cs="宋体"/>
                <w:b w:val="0"/>
                <w:bCs w:val="0"/>
                <w:i w:val="0"/>
                <w:iCs w:val="0"/>
                <w:color w:val="auto"/>
                <w:sz w:val="24"/>
                <w:szCs w:val="24"/>
                <w:u w:val="none"/>
                <w:lang w:val="en-US" w:eastAsia="zh-CN"/>
              </w:rPr>
              <w:t>全面罩：与面部密合,能遮盖住眼、面、鼻、口和下颌的面罩；</w:t>
            </w:r>
          </w:p>
          <w:p w14:paraId="07D3D750">
            <w:pPr>
              <w:keepNext w:val="0"/>
              <w:keepLines w:val="0"/>
              <w:widowControl/>
              <w:numPr>
                <w:ilvl w:val="0"/>
                <w:numId w:val="0"/>
              </w:numPr>
              <w:suppressLineNumbers w:val="0"/>
              <w:spacing w:line="360" w:lineRule="auto"/>
              <w:ind w:left="425" w:leftChars="0" w:hanging="425" w:firstLine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2"/>
                <w:sz w:val="24"/>
                <w:szCs w:val="24"/>
                <w:lang w:val="en-US" w:eastAsia="zh-CN" w:bidi="ar-SA"/>
              </w:rPr>
              <w:t>2.</w:t>
            </w:r>
            <w:r>
              <w:rPr>
                <w:rFonts w:hint="eastAsia" w:ascii="宋体" w:hAnsi="宋体" w:eastAsia="宋体" w:cs="宋体"/>
                <w:b w:val="0"/>
                <w:bCs w:val="0"/>
                <w:i w:val="0"/>
                <w:iCs w:val="0"/>
                <w:color w:val="auto"/>
                <w:kern w:val="0"/>
                <w:sz w:val="24"/>
                <w:szCs w:val="24"/>
                <w:u w:val="none"/>
                <w:lang w:val="en-US" w:eastAsia="zh-CN" w:bidi="ar"/>
              </w:rPr>
              <w:t>过滤件：综合过滤件（KP95），过滤级别</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级。</w:t>
            </w:r>
          </w:p>
        </w:tc>
      </w:tr>
      <w:tr w14:paraId="0DC190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606" w:type="dxa"/>
            <w:tcBorders>
              <w:top w:val="single" w:color="000000" w:sz="4" w:space="0"/>
              <w:bottom w:val="single" w:color="000000" w:sz="4" w:space="0"/>
              <w:right w:val="single" w:color="000000" w:sz="4" w:space="0"/>
            </w:tcBorders>
            <w:noWrap w:val="0"/>
            <w:vAlign w:val="center"/>
          </w:tcPr>
          <w:p w14:paraId="0548A19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2</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3F14772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二级化学防护服</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3BBA5D6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17D45A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74A3090F">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★符合XF 770-2008《消防员化学防护服装》标准要求的二级化学防护服技术要求。连体结构，由头罩、连衣裤、防化手套、防化胶靴构成，能完全将使用者覆盖，其中头罩、防护服袖口有一定的弹性，防化手套和防化胶靴具有可拆卸功能，且不影响整体密封效果。防护服前方的拉链门襟为同种材料的至少两层保护层。手套与防护服有同等防护性能。可与消防过滤式综合防毒面具或正压式空气呼吸器配合使用。头套边缘用松紧带密封，下颌处采用粘扣进行密封防护。肘部和膝部进行加固。可手洗，可重复使用。</w:t>
            </w:r>
          </w:p>
          <w:p w14:paraId="11439F9B">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.整体抗水渗漏性20min 后无渗漏现象；</w:t>
            </w:r>
          </w:p>
          <w:p w14:paraId="26D608AD">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cs="宋体"/>
                <w:b w:val="0"/>
                <w:bCs w:val="0"/>
                <w:i w:val="0"/>
                <w:iCs w:val="0"/>
                <w:color w:val="auto"/>
                <w:kern w:val="0"/>
                <w:sz w:val="24"/>
                <w:szCs w:val="24"/>
                <w:u w:val="none"/>
                <w:lang w:val="en-US" w:eastAsia="zh-CN" w:bidi="ar"/>
              </w:rPr>
              <w:t>4</w:t>
            </w:r>
            <w:r>
              <w:rPr>
                <w:rFonts w:hint="eastAsia" w:ascii="宋体" w:hAnsi="宋体" w:eastAsia="宋体" w:cs="宋体"/>
                <w:b w:val="0"/>
                <w:bCs w:val="0"/>
                <w:i w:val="0"/>
                <w:iCs w:val="0"/>
                <w:color w:val="auto"/>
                <w:kern w:val="0"/>
                <w:sz w:val="24"/>
                <w:szCs w:val="24"/>
                <w:u w:val="none"/>
                <w:lang w:val="en-US" w:eastAsia="zh-CN" w:bidi="ar"/>
              </w:rPr>
              <w:t>.抗化学品渗透时间≥60min，粘贴强度≥0.78kN/m，拉伸强度≥9kN/m，撕裂强力≥30N；</w:t>
            </w:r>
          </w:p>
          <w:p w14:paraId="68B4F67A">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cs="宋体"/>
                <w:b w:val="0"/>
                <w:bCs w:val="0"/>
                <w:i w:val="0"/>
                <w:iCs w:val="0"/>
                <w:color w:val="auto"/>
                <w:kern w:val="0"/>
                <w:sz w:val="24"/>
                <w:szCs w:val="24"/>
                <w:u w:val="none"/>
                <w:lang w:val="en-US" w:eastAsia="zh-CN" w:bidi="ar"/>
              </w:rPr>
              <w:t>5</w:t>
            </w:r>
            <w:r>
              <w:rPr>
                <w:rFonts w:hint="eastAsia" w:ascii="宋体" w:hAnsi="宋体" w:eastAsia="宋体" w:cs="宋体"/>
                <w:b w:val="0"/>
                <w:bCs w:val="0"/>
                <w:i w:val="0"/>
                <w:iCs w:val="0"/>
                <w:color w:val="auto"/>
                <w:kern w:val="0"/>
                <w:sz w:val="24"/>
                <w:szCs w:val="24"/>
                <w:u w:val="none"/>
                <w:lang w:val="en-US" w:eastAsia="zh-CN" w:bidi="ar"/>
              </w:rPr>
              <w:t>.有焰燃烧时间≤10ｓ，无焰燃烧时间≤10s，损毁长度≤10cm；</w:t>
            </w:r>
          </w:p>
          <w:p w14:paraId="3B09B1DA">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6</w:t>
            </w:r>
            <w:r>
              <w:rPr>
                <w:rFonts w:hint="eastAsia" w:ascii="宋体" w:hAnsi="宋体" w:eastAsia="宋体" w:cs="宋体"/>
                <w:b w:val="0"/>
                <w:bCs w:val="0"/>
                <w:i w:val="0"/>
                <w:iCs w:val="0"/>
                <w:color w:val="auto"/>
                <w:kern w:val="0"/>
                <w:sz w:val="24"/>
                <w:szCs w:val="24"/>
                <w:u w:val="none"/>
                <w:lang w:val="en-US" w:eastAsia="zh-CN" w:bidi="ar"/>
              </w:rPr>
              <w:t>.耐热老化125℃×12h 不粘不脆，接缝强力≥200N；</w:t>
            </w:r>
          </w:p>
          <w:p w14:paraId="010A1FA2">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7</w:t>
            </w:r>
            <w:r>
              <w:rPr>
                <w:rFonts w:hint="eastAsia" w:ascii="宋体" w:hAnsi="宋体" w:eastAsia="宋体" w:cs="宋体"/>
                <w:b w:val="0"/>
                <w:bCs w:val="0"/>
                <w:i w:val="0"/>
                <w:iCs w:val="0"/>
                <w:color w:val="auto"/>
                <w:kern w:val="0"/>
                <w:sz w:val="24"/>
                <w:szCs w:val="24"/>
                <w:u w:val="none"/>
                <w:lang w:val="en-US" w:eastAsia="zh-CN" w:bidi="ar"/>
              </w:rPr>
              <w:t>.手套为氯丁橡胶手套，与防护服有同等防护性能；</w:t>
            </w:r>
          </w:p>
          <w:p w14:paraId="3BCCC258">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8</w:t>
            </w:r>
            <w:r>
              <w:rPr>
                <w:rFonts w:hint="eastAsia" w:ascii="宋体" w:hAnsi="宋体" w:eastAsia="宋体" w:cs="宋体"/>
                <w:b w:val="0"/>
                <w:bCs w:val="0"/>
                <w:i w:val="0"/>
                <w:iCs w:val="0"/>
                <w:color w:val="auto"/>
                <w:kern w:val="0"/>
                <w:sz w:val="24"/>
                <w:szCs w:val="24"/>
                <w:u w:val="none"/>
                <w:lang w:val="en-US" w:eastAsia="zh-CN" w:bidi="ar"/>
              </w:rPr>
              <w:t>.防化靴靴底抗刺穿力≥900N，击穿电压不小于5000V，且泄漏电流小于3mA，钢头钢底。与防护服有同等防护性能；</w:t>
            </w:r>
          </w:p>
          <w:p w14:paraId="64FB1325">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cs="宋体"/>
                <w:b w:val="0"/>
                <w:bCs w:val="0"/>
                <w:i w:val="0"/>
                <w:iCs w:val="0"/>
                <w:color w:val="auto"/>
                <w:kern w:val="0"/>
                <w:sz w:val="24"/>
                <w:szCs w:val="24"/>
                <w:u w:val="none"/>
                <w:lang w:val="en-US" w:eastAsia="zh-CN" w:bidi="ar"/>
              </w:rPr>
              <w:t>9</w:t>
            </w:r>
            <w:r>
              <w:rPr>
                <w:rFonts w:hint="eastAsia" w:ascii="宋体" w:hAnsi="宋体" w:eastAsia="宋体" w:cs="宋体"/>
                <w:b w:val="0"/>
                <w:bCs w:val="0"/>
                <w:i w:val="0"/>
                <w:iCs w:val="0"/>
                <w:color w:val="auto"/>
                <w:kern w:val="0"/>
                <w:sz w:val="24"/>
                <w:szCs w:val="24"/>
                <w:u w:val="none"/>
                <w:lang w:val="en-US" w:eastAsia="zh-CN" w:bidi="ar"/>
              </w:rPr>
              <w:t>.储存期：5年。</w:t>
            </w:r>
          </w:p>
        </w:tc>
      </w:tr>
      <w:tr w14:paraId="61E43D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6" w:type="dxa"/>
            <w:tcBorders>
              <w:top w:val="single" w:color="000000" w:sz="4" w:space="0"/>
              <w:bottom w:val="single" w:color="000000" w:sz="4" w:space="0"/>
              <w:right w:val="single" w:color="000000" w:sz="4" w:space="0"/>
            </w:tcBorders>
            <w:noWrap w:val="0"/>
            <w:vAlign w:val="center"/>
          </w:tcPr>
          <w:p w14:paraId="5B66A16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3</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3CF0A92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一级化学防护服</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41023EA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5E3B7C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49A95176">
            <w:pPr>
              <w:spacing w:line="360" w:lineRule="auto"/>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★符合XF 770-2008《消防员化学防护服装》标准要求的一级化学防护服技术要求</w:t>
            </w:r>
            <w:r>
              <w:rPr>
                <w:rFonts w:hint="eastAsia" w:ascii="宋体" w:hAnsi="宋体" w:eastAsia="宋体" w:cs="宋体"/>
                <w:b w:val="0"/>
                <w:bCs w:val="0"/>
                <w:i w:val="0"/>
                <w:iCs w:val="0"/>
                <w:color w:val="auto"/>
                <w:sz w:val="24"/>
                <w:szCs w:val="24"/>
                <w:u w:val="none"/>
                <w:lang w:eastAsia="zh-CN"/>
              </w:rPr>
              <w:t>，</w:t>
            </w:r>
            <w:r>
              <w:rPr>
                <w:rFonts w:hint="eastAsia" w:ascii="宋体" w:hAnsi="宋体" w:eastAsia="宋体" w:cs="宋体"/>
                <w:b w:val="0"/>
                <w:bCs w:val="0"/>
                <w:i w:val="0"/>
                <w:iCs w:val="0"/>
                <w:color w:val="auto"/>
                <w:sz w:val="24"/>
                <w:szCs w:val="24"/>
                <w:u w:val="none"/>
              </w:rPr>
              <w:t>且配备气密检测装置</w:t>
            </w:r>
            <w:r>
              <w:rPr>
                <w:rFonts w:hint="eastAsia" w:ascii="宋体" w:hAnsi="宋体" w:eastAsia="宋体" w:cs="宋体"/>
                <w:b w:val="0"/>
                <w:bCs w:val="0"/>
                <w:i w:val="0"/>
                <w:iCs w:val="0"/>
                <w:color w:val="auto"/>
                <w:sz w:val="24"/>
                <w:szCs w:val="24"/>
                <w:u w:val="none"/>
                <w:lang w:eastAsia="zh-CN"/>
              </w:rPr>
              <w:t>，</w:t>
            </w:r>
            <w:r>
              <w:rPr>
                <w:rFonts w:hint="eastAsia" w:ascii="宋体" w:hAnsi="宋体" w:eastAsia="宋体" w:cs="宋体"/>
                <w:b w:val="0"/>
                <w:bCs w:val="0"/>
                <w:i w:val="0"/>
                <w:iCs w:val="0"/>
                <w:color w:val="auto"/>
                <w:sz w:val="24"/>
                <w:szCs w:val="24"/>
                <w:u w:val="none"/>
                <w:lang w:val="en-US" w:eastAsia="zh-CN"/>
              </w:rPr>
              <w:t>本项目配备不少于</w:t>
            </w:r>
            <w:r>
              <w:rPr>
                <w:rFonts w:hint="eastAsia" w:ascii="宋体" w:hAnsi="宋体" w:cs="宋体"/>
                <w:b w:val="0"/>
                <w:bCs w:val="0"/>
                <w:i w:val="0"/>
                <w:iCs w:val="0"/>
                <w:color w:val="auto"/>
                <w:sz w:val="24"/>
                <w:szCs w:val="24"/>
                <w:u w:val="none"/>
                <w:lang w:val="en-US" w:eastAsia="zh-CN"/>
              </w:rPr>
              <w:t>4</w:t>
            </w:r>
            <w:r>
              <w:rPr>
                <w:rFonts w:hint="eastAsia" w:ascii="宋体" w:hAnsi="宋体" w:eastAsia="宋体" w:cs="宋体"/>
                <w:b w:val="0"/>
                <w:bCs w:val="0"/>
                <w:i w:val="0"/>
                <w:iCs w:val="0"/>
                <w:color w:val="auto"/>
                <w:sz w:val="24"/>
                <w:szCs w:val="24"/>
                <w:u w:val="none"/>
                <w:lang w:val="en-US" w:eastAsia="zh-CN"/>
              </w:rPr>
              <w:t>套</w:t>
            </w:r>
            <w:r>
              <w:rPr>
                <w:rFonts w:hint="eastAsia" w:ascii="宋体" w:hAnsi="宋体" w:eastAsia="宋体" w:cs="宋体"/>
                <w:b w:val="0"/>
                <w:bCs w:val="0"/>
                <w:i w:val="0"/>
                <w:iCs w:val="0"/>
                <w:color w:val="auto"/>
                <w:sz w:val="24"/>
                <w:szCs w:val="24"/>
                <w:u w:val="none"/>
              </w:rPr>
              <w:t>。</w:t>
            </w:r>
          </w:p>
          <w:p w14:paraId="79381013">
            <w:pPr>
              <w:spacing w:line="360" w:lineRule="auto"/>
              <w:jc w:val="left"/>
              <w:rPr>
                <w:rFonts w:hint="eastAsia" w:ascii="宋体" w:hAnsi="宋体" w:eastAsia="宋体" w:cs="宋体"/>
                <w:b w:val="0"/>
                <w:bCs w:val="0"/>
                <w:i w:val="0"/>
                <w:iCs w:val="0"/>
                <w:color w:val="auto"/>
                <w:sz w:val="24"/>
                <w:szCs w:val="24"/>
                <w:u w:val="none"/>
                <w:lang w:eastAsia="zh-CN"/>
              </w:rPr>
            </w:pPr>
            <w:r>
              <w:rPr>
                <w:rFonts w:hint="eastAsia" w:ascii="宋体" w:hAnsi="宋体" w:eastAsia="宋体" w:cs="宋体"/>
                <w:b w:val="0"/>
                <w:bCs w:val="0"/>
                <w:i w:val="0"/>
                <w:iCs w:val="0"/>
                <w:color w:val="auto"/>
                <w:sz w:val="24"/>
                <w:szCs w:val="24"/>
                <w:u w:val="none"/>
              </w:rPr>
              <w:t>1</w:t>
            </w:r>
            <w:r>
              <w:rPr>
                <w:rFonts w:hint="eastAsia" w:ascii="宋体" w:hAnsi="宋体" w:cs="宋体"/>
                <w:b w:val="0"/>
                <w:bCs w:val="0"/>
                <w:i w:val="0"/>
                <w:iCs w:val="0"/>
                <w:color w:val="auto"/>
                <w:sz w:val="24"/>
                <w:szCs w:val="24"/>
                <w:u w:val="none"/>
                <w:lang w:val="en-US" w:eastAsia="zh-CN"/>
              </w:rPr>
              <w:t>0</w:t>
            </w:r>
            <w:r>
              <w:rPr>
                <w:rFonts w:hint="eastAsia" w:ascii="宋体" w:hAnsi="宋体" w:eastAsia="宋体" w:cs="宋体"/>
                <w:b w:val="0"/>
                <w:bCs w:val="0"/>
                <w:i w:val="0"/>
                <w:iCs w:val="0"/>
                <w:color w:val="auto"/>
                <w:sz w:val="24"/>
                <w:szCs w:val="24"/>
                <w:u w:val="none"/>
              </w:rPr>
              <w:t>.同正压式消防空气呼吸器、冷却设备、消防员呼救器及通信器材等设备配合使用。颜色为橙黄色。外观质量，面料表面应平整，不应有破洞、气泡、脱层、表面露布、死褶现象。化学防护靴不应有脱齿弹边、脱空、开胶、喷霜、过硫、欠硫现象。化学防护服的外贴条应整齐，不应有部件欠缺</w:t>
            </w:r>
            <w:r>
              <w:rPr>
                <w:rFonts w:hint="eastAsia" w:ascii="宋体" w:hAnsi="宋体" w:eastAsia="宋体" w:cs="宋体"/>
                <w:b w:val="0"/>
                <w:bCs w:val="0"/>
                <w:i w:val="0"/>
                <w:iCs w:val="0"/>
                <w:color w:val="auto"/>
                <w:sz w:val="24"/>
                <w:szCs w:val="24"/>
                <w:u w:val="none"/>
                <w:lang w:eastAsia="zh-CN"/>
              </w:rPr>
              <w:t>；</w:t>
            </w:r>
          </w:p>
          <w:p w14:paraId="78BCCE16">
            <w:pPr>
              <w:numPr>
                <w:ilvl w:val="0"/>
                <w:numId w:val="0"/>
              </w:numPr>
              <w:spacing w:line="360" w:lineRule="auto"/>
              <w:ind w:left="0" w:leftChars="0" w:firstLine="0" w:firstLineChars="0"/>
              <w:jc w:val="left"/>
              <w:rPr>
                <w:rFonts w:hint="eastAsia" w:ascii="宋体" w:hAnsi="宋体" w:eastAsia="宋体" w:cs="宋体"/>
                <w:b w:val="0"/>
                <w:bCs w:val="0"/>
                <w:i w:val="0"/>
                <w:iCs w:val="0"/>
                <w:color w:val="auto"/>
                <w:sz w:val="24"/>
                <w:szCs w:val="24"/>
                <w:u w:val="none"/>
              </w:rPr>
            </w:pPr>
            <w:r>
              <w:rPr>
                <w:rFonts w:hint="eastAsia" w:ascii="宋体" w:hAnsi="宋体" w:cs="宋体"/>
                <w:b w:val="0"/>
                <w:bCs w:val="0"/>
                <w:i w:val="0"/>
                <w:iCs w:val="0"/>
                <w:color w:val="auto"/>
                <w:sz w:val="24"/>
                <w:szCs w:val="24"/>
                <w:u w:val="none"/>
                <w:lang w:val="en-US" w:eastAsia="zh-CN"/>
              </w:rPr>
              <w:t>11</w:t>
            </w:r>
            <w:r>
              <w:rPr>
                <w:rFonts w:hint="eastAsia" w:ascii="宋体" w:hAnsi="宋体" w:eastAsia="宋体" w:cs="宋体"/>
                <w:b w:val="0"/>
                <w:bCs w:val="0"/>
                <w:i w:val="0"/>
                <w:iCs w:val="0"/>
                <w:color w:val="auto"/>
                <w:sz w:val="24"/>
                <w:szCs w:val="24"/>
                <w:u w:val="none"/>
              </w:rPr>
              <w:t>.连体式设计，全封闭式，由聚脂纤维 PVC 材料制成，涂层为防火。采用一个气密型拉链，保证服装最大限度的密封，可完全打开连体服，保证紧急情况下可以迅速穿戴；剪裁方式使接缝数量达到最低，组件和内贴接缝经过内部和外部的双硫化，可密封接缝；可内置空气呼吸器，对有毒、腐蚀性气体、液体和固态化学品进行高级别的防护，具有绝缘、防水、密封等特性。能够防化、防酸碱、防硫等有毒、有害气体和液体。</w:t>
            </w:r>
          </w:p>
        </w:tc>
      </w:tr>
      <w:tr w14:paraId="608EB0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06" w:type="dxa"/>
            <w:tcBorders>
              <w:top w:val="single" w:color="000000" w:sz="4" w:space="0"/>
              <w:bottom w:val="single" w:color="000000" w:sz="4" w:space="0"/>
              <w:right w:val="single" w:color="000000" w:sz="4" w:space="0"/>
            </w:tcBorders>
            <w:noWrap w:val="0"/>
            <w:vAlign w:val="center"/>
          </w:tcPr>
          <w:p w14:paraId="356D650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4</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126D365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防高温手套</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458D058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双</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78C85E4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150</w:t>
            </w:r>
          </w:p>
        </w:tc>
        <w:tc>
          <w:tcPr>
            <w:tcW w:w="6653" w:type="dxa"/>
            <w:tcBorders>
              <w:top w:val="single" w:color="000000" w:sz="4" w:space="0"/>
              <w:left w:val="single" w:color="000000" w:sz="4" w:space="0"/>
              <w:bottom w:val="single" w:color="000000" w:sz="4" w:space="0"/>
            </w:tcBorders>
            <w:noWrap w:val="0"/>
            <w:vAlign w:val="center"/>
          </w:tcPr>
          <w:p w14:paraId="79EBF8BF">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sz w:val="24"/>
                <w:szCs w:val="24"/>
                <w:u w:val="none"/>
              </w:rPr>
              <w:t>★</w:t>
            </w:r>
            <w:r>
              <w:rPr>
                <w:rFonts w:hint="eastAsia" w:ascii="宋体" w:hAnsi="宋体" w:eastAsia="宋体" w:cs="宋体"/>
                <w:b w:val="0"/>
                <w:bCs w:val="0"/>
                <w:i w:val="0"/>
                <w:iCs w:val="0"/>
                <w:color w:val="auto"/>
                <w:kern w:val="0"/>
                <w:sz w:val="24"/>
                <w:szCs w:val="24"/>
                <w:u w:val="none"/>
                <w:lang w:val="en-US" w:eastAsia="zh-CN" w:bidi="ar"/>
              </w:rPr>
              <w:t>符合XF7-2004《消防手套》标准。</w:t>
            </w:r>
          </w:p>
          <w:p w14:paraId="78B1F0A6">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12</w:t>
            </w:r>
            <w:r>
              <w:rPr>
                <w:rFonts w:hint="eastAsia" w:ascii="宋体" w:hAnsi="宋体" w:eastAsia="宋体" w:cs="宋体"/>
                <w:b w:val="0"/>
                <w:bCs w:val="0"/>
                <w:i w:val="0"/>
                <w:iCs w:val="0"/>
                <w:color w:val="auto"/>
                <w:kern w:val="0"/>
                <w:sz w:val="24"/>
                <w:szCs w:val="24"/>
                <w:u w:val="none"/>
                <w:lang w:val="en-US" w:eastAsia="zh-CN" w:bidi="ar"/>
              </w:rPr>
              <w:t>.采用凯夫拉防火纤维或同等质量材质密织而成；</w:t>
            </w:r>
          </w:p>
          <w:p w14:paraId="674470EE">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auto"/>
                <w:sz w:val="24"/>
                <w:szCs w:val="24"/>
                <w:u w:val="none"/>
              </w:rPr>
            </w:pPr>
            <w:r>
              <w:rPr>
                <w:rFonts w:hint="eastAsia" w:ascii="宋体" w:hAnsi="宋体" w:cs="宋体"/>
                <w:b w:val="0"/>
                <w:bCs w:val="0"/>
                <w:i w:val="0"/>
                <w:iCs w:val="0"/>
                <w:color w:val="auto"/>
                <w:kern w:val="0"/>
                <w:sz w:val="24"/>
                <w:szCs w:val="24"/>
                <w:u w:val="none"/>
                <w:lang w:val="en-US" w:eastAsia="zh-CN" w:bidi="ar"/>
              </w:rPr>
              <w:t>13</w:t>
            </w:r>
            <w:r>
              <w:rPr>
                <w:rFonts w:hint="eastAsia" w:ascii="宋体" w:hAnsi="宋体" w:eastAsia="宋体" w:cs="宋体"/>
                <w:b w:val="0"/>
                <w:bCs w:val="0"/>
                <w:i w:val="0"/>
                <w:iCs w:val="0"/>
                <w:color w:val="auto"/>
                <w:kern w:val="0"/>
                <w:sz w:val="24"/>
                <w:szCs w:val="24"/>
                <w:u w:val="none"/>
                <w:lang w:val="en-US" w:eastAsia="zh-CN" w:bidi="ar"/>
              </w:rPr>
              <w:t>.耐热温度≥450℃。</w:t>
            </w:r>
          </w:p>
        </w:tc>
      </w:tr>
      <w:tr w14:paraId="1F1D2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6" w:type="dxa"/>
            <w:tcBorders>
              <w:top w:val="single" w:color="000000" w:sz="4" w:space="0"/>
              <w:bottom w:val="single" w:color="000000" w:sz="4" w:space="0"/>
              <w:right w:val="single" w:color="000000" w:sz="4" w:space="0"/>
            </w:tcBorders>
            <w:noWrap w:val="0"/>
            <w:vAlign w:val="center"/>
          </w:tcPr>
          <w:p w14:paraId="743AAC6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5</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4FAB0466">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水域救援防水背包</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7BF13EF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个</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14:paraId="70D48705">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2EAA00F9">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14.</w:t>
            </w:r>
            <w:r>
              <w:rPr>
                <w:rFonts w:hint="eastAsia" w:ascii="宋体" w:hAnsi="宋体" w:eastAsia="宋体" w:cs="宋体"/>
                <w:b w:val="0"/>
                <w:bCs w:val="0"/>
                <w:i w:val="0"/>
                <w:iCs w:val="0"/>
                <w:color w:val="auto"/>
                <w:kern w:val="0"/>
                <w:sz w:val="24"/>
                <w:szCs w:val="24"/>
                <w:u w:val="none"/>
                <w:lang w:val="en-US" w:eastAsia="zh-CN" w:bidi="ar"/>
              </w:rPr>
              <w:t>容量：≥90L；</w:t>
            </w:r>
          </w:p>
          <w:p w14:paraId="7B3665AD">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15.</w:t>
            </w:r>
            <w:r>
              <w:rPr>
                <w:rFonts w:hint="eastAsia" w:ascii="宋体" w:hAnsi="宋体" w:eastAsia="宋体" w:cs="宋体"/>
                <w:b w:val="0"/>
                <w:bCs w:val="0"/>
                <w:i w:val="0"/>
                <w:iCs w:val="0"/>
                <w:color w:val="auto"/>
                <w:kern w:val="0"/>
                <w:sz w:val="24"/>
                <w:szCs w:val="24"/>
                <w:u w:val="none"/>
                <w:lang w:val="en-US" w:eastAsia="zh-CN" w:bidi="ar"/>
              </w:rPr>
              <w:t>重量：≤2kg；</w:t>
            </w:r>
          </w:p>
          <w:p w14:paraId="3B9A0916">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cs="宋体"/>
                <w:b w:val="0"/>
                <w:bCs w:val="0"/>
                <w:i w:val="0"/>
                <w:iCs w:val="0"/>
                <w:color w:val="auto"/>
                <w:kern w:val="0"/>
                <w:sz w:val="24"/>
                <w:szCs w:val="24"/>
                <w:u w:val="none"/>
                <w:lang w:val="en-US" w:eastAsia="zh-CN" w:bidi="ar"/>
              </w:rPr>
              <w:t>16.</w:t>
            </w:r>
            <w:r>
              <w:rPr>
                <w:rFonts w:hint="eastAsia" w:ascii="宋体" w:hAnsi="宋体" w:eastAsia="宋体" w:cs="宋体"/>
                <w:b w:val="0"/>
                <w:bCs w:val="0"/>
                <w:i w:val="0"/>
                <w:iCs w:val="0"/>
                <w:color w:val="auto"/>
                <w:kern w:val="0"/>
                <w:sz w:val="24"/>
                <w:szCs w:val="24"/>
                <w:u w:val="none"/>
                <w:lang w:val="en-US" w:eastAsia="zh-CN" w:bidi="ar"/>
              </w:rPr>
              <w:t>具有防水功能；</w:t>
            </w:r>
          </w:p>
          <w:p w14:paraId="66D9617D">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cs="宋体"/>
                <w:b w:val="0"/>
                <w:bCs w:val="0"/>
                <w:i w:val="0"/>
                <w:iCs w:val="0"/>
                <w:color w:val="auto"/>
                <w:kern w:val="0"/>
                <w:sz w:val="24"/>
                <w:szCs w:val="24"/>
                <w:u w:val="none"/>
                <w:lang w:val="en-US" w:eastAsia="zh-CN" w:bidi="ar"/>
              </w:rPr>
              <w:t>17.</w:t>
            </w:r>
            <w:r>
              <w:rPr>
                <w:rFonts w:hint="eastAsia" w:ascii="宋体" w:hAnsi="宋体" w:eastAsia="宋体" w:cs="宋体"/>
                <w:b w:val="0"/>
                <w:bCs w:val="0"/>
                <w:i w:val="0"/>
                <w:iCs w:val="0"/>
                <w:color w:val="auto"/>
                <w:kern w:val="0"/>
                <w:sz w:val="24"/>
                <w:szCs w:val="24"/>
                <w:u w:val="none"/>
                <w:lang w:val="en-US" w:eastAsia="zh-CN" w:bidi="ar"/>
              </w:rPr>
              <w:t>颜色：根据采购人要求定制；</w:t>
            </w:r>
          </w:p>
          <w:p w14:paraId="5C83A353">
            <w:pPr>
              <w:numPr>
                <w:ilvl w:val="0"/>
                <w:numId w:val="0"/>
              </w:numPr>
              <w:spacing w:line="360" w:lineRule="auto"/>
              <w:ind w:leftChars="0"/>
              <w:textAlignment w:val="center"/>
              <w:rPr>
                <w:rFonts w:hint="eastAsia" w:ascii="宋体" w:hAnsi="宋体" w:eastAsia="宋体" w:cs="宋体"/>
                <w:b w:val="0"/>
                <w:bCs w:val="0"/>
                <w:color w:val="auto"/>
                <w:sz w:val="24"/>
                <w:szCs w:val="24"/>
                <w:lang w:val="en-US"/>
              </w:rPr>
            </w:pPr>
            <w:r>
              <w:rPr>
                <w:rFonts w:hint="eastAsia" w:ascii="宋体" w:hAnsi="宋体" w:cs="宋体"/>
                <w:b w:val="0"/>
                <w:bCs w:val="0"/>
                <w:i w:val="0"/>
                <w:iCs w:val="0"/>
                <w:color w:val="auto"/>
                <w:kern w:val="0"/>
                <w:sz w:val="24"/>
                <w:szCs w:val="24"/>
                <w:u w:val="none"/>
                <w:lang w:val="en-US" w:eastAsia="zh-CN" w:bidi="ar"/>
              </w:rPr>
              <w:t>18.</w:t>
            </w:r>
            <w:r>
              <w:rPr>
                <w:rFonts w:hint="eastAsia" w:ascii="宋体" w:hAnsi="宋体" w:eastAsia="宋体" w:cs="宋体"/>
                <w:b w:val="0"/>
                <w:bCs w:val="0"/>
                <w:i w:val="0"/>
                <w:iCs w:val="0"/>
                <w:color w:val="auto"/>
                <w:kern w:val="0"/>
                <w:sz w:val="24"/>
                <w:szCs w:val="24"/>
                <w:u w:val="none"/>
                <w:lang w:val="en-US" w:eastAsia="zh-CN" w:bidi="ar"/>
              </w:rPr>
              <w:t>具有高亮反标识；</w:t>
            </w:r>
          </w:p>
          <w:p w14:paraId="2546D0E1">
            <w:pPr>
              <w:numPr>
                <w:ilvl w:val="0"/>
                <w:numId w:val="0"/>
              </w:numPr>
              <w:spacing w:line="360" w:lineRule="auto"/>
              <w:ind w:leftChars="0"/>
              <w:textAlignment w:val="center"/>
              <w:rPr>
                <w:rFonts w:hint="eastAsia" w:ascii="宋体" w:hAnsi="宋体" w:eastAsia="宋体" w:cs="宋体"/>
                <w:b w:val="0"/>
                <w:bCs w:val="0"/>
                <w:color w:val="auto"/>
                <w:sz w:val="24"/>
                <w:szCs w:val="24"/>
                <w:lang w:val="en-US"/>
              </w:rPr>
            </w:pPr>
            <w:r>
              <w:rPr>
                <w:rFonts w:hint="eastAsia" w:ascii="宋体" w:hAnsi="宋体" w:cs="宋体"/>
                <w:b w:val="0"/>
                <w:bCs w:val="0"/>
                <w:color w:val="auto"/>
                <w:sz w:val="24"/>
                <w:szCs w:val="24"/>
                <w:lang w:val="en-US" w:eastAsia="zh-CN"/>
              </w:rPr>
              <w:t>19.</w:t>
            </w:r>
            <w:r>
              <w:rPr>
                <w:rFonts w:hint="eastAsia" w:ascii="宋体" w:hAnsi="宋体" w:eastAsia="宋体" w:cs="宋体"/>
                <w:b w:val="0"/>
                <w:bCs w:val="0"/>
                <w:color w:val="auto"/>
                <w:sz w:val="24"/>
                <w:szCs w:val="24"/>
                <w:lang w:val="en-US"/>
              </w:rPr>
              <w:t>背包采用人体工程学背负设计，肩带、腰带可调节，双侧设置网兜，挂钩，各连接处缝制牢固，双层加固缝制</w:t>
            </w:r>
            <w:r>
              <w:rPr>
                <w:rFonts w:hint="eastAsia" w:ascii="宋体" w:hAnsi="宋体" w:eastAsia="宋体" w:cs="宋体"/>
                <w:b w:val="0"/>
                <w:bCs w:val="0"/>
                <w:color w:val="auto"/>
                <w:sz w:val="24"/>
                <w:szCs w:val="24"/>
                <w:lang w:val="en-US" w:eastAsia="zh-CN"/>
              </w:rPr>
              <w:t>。</w:t>
            </w:r>
          </w:p>
        </w:tc>
      </w:tr>
      <w:tr w14:paraId="3BD8E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606" w:type="dxa"/>
            <w:tcBorders>
              <w:top w:val="single" w:color="000000" w:sz="4" w:space="0"/>
              <w:bottom w:val="single" w:color="000000" w:sz="4" w:space="0"/>
              <w:right w:val="single" w:color="000000" w:sz="4" w:space="0"/>
            </w:tcBorders>
            <w:noWrap w:val="0"/>
            <w:vAlign w:val="center"/>
          </w:tcPr>
          <w:p w14:paraId="03FDC23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6</w:t>
            </w:r>
          </w:p>
        </w:tc>
        <w:tc>
          <w:tcPr>
            <w:tcW w:w="1109" w:type="dxa"/>
            <w:tcBorders>
              <w:top w:val="single" w:color="000000" w:sz="4" w:space="0"/>
              <w:left w:val="single" w:color="000000" w:sz="4" w:space="0"/>
              <w:bottom w:val="single" w:color="000000" w:sz="4" w:space="0"/>
              <w:right w:val="nil"/>
            </w:tcBorders>
            <w:noWrap w:val="0"/>
            <w:vAlign w:val="center"/>
          </w:tcPr>
          <w:p w14:paraId="0000D12B">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防静电服</w:t>
            </w:r>
          </w:p>
        </w:tc>
        <w:tc>
          <w:tcPr>
            <w:tcW w:w="564" w:type="dxa"/>
            <w:tcBorders>
              <w:top w:val="single" w:color="000000" w:sz="4" w:space="0"/>
              <w:left w:val="single" w:color="000000" w:sz="4" w:space="0"/>
              <w:bottom w:val="single" w:color="000000" w:sz="4" w:space="0"/>
              <w:right w:val="nil"/>
            </w:tcBorders>
            <w:noWrap w:val="0"/>
            <w:vAlign w:val="center"/>
          </w:tcPr>
          <w:p w14:paraId="5BD5260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c>
          <w:tcPr>
            <w:tcW w:w="732" w:type="dxa"/>
            <w:tcBorders>
              <w:top w:val="single" w:color="000000" w:sz="4" w:space="0"/>
              <w:left w:val="single" w:color="000000" w:sz="4" w:space="0"/>
              <w:bottom w:val="single" w:color="000000" w:sz="4" w:space="0"/>
              <w:right w:val="nil"/>
            </w:tcBorders>
            <w:noWrap w:val="0"/>
            <w:vAlign w:val="center"/>
          </w:tcPr>
          <w:p w14:paraId="491D30D6">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56057924">
            <w:pPr>
              <w:keepNext w:val="0"/>
              <w:keepLines w:val="0"/>
              <w:widowControl/>
              <w:numPr>
                <w:ilvl w:val="0"/>
                <w:numId w:val="0"/>
              </w:numPr>
              <w:suppressLineNumbers w:val="0"/>
              <w:spacing w:line="36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★符合《防护服装 防静电服》（GB12014-2019）标准。</w:t>
            </w:r>
          </w:p>
          <w:p w14:paraId="4CC036A6">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cs="宋体"/>
                <w:b w:val="0"/>
                <w:bCs w:val="0"/>
                <w:i w:val="0"/>
                <w:iCs w:val="0"/>
                <w:color w:val="auto"/>
                <w:kern w:val="0"/>
                <w:sz w:val="24"/>
                <w:szCs w:val="24"/>
                <w:highlight w:val="none"/>
                <w:u w:val="none"/>
                <w:lang w:val="en-US" w:eastAsia="zh-CN" w:bidi="ar"/>
              </w:rPr>
              <w:t>20</w:t>
            </w:r>
            <w:r>
              <w:rPr>
                <w:rFonts w:hint="eastAsia" w:ascii="宋体" w:hAnsi="宋体" w:eastAsia="宋体" w:cs="宋体"/>
                <w:b w:val="0"/>
                <w:bCs w:val="0"/>
                <w:i w:val="0"/>
                <w:iCs w:val="0"/>
                <w:color w:val="auto"/>
                <w:kern w:val="0"/>
                <w:sz w:val="24"/>
                <w:szCs w:val="24"/>
                <w:highlight w:val="none"/>
                <w:u w:val="none"/>
                <w:lang w:val="en-US" w:eastAsia="zh-CN" w:bidi="ar"/>
              </w:rPr>
              <w:t>.由防静电织物、静电耗散材料、导电纤维等材质组成。</w:t>
            </w:r>
          </w:p>
        </w:tc>
      </w:tr>
      <w:tr w14:paraId="2654BA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606" w:type="dxa"/>
            <w:tcBorders>
              <w:top w:val="single" w:color="000000" w:sz="4" w:space="0"/>
              <w:bottom w:val="single" w:color="000000" w:sz="4" w:space="0"/>
              <w:right w:val="single" w:color="000000" w:sz="4" w:space="0"/>
            </w:tcBorders>
            <w:noWrap w:val="0"/>
            <w:vAlign w:val="center"/>
          </w:tcPr>
          <w:p w14:paraId="23C9C1C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7</w:t>
            </w:r>
          </w:p>
        </w:tc>
        <w:tc>
          <w:tcPr>
            <w:tcW w:w="1109" w:type="dxa"/>
            <w:tcBorders>
              <w:top w:val="single" w:color="000000" w:sz="4" w:space="0"/>
              <w:left w:val="single" w:color="000000" w:sz="4" w:space="0"/>
              <w:bottom w:val="single" w:color="000000" w:sz="4" w:space="0"/>
              <w:right w:val="nil"/>
            </w:tcBorders>
            <w:noWrap w:val="0"/>
            <w:vAlign w:val="center"/>
          </w:tcPr>
          <w:p w14:paraId="57749D6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消防阻燃毛衣</w:t>
            </w:r>
          </w:p>
        </w:tc>
        <w:tc>
          <w:tcPr>
            <w:tcW w:w="564" w:type="dxa"/>
            <w:tcBorders>
              <w:top w:val="single" w:color="000000" w:sz="4" w:space="0"/>
              <w:left w:val="single" w:color="000000" w:sz="4" w:space="0"/>
              <w:bottom w:val="single" w:color="000000" w:sz="4" w:space="0"/>
              <w:right w:val="nil"/>
            </w:tcBorders>
            <w:noWrap w:val="0"/>
            <w:vAlign w:val="center"/>
          </w:tcPr>
          <w:p w14:paraId="7106F49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件</w:t>
            </w:r>
          </w:p>
        </w:tc>
        <w:tc>
          <w:tcPr>
            <w:tcW w:w="732" w:type="dxa"/>
            <w:tcBorders>
              <w:top w:val="single" w:color="000000" w:sz="4" w:space="0"/>
              <w:left w:val="single" w:color="000000" w:sz="4" w:space="0"/>
              <w:bottom w:val="single" w:color="000000" w:sz="4" w:space="0"/>
              <w:right w:val="nil"/>
            </w:tcBorders>
            <w:noWrap w:val="0"/>
            <w:vAlign w:val="center"/>
          </w:tcPr>
          <w:p w14:paraId="2A16939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100</w:t>
            </w:r>
          </w:p>
        </w:tc>
        <w:tc>
          <w:tcPr>
            <w:tcW w:w="6653" w:type="dxa"/>
            <w:tcBorders>
              <w:top w:val="single" w:color="000000" w:sz="4" w:space="0"/>
              <w:left w:val="single" w:color="000000" w:sz="4" w:space="0"/>
              <w:bottom w:val="single" w:color="000000" w:sz="4" w:space="0"/>
            </w:tcBorders>
            <w:noWrap w:val="0"/>
            <w:vAlign w:val="center"/>
          </w:tcPr>
          <w:p w14:paraId="216F5EE5">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★符合XF1274-2015《消防员防护辅助装备 阻燃毛衣》标准的要求。款式：长袖款。</w:t>
            </w:r>
          </w:p>
          <w:p w14:paraId="37DDE545">
            <w:pPr>
              <w:keepNext w:val="0"/>
              <w:keepLines w:val="0"/>
              <w:widowControl/>
              <w:suppressLineNumbers w:val="0"/>
              <w:spacing w:line="360" w:lineRule="auto"/>
              <w:jc w:val="left"/>
              <w:textAlignment w:val="center"/>
              <w:rPr>
                <w:rFonts w:hint="eastAsia" w:ascii="宋体" w:hAnsi="宋体" w:eastAsia="宋体" w:cs="宋体"/>
                <w:b w:val="0"/>
                <w:bCs w:val="0"/>
                <w:color w:val="auto"/>
                <w:sz w:val="24"/>
                <w:szCs w:val="24"/>
                <w:highlight w:val="none"/>
              </w:rPr>
            </w:pPr>
            <w:r>
              <w:rPr>
                <w:rFonts w:hint="eastAsia" w:ascii="宋体" w:hAnsi="宋体" w:cs="宋体"/>
                <w:b w:val="0"/>
                <w:bCs w:val="0"/>
                <w:i w:val="0"/>
                <w:iCs w:val="0"/>
                <w:color w:val="auto"/>
                <w:kern w:val="0"/>
                <w:sz w:val="24"/>
                <w:szCs w:val="24"/>
                <w:highlight w:val="none"/>
                <w:u w:val="none"/>
                <w:lang w:val="en-US" w:eastAsia="zh-CN" w:bidi="ar"/>
              </w:rPr>
              <w:t>21</w:t>
            </w:r>
            <w:r>
              <w:rPr>
                <w:rFonts w:hint="eastAsia" w:ascii="宋体" w:hAnsi="宋体" w:eastAsia="宋体" w:cs="宋体"/>
                <w:b w:val="0"/>
                <w:bCs w:val="0"/>
                <w:i w:val="0"/>
                <w:iCs w:val="0"/>
                <w:color w:val="auto"/>
                <w:kern w:val="0"/>
                <w:sz w:val="24"/>
                <w:szCs w:val="24"/>
                <w:highlight w:val="none"/>
                <w:u w:val="none"/>
                <w:lang w:val="en-US" w:eastAsia="zh-CN" w:bidi="ar"/>
              </w:rPr>
              <w:t>、肩部和肘部有加强处理。</w:t>
            </w:r>
          </w:p>
        </w:tc>
      </w:tr>
      <w:tr w14:paraId="597554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6" w:hRule="atLeast"/>
        </w:trPr>
        <w:tc>
          <w:tcPr>
            <w:tcW w:w="606" w:type="dxa"/>
            <w:tcBorders>
              <w:top w:val="single" w:color="000000" w:sz="4" w:space="0"/>
              <w:bottom w:val="single" w:color="000000" w:sz="4" w:space="0"/>
              <w:right w:val="single" w:color="000000" w:sz="4" w:space="0"/>
            </w:tcBorders>
            <w:noWrap w:val="0"/>
            <w:vAlign w:val="center"/>
          </w:tcPr>
          <w:p w14:paraId="7AD3616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8</w:t>
            </w:r>
          </w:p>
        </w:tc>
        <w:tc>
          <w:tcPr>
            <w:tcW w:w="1109" w:type="dxa"/>
            <w:tcBorders>
              <w:top w:val="single" w:color="000000" w:sz="4" w:space="0"/>
              <w:left w:val="single" w:color="000000" w:sz="4" w:space="0"/>
              <w:bottom w:val="single" w:color="000000" w:sz="4" w:space="0"/>
              <w:right w:val="nil"/>
            </w:tcBorders>
            <w:noWrap w:val="0"/>
            <w:vAlign w:val="center"/>
          </w:tcPr>
          <w:p w14:paraId="64CA095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消防员隔热防护服</w:t>
            </w:r>
          </w:p>
        </w:tc>
        <w:tc>
          <w:tcPr>
            <w:tcW w:w="564" w:type="dxa"/>
            <w:tcBorders>
              <w:top w:val="single" w:color="000000" w:sz="4" w:space="0"/>
              <w:left w:val="single" w:color="000000" w:sz="4" w:space="0"/>
              <w:bottom w:val="single" w:color="000000" w:sz="4" w:space="0"/>
              <w:right w:val="nil"/>
            </w:tcBorders>
            <w:noWrap w:val="0"/>
            <w:vAlign w:val="center"/>
          </w:tcPr>
          <w:p w14:paraId="4D16D866">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套</w:t>
            </w:r>
          </w:p>
        </w:tc>
        <w:tc>
          <w:tcPr>
            <w:tcW w:w="732" w:type="dxa"/>
            <w:tcBorders>
              <w:top w:val="single" w:color="000000" w:sz="4" w:space="0"/>
              <w:left w:val="single" w:color="000000" w:sz="4" w:space="0"/>
              <w:bottom w:val="single" w:color="000000" w:sz="4" w:space="0"/>
              <w:right w:val="nil"/>
            </w:tcBorders>
            <w:noWrap w:val="0"/>
            <w:vAlign w:val="center"/>
          </w:tcPr>
          <w:p w14:paraId="560E004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w:t>
            </w:r>
          </w:p>
        </w:tc>
        <w:tc>
          <w:tcPr>
            <w:tcW w:w="6653" w:type="dxa"/>
            <w:tcBorders>
              <w:top w:val="single" w:color="000000" w:sz="4" w:space="0"/>
              <w:left w:val="single" w:color="000000" w:sz="4" w:space="0"/>
              <w:bottom w:val="single" w:color="000000" w:sz="4" w:space="0"/>
            </w:tcBorders>
            <w:noWrap w:val="0"/>
            <w:vAlign w:val="center"/>
          </w:tcPr>
          <w:p w14:paraId="70CCFBC6">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★符合XF634-2015《消防员隔热防护服》要求。分体式。包括隔热上衣、隔热裤、隔热头罩、隔热手套以及隔热脚盖等。</w:t>
            </w:r>
          </w:p>
          <w:p w14:paraId="38DCF676">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一、总体要求</w:t>
            </w:r>
          </w:p>
          <w:p w14:paraId="53981A1B">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22</w:t>
            </w:r>
            <w:r>
              <w:rPr>
                <w:rFonts w:hint="eastAsia" w:ascii="宋体" w:hAnsi="宋体" w:eastAsia="宋体" w:cs="宋体"/>
                <w:b w:val="0"/>
                <w:bCs w:val="0"/>
                <w:i w:val="0"/>
                <w:iCs w:val="0"/>
                <w:color w:val="auto"/>
                <w:kern w:val="0"/>
                <w:sz w:val="24"/>
                <w:szCs w:val="24"/>
                <w:u w:val="none"/>
                <w:lang w:val="en-US" w:eastAsia="zh-CN" w:bidi="ar"/>
              </w:rPr>
              <w:t>.由外层、隔热层、舒适层等多层织物复合而成。</w:t>
            </w:r>
          </w:p>
          <w:p w14:paraId="35B31FC9">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w:t>
            </w:r>
            <w:r>
              <w:rPr>
                <w:rFonts w:hint="eastAsia" w:ascii="宋体" w:hAnsi="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.外层采用具有反射辐射热的金属铝箔表面材料或同等质量材质，并能满足基本服装制作工艺要求和辅料相对应标准的性能要求。</w:t>
            </w:r>
          </w:p>
          <w:p w14:paraId="5086356D">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24</w:t>
            </w:r>
            <w:r>
              <w:rPr>
                <w:rFonts w:hint="eastAsia" w:ascii="宋体" w:hAnsi="宋体" w:eastAsia="宋体" w:cs="宋体"/>
                <w:b w:val="0"/>
                <w:bCs w:val="0"/>
                <w:i w:val="0"/>
                <w:iCs w:val="0"/>
                <w:color w:val="auto"/>
                <w:kern w:val="0"/>
                <w:sz w:val="24"/>
                <w:szCs w:val="24"/>
                <w:u w:val="none"/>
                <w:lang w:val="en-US" w:eastAsia="zh-CN" w:bidi="ar"/>
              </w:rPr>
              <w:t>.各部位缝制平整，无脱线、跳针以及破损等缺陷。粘合衬无脱胶及表面渗胶。铝箔多次弯折不易分层、脱落。</w:t>
            </w:r>
          </w:p>
          <w:p w14:paraId="192D56E4">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★上衣背部设有背囊，应能与9L空气呼吸器配合使用。</w:t>
            </w:r>
          </w:p>
          <w:p w14:paraId="60E241D9">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二、技术要求</w:t>
            </w:r>
          </w:p>
          <w:p w14:paraId="73FF7522">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外层面料性能：</w:t>
            </w:r>
          </w:p>
          <w:p w14:paraId="0F53AB31">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25</w:t>
            </w:r>
            <w:r>
              <w:rPr>
                <w:rFonts w:hint="eastAsia" w:ascii="宋体" w:hAnsi="宋体" w:eastAsia="宋体" w:cs="宋体"/>
                <w:b w:val="0"/>
                <w:bCs w:val="0"/>
                <w:color w:val="auto"/>
                <w:sz w:val="24"/>
                <w:szCs w:val="24"/>
              </w:rPr>
              <w:t>.阻燃性能：续燃时间≤2S，损毁长度经向≤100mm、纬 向≤100mm。</w:t>
            </w:r>
            <w:r>
              <w:rPr>
                <w:rFonts w:hint="eastAsia" w:ascii="宋体" w:hAnsi="宋体" w:eastAsia="宋体" w:cs="宋体"/>
                <w:b w:val="0"/>
                <w:bCs w:val="0"/>
                <w:i w:val="0"/>
                <w:iCs w:val="0"/>
                <w:color w:val="auto"/>
                <w:sz w:val="24"/>
                <w:szCs w:val="24"/>
                <w:u w:val="none"/>
                <w:lang w:val="en-US" w:eastAsia="zh-CN"/>
              </w:rPr>
              <w:t xml:space="preserve"> </w:t>
            </w:r>
          </w:p>
          <w:p w14:paraId="38469121">
            <w:pPr>
              <w:spacing w:line="360" w:lineRule="auto"/>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26</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断裂强力：经向≥650N，纬向≥650N。</w:t>
            </w:r>
          </w:p>
          <w:p w14:paraId="39EAEE0F">
            <w:pPr>
              <w:spacing w:line="360" w:lineRule="auto"/>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27</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 xml:space="preserve">撕破强力：经向≥100N，纬向≥100N </w:t>
            </w:r>
          </w:p>
          <w:p w14:paraId="4307114B">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28</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热稳定性能：尺寸变化率，经向≤10%、纬向≤10%， 260℃5分钟，无变色、脱层、碳化、熔融和滴落现象。</w:t>
            </w:r>
          </w:p>
          <w:p w14:paraId="308C06F1">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29</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 xml:space="preserve">耐静水压性能≥17Kpa </w:t>
            </w:r>
          </w:p>
          <w:p w14:paraId="7BA36E6F">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30</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抗辐射热渗透性能：内表面温升达到24℃的时间≥60秒 。</w:t>
            </w:r>
          </w:p>
          <w:p w14:paraId="018C1EF5">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 xml:space="preserve">隔热层性能: </w:t>
            </w:r>
          </w:p>
          <w:p w14:paraId="330D2BA5">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31</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阻燃性能：续燃时间≤0S, 经向损毁长度≤55mm，纬向 损毁长度≤45m。</w:t>
            </w:r>
            <w:r>
              <w:rPr>
                <w:rFonts w:hint="eastAsia" w:ascii="宋体" w:hAnsi="宋体" w:eastAsia="宋体" w:cs="宋体"/>
                <w:b w:val="0"/>
                <w:bCs w:val="0"/>
                <w:i w:val="0"/>
                <w:iCs w:val="0"/>
                <w:color w:val="auto"/>
                <w:sz w:val="24"/>
                <w:szCs w:val="24"/>
                <w:u w:val="none"/>
                <w:lang w:val="en-US" w:eastAsia="zh-CN"/>
              </w:rPr>
              <w:t xml:space="preserve">  </w:t>
            </w:r>
          </w:p>
          <w:p w14:paraId="7462233C">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32</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热稳定性能：经纬向尺寸变化率≤2%。</w:t>
            </w:r>
          </w:p>
          <w:p w14:paraId="162182F9">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eastAsia="zh-CN"/>
              </w:rPr>
              <w:t>）舒适层性能：</w:t>
            </w:r>
          </w:p>
          <w:p w14:paraId="13D83A74">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33</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阻燃性能：续燃时间≤2S, 经向损毁长度≤100mm，纬向损毁长度≤100m</w:t>
            </w:r>
            <w:r>
              <w:rPr>
                <w:rFonts w:hint="eastAsia" w:ascii="宋体" w:hAnsi="宋体" w:eastAsia="宋体" w:cs="宋体"/>
                <w:b w:val="0"/>
                <w:bCs w:val="0"/>
                <w:color w:val="auto"/>
                <w:sz w:val="24"/>
                <w:szCs w:val="24"/>
                <w:lang w:eastAsia="zh-CN"/>
              </w:rPr>
              <w:t>；</w:t>
            </w:r>
          </w:p>
          <w:p w14:paraId="0AEEE797">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34</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断裂强力：经向≥300N，纬向≥300N</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 xml:space="preserve"> </w:t>
            </w:r>
          </w:p>
          <w:p w14:paraId="688D64AD">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35</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整体接缝断裂强力≥650N</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 xml:space="preserve"> </w:t>
            </w:r>
          </w:p>
          <w:p w14:paraId="66C7CCD9">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b w:val="0"/>
                <w:bCs w:val="0"/>
                <w:i w:val="0"/>
                <w:iCs w:val="0"/>
                <w:color w:val="auto"/>
                <w:sz w:val="24"/>
                <w:szCs w:val="24"/>
                <w:u w:val="none"/>
              </w:rPr>
            </w:pPr>
            <w:r>
              <w:rPr>
                <w:rFonts w:hint="eastAsia" w:ascii="宋体" w:hAnsi="宋体" w:cs="宋体"/>
                <w:b w:val="0"/>
                <w:bCs w:val="0"/>
                <w:color w:val="auto"/>
                <w:sz w:val="24"/>
                <w:szCs w:val="24"/>
                <w:lang w:val="en-US" w:eastAsia="zh-CN"/>
              </w:rPr>
              <w:t>36</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火焰和辐射热防护性能：TPP≥28cal/c㎡</w:t>
            </w:r>
          </w:p>
        </w:tc>
      </w:tr>
    </w:tbl>
    <w:p w14:paraId="0D8616DB">
      <w:pPr>
        <w:rPr>
          <w:rFonts w:hint="eastAsia" w:asciiTheme="minorEastAsia" w:hAnsiTheme="minorEastAsia" w:eastAsiaTheme="minorEastAsia" w:cstheme="minorEastAsia"/>
          <w:b/>
          <w:bCs/>
          <w:color w:val="auto"/>
          <w:sz w:val="24"/>
          <w:szCs w:val="24"/>
        </w:rPr>
      </w:pPr>
    </w:p>
    <w:p w14:paraId="7A2D3DB7">
      <w:pPr>
        <w:shd w:val="clear"/>
        <w:spacing w:line="360" w:lineRule="auto"/>
        <w:ind w:firstLine="482"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第三包</w:t>
      </w:r>
    </w:p>
    <w:tbl>
      <w:tblPr>
        <w:tblStyle w:val="4"/>
        <w:tblW w:w="9664"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06"/>
        <w:gridCol w:w="1109"/>
        <w:gridCol w:w="564"/>
        <w:gridCol w:w="732"/>
        <w:gridCol w:w="6653"/>
      </w:tblGrid>
      <w:tr w14:paraId="4D02C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606" w:type="dxa"/>
            <w:tcBorders>
              <w:top w:val="single" w:color="000000" w:sz="4" w:space="0"/>
              <w:bottom w:val="single" w:color="000000" w:sz="4" w:space="0"/>
              <w:right w:val="single" w:color="auto" w:sz="4" w:space="0"/>
            </w:tcBorders>
            <w:noWrap w:val="0"/>
            <w:vAlign w:val="center"/>
          </w:tcPr>
          <w:p w14:paraId="49FDB33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bookmarkStart w:id="0" w:name="OLE_LINK11"/>
            <w:r>
              <w:rPr>
                <w:rFonts w:hint="eastAsia" w:asciiTheme="minorEastAsia" w:hAnsiTheme="minorEastAsia" w:eastAsiaTheme="minorEastAsia" w:cstheme="minorEastAsia"/>
                <w:b/>
                <w:bCs/>
                <w:i w:val="0"/>
                <w:iCs w:val="0"/>
                <w:color w:val="auto"/>
                <w:kern w:val="0"/>
                <w:sz w:val="24"/>
                <w:szCs w:val="24"/>
                <w:u w:val="none"/>
                <w:lang w:val="en-US" w:eastAsia="zh-CN" w:bidi="ar"/>
              </w:rPr>
              <w:t>序号</w:t>
            </w:r>
          </w:p>
        </w:tc>
        <w:tc>
          <w:tcPr>
            <w:tcW w:w="1109" w:type="dxa"/>
            <w:tcBorders>
              <w:top w:val="single" w:color="auto" w:sz="4" w:space="0"/>
              <w:left w:val="single" w:color="auto" w:sz="4" w:space="0"/>
              <w:bottom w:val="single" w:color="auto" w:sz="4" w:space="0"/>
              <w:right w:val="single" w:color="000000" w:sz="4" w:space="0"/>
            </w:tcBorders>
            <w:noWrap w:val="0"/>
            <w:vAlign w:val="center"/>
          </w:tcPr>
          <w:p w14:paraId="584C387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装备（物资）名称</w:t>
            </w:r>
          </w:p>
        </w:tc>
        <w:tc>
          <w:tcPr>
            <w:tcW w:w="564" w:type="dxa"/>
            <w:tcBorders>
              <w:top w:val="single" w:color="auto" w:sz="4" w:space="0"/>
              <w:left w:val="single" w:color="000000" w:sz="4" w:space="0"/>
              <w:bottom w:val="single" w:color="auto" w:sz="4" w:space="0"/>
              <w:right w:val="single" w:color="000000" w:sz="4" w:space="0"/>
            </w:tcBorders>
            <w:noWrap/>
            <w:vAlign w:val="center"/>
          </w:tcPr>
          <w:p w14:paraId="465297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单位</w:t>
            </w:r>
          </w:p>
        </w:tc>
        <w:tc>
          <w:tcPr>
            <w:tcW w:w="732" w:type="dxa"/>
            <w:tcBorders>
              <w:top w:val="single" w:color="auto" w:sz="4" w:space="0"/>
              <w:left w:val="single" w:color="000000" w:sz="4" w:space="0"/>
              <w:bottom w:val="single" w:color="auto" w:sz="4" w:space="0"/>
              <w:right w:val="single" w:color="000000" w:sz="4" w:space="0"/>
            </w:tcBorders>
            <w:noWrap/>
            <w:vAlign w:val="center"/>
          </w:tcPr>
          <w:p w14:paraId="0F0E4FA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sz w:val="24"/>
                <w:szCs w:val="24"/>
                <w:u w:val="none"/>
                <w:lang w:val="en-US" w:eastAsia="zh-CN"/>
              </w:rPr>
              <w:t>数量</w:t>
            </w:r>
          </w:p>
        </w:tc>
        <w:tc>
          <w:tcPr>
            <w:tcW w:w="6653" w:type="dxa"/>
            <w:tcBorders>
              <w:top w:val="single" w:color="auto" w:sz="4" w:space="0"/>
              <w:left w:val="nil"/>
              <w:bottom w:val="single" w:color="auto" w:sz="4" w:space="0"/>
            </w:tcBorders>
            <w:noWrap w:val="0"/>
            <w:vAlign w:val="center"/>
          </w:tcPr>
          <w:p w14:paraId="0CE5B405">
            <w:pPr>
              <w:keepNext w:val="0"/>
              <w:keepLines w:val="0"/>
              <w:widowControl/>
              <w:suppressLineNumbers w:val="0"/>
              <w:spacing w:line="360" w:lineRule="auto"/>
              <w:jc w:val="center"/>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技术要求</w:t>
            </w:r>
          </w:p>
        </w:tc>
      </w:tr>
      <w:tr w14:paraId="6ECD16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606" w:type="dxa"/>
            <w:tcBorders>
              <w:top w:val="single" w:color="000000" w:sz="4" w:space="0"/>
              <w:bottom w:val="single" w:color="000000" w:sz="4" w:space="0"/>
              <w:right w:val="single" w:color="auto" w:sz="4" w:space="0"/>
            </w:tcBorders>
            <w:noWrap w:val="0"/>
            <w:vAlign w:val="center"/>
          </w:tcPr>
          <w:p w14:paraId="33E5484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lang w:val="en-US"/>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w:t>
            </w:r>
          </w:p>
        </w:tc>
        <w:tc>
          <w:tcPr>
            <w:tcW w:w="1109" w:type="dxa"/>
            <w:tcBorders>
              <w:top w:val="single" w:color="auto" w:sz="4" w:space="0"/>
              <w:left w:val="single" w:color="auto" w:sz="4" w:space="0"/>
              <w:bottom w:val="single" w:color="auto" w:sz="4" w:space="0"/>
              <w:right w:val="single" w:color="000000" w:sz="4" w:space="0"/>
            </w:tcBorders>
            <w:noWrap w:val="0"/>
            <w:vAlign w:val="center"/>
          </w:tcPr>
          <w:p w14:paraId="3F9976A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泡沫枪</w:t>
            </w:r>
          </w:p>
        </w:tc>
        <w:tc>
          <w:tcPr>
            <w:tcW w:w="564" w:type="dxa"/>
            <w:tcBorders>
              <w:top w:val="single" w:color="auto" w:sz="4" w:space="0"/>
              <w:left w:val="single" w:color="000000" w:sz="4" w:space="0"/>
              <w:bottom w:val="single" w:color="auto" w:sz="4" w:space="0"/>
              <w:right w:val="single" w:color="000000" w:sz="4" w:space="0"/>
            </w:tcBorders>
            <w:noWrap/>
            <w:vAlign w:val="center"/>
          </w:tcPr>
          <w:p w14:paraId="35B1C44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支</w:t>
            </w:r>
          </w:p>
        </w:tc>
        <w:tc>
          <w:tcPr>
            <w:tcW w:w="732" w:type="dxa"/>
            <w:tcBorders>
              <w:top w:val="single" w:color="auto" w:sz="4" w:space="0"/>
              <w:left w:val="single" w:color="000000" w:sz="4" w:space="0"/>
              <w:bottom w:val="single" w:color="auto" w:sz="4" w:space="0"/>
              <w:right w:val="single" w:color="000000" w:sz="4" w:space="0"/>
            </w:tcBorders>
            <w:noWrap/>
            <w:vAlign w:val="center"/>
          </w:tcPr>
          <w:p w14:paraId="6EB74D6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20</w:t>
            </w:r>
          </w:p>
        </w:tc>
        <w:tc>
          <w:tcPr>
            <w:tcW w:w="6653" w:type="dxa"/>
            <w:tcBorders>
              <w:top w:val="single" w:color="auto" w:sz="4" w:space="0"/>
              <w:left w:val="nil"/>
              <w:bottom w:val="single" w:color="auto" w:sz="4" w:space="0"/>
            </w:tcBorders>
            <w:noWrap w:val="0"/>
            <w:vAlign w:val="center"/>
          </w:tcPr>
          <w:p w14:paraId="6F76CB02">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★符合GB25202-2010《泡沫枪》标准。卡式雄接口，口径：65mm；带开关手柄、可旋转接口；</w:t>
            </w:r>
          </w:p>
          <w:p w14:paraId="445481DC">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1.混合液额定流量：≥16L/s；</w:t>
            </w:r>
          </w:p>
          <w:p w14:paraId="547F0F08">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2.额定工作压力：≤0.8Mpa；</w:t>
            </w:r>
          </w:p>
          <w:p w14:paraId="2440B2C6">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3.发泡倍数：5≤N＜20；</w:t>
            </w:r>
          </w:p>
          <w:p w14:paraId="55F9A236">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4.25%析液时间：≥2min；</w:t>
            </w:r>
          </w:p>
          <w:p w14:paraId="6AD3691D">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▲5.射程：≥28m；</w:t>
            </w:r>
          </w:p>
          <w:p w14:paraId="3E3F24D3">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6.配备自吸式设备，泡沫混合比：6%。</w:t>
            </w:r>
          </w:p>
          <w:p w14:paraId="27B8D7B3">
            <w:pPr>
              <w:keepNext w:val="0"/>
              <w:keepLines w:val="0"/>
              <w:widowControl/>
              <w:numPr>
                <w:ilvl w:val="0"/>
                <w:numId w:val="0"/>
              </w:numPr>
              <w:suppressLineNumbers w:val="0"/>
              <w:spacing w:line="360" w:lineRule="auto"/>
              <w:jc w:val="left"/>
              <w:textAlignment w:val="center"/>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val="0"/>
                <w:bCs w:val="0"/>
                <w:iCs w:val="0"/>
                <w:color w:val="auto"/>
                <w:sz w:val="24"/>
                <w:szCs w:val="24"/>
                <w:lang w:val="en-US" w:eastAsia="zh-CN" w:bidi="ar"/>
              </w:rPr>
              <w:t>7.与泡沫液或泡沫混合液直接接触的零部件、枪筒采用耐腐蚀材料制作。</w:t>
            </w:r>
          </w:p>
        </w:tc>
      </w:tr>
      <w:tr w14:paraId="4F8D0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06" w:type="dxa"/>
            <w:tcBorders>
              <w:top w:val="single" w:color="000000" w:sz="4" w:space="0"/>
              <w:bottom w:val="single" w:color="000000" w:sz="4" w:space="0"/>
              <w:right w:val="single" w:color="000000" w:sz="4" w:space="0"/>
            </w:tcBorders>
            <w:noWrap w:val="0"/>
            <w:vAlign w:val="center"/>
          </w:tcPr>
          <w:p w14:paraId="45828EF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w:t>
            </w:r>
          </w:p>
        </w:tc>
        <w:tc>
          <w:tcPr>
            <w:tcW w:w="1109" w:type="dxa"/>
            <w:tcBorders>
              <w:top w:val="single" w:color="auto" w:sz="4" w:space="0"/>
              <w:left w:val="single" w:color="000000" w:sz="4" w:space="0"/>
              <w:bottom w:val="single" w:color="000000" w:sz="4" w:space="0"/>
              <w:right w:val="single" w:color="000000" w:sz="4" w:space="0"/>
            </w:tcBorders>
            <w:noWrap w:val="0"/>
            <w:vAlign w:val="center"/>
          </w:tcPr>
          <w:p w14:paraId="78F60A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止水器</w:t>
            </w:r>
          </w:p>
        </w:tc>
        <w:tc>
          <w:tcPr>
            <w:tcW w:w="564" w:type="dxa"/>
            <w:tcBorders>
              <w:top w:val="single" w:color="auto" w:sz="4" w:space="0"/>
              <w:left w:val="single" w:color="000000" w:sz="4" w:space="0"/>
              <w:bottom w:val="single" w:color="000000" w:sz="4" w:space="0"/>
              <w:right w:val="single" w:color="000000" w:sz="4" w:space="0"/>
            </w:tcBorders>
            <w:noWrap/>
            <w:vAlign w:val="center"/>
          </w:tcPr>
          <w:p w14:paraId="5621424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个</w:t>
            </w:r>
          </w:p>
        </w:tc>
        <w:tc>
          <w:tcPr>
            <w:tcW w:w="732" w:type="dxa"/>
            <w:tcBorders>
              <w:top w:val="single" w:color="auto" w:sz="4" w:space="0"/>
              <w:left w:val="single" w:color="000000" w:sz="4" w:space="0"/>
              <w:bottom w:val="single" w:color="000000" w:sz="4" w:space="0"/>
              <w:right w:val="single" w:color="000000" w:sz="4" w:space="0"/>
            </w:tcBorders>
            <w:noWrap w:val="0"/>
            <w:vAlign w:val="center"/>
          </w:tcPr>
          <w:p w14:paraId="4CFBA30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50</w:t>
            </w:r>
          </w:p>
        </w:tc>
        <w:tc>
          <w:tcPr>
            <w:tcW w:w="6653" w:type="dxa"/>
            <w:tcBorders>
              <w:top w:val="single" w:color="auto" w:sz="4" w:space="0"/>
              <w:left w:val="single" w:color="000000" w:sz="4" w:space="0"/>
              <w:bottom w:val="single" w:color="000000" w:sz="4" w:space="0"/>
            </w:tcBorders>
            <w:noWrap w:val="0"/>
            <w:vAlign w:val="center"/>
          </w:tcPr>
          <w:p w14:paraId="24CEF6FA">
            <w:pPr>
              <w:keepNext w:val="0"/>
              <w:keepLines w:val="0"/>
              <w:widowControl/>
              <w:numPr>
                <w:ilvl w:val="0"/>
                <w:numId w:val="0"/>
              </w:numPr>
              <w:suppressLineNumbers w:val="0"/>
              <w:spacing w:line="360" w:lineRule="auto"/>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★配中压卡式接口，接口性能：进水口为1个65mm卡式雄接口，出水口为1个65mm卡式雌接口，性能符合GB 12514.1-2005《消防接口 第1部分：消防接口通用技术条件》的标准要求。</w:t>
            </w:r>
          </w:p>
          <w:p w14:paraId="048CB7D6">
            <w:pPr>
              <w:keepNext w:val="0"/>
              <w:keepLines w:val="0"/>
              <w:widowControl/>
              <w:numPr>
                <w:ilvl w:val="0"/>
                <w:numId w:val="0"/>
              </w:numPr>
              <w:suppressLineNumbers w:val="0"/>
              <w:spacing w:line="360" w:lineRule="auto"/>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8.公称压力：≥2.5MPa，操作力矩：≤15（N•m）；</w:t>
            </w:r>
          </w:p>
          <w:p w14:paraId="28194568">
            <w:pPr>
              <w:keepNext w:val="0"/>
              <w:keepLines w:val="0"/>
              <w:widowControl/>
              <w:numPr>
                <w:ilvl w:val="0"/>
                <w:numId w:val="0"/>
              </w:numPr>
              <w:suppressLineNumbers w:val="0"/>
              <w:spacing w:line="360" w:lineRule="auto"/>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9.阀门形式：球阀式；</w:t>
            </w:r>
          </w:p>
          <w:p w14:paraId="398ED9F5">
            <w:pPr>
              <w:keepNext w:val="0"/>
              <w:keepLines w:val="0"/>
              <w:widowControl/>
              <w:numPr>
                <w:ilvl w:val="0"/>
                <w:numId w:val="0"/>
              </w:numPr>
              <w:suppressLineNumbers w:val="0"/>
              <w:spacing w:line="360" w:lineRule="auto"/>
              <w:jc w:val="left"/>
              <w:textAlignment w:val="center"/>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10.重量：≤2.5kg。</w:t>
            </w:r>
          </w:p>
        </w:tc>
      </w:tr>
      <w:tr w14:paraId="73BD0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02" w:hRule="atLeast"/>
        </w:trPr>
        <w:tc>
          <w:tcPr>
            <w:tcW w:w="606" w:type="dxa"/>
            <w:tcBorders>
              <w:top w:val="single" w:color="000000" w:sz="4" w:space="0"/>
              <w:bottom w:val="single" w:color="000000" w:sz="4" w:space="0"/>
              <w:right w:val="single" w:color="000000" w:sz="4" w:space="0"/>
            </w:tcBorders>
            <w:noWrap w:val="0"/>
            <w:vAlign w:val="center"/>
          </w:tcPr>
          <w:p w14:paraId="55F0D41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320DF6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水带（65-25）</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33AC72C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盘</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14:paraId="4EC02A3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950</w:t>
            </w:r>
          </w:p>
        </w:tc>
        <w:tc>
          <w:tcPr>
            <w:tcW w:w="6653" w:type="dxa"/>
            <w:tcBorders>
              <w:top w:val="single" w:color="000000" w:sz="4" w:space="0"/>
              <w:left w:val="single" w:color="000000" w:sz="4" w:space="0"/>
              <w:bottom w:val="single" w:color="000000" w:sz="4" w:space="0"/>
            </w:tcBorders>
            <w:noWrap w:val="0"/>
            <w:vAlign w:val="center"/>
          </w:tcPr>
          <w:p w14:paraId="7EA97ACB">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★水带符合GB6246-2011《消防水带》，接口符合GB12514.1-2005《消防接口第1部分：消防接口通用技术条件》、GB12514.3-2006《消防接口第3部分：卡式消防接口型式和基本参数》。</w:t>
            </w:r>
          </w:p>
          <w:p w14:paraId="1DBF974F">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bCs/>
                <w:iCs w:val="0"/>
                <w:color w:val="auto"/>
                <w:sz w:val="24"/>
                <w:szCs w:val="24"/>
                <w:lang w:val="en-US" w:eastAsia="zh-CN" w:bidi="ar"/>
              </w:rPr>
            </w:pPr>
            <w:r>
              <w:rPr>
                <w:rStyle w:val="7"/>
                <w:rFonts w:hint="eastAsia" w:asciiTheme="minorEastAsia" w:hAnsiTheme="minorEastAsia" w:eastAsiaTheme="minorEastAsia" w:cstheme="minorEastAsia"/>
                <w:b/>
                <w:bCs/>
                <w:iCs w:val="0"/>
                <w:color w:val="auto"/>
                <w:sz w:val="24"/>
                <w:szCs w:val="24"/>
                <w:lang w:val="en-US" w:eastAsia="zh-CN" w:bidi="ar"/>
              </w:rPr>
              <w:t>一、水带</w:t>
            </w:r>
          </w:p>
          <w:p w14:paraId="0A161E63">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★标识：在水带表面编制非黑色反光条（宽度8-10mm），在端部附近中心线两侧用不易脱落的油墨，清晰地印有：产品名称、规格型号、生产厂名、注册商标和生产日期；</w:t>
            </w:r>
          </w:p>
          <w:p w14:paraId="336414E0">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11.材质：编织层使用涤纶长丝材质。衬里使用聚氨酯材质。</w:t>
            </w:r>
          </w:p>
          <w:p w14:paraId="2D42CE7D">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★每盘长度：≥20m；</w:t>
            </w:r>
          </w:p>
          <w:p w14:paraId="12F8CF66">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▲12.工作压力（含连接设备）≥2.5MPa，爆破压力≥7.5MPa；</w:t>
            </w:r>
          </w:p>
          <w:p w14:paraId="088024B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val="0"/>
                <w:bCs w:val="0"/>
                <w:iCs w:val="0"/>
                <w:color w:val="auto"/>
                <w:sz w:val="24"/>
                <w:szCs w:val="24"/>
                <w:lang w:val="en-US" w:eastAsia="zh-CN" w:bidi="ar"/>
              </w:rPr>
              <w:t>▲13.单位长度质量≤400g/m，延展率≤6%，附着强度≥35N/25mm；</w:t>
            </w:r>
          </w:p>
          <w:p w14:paraId="3892DDC0">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14.颜色：白色。原丝染色，使用水带时不掉色；</w:t>
            </w:r>
          </w:p>
          <w:p w14:paraId="003D51A9">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bCs/>
                <w:iCs w:val="0"/>
                <w:color w:val="auto"/>
                <w:sz w:val="24"/>
                <w:szCs w:val="24"/>
                <w:lang w:val="en-US" w:eastAsia="zh-CN" w:bidi="ar"/>
              </w:rPr>
            </w:pPr>
            <w:r>
              <w:rPr>
                <w:rStyle w:val="7"/>
                <w:rFonts w:hint="eastAsia" w:asciiTheme="minorEastAsia" w:hAnsiTheme="minorEastAsia" w:eastAsiaTheme="minorEastAsia" w:cstheme="minorEastAsia"/>
                <w:b/>
                <w:bCs/>
                <w:iCs w:val="0"/>
                <w:color w:val="auto"/>
                <w:sz w:val="24"/>
                <w:szCs w:val="24"/>
                <w:lang w:val="en-US" w:eastAsia="zh-CN" w:bidi="ar"/>
              </w:rPr>
              <w:t>二、接口</w:t>
            </w:r>
          </w:p>
          <w:p w14:paraId="289573A7">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★接口公称通径65mm</w:t>
            </w:r>
          </w:p>
          <w:p w14:paraId="7CB2CCAB">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15.水带两端有捆扎好的卡式接口（一雌一雄），，压力≥2.5MPa；</w:t>
            </w:r>
          </w:p>
          <w:p w14:paraId="323B19AB">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16.水带两端有3个以上凹槽缠绕，且每个凹槽不少于5圈360度的高强度镀锌铁丝捆扎，带护套；</w:t>
            </w:r>
          </w:p>
          <w:p w14:paraId="4F5E41DC">
            <w:pPr>
              <w:spacing w:line="360" w:lineRule="auto"/>
              <w:textAlignment w:val="center"/>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val="0"/>
                <w:bCs w:val="0"/>
                <w:iCs w:val="0"/>
                <w:color w:val="auto"/>
                <w:sz w:val="24"/>
                <w:szCs w:val="24"/>
                <w:lang w:val="en-US" w:eastAsia="zh-CN" w:bidi="ar"/>
              </w:rPr>
              <w:t>17.水带与消防接口连接处无渗漏、爆破或滑脱。</w:t>
            </w:r>
          </w:p>
        </w:tc>
      </w:tr>
      <w:tr w14:paraId="0C8448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606" w:type="dxa"/>
            <w:tcBorders>
              <w:top w:val="single" w:color="000000" w:sz="4" w:space="0"/>
              <w:bottom w:val="single" w:color="000000" w:sz="4" w:space="0"/>
              <w:right w:val="single" w:color="000000" w:sz="4" w:space="0"/>
            </w:tcBorders>
            <w:noWrap w:val="0"/>
            <w:vAlign w:val="center"/>
          </w:tcPr>
          <w:p w14:paraId="43B6502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45E5722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水带（80-25）</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0648E6F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盘</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14:paraId="053B951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1050</w:t>
            </w:r>
          </w:p>
        </w:tc>
        <w:tc>
          <w:tcPr>
            <w:tcW w:w="6653" w:type="dxa"/>
            <w:tcBorders>
              <w:top w:val="single" w:color="000000" w:sz="4" w:space="0"/>
              <w:left w:val="single" w:color="000000" w:sz="4" w:space="0"/>
              <w:bottom w:val="single" w:color="000000" w:sz="4" w:space="0"/>
            </w:tcBorders>
            <w:noWrap w:val="0"/>
            <w:vAlign w:val="center"/>
          </w:tcPr>
          <w:p w14:paraId="7CCBEA4E">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★水带符合GB6246-2011《消防水带》，接口符合GB12514.1-2005《消防接口第1部分：消防接口通用技术条件》、GB12514.3-2006《消防接口第3部分：卡式消防接口型式和基本参数》。</w:t>
            </w:r>
          </w:p>
          <w:p w14:paraId="762E26BD">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bCs/>
                <w:iCs w:val="0"/>
                <w:color w:val="auto"/>
                <w:sz w:val="24"/>
                <w:szCs w:val="24"/>
                <w:lang w:val="en-US" w:eastAsia="zh-CN" w:bidi="ar"/>
              </w:rPr>
            </w:pPr>
            <w:r>
              <w:rPr>
                <w:rStyle w:val="7"/>
                <w:rFonts w:hint="eastAsia" w:asciiTheme="minorEastAsia" w:hAnsiTheme="minorEastAsia" w:eastAsiaTheme="minorEastAsia" w:cstheme="minorEastAsia"/>
                <w:b/>
                <w:bCs/>
                <w:iCs w:val="0"/>
                <w:color w:val="auto"/>
                <w:sz w:val="24"/>
                <w:szCs w:val="24"/>
                <w:lang w:val="en-US" w:eastAsia="zh-CN" w:bidi="ar"/>
              </w:rPr>
              <w:t>一、水带</w:t>
            </w:r>
          </w:p>
          <w:p w14:paraId="5BEE0E52">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★标识：在水带表面编制非黑色反光条（宽度8-10mm），在端部附近中心线两侧用不易脱落的油墨，清晰地印有：产品名称、规格型号、生产厂名、注册商标和生产日期；</w:t>
            </w:r>
          </w:p>
          <w:p w14:paraId="7A8DB26A">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18.材质：编织层使用涤纶长丝材质。衬里使用聚氨酯材质；</w:t>
            </w:r>
          </w:p>
          <w:p w14:paraId="731AF1C2">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★每盘长度：≥20m；</w:t>
            </w:r>
          </w:p>
          <w:p w14:paraId="1BDC5638">
            <w:pPr>
              <w:spacing w:line="360" w:lineRule="auto"/>
              <w:rPr>
                <w:rFonts w:hint="eastAsia" w:asciiTheme="minorEastAsia" w:hAnsiTheme="minorEastAsia" w:eastAsiaTheme="minorEastAsia" w:cstheme="minorEastAsia"/>
                <w:b w:val="0"/>
                <w:bCs w:val="0"/>
                <w:i w:val="0"/>
                <w:iCs w:val="0"/>
                <w:color w:val="auto"/>
                <w:sz w:val="24"/>
                <w:szCs w:val="24"/>
                <w:u w:val="none"/>
                <w:lang w:val="en-US" w:eastAsia="zh-CN"/>
              </w:rPr>
            </w:pPr>
            <w:r>
              <w:rPr>
                <w:rStyle w:val="7"/>
                <w:rFonts w:hint="eastAsia" w:asciiTheme="minorEastAsia" w:hAnsiTheme="minorEastAsia" w:eastAsiaTheme="minorEastAsia" w:cstheme="minorEastAsia"/>
                <w:b w:val="0"/>
                <w:bCs w:val="0"/>
                <w:iCs w:val="0"/>
                <w:color w:val="auto"/>
                <w:sz w:val="24"/>
                <w:szCs w:val="24"/>
                <w:lang w:val="en-US" w:eastAsia="zh-CN" w:bidi="ar"/>
              </w:rPr>
              <w:t>▲19.工作压力（含连接设备）≥2.5MPa，爆破压力≥7.5MPa；</w:t>
            </w:r>
          </w:p>
          <w:p w14:paraId="42A92EF1">
            <w:pPr>
              <w:spacing w:line="360" w:lineRule="auto"/>
              <w:rPr>
                <w:rFonts w:hint="eastAsia" w:asciiTheme="minorEastAsia" w:hAnsiTheme="minorEastAsia" w:eastAsiaTheme="minorEastAsia" w:cstheme="minorEastAsia"/>
                <w:b w:val="0"/>
                <w:bCs w:val="0"/>
                <w:i w:val="0"/>
                <w:iCs w:val="0"/>
                <w:color w:val="auto"/>
                <w:sz w:val="24"/>
                <w:szCs w:val="24"/>
                <w:u w:val="none"/>
                <w:lang w:val="en-US" w:eastAsia="zh-CN"/>
              </w:rPr>
            </w:pPr>
            <w:r>
              <w:rPr>
                <w:rStyle w:val="7"/>
                <w:rFonts w:hint="eastAsia" w:asciiTheme="minorEastAsia" w:hAnsiTheme="minorEastAsia" w:eastAsiaTheme="minorEastAsia" w:cstheme="minorEastAsia"/>
                <w:b w:val="0"/>
                <w:bCs w:val="0"/>
                <w:iCs w:val="0"/>
                <w:color w:val="auto"/>
                <w:sz w:val="24"/>
                <w:szCs w:val="24"/>
                <w:lang w:val="en-US" w:eastAsia="zh-CN" w:bidi="ar"/>
              </w:rPr>
              <w:t>▲20.单位长度质量≤500g/m，延展率≤6%，附着强度≥32N/25mm；</w:t>
            </w:r>
          </w:p>
          <w:p w14:paraId="31E703D7">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21.颜色：红色。原丝染色，使用水带时不掉色；</w:t>
            </w:r>
          </w:p>
          <w:p w14:paraId="1C2D75E8">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bCs/>
                <w:iCs w:val="0"/>
                <w:color w:val="auto"/>
                <w:sz w:val="24"/>
                <w:szCs w:val="24"/>
                <w:lang w:val="en-US" w:eastAsia="zh-CN" w:bidi="ar"/>
              </w:rPr>
            </w:pPr>
            <w:r>
              <w:rPr>
                <w:rStyle w:val="7"/>
                <w:rFonts w:hint="eastAsia" w:asciiTheme="minorEastAsia" w:hAnsiTheme="minorEastAsia" w:eastAsiaTheme="minorEastAsia" w:cstheme="minorEastAsia"/>
                <w:b/>
                <w:bCs/>
                <w:iCs w:val="0"/>
                <w:color w:val="auto"/>
                <w:sz w:val="24"/>
                <w:szCs w:val="24"/>
                <w:lang w:val="en-US" w:eastAsia="zh-CN" w:bidi="ar"/>
              </w:rPr>
              <w:t>二、接口</w:t>
            </w:r>
          </w:p>
          <w:p w14:paraId="2E9FA068">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★接口公称通径80mm。</w:t>
            </w:r>
          </w:p>
          <w:p w14:paraId="4D64CE8F">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22.水带两端有捆扎好的卡式接口（一雌一雄），压力≥2.5MPa；</w:t>
            </w:r>
          </w:p>
          <w:p w14:paraId="5F9501ED">
            <w:pPr>
              <w:keepNext w:val="0"/>
              <w:keepLines w:val="0"/>
              <w:widowControl/>
              <w:suppressLineNumbers w:val="0"/>
              <w:spacing w:line="360" w:lineRule="auto"/>
              <w:jc w:val="left"/>
              <w:textAlignment w:val="center"/>
              <w:rPr>
                <w:rStyle w:val="7"/>
                <w:rFonts w:hint="eastAsia" w:asciiTheme="minorEastAsia" w:hAnsiTheme="minorEastAsia" w:eastAsiaTheme="minorEastAsia" w:cstheme="minorEastAsia"/>
                <w:b w:val="0"/>
                <w:bCs w:val="0"/>
                <w:iCs w:val="0"/>
                <w:color w:val="auto"/>
                <w:sz w:val="24"/>
                <w:szCs w:val="24"/>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23.水带两端有3个以上凹槽缠绕，且每个凹槽不少于5圈360度的高强度镀锌铁丝捆扎，带护套；</w:t>
            </w:r>
          </w:p>
          <w:p w14:paraId="6058D1A7">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val="0"/>
                <w:bCs w:val="0"/>
                <w:iCs w:val="0"/>
                <w:color w:val="auto"/>
                <w:sz w:val="24"/>
                <w:szCs w:val="24"/>
                <w:lang w:val="en-US" w:eastAsia="zh-CN" w:bidi="ar"/>
              </w:rPr>
              <w:t>24.水带与消防接口连接处无渗漏、爆破或滑脱。</w:t>
            </w:r>
          </w:p>
        </w:tc>
      </w:tr>
      <w:tr w14:paraId="628E23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606" w:type="dxa"/>
            <w:tcBorders>
              <w:top w:val="single" w:color="000000" w:sz="4" w:space="0"/>
              <w:bottom w:val="single" w:color="000000" w:sz="4" w:space="0"/>
              <w:right w:val="single" w:color="000000" w:sz="4" w:space="0"/>
            </w:tcBorders>
            <w:noWrap w:val="0"/>
            <w:vAlign w:val="center"/>
          </w:tcPr>
          <w:p w14:paraId="5A66E14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4E39287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水幕水带</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00AAA51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盘</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6A8EA41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75</w:t>
            </w:r>
          </w:p>
        </w:tc>
        <w:tc>
          <w:tcPr>
            <w:tcW w:w="6653" w:type="dxa"/>
            <w:tcBorders>
              <w:top w:val="single" w:color="000000" w:sz="4" w:space="0"/>
              <w:left w:val="single" w:color="000000" w:sz="4" w:space="0"/>
              <w:bottom w:val="single" w:color="000000" w:sz="4" w:space="0"/>
            </w:tcBorders>
            <w:noWrap w:val="0"/>
            <w:vAlign w:val="center"/>
          </w:tcPr>
          <w:p w14:paraId="579DC9AA">
            <w:pPr>
              <w:pStyle w:val="3"/>
              <w:numPr>
                <w:ilvl w:val="0"/>
                <w:numId w:val="0"/>
              </w:numPr>
              <w:spacing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水带主体（开孔前）符合GB6246-2011《消防水带》标准。水带接口符合GB12514.1-2005《消防接口第1部分：消防接口通用技术条件》、GB12514.3-2006《消防接口第3部分：卡式消防接口型式和基本参数》标准要求。</w:t>
            </w:r>
          </w:p>
          <w:p w14:paraId="523C8F37">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★总体要求</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：编织层经、纬线使用涤纶长丝材质，衬里使用聚氨酯材质；</w:t>
            </w:r>
          </w:p>
          <w:p w14:paraId="13E48DAB">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标志：在水带表面编制非黑色反光条（宽度8-10mm），在端部附近中心线两侧用不易脱落的油墨，清晰地印有：产品名称、规格型号、生产厂名、注册商标和生产日期；</w:t>
            </w:r>
          </w:p>
          <w:p w14:paraId="52F0D598">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★水带</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规格65mm；每盘长度≥20m；接口公称通径65mm。</w:t>
            </w:r>
          </w:p>
          <w:p w14:paraId="44EE1F92">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25.编织层：织物层编制均匀，表面整洁，无跳双经、断双经、跳纬及划伤；</w:t>
            </w:r>
          </w:p>
          <w:p w14:paraId="3B20D664">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26.厚度均匀，表面光滑平整，无褶皱或其它缺陷；</w:t>
            </w:r>
          </w:p>
          <w:p w14:paraId="4A6484F6">
            <w:pPr>
              <w:pStyle w:val="3"/>
              <w:numPr>
                <w:ilvl w:val="0"/>
                <w:numId w:val="0"/>
              </w:numPr>
              <w:spacing w:beforeAutospacing="0" w:after="0" w:afterLines="0" w:afterAutospacing="0" w:line="360" w:lineRule="auto"/>
              <w:ind w:left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27.带身开孔孔距20cm，孔有铆钉保护，铆钉结实牢固；</w:t>
            </w:r>
          </w:p>
          <w:p w14:paraId="4DE68EDD">
            <w:pPr>
              <w:spacing w:beforeAutospacing="0" w:line="360" w:lineRule="auto"/>
              <w:rPr>
                <w:rFonts w:hint="eastAsia" w:asciiTheme="minorEastAsia" w:hAnsiTheme="minorEastAsia" w:eastAsiaTheme="minorEastAsia" w:cstheme="minorEastAsia"/>
                <w:b w:val="0"/>
                <w:bCs w:val="0"/>
                <w:i w:val="0"/>
                <w:iCs w:val="0"/>
                <w:color w:val="auto"/>
                <w:sz w:val="24"/>
                <w:szCs w:val="24"/>
                <w:u w:val="none"/>
                <w:lang w:val="en-US" w:eastAsia="zh-CN"/>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▲28.工作压力（含连接设备）≥1.6MPa；</w:t>
            </w:r>
          </w:p>
          <w:p w14:paraId="23EA5832">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29.水带两端有捆扎好的卡式接口（一雌一雄），公称压力≥1.6MPa（与水幕水带主体保持一致）。水带两端有3个以上凹槽缠绕，且每个凹槽不少于5圈360度的高强度镀锌铁丝捆扎，带护套。</w:t>
            </w:r>
          </w:p>
          <w:p w14:paraId="436D194C">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30.水带与消防接口连接处无渗漏、爆破或滑脱；</w:t>
            </w:r>
          </w:p>
        </w:tc>
      </w:tr>
      <w:tr w14:paraId="79124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6" w:type="dxa"/>
            <w:tcBorders>
              <w:top w:val="single" w:color="000000" w:sz="4" w:space="0"/>
              <w:bottom w:val="single" w:color="000000" w:sz="4" w:space="0"/>
              <w:right w:val="single" w:color="000000" w:sz="4" w:space="0"/>
            </w:tcBorders>
            <w:noWrap w:val="0"/>
            <w:vAlign w:val="center"/>
          </w:tcPr>
          <w:p w14:paraId="780679C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6</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1C86F63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高压水带80mm-40型</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750F149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盘</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202FFA1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225</w:t>
            </w:r>
          </w:p>
        </w:tc>
        <w:tc>
          <w:tcPr>
            <w:tcW w:w="6653" w:type="dxa"/>
            <w:tcBorders>
              <w:top w:val="single" w:color="000000" w:sz="4" w:space="0"/>
              <w:left w:val="single" w:color="000000" w:sz="4" w:space="0"/>
              <w:bottom w:val="single" w:color="000000" w:sz="4" w:space="0"/>
            </w:tcBorders>
            <w:noWrap w:val="0"/>
            <w:vAlign w:val="center"/>
          </w:tcPr>
          <w:p w14:paraId="15A98322">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接口符合GB12514.1-2005《消防接口第1部分：消防接口通用技术条件》、GB12514.3-2006《消防接口第3部分：卡式消防接口型式和基本参数》。</w:t>
            </w:r>
          </w:p>
          <w:p w14:paraId="127F9FE1">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一、水带</w:t>
            </w:r>
          </w:p>
          <w:p w14:paraId="7E345AC2">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标识：在水带表面编制非黑色反光条（宽度8-10mm），在端部附近中心线两侧用不易脱落的油墨，清晰地印有：产品名称、规格型号、生产厂名、注册商标和生产日期；</w:t>
            </w:r>
          </w:p>
          <w:p w14:paraId="5537E473">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水带内径直径80mm；每盘长度：≥20m。</w:t>
            </w:r>
          </w:p>
          <w:p w14:paraId="625D3BF3">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31.材质：编织层使用涤纶长丝材质。衬里使用聚氨酯材质；</w:t>
            </w:r>
          </w:p>
          <w:p w14:paraId="1B1C169F">
            <w:pPr>
              <w:spacing w:line="360" w:lineRule="auto"/>
              <w:rPr>
                <w:rFonts w:hint="eastAsia" w:asciiTheme="minorEastAsia" w:hAnsiTheme="minorEastAsia" w:eastAsiaTheme="minorEastAsia" w:cstheme="minorEastAsia"/>
                <w:b w:val="0"/>
                <w:bCs w:val="0"/>
                <w:i w:val="0"/>
                <w:iCs w:val="0"/>
                <w:color w:val="auto"/>
                <w:sz w:val="24"/>
                <w:szCs w:val="24"/>
                <w:u w:val="none"/>
                <w:lang w:val="en-US" w:eastAsia="zh-CN"/>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▲32.工作压力（含连接设备）≥4.0MPa，爆破压力≥12MPa；</w:t>
            </w:r>
          </w:p>
          <w:p w14:paraId="18842058">
            <w:pPr>
              <w:spacing w:line="360" w:lineRule="auto"/>
              <w:rPr>
                <w:rFonts w:hint="eastAsia" w:asciiTheme="minorEastAsia" w:hAnsiTheme="minorEastAsia" w:eastAsiaTheme="minorEastAsia" w:cstheme="minorEastAsia"/>
                <w:b w:val="0"/>
                <w:bCs w:val="0"/>
                <w:i w:val="0"/>
                <w:iCs w:val="0"/>
                <w:color w:val="auto"/>
                <w:sz w:val="24"/>
                <w:szCs w:val="24"/>
                <w:u w:val="none"/>
                <w:lang w:val="en-US" w:eastAsia="zh-CN"/>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▲33.单位长度质量≤850g/m，延展率≤8%，附着强度≥33N/25mm；</w:t>
            </w:r>
          </w:p>
          <w:p w14:paraId="73814860">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34.颜色：红色。原丝染色，使用水带时不掉色；</w:t>
            </w:r>
          </w:p>
          <w:p w14:paraId="5EA2621F">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二、接口</w:t>
            </w:r>
          </w:p>
          <w:p w14:paraId="022B6C3E">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35.接口公称通径80mm。</w:t>
            </w:r>
          </w:p>
          <w:p w14:paraId="3B4C9649">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36.水带两端有捆扎好的卡式接口（一雌一雄），压力≥4MPa；</w:t>
            </w:r>
          </w:p>
          <w:p w14:paraId="52A1E43C">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37.水带两端有3个以上凹槽缠绕，且每个凹槽不少于5圈360度的高强度镀锌铁丝捆扎，带护套；</w:t>
            </w:r>
          </w:p>
          <w:p w14:paraId="27F54261">
            <w:pPr>
              <w:numPr>
                <w:ilvl w:val="0"/>
                <w:numId w:val="0"/>
              </w:numPr>
              <w:spacing w:line="360" w:lineRule="auto"/>
              <w:ind w:left="0" w:firstLine="0"/>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38.水带与消防接口连接处无渗漏、爆破或滑脱；</w:t>
            </w:r>
          </w:p>
        </w:tc>
      </w:tr>
      <w:tr w14:paraId="72465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6" w:type="dxa"/>
            <w:tcBorders>
              <w:top w:val="single" w:color="000000" w:sz="4" w:space="0"/>
              <w:bottom w:val="single" w:color="000000" w:sz="4" w:space="0"/>
              <w:right w:val="single" w:color="000000" w:sz="4" w:space="0"/>
            </w:tcBorders>
            <w:noWrap w:val="0"/>
            <w:vAlign w:val="center"/>
          </w:tcPr>
          <w:p w14:paraId="0C5683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7</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744B08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消防移动储水装置（水囊）10000L</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773D4A5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个</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7E03D84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20</w:t>
            </w:r>
          </w:p>
        </w:tc>
        <w:tc>
          <w:tcPr>
            <w:tcW w:w="6653" w:type="dxa"/>
            <w:tcBorders>
              <w:top w:val="single" w:color="000000" w:sz="4" w:space="0"/>
              <w:left w:val="single" w:color="000000" w:sz="4" w:space="0"/>
              <w:bottom w:val="single" w:color="000000" w:sz="4" w:space="0"/>
            </w:tcBorders>
            <w:noWrap w:val="0"/>
            <w:vAlign w:val="center"/>
          </w:tcPr>
          <w:p w14:paraId="159F7641">
            <w:pPr>
              <w:pStyle w:val="3"/>
              <w:numPr>
                <w:ilvl w:val="0"/>
                <w:numId w:val="0"/>
              </w:numPr>
              <w:spacing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color w:val="auto"/>
                <w:sz w:val="24"/>
                <w:szCs w:val="24"/>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规格容量：≥10000L；</w:t>
            </w:r>
          </w:p>
          <w:p w14:paraId="6ECE1AF2">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 xml:space="preserve">39.主体材质：双层复合PVC或同等质量材质，装置底部采用耐磨、防穿刺、柔软的材质；          </w:t>
            </w:r>
          </w:p>
          <w:p w14:paraId="335D389B">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40.颜色：红色；</w:t>
            </w:r>
          </w:p>
          <w:p w14:paraId="71E48D9E">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41.可折叠，抗紫外线；</w:t>
            </w:r>
          </w:p>
          <w:p w14:paraId="2BE100E9">
            <w:pPr>
              <w:pStyle w:val="3"/>
              <w:numPr>
                <w:ilvl w:val="0"/>
                <w:numId w:val="0"/>
              </w:numPr>
              <w:spacing w:beforeAutospacing="0" w:after="0" w:afterLines="0" w:afterAutospacing="0" w:line="360" w:lineRule="auto"/>
              <w:ind w:left="0" w:leftChars="0" w:firstLine="0" w:firstLineChars="0"/>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42.设置进出水口，配备充气泵和修补包。</w:t>
            </w:r>
          </w:p>
        </w:tc>
      </w:tr>
      <w:tr w14:paraId="00AD86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6" w:type="dxa"/>
            <w:tcBorders>
              <w:top w:val="single" w:color="000000" w:sz="4" w:space="0"/>
              <w:bottom w:val="single" w:color="000000" w:sz="4" w:space="0"/>
              <w:right w:val="single" w:color="000000" w:sz="4" w:space="0"/>
            </w:tcBorders>
            <w:noWrap w:val="0"/>
            <w:vAlign w:val="center"/>
          </w:tcPr>
          <w:p w14:paraId="53E6CBA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8</w:t>
            </w:r>
          </w:p>
        </w:tc>
        <w:tc>
          <w:tcPr>
            <w:tcW w:w="1109" w:type="dxa"/>
            <w:tcBorders>
              <w:top w:val="single" w:color="000000" w:sz="4" w:space="0"/>
              <w:left w:val="single" w:color="000000" w:sz="4" w:space="0"/>
              <w:bottom w:val="single" w:color="000000" w:sz="4" w:space="0"/>
              <w:right w:val="single" w:color="000000" w:sz="4" w:space="0"/>
            </w:tcBorders>
            <w:noWrap w:val="0"/>
            <w:vAlign w:val="center"/>
          </w:tcPr>
          <w:p w14:paraId="7BF7CF2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分水器</w:t>
            </w:r>
          </w:p>
        </w:tc>
        <w:tc>
          <w:tcPr>
            <w:tcW w:w="564" w:type="dxa"/>
            <w:tcBorders>
              <w:top w:val="single" w:color="000000" w:sz="4" w:space="0"/>
              <w:left w:val="single" w:color="000000" w:sz="4" w:space="0"/>
              <w:bottom w:val="single" w:color="000000" w:sz="4" w:space="0"/>
              <w:right w:val="single" w:color="000000" w:sz="4" w:space="0"/>
            </w:tcBorders>
            <w:noWrap/>
            <w:vAlign w:val="center"/>
          </w:tcPr>
          <w:p w14:paraId="2F08547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个</w:t>
            </w:r>
          </w:p>
        </w:tc>
        <w:tc>
          <w:tcPr>
            <w:tcW w:w="732" w:type="dxa"/>
            <w:tcBorders>
              <w:top w:val="single" w:color="000000" w:sz="4" w:space="0"/>
              <w:left w:val="single" w:color="000000" w:sz="4" w:space="0"/>
              <w:bottom w:val="single" w:color="000000" w:sz="4" w:space="0"/>
              <w:right w:val="single" w:color="000000" w:sz="4" w:space="0"/>
            </w:tcBorders>
            <w:noWrap/>
            <w:vAlign w:val="center"/>
          </w:tcPr>
          <w:p w14:paraId="490BD0A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30</w:t>
            </w:r>
          </w:p>
        </w:tc>
        <w:tc>
          <w:tcPr>
            <w:tcW w:w="6653" w:type="dxa"/>
            <w:tcBorders>
              <w:top w:val="single" w:color="000000" w:sz="4" w:space="0"/>
              <w:left w:val="single" w:color="000000" w:sz="4" w:space="0"/>
              <w:bottom w:val="single" w:color="000000" w:sz="4" w:space="0"/>
            </w:tcBorders>
            <w:noWrap w:val="0"/>
            <w:vAlign w:val="center"/>
          </w:tcPr>
          <w:p w14:paraId="5A7A6633">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★符合XF 868-2010《分水器和集水器》标准</w:t>
            </w:r>
            <w:r>
              <w:rPr>
                <w:rStyle w:val="7"/>
                <w:rFonts w:hint="eastAsia" w:asciiTheme="minorEastAsia" w:hAnsiTheme="minorEastAsia" w:eastAsiaTheme="minorEastAsia" w:cstheme="minorEastAsia"/>
                <w:b w:val="0"/>
                <w:bCs w:val="0"/>
                <w:iCs w:val="0"/>
                <w:color w:val="auto"/>
                <w:sz w:val="24"/>
                <w:szCs w:val="24"/>
                <w:lang w:val="en-US" w:eastAsia="zh-CN" w:bidi="ar"/>
              </w:rPr>
              <w:t>。</w:t>
            </w: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进水口:卡式接口,口径：80mm；出水口:卡式接口,口径：3*65mm；</w:t>
            </w:r>
          </w:p>
          <w:p w14:paraId="3C15BC62">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43.工作压力：≥2.5MPa；</w:t>
            </w:r>
          </w:p>
          <w:p w14:paraId="6AEA33D3">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44.开关形式：球阀；</w:t>
            </w:r>
          </w:p>
          <w:p w14:paraId="1EC0213B">
            <w:pPr>
              <w:keepNext w:val="0"/>
              <w:keepLines w:val="0"/>
              <w:widowControl/>
              <w:numPr>
                <w:ilvl w:val="0"/>
                <w:numId w:val="0"/>
              </w:numPr>
              <w:suppressLineNumbers w:val="0"/>
              <w:spacing w:line="360" w:lineRule="auto"/>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45.开启压力≤200N；</w:t>
            </w:r>
          </w:p>
        </w:tc>
      </w:tr>
      <w:tr w14:paraId="624C74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06" w:type="dxa"/>
            <w:tcBorders>
              <w:top w:val="single" w:color="000000" w:sz="4" w:space="0"/>
              <w:bottom w:val="single" w:color="000000" w:sz="4" w:space="0"/>
              <w:right w:val="single" w:color="000000" w:sz="4" w:space="0"/>
            </w:tcBorders>
            <w:noWrap w:val="0"/>
            <w:vAlign w:val="center"/>
          </w:tcPr>
          <w:p w14:paraId="17AD9E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9</w:t>
            </w:r>
          </w:p>
        </w:tc>
        <w:tc>
          <w:tcPr>
            <w:tcW w:w="1109" w:type="dxa"/>
            <w:tcBorders>
              <w:top w:val="single" w:color="000000" w:sz="4" w:space="0"/>
              <w:left w:val="single" w:color="000000" w:sz="4" w:space="0"/>
              <w:bottom w:val="single" w:color="000000" w:sz="4" w:space="0"/>
              <w:right w:val="nil"/>
            </w:tcBorders>
            <w:noWrap w:val="0"/>
            <w:vAlign w:val="center"/>
          </w:tcPr>
          <w:p w14:paraId="02BC4B6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直流开关水枪</w:t>
            </w:r>
          </w:p>
        </w:tc>
        <w:tc>
          <w:tcPr>
            <w:tcW w:w="564" w:type="dxa"/>
            <w:tcBorders>
              <w:top w:val="single" w:color="000000" w:sz="4" w:space="0"/>
              <w:left w:val="single" w:color="000000" w:sz="4" w:space="0"/>
              <w:bottom w:val="single" w:color="000000" w:sz="4" w:space="0"/>
              <w:right w:val="nil"/>
            </w:tcBorders>
            <w:noWrap w:val="0"/>
            <w:vAlign w:val="center"/>
          </w:tcPr>
          <w:p w14:paraId="434BCB4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把</w:t>
            </w:r>
          </w:p>
        </w:tc>
        <w:tc>
          <w:tcPr>
            <w:tcW w:w="732" w:type="dxa"/>
            <w:tcBorders>
              <w:top w:val="single" w:color="000000" w:sz="4" w:space="0"/>
              <w:left w:val="single" w:color="000000" w:sz="4" w:space="0"/>
              <w:bottom w:val="single" w:color="000000" w:sz="4" w:space="0"/>
              <w:right w:val="nil"/>
            </w:tcBorders>
            <w:noWrap w:val="0"/>
            <w:vAlign w:val="center"/>
          </w:tcPr>
          <w:p w14:paraId="1ECB1FA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20</w:t>
            </w:r>
          </w:p>
        </w:tc>
        <w:tc>
          <w:tcPr>
            <w:tcW w:w="6653" w:type="dxa"/>
            <w:tcBorders>
              <w:top w:val="single" w:color="000000" w:sz="4" w:space="0"/>
              <w:left w:val="single" w:color="000000" w:sz="4" w:space="0"/>
              <w:bottom w:val="single" w:color="000000" w:sz="4" w:space="0"/>
            </w:tcBorders>
            <w:noWrap w:val="0"/>
            <w:vAlign w:val="center"/>
          </w:tcPr>
          <w:p w14:paraId="74258B3F">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★符合GB8181-2005《消防水枪》标准。喷嘴直径19mm；接口公称通径65mm，接口样式为卡式雄接口；</w:t>
            </w:r>
          </w:p>
          <w:p w14:paraId="012BE9C3">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★直流开关水枪，具有开启和关闭功能，杆式手柄指向水枪出口是“开”，杆式手柄垂直水枪轴线是“关”，并且在这两个位置有限制功能；</w:t>
            </w:r>
          </w:p>
          <w:p w14:paraId="478382A3">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46.铸件表面无结疤、裂纹及孔眼。铝制件表面须作阳极氧化处理。螺丝紧固不易脱落。枪体及各密封部位不渗漏。</w:t>
            </w:r>
          </w:p>
          <w:p w14:paraId="71199E11">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47.水枪于离地2m±0.02m高处按标准跌落后能正常操作使用。</w:t>
            </w:r>
          </w:p>
        </w:tc>
      </w:tr>
      <w:tr w14:paraId="34CBAA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06" w:type="dxa"/>
            <w:tcBorders>
              <w:top w:val="single" w:color="000000" w:sz="4" w:space="0"/>
              <w:bottom w:val="single" w:color="000000" w:sz="4" w:space="0"/>
              <w:right w:val="single" w:color="000000" w:sz="4" w:space="0"/>
            </w:tcBorders>
            <w:noWrap w:val="0"/>
            <w:vAlign w:val="center"/>
          </w:tcPr>
          <w:p w14:paraId="17771C0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lang w:val="en-US"/>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10</w:t>
            </w:r>
          </w:p>
        </w:tc>
        <w:tc>
          <w:tcPr>
            <w:tcW w:w="1109" w:type="dxa"/>
            <w:tcBorders>
              <w:top w:val="single" w:color="000000" w:sz="4" w:space="0"/>
              <w:left w:val="single" w:color="000000" w:sz="4" w:space="0"/>
              <w:bottom w:val="single" w:color="000000" w:sz="4" w:space="0"/>
              <w:right w:val="nil"/>
            </w:tcBorders>
            <w:noWrap w:val="0"/>
            <w:vAlign w:val="center"/>
          </w:tcPr>
          <w:p w14:paraId="5051A22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水带护桥（橡胶）</w:t>
            </w:r>
          </w:p>
        </w:tc>
        <w:tc>
          <w:tcPr>
            <w:tcW w:w="564" w:type="dxa"/>
            <w:tcBorders>
              <w:top w:val="single" w:color="000000" w:sz="4" w:space="0"/>
              <w:left w:val="single" w:color="000000" w:sz="4" w:space="0"/>
              <w:bottom w:val="single" w:color="000000" w:sz="4" w:space="0"/>
              <w:right w:val="nil"/>
            </w:tcBorders>
            <w:noWrap w:val="0"/>
            <w:vAlign w:val="center"/>
          </w:tcPr>
          <w:p w14:paraId="285E23A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付</w:t>
            </w:r>
          </w:p>
        </w:tc>
        <w:tc>
          <w:tcPr>
            <w:tcW w:w="732" w:type="dxa"/>
            <w:tcBorders>
              <w:top w:val="single" w:color="000000" w:sz="4" w:space="0"/>
              <w:left w:val="single" w:color="000000" w:sz="4" w:space="0"/>
              <w:bottom w:val="single" w:color="000000" w:sz="4" w:space="0"/>
              <w:right w:val="nil"/>
            </w:tcBorders>
            <w:noWrap w:val="0"/>
            <w:vAlign w:val="center"/>
          </w:tcPr>
          <w:p w14:paraId="4C0771A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50</w:t>
            </w:r>
          </w:p>
        </w:tc>
        <w:tc>
          <w:tcPr>
            <w:tcW w:w="6653" w:type="dxa"/>
            <w:tcBorders>
              <w:top w:val="single" w:color="000000" w:sz="4" w:space="0"/>
              <w:left w:val="single" w:color="000000" w:sz="4" w:space="0"/>
              <w:bottom w:val="single" w:color="000000" w:sz="4" w:space="0"/>
            </w:tcBorders>
            <w:noWrap w:val="0"/>
            <w:vAlign w:val="center"/>
          </w:tcPr>
          <w:p w14:paraId="794FC5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48.护桥采用天然橡胶；</w:t>
            </w:r>
          </w:p>
          <w:p w14:paraId="4B8F3937">
            <w:pPr>
              <w:pStyle w:val="3"/>
              <w:spacing w:after="0" w:afterLines="0" w:afterAutospacing="0" w:line="360" w:lineRule="auto"/>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49.护桥:长≥800mm *宽≥550mm；</w:t>
            </w:r>
          </w:p>
          <w:p w14:paraId="2537D0FB">
            <w:pPr>
              <w:pStyle w:val="3"/>
              <w:spacing w:beforeAutospacing="0" w:after="0" w:afterLines="0" w:afterAutospacing="0" w:line="360" w:lineRule="auto"/>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50.双凹槽，能容纳直径≥80mm的水带。</w:t>
            </w:r>
          </w:p>
        </w:tc>
      </w:tr>
      <w:tr w14:paraId="11A06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94" w:hRule="atLeast"/>
        </w:trPr>
        <w:tc>
          <w:tcPr>
            <w:tcW w:w="606" w:type="dxa"/>
            <w:tcBorders>
              <w:top w:val="single" w:color="000000" w:sz="4" w:space="0"/>
              <w:bottom w:val="single" w:color="000000" w:sz="4" w:space="0"/>
              <w:right w:val="single" w:color="000000" w:sz="4" w:space="0"/>
            </w:tcBorders>
            <w:noWrap w:val="0"/>
            <w:vAlign w:val="center"/>
          </w:tcPr>
          <w:p w14:paraId="3FDCFC3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lang w:val="en-US"/>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11</w:t>
            </w:r>
          </w:p>
        </w:tc>
        <w:tc>
          <w:tcPr>
            <w:tcW w:w="1109" w:type="dxa"/>
            <w:tcBorders>
              <w:top w:val="single" w:color="000000" w:sz="4" w:space="0"/>
              <w:left w:val="single" w:color="000000" w:sz="4" w:space="0"/>
              <w:bottom w:val="single" w:color="000000" w:sz="4" w:space="0"/>
              <w:right w:val="nil"/>
            </w:tcBorders>
            <w:noWrap w:val="0"/>
            <w:vAlign w:val="center"/>
          </w:tcPr>
          <w:p w14:paraId="5B9B2A3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泡沫输转泵</w:t>
            </w:r>
          </w:p>
        </w:tc>
        <w:tc>
          <w:tcPr>
            <w:tcW w:w="564" w:type="dxa"/>
            <w:tcBorders>
              <w:top w:val="single" w:color="000000" w:sz="4" w:space="0"/>
              <w:left w:val="single" w:color="000000" w:sz="4" w:space="0"/>
              <w:bottom w:val="single" w:color="000000" w:sz="4" w:space="0"/>
              <w:right w:val="nil"/>
            </w:tcBorders>
            <w:noWrap w:val="0"/>
            <w:vAlign w:val="center"/>
          </w:tcPr>
          <w:p w14:paraId="4C96D36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台</w:t>
            </w:r>
          </w:p>
        </w:tc>
        <w:tc>
          <w:tcPr>
            <w:tcW w:w="732" w:type="dxa"/>
            <w:tcBorders>
              <w:top w:val="single" w:color="000000" w:sz="4" w:space="0"/>
              <w:left w:val="single" w:color="000000" w:sz="4" w:space="0"/>
              <w:bottom w:val="single" w:color="000000" w:sz="4" w:space="0"/>
              <w:right w:val="nil"/>
            </w:tcBorders>
            <w:noWrap w:val="0"/>
            <w:vAlign w:val="center"/>
          </w:tcPr>
          <w:p w14:paraId="12E74B5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4</w:t>
            </w:r>
          </w:p>
        </w:tc>
        <w:tc>
          <w:tcPr>
            <w:tcW w:w="6653" w:type="dxa"/>
            <w:tcBorders>
              <w:top w:val="single" w:color="000000" w:sz="4" w:space="0"/>
              <w:left w:val="single" w:color="000000" w:sz="4" w:space="0"/>
              <w:bottom w:val="single" w:color="000000" w:sz="4" w:space="0"/>
            </w:tcBorders>
            <w:noWrap w:val="0"/>
            <w:vAlign w:val="center"/>
          </w:tcPr>
          <w:p w14:paraId="11E4B2D8">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lang w:eastAsia="zh-CN"/>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w:t>
            </w:r>
            <w:r>
              <w:rPr>
                <w:rFonts w:hint="eastAsia" w:asciiTheme="minorEastAsia" w:hAnsiTheme="minorEastAsia" w:eastAsiaTheme="minorEastAsia" w:cstheme="minorEastAsia"/>
                <w:b w:val="0"/>
                <w:bCs w:val="0"/>
                <w:i w:val="0"/>
                <w:iCs w:val="0"/>
                <w:color w:val="auto"/>
                <w:sz w:val="24"/>
                <w:szCs w:val="24"/>
                <w:u w:val="none"/>
              </w:rPr>
              <w:t>发动机型式</w:t>
            </w:r>
            <w:r>
              <w:rPr>
                <w:rFonts w:hint="eastAsia" w:asciiTheme="minorEastAsia" w:hAnsiTheme="minorEastAsia" w:eastAsiaTheme="minorEastAsia" w:cstheme="minorEastAsia"/>
                <w:b w:val="0"/>
                <w:bCs w:val="0"/>
                <w:i w:val="0"/>
                <w:iCs w:val="0"/>
                <w:color w:val="auto"/>
                <w:sz w:val="24"/>
                <w:szCs w:val="24"/>
                <w:u w:val="none"/>
                <w:lang w:eastAsia="zh-CN"/>
              </w:rPr>
              <w:t>：</w:t>
            </w:r>
            <w:r>
              <w:rPr>
                <w:rFonts w:hint="eastAsia" w:asciiTheme="minorEastAsia" w:hAnsiTheme="minorEastAsia" w:eastAsiaTheme="minorEastAsia" w:cstheme="minorEastAsia"/>
                <w:b w:val="0"/>
                <w:bCs w:val="0"/>
                <w:i w:val="0"/>
                <w:iCs w:val="0"/>
                <w:color w:val="auto"/>
                <w:sz w:val="24"/>
                <w:szCs w:val="24"/>
                <w:u w:val="none"/>
              </w:rPr>
              <w:t>四冲程单缸风冷</w:t>
            </w:r>
            <w:r>
              <w:rPr>
                <w:rFonts w:hint="eastAsia" w:asciiTheme="minorEastAsia" w:hAnsiTheme="minorEastAsia" w:eastAsiaTheme="minorEastAsia" w:cstheme="minorEastAsia"/>
                <w:b w:val="0"/>
                <w:bCs w:val="0"/>
                <w:i w:val="0"/>
                <w:iCs w:val="0"/>
                <w:color w:val="auto"/>
                <w:sz w:val="24"/>
                <w:szCs w:val="24"/>
                <w:u w:val="none"/>
                <w:lang w:eastAsia="zh-CN"/>
              </w:rPr>
              <w:t>。</w:t>
            </w:r>
          </w:p>
          <w:p w14:paraId="16655D02">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sz w:val="24"/>
                <w:szCs w:val="24"/>
                <w:u w:val="none"/>
                <w:lang w:val="en-US" w:eastAsia="zh-CN"/>
              </w:rPr>
              <w:t>51.</w:t>
            </w:r>
            <w:r>
              <w:rPr>
                <w:rFonts w:hint="eastAsia" w:asciiTheme="minorEastAsia" w:hAnsiTheme="minorEastAsia" w:eastAsiaTheme="minorEastAsia" w:cstheme="minorEastAsia"/>
                <w:b w:val="0"/>
                <w:bCs w:val="0"/>
                <w:i w:val="0"/>
                <w:iCs w:val="0"/>
                <w:color w:val="auto"/>
                <w:sz w:val="24"/>
                <w:szCs w:val="24"/>
                <w:u w:val="none"/>
              </w:rPr>
              <w:t>吸水及排出口径≥</w:t>
            </w:r>
            <w:r>
              <w:rPr>
                <w:rFonts w:hint="eastAsia" w:asciiTheme="minorEastAsia" w:hAnsiTheme="minorEastAsia" w:eastAsiaTheme="minorEastAsia" w:cstheme="minorEastAsia"/>
                <w:b w:val="0"/>
                <w:bCs w:val="0"/>
                <w:i w:val="0"/>
                <w:iCs w:val="0"/>
                <w:color w:val="auto"/>
                <w:sz w:val="24"/>
                <w:szCs w:val="24"/>
                <w:u w:val="none"/>
                <w:lang w:val="en-US" w:eastAsia="zh-CN"/>
              </w:rPr>
              <w:t>5</w:t>
            </w:r>
            <w:r>
              <w:rPr>
                <w:rFonts w:hint="eastAsia" w:asciiTheme="minorEastAsia" w:hAnsiTheme="minorEastAsia" w:eastAsiaTheme="minorEastAsia" w:cstheme="minorEastAsia"/>
                <w:b w:val="0"/>
                <w:bCs w:val="0"/>
                <w:i w:val="0"/>
                <w:iCs w:val="0"/>
                <w:color w:val="auto"/>
                <w:sz w:val="24"/>
                <w:szCs w:val="24"/>
                <w:u w:val="none"/>
              </w:rPr>
              <w:t>0mm</w:t>
            </w:r>
            <w:r>
              <w:rPr>
                <w:rFonts w:hint="eastAsia" w:asciiTheme="minorEastAsia" w:hAnsiTheme="minorEastAsia" w:eastAsiaTheme="minorEastAsia" w:cstheme="minorEastAsia"/>
                <w:b w:val="0"/>
                <w:bCs w:val="0"/>
                <w:i w:val="0"/>
                <w:iCs w:val="0"/>
                <w:color w:val="auto"/>
                <w:sz w:val="24"/>
                <w:szCs w:val="24"/>
                <w:u w:val="none"/>
                <w:lang w:eastAsia="zh-CN"/>
              </w:rPr>
              <w:t>；</w:t>
            </w:r>
          </w:p>
          <w:p w14:paraId="02AEFEAF">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sz w:val="24"/>
                <w:szCs w:val="24"/>
                <w:u w:val="none"/>
                <w:lang w:val="en-US" w:eastAsia="zh-CN"/>
              </w:rPr>
              <w:t>52.</w:t>
            </w:r>
            <w:r>
              <w:rPr>
                <w:rFonts w:hint="eastAsia" w:asciiTheme="minorEastAsia" w:hAnsiTheme="minorEastAsia" w:eastAsiaTheme="minorEastAsia" w:cstheme="minorEastAsia"/>
                <w:b w:val="0"/>
                <w:bCs w:val="0"/>
                <w:i w:val="0"/>
                <w:iCs w:val="0"/>
                <w:color w:val="auto"/>
                <w:sz w:val="24"/>
                <w:szCs w:val="24"/>
                <w:u w:val="none"/>
              </w:rPr>
              <w:t>▲功率≥</w:t>
            </w:r>
            <w:r>
              <w:rPr>
                <w:rFonts w:hint="eastAsia" w:asciiTheme="minorEastAsia" w:hAnsiTheme="minorEastAsia" w:eastAsiaTheme="minorEastAsia" w:cstheme="minorEastAsia"/>
                <w:b w:val="0"/>
                <w:bCs w:val="0"/>
                <w:i w:val="0"/>
                <w:iCs w:val="0"/>
                <w:color w:val="auto"/>
                <w:sz w:val="24"/>
                <w:szCs w:val="24"/>
                <w:u w:val="none"/>
                <w:lang w:val="en-US" w:eastAsia="zh-CN"/>
              </w:rPr>
              <w:t xml:space="preserve">4.5kw； </w:t>
            </w:r>
          </w:p>
          <w:p w14:paraId="3AC18485">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sz w:val="24"/>
                <w:szCs w:val="24"/>
                <w:u w:val="none"/>
                <w:lang w:val="en-US" w:eastAsia="zh-CN"/>
              </w:rPr>
              <w:t>53.</w:t>
            </w:r>
            <w:r>
              <w:rPr>
                <w:rFonts w:hint="eastAsia" w:asciiTheme="minorEastAsia" w:hAnsiTheme="minorEastAsia" w:eastAsiaTheme="minorEastAsia" w:cstheme="minorEastAsia"/>
                <w:b w:val="0"/>
                <w:bCs w:val="0"/>
                <w:i w:val="0"/>
                <w:iCs w:val="0"/>
                <w:color w:val="auto"/>
                <w:sz w:val="24"/>
                <w:szCs w:val="24"/>
                <w:u w:val="none"/>
              </w:rPr>
              <w:t>流量≥</w:t>
            </w:r>
            <w:r>
              <w:rPr>
                <w:rFonts w:hint="eastAsia" w:asciiTheme="minorEastAsia" w:hAnsiTheme="minorEastAsia" w:eastAsiaTheme="minorEastAsia" w:cstheme="minorEastAsia"/>
                <w:b w:val="0"/>
                <w:bCs w:val="0"/>
                <w:i w:val="0"/>
                <w:iCs w:val="0"/>
                <w:color w:val="auto"/>
                <w:sz w:val="24"/>
                <w:szCs w:val="24"/>
                <w:u w:val="none"/>
                <w:lang w:val="en-US" w:eastAsia="zh-CN"/>
              </w:rPr>
              <w:t>200</w:t>
            </w:r>
            <w:r>
              <w:rPr>
                <w:rFonts w:hint="eastAsia" w:asciiTheme="minorEastAsia" w:hAnsiTheme="minorEastAsia" w:eastAsiaTheme="minorEastAsia" w:cstheme="minorEastAsia"/>
                <w:b w:val="0"/>
                <w:bCs w:val="0"/>
                <w:i w:val="0"/>
                <w:iCs w:val="0"/>
                <w:color w:val="auto"/>
                <w:sz w:val="24"/>
                <w:szCs w:val="24"/>
                <w:u w:val="none"/>
              </w:rPr>
              <w:t>L/min</w:t>
            </w:r>
            <w:r>
              <w:rPr>
                <w:rFonts w:hint="eastAsia" w:asciiTheme="minorEastAsia" w:hAnsiTheme="minorEastAsia" w:eastAsiaTheme="minorEastAsia" w:cstheme="minorEastAsia"/>
                <w:b w:val="0"/>
                <w:bCs w:val="0"/>
                <w:i w:val="0"/>
                <w:iCs w:val="0"/>
                <w:color w:val="auto"/>
                <w:sz w:val="24"/>
                <w:szCs w:val="24"/>
                <w:u w:val="none"/>
                <w:lang w:eastAsia="zh-CN"/>
              </w:rPr>
              <w:t>；</w:t>
            </w:r>
          </w:p>
          <w:p w14:paraId="2C1B68B0">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sz w:val="24"/>
                <w:szCs w:val="24"/>
                <w:u w:val="none"/>
                <w:lang w:val="en-US" w:eastAsia="zh-CN"/>
              </w:rPr>
              <w:t>54.</w:t>
            </w:r>
            <w:r>
              <w:rPr>
                <w:rFonts w:hint="eastAsia" w:asciiTheme="minorEastAsia" w:hAnsiTheme="minorEastAsia" w:eastAsiaTheme="minorEastAsia" w:cstheme="minorEastAsia"/>
                <w:b w:val="0"/>
                <w:bCs w:val="0"/>
                <w:i w:val="0"/>
                <w:iCs w:val="0"/>
                <w:color w:val="auto"/>
                <w:sz w:val="24"/>
                <w:szCs w:val="24"/>
                <w:u w:val="none"/>
              </w:rPr>
              <w:t>吸入高度≥3</w:t>
            </w:r>
            <w:r>
              <w:rPr>
                <w:rFonts w:hint="eastAsia" w:asciiTheme="minorEastAsia" w:hAnsiTheme="minorEastAsia" w:eastAsiaTheme="minorEastAsia" w:cstheme="minorEastAsia"/>
                <w:b w:val="0"/>
                <w:bCs w:val="0"/>
                <w:i w:val="0"/>
                <w:iCs w:val="0"/>
                <w:color w:val="auto"/>
                <w:sz w:val="24"/>
                <w:szCs w:val="24"/>
                <w:u w:val="none"/>
                <w:lang w:val="en-US" w:eastAsia="zh-CN"/>
              </w:rPr>
              <w:t>m；</w:t>
            </w:r>
          </w:p>
          <w:p w14:paraId="4D78D2CE">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sz w:val="24"/>
                <w:szCs w:val="24"/>
                <w:u w:val="none"/>
                <w:lang w:val="en-US" w:eastAsia="zh-CN"/>
              </w:rPr>
              <w:t>55.</w:t>
            </w:r>
            <w:r>
              <w:rPr>
                <w:rFonts w:hint="eastAsia" w:asciiTheme="minorEastAsia" w:hAnsiTheme="minorEastAsia" w:eastAsiaTheme="minorEastAsia" w:cstheme="minorEastAsia"/>
                <w:b w:val="0"/>
                <w:bCs w:val="0"/>
                <w:i w:val="0"/>
                <w:iCs w:val="0"/>
                <w:color w:val="auto"/>
                <w:sz w:val="24"/>
                <w:szCs w:val="24"/>
                <w:u w:val="none"/>
              </w:rPr>
              <w:t>▲</w:t>
            </w:r>
            <w:r>
              <w:rPr>
                <w:rFonts w:hint="eastAsia" w:asciiTheme="minorEastAsia" w:hAnsiTheme="minorEastAsia" w:eastAsiaTheme="minorEastAsia" w:cstheme="minorEastAsia"/>
                <w:b w:val="0"/>
                <w:bCs w:val="0"/>
                <w:i w:val="0"/>
                <w:iCs w:val="0"/>
                <w:color w:val="auto"/>
                <w:sz w:val="24"/>
                <w:szCs w:val="24"/>
                <w:u w:val="none"/>
                <w:lang w:val="en-US" w:eastAsia="zh-CN"/>
              </w:rPr>
              <w:t>扬程</w:t>
            </w:r>
            <w:r>
              <w:rPr>
                <w:rFonts w:hint="eastAsia" w:asciiTheme="minorEastAsia" w:hAnsiTheme="minorEastAsia" w:eastAsiaTheme="minorEastAsia" w:cstheme="minorEastAsia"/>
                <w:b w:val="0"/>
                <w:bCs w:val="0"/>
                <w:i w:val="0"/>
                <w:iCs w:val="0"/>
                <w:color w:val="auto"/>
                <w:sz w:val="24"/>
                <w:szCs w:val="24"/>
                <w:u w:val="none"/>
              </w:rPr>
              <w:t>≥</w:t>
            </w:r>
            <w:r>
              <w:rPr>
                <w:rFonts w:hint="eastAsia" w:asciiTheme="minorEastAsia" w:hAnsiTheme="minorEastAsia" w:eastAsiaTheme="minorEastAsia" w:cstheme="minorEastAsia"/>
                <w:b w:val="0"/>
                <w:bCs w:val="0"/>
                <w:i w:val="0"/>
                <w:iCs w:val="0"/>
                <w:color w:val="auto"/>
                <w:sz w:val="24"/>
                <w:szCs w:val="24"/>
                <w:u w:val="none"/>
                <w:lang w:val="en-US" w:eastAsia="zh-CN"/>
              </w:rPr>
              <w:t xml:space="preserve">20m </w:t>
            </w:r>
          </w:p>
        </w:tc>
      </w:tr>
      <w:tr w14:paraId="7370A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88" w:hRule="atLeast"/>
        </w:trPr>
        <w:tc>
          <w:tcPr>
            <w:tcW w:w="606" w:type="dxa"/>
            <w:tcBorders>
              <w:top w:val="single" w:color="000000" w:sz="4" w:space="0"/>
              <w:right w:val="single" w:color="000000" w:sz="4" w:space="0"/>
            </w:tcBorders>
            <w:noWrap w:val="0"/>
            <w:vAlign w:val="center"/>
          </w:tcPr>
          <w:p w14:paraId="35159D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lang w:val="en-US"/>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12</w:t>
            </w:r>
          </w:p>
        </w:tc>
        <w:tc>
          <w:tcPr>
            <w:tcW w:w="1109" w:type="dxa"/>
            <w:tcBorders>
              <w:top w:val="single" w:color="000000" w:sz="4" w:space="0"/>
              <w:left w:val="single" w:color="000000" w:sz="4" w:space="0"/>
              <w:right w:val="nil"/>
            </w:tcBorders>
            <w:noWrap w:val="0"/>
            <w:vAlign w:val="center"/>
          </w:tcPr>
          <w:p w14:paraId="1A722A0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防爆输转泵</w:t>
            </w:r>
          </w:p>
        </w:tc>
        <w:tc>
          <w:tcPr>
            <w:tcW w:w="564" w:type="dxa"/>
            <w:tcBorders>
              <w:top w:val="single" w:color="000000" w:sz="4" w:space="0"/>
              <w:left w:val="single" w:color="000000" w:sz="4" w:space="0"/>
              <w:right w:val="nil"/>
            </w:tcBorders>
            <w:noWrap w:val="0"/>
            <w:vAlign w:val="center"/>
          </w:tcPr>
          <w:p w14:paraId="595AA5D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台</w:t>
            </w:r>
          </w:p>
        </w:tc>
        <w:tc>
          <w:tcPr>
            <w:tcW w:w="732" w:type="dxa"/>
            <w:tcBorders>
              <w:top w:val="single" w:color="000000" w:sz="4" w:space="0"/>
              <w:left w:val="single" w:color="000000" w:sz="4" w:space="0"/>
              <w:right w:val="nil"/>
            </w:tcBorders>
            <w:noWrap w:val="0"/>
            <w:vAlign w:val="center"/>
          </w:tcPr>
          <w:p w14:paraId="4075335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val="0"/>
                <w:bCs w:val="0"/>
                <w:i w:val="0"/>
                <w:iCs w:val="0"/>
                <w:color w:val="auto"/>
                <w:sz w:val="24"/>
                <w:szCs w:val="24"/>
                <w:u w:val="none"/>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w:t>
            </w:r>
          </w:p>
        </w:tc>
        <w:tc>
          <w:tcPr>
            <w:tcW w:w="6653" w:type="dxa"/>
            <w:tcBorders>
              <w:top w:val="single" w:color="000000" w:sz="4" w:space="0"/>
              <w:left w:val="single" w:color="000000" w:sz="4" w:space="0"/>
            </w:tcBorders>
            <w:noWrap w:val="0"/>
            <w:vAlign w:val="center"/>
          </w:tcPr>
          <w:p w14:paraId="2A5AA204">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56.工作压力：≥0.8MPa；</w:t>
            </w:r>
          </w:p>
          <w:p w14:paraId="100588DA">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57.流量：≥12m³/h；</w:t>
            </w:r>
          </w:p>
          <w:p w14:paraId="31D365C0">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58.重量≤70kg</w:t>
            </w:r>
          </w:p>
          <w:p w14:paraId="278F72A2">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i w:val="0"/>
                <w:iCs w:val="0"/>
                <w:color w:val="auto"/>
                <w:kern w:val="0"/>
                <w:sz w:val="24"/>
                <w:szCs w:val="24"/>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59.持续工作时间：≥8h。</w:t>
            </w:r>
          </w:p>
          <w:p w14:paraId="3C205D4C">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b w:val="0"/>
                <w:bCs w:val="0"/>
                <w:color w:val="auto"/>
                <w:sz w:val="24"/>
                <w:szCs w:val="24"/>
                <w:lang w:val="en-US"/>
              </w:rPr>
            </w:pPr>
            <w:r>
              <w:rPr>
                <w:rFonts w:hint="eastAsia" w:asciiTheme="minorEastAsia" w:hAnsiTheme="minorEastAsia" w:eastAsiaTheme="minorEastAsia" w:cstheme="minorEastAsia"/>
                <w:b w:val="0"/>
                <w:bCs w:val="0"/>
                <w:i w:val="0"/>
                <w:iCs w:val="0"/>
                <w:color w:val="auto"/>
                <w:kern w:val="0"/>
                <w:sz w:val="24"/>
                <w:szCs w:val="24"/>
                <w:u w:val="none"/>
                <w:lang w:val="en-US" w:eastAsia="zh-CN" w:bidi="ar"/>
              </w:rPr>
              <w:t>60.供出水口径:65mm</w:t>
            </w:r>
          </w:p>
        </w:tc>
      </w:tr>
      <w:bookmarkEnd w:id="0"/>
    </w:tbl>
    <w:p w14:paraId="3158AE66">
      <w:pPr>
        <w:pStyle w:val="3"/>
        <w:rPr>
          <w:rFonts w:hint="eastAsia"/>
          <w:color w:val="auto"/>
          <w:lang w:val="en-US" w:eastAsia="zh-CN"/>
        </w:rPr>
      </w:pPr>
    </w:p>
    <w:p w14:paraId="148AE54B">
      <w:pPr>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备注：技术参数中要求提供的产品第三方检测机构出具证书（检测、认证、测试等），除在投标文件中一并提供外，投标人还可提供在线查询途径。</w:t>
      </w:r>
    </w:p>
    <w:p w14:paraId="298D734A">
      <w:pPr>
        <w:pStyle w:val="3"/>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color w:val="auto"/>
          <w:sz w:val="24"/>
          <w:szCs w:val="24"/>
        </w:rPr>
        <w:t>★</w:t>
      </w:r>
      <w:r>
        <w:rPr>
          <w:rFonts w:hint="eastAsia" w:ascii="宋体" w:hAnsi="宋体" w:eastAsia="宋体" w:cs="宋体"/>
          <w:b/>
          <w:bCs/>
          <w:color w:val="auto"/>
          <w:sz w:val="24"/>
          <w:szCs w:val="24"/>
          <w:lang w:val="en-US" w:eastAsia="zh-CN"/>
        </w:rPr>
        <w:t>其他要求：</w:t>
      </w:r>
    </w:p>
    <w:p w14:paraId="6B619CC1">
      <w:pPr>
        <w:keepNext w:val="0"/>
        <w:keepLines w:val="0"/>
        <w:widowControl/>
        <w:suppressLineNumbers w:val="0"/>
        <w:spacing w:line="360" w:lineRule="auto"/>
        <w:jc w:val="left"/>
        <w:rPr>
          <w:rFonts w:hint="default"/>
          <w:color w:val="auto"/>
          <w:sz w:val="24"/>
          <w:szCs w:val="24"/>
          <w:lang w:val="en-US"/>
        </w:rPr>
      </w:pPr>
      <w:r>
        <w:rPr>
          <w:rFonts w:hint="eastAsia" w:ascii="宋体" w:hAnsi="宋体" w:eastAsia="宋体" w:cs="宋体"/>
          <w:b/>
          <w:bCs/>
          <w:color w:val="auto"/>
          <w:sz w:val="24"/>
          <w:szCs w:val="24"/>
          <w:lang w:val="en-US" w:eastAsia="zh-CN"/>
        </w:rPr>
        <w:t>①供应商须书面承诺在交货时，须在</w:t>
      </w:r>
      <w:r>
        <w:rPr>
          <w:rFonts w:hint="eastAsia" w:ascii="宋体" w:hAnsi="宋体" w:eastAsia="宋体" w:cs="宋体"/>
          <w:b/>
          <w:bCs/>
          <w:color w:val="auto"/>
          <w:kern w:val="0"/>
          <w:sz w:val="24"/>
          <w:szCs w:val="24"/>
          <w:lang w:val="en-US" w:eastAsia="zh-CN" w:bidi="ar"/>
        </w:rPr>
        <w:t>每件产品粘贴二维码或RFID射频电子标签。二维码内容或电子标签内容以合同签订时约定为准。</w:t>
      </w:r>
    </w:p>
    <w:p w14:paraId="0587F243">
      <w:pPr>
        <w:numPr>
          <w:ilvl w:val="0"/>
          <w:numId w:val="0"/>
        </w:numPr>
        <w:spacing w:line="360" w:lineRule="auto"/>
        <w:ind w:leftChars="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②本次采购产品有涉及到强制3C强制认证证书的，供应商须在中标后供货商时提供3C强制认证证书。</w:t>
      </w:r>
    </w:p>
    <w:p w14:paraId="48A89846">
      <w:pPr>
        <w:snapToGrid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cs="宋体"/>
          <w:b/>
          <w:color w:val="auto"/>
          <w:sz w:val="24"/>
          <w:szCs w:val="24"/>
          <w:lang w:val="en-US" w:eastAsia="zh-CN"/>
        </w:rPr>
        <w:t>、</w:t>
      </w:r>
      <w:r>
        <w:rPr>
          <w:rFonts w:hint="eastAsia" w:ascii="宋体" w:hAnsi="宋体" w:eastAsia="宋体" w:cs="宋体"/>
          <w:b/>
          <w:color w:val="auto"/>
          <w:sz w:val="24"/>
          <w:szCs w:val="24"/>
        </w:rPr>
        <w:t>商务及其他要求</w:t>
      </w:r>
    </w:p>
    <w:p w14:paraId="16E80EB5">
      <w:pPr>
        <w:keepNext w:val="0"/>
        <w:keepLines w:val="0"/>
        <w:widowControl/>
        <w:suppressLineNumbers w:val="0"/>
        <w:spacing w:line="360" w:lineRule="auto"/>
        <w:jc w:val="left"/>
        <w:rPr>
          <w:rFonts w:hint="default" w:ascii="宋体" w:hAnsi="宋体" w:eastAsia="宋体" w:cs="宋体"/>
          <w:snapToGrid w:val="0"/>
          <w:color w:val="auto"/>
          <w:kern w:val="0"/>
          <w:sz w:val="24"/>
          <w:szCs w:val="24"/>
          <w:lang w:val="en-US" w:eastAsia="zh-CN" w:bidi="ar"/>
        </w:rPr>
      </w:pP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交货时及要求</w:t>
      </w:r>
    </w:p>
    <w:p w14:paraId="6EE29796">
      <w:pPr>
        <w:keepNext w:val="0"/>
        <w:keepLines w:val="0"/>
        <w:widowControl/>
        <w:suppressLineNumbers w:val="0"/>
        <w:spacing w:line="36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交货时间：合同签订后，60日内送货至采购人指定地点并安装调试完成。</w:t>
      </w:r>
    </w:p>
    <w:p w14:paraId="4D07CE41">
      <w:pPr>
        <w:snapToGrid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付款方式</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分期付款</w:t>
      </w:r>
    </w:p>
    <w:p w14:paraId="7B745254">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①合同签订后 15 日内，采购人向中标人支付合同总金额的 30%</w:t>
      </w:r>
      <w:r>
        <w:rPr>
          <w:rFonts w:hint="eastAsia" w:ascii="宋体" w:hAnsi="宋体" w:eastAsia="宋体" w:cs="宋体"/>
          <w:color w:val="auto"/>
          <w:sz w:val="24"/>
          <w:szCs w:val="24"/>
        </w:rPr>
        <w:t>。</w:t>
      </w:r>
    </w:p>
    <w:p w14:paraId="07052D95">
      <w:pPr>
        <w:keepNext w:val="0"/>
        <w:keepLines w:val="0"/>
        <w:widowControl/>
        <w:suppressLineNumbers w:val="0"/>
        <w:spacing w:line="36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②所供产品送达采购人指定地点经采购人验收合格后15日内，支付合同总金额的70%。</w:t>
      </w:r>
    </w:p>
    <w:p w14:paraId="3CA674A9">
      <w:pPr>
        <w:keepNext w:val="0"/>
        <w:keepLines w:val="0"/>
        <w:widowControl/>
        <w:suppressLineNumbers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b/>
          <w:color w:val="auto"/>
          <w:sz w:val="24"/>
          <w:szCs w:val="24"/>
        </w:rPr>
        <w:t>★</w:t>
      </w:r>
      <w:r>
        <w:rPr>
          <w:rFonts w:hint="eastAsia" w:ascii="宋体" w:hAnsi="宋体" w:eastAsia="宋体" w:cs="宋体"/>
          <w:b w:val="0"/>
          <w:bCs w:val="0"/>
          <w:snapToGrid w:val="0"/>
          <w:color w:val="auto"/>
          <w:kern w:val="0"/>
          <w:sz w:val="24"/>
          <w:szCs w:val="24"/>
          <w:lang w:val="en-US" w:eastAsia="zh-CN" w:bidi="ar"/>
        </w:rPr>
        <w:t>（3）质保期：需符合国家（行业）标准，所有产品至少满足1年的质保期（技术要求中有特殊质保要求的以技术要求描述为准）。</w:t>
      </w:r>
    </w:p>
    <w:p w14:paraId="66B37E04">
      <w:pPr>
        <w:keepNext w:val="0"/>
        <w:keepLines w:val="0"/>
        <w:widowControl/>
        <w:suppressLineNumbers w:val="0"/>
        <w:spacing w:line="360" w:lineRule="auto"/>
        <w:ind w:firstLine="240" w:firstLineChars="100"/>
        <w:jc w:val="left"/>
        <w:rPr>
          <w:rFonts w:hint="eastAsia" w:ascii="宋体" w:hAnsi="宋体" w:eastAsia="宋体" w:cs="宋体"/>
          <w:b w:val="0"/>
          <w:bCs w:val="0"/>
          <w:color w:val="auto"/>
          <w:sz w:val="24"/>
          <w:szCs w:val="24"/>
        </w:rPr>
      </w:pPr>
      <w:r>
        <w:rPr>
          <w:rFonts w:hint="eastAsia" w:ascii="宋体" w:hAnsi="宋体" w:eastAsia="宋体" w:cs="宋体"/>
          <w:b w:val="0"/>
          <w:bCs w:val="0"/>
          <w:snapToGrid w:val="0"/>
          <w:color w:val="auto"/>
          <w:kern w:val="0"/>
          <w:sz w:val="24"/>
          <w:szCs w:val="24"/>
          <w:lang w:val="en-US" w:eastAsia="zh-CN" w:bidi="ar"/>
        </w:rPr>
        <w:t>（4）验收标准和方法</w:t>
      </w:r>
    </w:p>
    <w:p w14:paraId="40C3E2E4">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履约验收主体：四川省消防救援总队训练与战勤保障支队；</w:t>
      </w:r>
    </w:p>
    <w:p w14:paraId="7663573C">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履约验收时间：投标人提出验收申请之日起10日内组织验收；</w:t>
      </w:r>
    </w:p>
    <w:p w14:paraId="304E46BA">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验收组织方式：采购人可在送达产品中，随机抽取各产品进行送样检验检测，检验检测机构为经国家认证认可的省级及以上单位；对检测出不合格的产品，其检测费用由中标人支付；对检测合格的产品，其检测费用由采购人支付。履约验收程序：中标人在验收时需提供招标文件技术要求中带★号产品中涉及到的国家标准或行业标准的，须提供第三方检测机构出具的带CMA标识的检测报告。（其中检测内容须包含国家或行业标准中要求满足的技术要求）</w:t>
      </w:r>
    </w:p>
    <w:p w14:paraId="210BDA2F">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xml:space="preserve">验收结果合格，中标人办理履约保证金的退付手续；一次验收结果不合格的，履约保证金不予退还；二次验收不合格的，合同终止，由中标人向采购人退还采购人已支付的货款，同时向采购人支付合同总金额 10%的违约金，并终止合同。（验收结果合格指：送检产品均 </w:t>
      </w:r>
    </w:p>
    <w:p w14:paraId="481F1196">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通过检验检测，符合招标文件技术要求、投标文件响应要求、国标要求）</w:t>
      </w:r>
    </w:p>
    <w:p w14:paraId="1700EEDA">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技术履约验收内容：按照本项目招标文件中“技术要求”、中标人的投标文件及相关法律法规进行验收；</w:t>
      </w:r>
    </w:p>
    <w:p w14:paraId="0C8A4528">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商务履约验收内容：按照本项目招标文件中“商务要求”、中标人的投标文件及相关法律法规进行验收；</w:t>
      </w:r>
    </w:p>
    <w:p w14:paraId="41511F53">
      <w:pPr>
        <w:keepNext w:val="0"/>
        <w:keepLines w:val="0"/>
        <w:widowControl/>
        <w:numPr>
          <w:ilvl w:val="0"/>
          <w:numId w:val="1"/>
        </w:numPr>
        <w:suppressLineNumbers w:val="0"/>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履约验收标准：应严格按照《财政部关于进一步加强政府采购需求和履约验收管理的指导意见》(财库〔2016〕205 号)、《政府采购需求管理办法》（财库〔2021〕22 号）文件的要求进行验收。符合国家相关规定， 并按照相关技术要求进行开展，并完全满足采购需求。</w:t>
      </w:r>
    </w:p>
    <w:p w14:paraId="76B20D12">
      <w:pPr>
        <w:pStyle w:val="3"/>
        <w:keepNext w:val="0"/>
        <w:keepLines w:val="0"/>
        <w:pageBreakBefore w:val="0"/>
        <w:widowControl w:val="0"/>
        <w:shd w:val="clear"/>
        <w:kinsoku/>
        <w:wordWrap/>
        <w:overflowPunct/>
        <w:topLinePunct w:val="0"/>
        <w:bidi w:val="0"/>
        <w:snapToGrid/>
        <w:spacing w:after="0" w:line="360" w:lineRule="auto"/>
        <w:ind w:firstLine="482" w:firstLineChars="200"/>
        <w:textAlignment w:val="auto"/>
        <w:rPr>
          <w:rFonts w:hint="eastAsia" w:ascii="宋体" w:hAnsi="宋体" w:cs="宋体"/>
          <w:b/>
          <w:bCs/>
          <w:color w:val="auto"/>
          <w:sz w:val="24"/>
          <w:szCs w:val="24"/>
          <w:highlight w:val="none"/>
        </w:rPr>
      </w:pPr>
    </w:p>
    <w:p w14:paraId="24EC69F4">
      <w:pPr>
        <w:pStyle w:val="3"/>
        <w:keepNext w:val="0"/>
        <w:keepLines w:val="0"/>
        <w:pageBreakBefore w:val="0"/>
        <w:widowControl w:val="0"/>
        <w:shd w:val="clear"/>
        <w:kinsoku/>
        <w:wordWrap/>
        <w:overflowPunct/>
        <w:topLinePunct w:val="0"/>
        <w:bidi w:val="0"/>
        <w:snapToGrid/>
        <w:spacing w:after="0"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注：1、★项为实质性要求，不允许负偏离，</w:t>
      </w:r>
      <w:r>
        <w:rPr>
          <w:rFonts w:hint="eastAsia" w:ascii="宋体" w:hAnsi="宋体" w:cs="宋体"/>
          <w:b/>
          <w:bCs/>
          <w:color w:val="auto"/>
          <w:sz w:val="24"/>
          <w:szCs w:val="24"/>
          <w:highlight w:val="none"/>
          <w:lang w:eastAsia="zh-CN"/>
        </w:rPr>
        <w:t>技术</w:t>
      </w:r>
      <w:r>
        <w:rPr>
          <w:rFonts w:hint="eastAsia" w:ascii="宋体" w:hAnsi="宋体" w:cs="宋体"/>
          <w:b/>
          <w:bCs/>
          <w:color w:val="auto"/>
          <w:sz w:val="24"/>
          <w:szCs w:val="24"/>
          <w:highlight w:val="none"/>
          <w:lang w:val="en-US" w:eastAsia="zh-CN"/>
        </w:rPr>
        <w:t>参数中有要求提供证明材料的，还应按要求提供证明材料，</w:t>
      </w:r>
      <w:r>
        <w:rPr>
          <w:rFonts w:hint="eastAsia" w:ascii="宋体" w:hAnsi="宋体" w:cs="宋体"/>
          <w:b/>
          <w:bCs/>
          <w:color w:val="auto"/>
          <w:sz w:val="24"/>
          <w:szCs w:val="24"/>
          <w:highlight w:val="none"/>
        </w:rPr>
        <w:t>否则作无效投标处理；▲项为重要参数，无标记项为一般参数</w:t>
      </w:r>
      <w:r>
        <w:rPr>
          <w:rFonts w:hint="eastAsia" w:ascii="宋体" w:hAnsi="宋体" w:cs="宋体"/>
          <w:b/>
          <w:bCs/>
          <w:color w:val="auto"/>
          <w:sz w:val="24"/>
          <w:szCs w:val="24"/>
          <w:highlight w:val="none"/>
          <w:lang w:eastAsia="zh-CN"/>
        </w:rPr>
        <w:t>（技术</w:t>
      </w:r>
      <w:r>
        <w:rPr>
          <w:rFonts w:hint="eastAsia" w:ascii="宋体" w:hAnsi="宋体" w:cs="宋体"/>
          <w:b/>
          <w:bCs/>
          <w:color w:val="auto"/>
          <w:sz w:val="24"/>
          <w:szCs w:val="24"/>
          <w:highlight w:val="none"/>
          <w:lang w:val="en-US" w:eastAsia="zh-CN"/>
        </w:rPr>
        <w:t>参数中有要求提供证明材料的，还应按要求提供证明材料</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，若为负偏离将作不同分值的扣分(详见各标包评分明细表)。</w:t>
      </w:r>
    </w:p>
    <w:p w14:paraId="1206EDEC">
      <w:pPr>
        <w:keepNext w:val="0"/>
        <w:keepLines w:val="0"/>
        <w:pageBreakBefore w:val="0"/>
        <w:widowControl w:val="0"/>
        <w:shd w:val="clear"/>
        <w:kinsoku/>
        <w:wordWrap/>
        <w:overflowPunct/>
        <w:topLinePunct w:val="0"/>
        <w:bidi w:val="0"/>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2、带有“▲”标志的技术参数指标，</w:t>
      </w:r>
      <w:r>
        <w:rPr>
          <w:rFonts w:hint="eastAsia" w:ascii="宋体" w:hAnsi="宋体" w:cs="宋体"/>
          <w:b/>
          <w:bCs/>
          <w:color w:val="auto"/>
          <w:sz w:val="24"/>
          <w:szCs w:val="24"/>
          <w:highlight w:val="none"/>
          <w:lang w:val="en-US" w:eastAsia="zh-CN"/>
        </w:rPr>
        <w:t>需</w:t>
      </w:r>
      <w:r>
        <w:rPr>
          <w:rFonts w:hint="eastAsia" w:ascii="宋体" w:hAnsi="宋体" w:cs="宋体"/>
          <w:b/>
          <w:bCs/>
          <w:color w:val="auto"/>
          <w:sz w:val="24"/>
          <w:szCs w:val="24"/>
          <w:highlight w:val="none"/>
        </w:rPr>
        <w:t>提供国家认可的具备相关资质的第三方检测机构出具的检测检验报告佐证（技术参数中另有要求提供其它证明材料的除外），所提供的检测（检验）报告应完整有效</w:t>
      </w:r>
      <w:r>
        <w:rPr>
          <w:rFonts w:hint="eastAsia" w:ascii="宋体" w:hAnsi="宋体" w:cs="宋体"/>
          <w:b/>
          <w:bCs/>
          <w:color w:val="auto"/>
          <w:sz w:val="24"/>
          <w:szCs w:val="24"/>
          <w:highlight w:val="none"/>
          <w:lang w:eastAsia="zh-CN"/>
        </w:rPr>
        <w:t>。</w:t>
      </w:r>
    </w:p>
    <w:p w14:paraId="321FB739">
      <w:pPr>
        <w:keepNext w:val="0"/>
        <w:keepLines w:val="0"/>
        <w:pageBreakBefore w:val="0"/>
        <w:widowControl w:val="0"/>
        <w:shd w:val="clear"/>
        <w:kinsoku/>
        <w:wordWrap/>
        <w:overflowPunct/>
        <w:topLinePunct w:val="0"/>
        <w:bidi w:val="0"/>
        <w:snapToGrid/>
        <w:spacing w:line="360" w:lineRule="auto"/>
        <w:ind w:firstLine="482" w:firstLineChars="200"/>
        <w:textAlignment w:val="auto"/>
        <w:rPr>
          <w:rFonts w:hint="default"/>
          <w:b/>
          <w:bCs/>
          <w:sz w:val="28"/>
          <w:szCs w:val="36"/>
          <w:lang w:val="en-US" w:eastAsia="zh-CN"/>
        </w:rPr>
      </w:pPr>
      <w:r>
        <w:rPr>
          <w:rFonts w:hint="eastAsia" w:ascii="宋体" w:hAnsi="宋体" w:cs="宋体"/>
          <w:b/>
          <w:bCs/>
          <w:color w:val="auto"/>
          <w:sz w:val="24"/>
          <w:szCs w:val="24"/>
          <w:highlight w:val="none"/>
        </w:rPr>
        <w:t>3、响应内容与所提供检测报告不一致的内容，以检测</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检验</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报告为准。</w:t>
      </w:r>
      <w:bookmarkStart w:id="1" w:name="_GoBack"/>
      <w:bookmarkEnd w:id="1"/>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4F7BB1"/>
    <w:multiLevelType w:val="singleLevel"/>
    <w:tmpl w:val="6E4F7BB1"/>
    <w:lvl w:ilvl="0" w:tentative="0">
      <w:start w:val="1"/>
      <w:numFmt w:val="decimalEnclosedCircleChinese"/>
      <w:suff w:val="nothing"/>
      <w:lvlText w:val="%1　"/>
      <w:lvlJc w:val="left"/>
      <w:pPr>
        <w:ind w:left="0" w:firstLine="4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B82F3F"/>
    <w:rsid w:val="5EB82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qFormat/>
    <w:uiPriority w:val="0"/>
    <w:pPr>
      <w:keepNext/>
      <w:keepLines/>
      <w:adjustRightInd w:val="0"/>
      <w:spacing w:before="280" w:beforeLines="0" w:after="290" w:afterLines="0" w:line="376" w:lineRule="atLeast"/>
      <w:textAlignment w:val="baseline"/>
      <w:outlineLvl w:val="4"/>
    </w:pPr>
    <w:rPr>
      <w:b/>
      <w:kern w:val="0"/>
      <w:sz w:val="28"/>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spacing w:after="120" w:afterLines="0"/>
    </w:pPr>
  </w:style>
  <w:style w:type="character" w:customStyle="1" w:styleId="6">
    <w:name w:val="无"/>
    <w:qFormat/>
    <w:uiPriority w:val="0"/>
  </w:style>
  <w:style w:type="character" w:customStyle="1" w:styleId="7">
    <w:name w:val="font31"/>
    <w:basedOn w:val="5"/>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2024-11-26T11:49:00Z</dcterms:created>
  <dc:creator>香橙味biu~</dc:creator>
  <cp:lastModifiedBy>香橙味biu~</cp:lastModifiedBy>
  <dcterms:modified xsi:type="dcterms:W3CDTF">2024-11-26T11:50:20Z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07F4FB1E53984C6799B4E1C03612594E_11</vt:lpwstr>
  </property>
</Properties>
</file>