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440101-2025-05236</w:t>
      </w:r>
    </w:p>
    <w:p>
      <w:pPr>
        <w:pStyle w:val="null3"/>
        <w:jc w:val="center"/>
        <w:outlineLvl w:val="3"/>
      </w:pPr>
      <w:r>
        <w:rPr>
          <w:sz w:val="24"/>
          <w:b/>
        </w:rPr>
        <w:t>采购项目编号：</w:t>
      </w:r>
      <w:r>
        <w:rPr>
          <w:sz w:val="24"/>
          <w:b/>
        </w:rPr>
        <w:t>HYGZ25SH01C0584</w:t>
      </w:r>
    </w:p>
    <w:p>
      <w:pPr>
        <w:pStyle w:val="null3"/>
        <w:jc w:val="center"/>
        <w:outlineLvl w:val="3"/>
      </w:pPr>
      <w:r>
        <w:rPr>
          <w:sz w:val="24"/>
          <w:b/>
        </w:rPr>
        <w:t>项目名称：</w:t>
      </w:r>
      <w:r>
        <w:rPr>
          <w:sz w:val="24"/>
          <w:b/>
        </w:rPr>
        <w:t>全运会环境质量监测保障</w:t>
      </w:r>
    </w:p>
    <w:p>
      <w:pPr>
        <w:pStyle w:val="null3"/>
        <w:jc w:val="center"/>
        <w:outlineLvl w:val="3"/>
      </w:pPr>
      <w:r>
        <w:rPr>
          <w:sz w:val="24"/>
          <w:b/>
        </w:rPr>
        <w:t>采购人：</w:t>
      </w:r>
      <w:r>
        <w:rPr>
          <w:sz w:val="24"/>
          <w:b/>
        </w:rPr>
        <w:t>广东省广州生态环境监测中心站</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广东省广州生态环境监测中心站</w:t>
      </w:r>
      <w:r>
        <w:rPr/>
        <w:t>的委托，采用</w:t>
      </w:r>
      <w:r>
        <w:rPr/>
        <w:t>公开招标</w:t>
      </w:r>
      <w:r>
        <w:rPr/>
        <w:t>方式组织采购</w:t>
      </w:r>
      <w:r>
        <w:rPr/>
        <w:t>全运会环境质量监测保障</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全运会环境质量监测保障</w:t>
      </w:r>
    </w:p>
    <w:p>
      <w:pPr>
        <w:pStyle w:val="null3"/>
        <w:ind w:firstLine="480"/>
      </w:pPr>
      <w:r>
        <w:rPr/>
        <w:t>采购计划编号：</w:t>
      </w:r>
      <w:r>
        <w:rPr/>
        <w:t>440101-2025-05236</w:t>
      </w:r>
    </w:p>
    <w:p>
      <w:pPr>
        <w:pStyle w:val="null3"/>
        <w:ind w:firstLine="480"/>
      </w:pPr>
      <w:r>
        <w:rPr/>
        <w:t>采购项目编号：</w:t>
      </w:r>
      <w:r>
        <w:rPr/>
        <w:t>HYGZ25SH01C0584</w:t>
      </w:r>
    </w:p>
    <w:p>
      <w:pPr>
        <w:pStyle w:val="null3"/>
        <w:ind w:firstLine="480"/>
      </w:pPr>
      <w:r>
        <w:rPr/>
        <w:t>采购方式：</w:t>
      </w:r>
      <w:r>
        <w:rPr/>
        <w:t>公开招标</w:t>
      </w:r>
    </w:p>
    <w:p>
      <w:pPr>
        <w:pStyle w:val="null3"/>
        <w:ind w:firstLine="480"/>
      </w:pPr>
      <w:r>
        <w:rPr/>
        <w:t>预算金额：</w:t>
      </w:r>
      <w:r>
        <w:rPr/>
        <w:t>1,270,000.00</w:t>
      </w:r>
      <w:r>
        <w:rPr/>
        <w:t>元</w:t>
      </w:r>
    </w:p>
    <w:p>
      <w:pPr>
        <w:pStyle w:val="null3"/>
        <w:outlineLvl w:val="3"/>
      </w:pPr>
      <w:r>
        <w:rPr>
          <w:sz w:val="24"/>
          <w:b/>
        </w:rPr>
        <w:t>2.项目内容及需求情况（采购项目技术规格、参数及要求）</w:t>
      </w:r>
    </w:p>
    <w:p>
      <w:pPr>
        <w:pStyle w:val="null3"/>
      </w:pPr>
      <w:r>
        <w:rPr/>
        <w:t>采购包1(声环境质量监测保障):</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其他生态环境保护和治理服务</w:t>
            </w:r>
          </w:p>
        </w:tc>
        <w:tc>
          <w:tcPr>
            <w:tcW w:type="dxa" w:w="2136"/>
          </w:tcPr>
          <w:p>
            <w:pPr>
              <w:pStyle w:val="null3"/>
            </w:pPr>
            <w:r>
              <w:rPr/>
              <w:t>声环境质量监测保障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合同履行期限：签订合同后至2025年12月31日。</w:t>
      </w:r>
    </w:p>
    <w:p>
      <w:pPr>
        <w:pStyle w:val="null3"/>
      </w:pPr>
      <w:r>
        <w:rPr/>
        <w:t>采购包2(大气环境质量监测保障):</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其他生态环境保护和治理服务</w:t>
            </w:r>
          </w:p>
        </w:tc>
        <w:tc>
          <w:tcPr>
            <w:tcW w:type="dxa" w:w="2136"/>
          </w:tcPr>
          <w:p>
            <w:pPr>
              <w:pStyle w:val="null3"/>
            </w:pPr>
            <w:r>
              <w:rPr/>
              <w:t>大气环境质量监测保障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合同履行期限：签订合同后至2025年12月31日。</w:t>
      </w:r>
    </w:p>
    <w:p>
      <w:pPr>
        <w:pStyle w:val="null3"/>
      </w:pPr>
      <w:r>
        <w:rPr/>
        <w:t>采购包3(基于人群时空暴露的环境健康风险评估预警):</w:t>
      </w:r>
    </w:p>
    <w:p>
      <w:pPr>
        <w:pStyle w:val="null3"/>
      </w:pPr>
      <w:r>
        <w:rPr/>
        <w:t>采购包预算金额：170,000.00元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其他生态环境保护和治理服务</w:t>
            </w:r>
          </w:p>
        </w:tc>
        <w:tc>
          <w:tcPr>
            <w:tcW w:type="dxa" w:w="2136"/>
          </w:tcPr>
          <w:p>
            <w:pPr>
              <w:pStyle w:val="null3"/>
            </w:pPr>
            <w:r>
              <w:rPr/>
              <w:t>基于人群时空暴露的环境健康风险评估预警</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合同履行期限：签订合同后至2025年12月31日。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采购包1（声环境质量监测保障）：</w:t>
      </w:r>
      <w:r>
        <w:rPr/>
        <w:t>本项目属于专门面向中小企业采购的项目，投标人须符合本项目采购标的对应行业（其他未列明行业）政策划分标准的中小企业。监狱企业、残疾人福利单位视同小型、微型企业。 注1：中小企业以投标人填写的《中小企业声明函》（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投标人可登陆https://gdgpo.czt.gd.gov.cn/freecms/site/guangdong/tz/info/2024/15000058.html查阅。</w:t>
      </w:r>
    </w:p>
    <w:p>
      <w:pPr>
        <w:pStyle w:val="null3"/>
        <w:jc w:val="left"/>
      </w:pPr>
      <w:r>
        <w:rPr/>
        <w:t>采购包2（大气环境质量监测保障）：</w:t>
      </w:r>
      <w:r>
        <w:rPr/>
        <w:t>本项目不属于专门面向中小企业采购的项目（本项目采购标的所属行业：其他未列明行业）。</w:t>
      </w:r>
    </w:p>
    <w:p>
      <w:pPr>
        <w:pStyle w:val="null3"/>
        <w:jc w:val="left"/>
      </w:pPr>
      <w:r>
        <w:rPr/>
        <w:t>采购包3（基于人群时空暴露的环境健康风险评估预警）：</w:t>
      </w:r>
      <w:r>
        <w:rPr/>
        <w:t>本项目不属于专门面向中小企业采购的项目（本项目采购标的所属行业：其他未列明行业）</w:t>
      </w:r>
    </w:p>
    <w:p>
      <w:pPr>
        <w:pStyle w:val="null3"/>
        <w:outlineLvl w:val="3"/>
      </w:pPr>
      <w:r>
        <w:rPr>
          <w:sz w:val="24"/>
          <w:b/>
        </w:rPr>
        <w:t>3.本项目特定的资格要求：</w:t>
      </w:r>
    </w:p>
    <w:p>
      <w:pPr>
        <w:pStyle w:val="null3"/>
      </w:pPr>
      <w:r>
        <w:rPr/>
        <w:t>采购包1（声环境质量监测保障）：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采购包2（大气环境质量监测保障）：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3)本项目允许联合体响应，联合体组成单位数量不得超出2家。（若为联合体响应，须提供联合体响应协议，联合体各方应在联合体协议中约定各自承担的任务及费用分配比例）</w:t>
      </w:r>
    </w:p>
    <w:p>
      <w:pPr>
        <w:pStyle w:val="null3"/>
      </w:pPr>
      <w:r>
        <w:rPr/>
        <w:t>采购包3（基于人群时空暴露的环境健康风险评估预警）：</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广东省广州生态环境监测中心站</w:t>
      </w:r>
    </w:p>
    <w:p>
      <w:pPr>
        <w:pStyle w:val="null3"/>
        <w:ind w:firstLine="480"/>
      </w:pPr>
      <w:r>
        <w:rPr/>
        <w:t xml:space="preserve"> 地址：</w:t>
      </w:r>
      <w:r>
        <w:rPr/>
        <w:t>广州市番禺区大学城中心南大街19号</w:t>
      </w:r>
    </w:p>
    <w:p>
      <w:pPr>
        <w:pStyle w:val="null3"/>
        <w:ind w:firstLine="480"/>
      </w:pPr>
      <w:r>
        <w:rPr/>
        <w:t xml:space="preserve"> 联系方式：</w:t>
      </w:r>
      <w:r>
        <w:rPr/>
        <w:t>020-32662150</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本项目为2025年财政专项，项目总预算为127万元。按照《中共广东省委办公厅广东省人民政府办公厅关于印发&lt;第十五届全国运动会和全国第十二届残疾人运动会暨第九届特殊奥林匹克运动会广东赛区筹备工作总体方案&gt;的通知》（粤委办〔2023〕9号）的要求，为做好十五运会和残特奥会的环境质量保障，开展环境质量监测、监测数据综合分析和预报预警工作。项目分为声环境质量监测保障、大气环境质量监测保障和基于人群时空暴露的环境健康风险评估预警三个包组。</w:t>
      </w:r>
      <w:r>
        <w:br/>
      </w:r>
      <w:r>
        <w:rPr/>
        <w:t xml:space="preserve"> 二、项目内容</w:t>
      </w:r>
      <w:r>
        <w:br/>
      </w:r>
      <w:r>
        <w:rPr/>
        <w:t xml:space="preserve"> 项目各包组具体服务内容如下：</w:t>
      </w:r>
      <w:r>
        <w:br/>
      </w:r>
      <w:r>
        <w:rPr/>
        <w:t xml:space="preserve"> 包组一：声环境质量监测保障</w:t>
      </w:r>
      <w:r>
        <w:br/>
      </w:r>
      <w:r>
        <w:rPr/>
        <w:t xml:space="preserve"> 1.赛前演练阶段对各比赛场馆、接待酒店周边开展声环境质量监测。</w:t>
      </w:r>
      <w:r>
        <w:br/>
      </w:r>
      <w:r>
        <w:rPr/>
        <w:t xml:space="preserve"> 2.赛事运行阶段对广州市残疾人体育运动中心、广州大学城体育中心（体育场2号副场）、广东省射击馆、广东省黄村体育训练中心（现代五项跑射场地）周边开展24小时声环境质量监测。</w:t>
      </w:r>
      <w:r>
        <w:br/>
      </w:r>
      <w:r>
        <w:rPr/>
        <w:t xml:space="preserve"> 3.提交赛前演练监测报告和赛后总结报告。</w:t>
      </w:r>
      <w:r>
        <w:br/>
      </w:r>
      <w:r>
        <w:rPr/>
        <w:t xml:space="preserve"> 包组二：大气环境质量监测保障</w:t>
      </w:r>
      <w:r>
        <w:br/>
      </w:r>
      <w:r>
        <w:rPr/>
        <w:t xml:space="preserve"> 1.开展赛事期间监测数据综合分析，深入分析空气质量状况、区域污染特征、来源、传输路径等，掌握大气污染物的时空分布特征及其成因。</w:t>
      </w:r>
      <w:r>
        <w:br/>
      </w:r>
      <w:r>
        <w:rPr/>
        <w:t xml:space="preserve"> 2.开展赛事期间空气质量会商研判，形成会商报告。</w:t>
      </w:r>
      <w:r>
        <w:br/>
      </w:r>
      <w:r>
        <w:rPr/>
        <w:t xml:space="preserve"> 包组三：基于人群时空暴露的环境健康风险评估预警</w:t>
      </w:r>
      <w:r>
        <w:br/>
      </w:r>
      <w:r>
        <w:rPr/>
        <w:t xml:space="preserve"> 1.基于历史数据的十五届全国运动会和特残奥会广州赛区重点片区人群和关键环境要素时空特征分析。</w:t>
      </w:r>
      <w:r>
        <w:br/>
      </w:r>
      <w:r>
        <w:rPr/>
        <w:t xml:space="preserve"> 2.基于人群时空暴露的重点片区关键环境健康风险评价及地图制图。</w:t>
      </w:r>
    </w:p>
    <w:p>
      <w:pPr>
        <w:pStyle w:val="null3"/>
      </w:pPr>
      <w:r>
        <w:rPr/>
        <w:t>采购包1（声环境质量监测保障）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签订合同后至2025年12月31日</w:t>
            </w:r>
          </w:p>
        </w:tc>
      </w:tr>
      <w:tr>
        <w:tc>
          <w:tcPr>
            <w:tcW w:type="dxa" w:w="4153"/>
          </w:tcPr>
          <w:p>
            <w:pPr>
              <w:pStyle w:val="null3"/>
            </w:pPr>
            <w:r>
              <w:rPr/>
              <w:t>标的提供的地点</w:t>
            </w:r>
          </w:p>
        </w:tc>
        <w:tc>
          <w:tcPr>
            <w:tcW w:type="dxa" w:w="4153"/>
          </w:tcPr>
          <w:p>
            <w:pPr>
              <w:pStyle w:val="null3"/>
            </w:pPr>
            <w:r>
              <w:rPr/>
              <w:t>广州市内采购人指定地点。</w:t>
            </w:r>
          </w:p>
        </w:tc>
      </w:tr>
      <w:tr/>
      <w:tr/>
      <w:tr>
        <w:tc>
          <w:tcPr>
            <w:tcW w:type="dxa" w:w="4153"/>
          </w:tcPr>
          <w:p>
            <w:pPr>
              <w:pStyle w:val="null3"/>
            </w:pPr>
            <w:r>
              <w:rPr/>
              <w:t>付款方式</w:t>
            </w:r>
          </w:p>
        </w:tc>
        <w:tc>
          <w:tcPr>
            <w:tcW w:type="dxa" w:w="4153"/>
          </w:tcPr>
          <w:p>
            <w:pPr>
              <w:pStyle w:val="null3"/>
            </w:pPr>
            <w:r>
              <w:rPr/>
              <w:t>第1期为(预付款)：支付比例50%，合同签定并收发票后，于5个工作日内预付合同总额50%款项。</w:t>
            </w:r>
          </w:p>
          <w:p>
            <w:pPr>
              <w:pStyle w:val="null3"/>
            </w:pPr>
            <w:r>
              <w:rPr/>
              <w:t>第2期为(进度款)：支付比例40%，采购人在中标供应商完成赛前监测，提交监测报告，且经过验收合格，并收到发票后，于5个工作日内支付合同总额40%款项。</w:t>
            </w:r>
          </w:p>
          <w:p>
            <w:pPr>
              <w:pStyle w:val="null3"/>
            </w:pPr>
            <w:r>
              <w:rPr/>
              <w:t>第3期为(尾款)：支付比例10%，采购人在中标供应商完成全运会和残特奥会会期监测保障服务后，提交监测报告、会商报告或评估报告、总结报告，并收到发票后，于5个工作日内支付合同总额10%款项。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1期：1.验收时间及方式：项目完成后，由中标供应商提出验收申请，由采购人7日内启动验收。由采购人对项目报告进行初步验收，组织聘请不少于3名专家对项目进行整体验收。 2.验收标准：专家根据项目监测方案，对监测过程、监测数据、监测结果和评估结果进行验收。 3.验收费用：本项目验收所产生的所有费用由（各包组）中标供应商承担。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保密要求：未经采购人许可，投标人及投标人参与本项目的人员均不得对外披露、泄露本项目执行过程中采购人提供的信息、因合同履行而知悉的企业信息或环境信息、本项目执行过程中形成的过程信息、以及最终的成果信息。投标人应采取有效措施，保证其参与本项目的人员遵守本约定，并对投标人人员违反本约定所造成的后果承担连带责任。项目实施过程中，投标人必须采取必要措施对本项目的数据、技术文档等资料保密；项目完成后，未经采购人书面同意，投标人不得以任何形式运用、公布或向第三方透露本项目相关监测结果、监测情况及其他技术文档资料。否则，由于投标人过错导致上述信息发生泄密情况的，投标人必须承担一切法律后果。 2.知识产权：采购人在中华人民共和国境内使用中标供应商提供的货物及服务时免受第三方提出的侵犯其专利权或其它知识产权的起诉。如果第三方提出侵权指控，中标供应商应承担由此而引起的一切法律责任和费用。 3.中标供应商必须在投标文件中对以上条款和服务承诺明确列出，承诺内容必须达到本篇及招标文件其他条款的要求。 4.其他未尽事宜由供需双方在采购合同中详细约定。</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声环境质量监测保障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w:t>
            </w:r>
          </w:p>
        </w:tc>
        <w:tc>
          <w:tcPr>
            <w:tcW w:type="dxa" w:w="933"/>
          </w:tcPr>
          <w:p>
            <w:pPr>
              <w:pStyle w:val="null3"/>
              <w:jc w:val="right"/>
            </w:pPr>
            <w:r>
              <w:rPr/>
              <w:t>300,000.00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声环境质量监测保障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（一）服务内容</w:t>
            </w:r>
            <w:r>
              <w:br/>
            </w:r>
            <w:r>
              <w:rPr/>
              <w:t xml:space="preserve"> 1.赛前演练阶段（2025年3月至5月）对所有比赛场馆和接待酒店周边开展一次声环境质量监测。</w:t>
            </w:r>
            <w:r>
              <w:br/>
            </w:r>
            <w:r>
              <w:rPr/>
              <w:t xml:space="preserve"> 2.赛前（2025年6月至2025年11月9日）对广州市残疾人体育运动中心、广州大学城体育中心（体育场2号副场）、广东省射击馆、广东省黄村体育训练中心（现代五项跑射场地）4个重点声环境保障区域周边每半个月开展24小时声环境质量监测。</w:t>
            </w:r>
            <w:r>
              <w:br/>
            </w:r>
            <w:r>
              <w:rPr/>
              <w:t xml:space="preserve"> 3.赛事期间（2025年11月10日至11月21日、12月8日至12月15日）对广州市残疾人体育运动中心、广州大学城体育中心（体育场2号副场）、广东省射击馆、广东省黄村体育训练中心（现代五项跑射场地）4个重点声环境保障区域周边每日开展24小时声环境质量连续监测。</w:t>
            </w:r>
            <w:r>
              <w:br/>
            </w:r>
            <w:r>
              <w:rPr/>
              <w:t xml:space="preserve"> 4. 提交赛前演练监测报告和赛后总结报告。</w:t>
            </w:r>
          </w:p>
        </w:tc>
      </w:tr>
      <w:tr>
        <w:tc>
          <w:tcPr>
            <w:tcW w:type="dxa" w:w="2076"/>
          </w:tcPr>
          <w:p/>
        </w:tc>
        <w:tc>
          <w:tcPr>
            <w:tcW w:type="dxa" w:w="415"/>
          </w:tcPr>
          <w:p>
            <w:pPr>
              <w:pStyle w:val="null3"/>
            </w:pPr>
            <w:r>
              <w:rPr/>
              <w:t>2</w:t>
            </w:r>
          </w:p>
        </w:tc>
        <w:tc>
          <w:tcPr>
            <w:tcW w:type="dxa" w:w="5814"/>
          </w:tcPr>
          <w:p>
            <w:pPr>
              <w:pStyle w:val="null3"/>
            </w:pPr>
            <w:r>
              <w:rPr/>
              <w:t>（二）服务成果</w:t>
            </w:r>
            <w:r>
              <w:br/>
            </w:r>
            <w:r>
              <w:rPr/>
              <w:t xml:space="preserve"> 1.赛前演练阶段各比赛场馆、接待酒店声环境质量监测报告；</w:t>
            </w:r>
            <w:r>
              <w:br/>
            </w:r>
            <w:r>
              <w:rPr/>
              <w:t xml:space="preserve"> 2.赛事运行期间广州市残疾人体育运动中心、广州大学城体育中心（体育场2号副场）、广东省射击馆、广东省黄村体育训练中心（现代五项跑射场地）4个重点声环境保障区域声环境质量监测报告；</w:t>
            </w:r>
            <w:r>
              <w:br/>
            </w:r>
            <w:r>
              <w:rPr/>
              <w:t xml:space="preserve"> 3.声环境监测保障总结报告。</w:t>
            </w:r>
          </w:p>
        </w:tc>
      </w:tr>
      <w:tr>
        <w:tc>
          <w:tcPr>
            <w:tcW w:type="dxa" w:w="2076"/>
          </w:tcPr>
          <w:p/>
        </w:tc>
        <w:tc>
          <w:tcPr>
            <w:tcW w:type="dxa" w:w="415"/>
          </w:tcPr>
          <w:p>
            <w:pPr>
              <w:pStyle w:val="null3"/>
            </w:pPr>
            <w:r>
              <w:rPr/>
              <w:t>3</w:t>
            </w:r>
          </w:p>
        </w:tc>
        <w:tc>
          <w:tcPr>
            <w:tcW w:type="dxa" w:w="5814"/>
          </w:tcPr>
          <w:p>
            <w:pPr>
              <w:pStyle w:val="null3"/>
            </w:pPr>
            <w:r>
              <w:rPr/>
              <w:t>（三）服务技术要求</w:t>
            </w:r>
            <w:r>
              <w:br/>
            </w:r>
            <w:r>
              <w:rPr/>
              <w:t xml:space="preserve"> 1. 监测点位（见表2、表3）</w:t>
            </w:r>
            <w:r>
              <w:br/>
            </w:r>
            <w:r>
              <w:rPr/>
              <w:t xml:space="preserve"> 表2  广州赛区比赛场馆</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Pr>
                <w:p>
                  <w:pPr>
                    <w:pStyle w:val="null3"/>
                    <w:jc w:val="center"/>
                  </w:pPr>
                  <w:r>
                    <w:rPr>
                      <w:sz w:val="19"/>
                    </w:rPr>
                    <w:t>序号</w:t>
                  </w:r>
                </w:p>
              </w:tc>
              <w:tc>
                <w:tcPr>
                  <w:tcW w:type="dxa" w:w="933"/>
                </w:tcPr>
                <w:p>
                  <w:pPr>
                    <w:pStyle w:val="null3"/>
                    <w:jc w:val="center"/>
                  </w:pPr>
                  <w:r>
                    <w:rPr>
                      <w:sz w:val="19"/>
                    </w:rPr>
                    <w:t>场馆用途</w:t>
                  </w:r>
                </w:p>
              </w:tc>
              <w:tc>
                <w:tcPr>
                  <w:tcW w:type="dxa" w:w="933"/>
                </w:tcPr>
                <w:p>
                  <w:pPr>
                    <w:pStyle w:val="null3"/>
                    <w:jc w:val="center"/>
                  </w:pPr>
                  <w:r>
                    <w:rPr>
                      <w:sz w:val="19"/>
                    </w:rPr>
                    <w:t>场馆名称</w:t>
                  </w:r>
                </w:p>
              </w:tc>
              <w:tc>
                <w:tcPr>
                  <w:tcW w:type="dxa" w:w="933"/>
                </w:tcPr>
                <w:p>
                  <w:pPr>
                    <w:pStyle w:val="null3"/>
                    <w:jc w:val="center"/>
                  </w:pPr>
                  <w:r>
                    <w:rPr>
                      <w:sz w:val="19"/>
                    </w:rPr>
                    <w:t>大项</w:t>
                  </w:r>
                </w:p>
              </w:tc>
              <w:tc>
                <w:tcPr>
                  <w:tcW w:type="dxa" w:w="933"/>
                </w:tcPr>
                <w:p>
                  <w:pPr>
                    <w:pStyle w:val="null3"/>
                    <w:jc w:val="center"/>
                  </w:pPr>
                  <w:r>
                    <w:rPr>
                      <w:sz w:val="19"/>
                    </w:rPr>
                    <w:t>分项/组别</w:t>
                  </w:r>
                </w:p>
              </w:tc>
              <w:tc>
                <w:tcPr>
                  <w:tcW w:type="dxa" w:w="933"/>
                </w:tcPr>
                <w:p>
                  <w:pPr>
                    <w:pStyle w:val="null3"/>
                    <w:jc w:val="center"/>
                  </w:pPr>
                  <w:r>
                    <w:rPr>
                      <w:sz w:val="19"/>
                    </w:rPr>
                    <w:t>备注</w:t>
                  </w:r>
                </w:p>
              </w:tc>
            </w:tr>
            <w:tr>
              <w:tc>
                <w:tcPr>
                  <w:tcW w:type="dxa" w:w="933"/>
                  <w:vMerge w:val="restart"/>
                </w:tcPr>
                <w:p>
                  <w:pPr>
                    <w:pStyle w:val="null3"/>
                    <w:jc w:val="center"/>
                  </w:pPr>
                  <w:r>
                    <w:rPr>
                      <w:sz w:val="19"/>
                    </w:rPr>
                    <w:t>1</w:t>
                  </w:r>
                </w:p>
              </w:tc>
              <w:tc>
                <w:tcPr>
                  <w:tcW w:type="dxa" w:w="933"/>
                  <w:vMerge w:val="restart"/>
                </w:tcPr>
                <w:p>
                  <w:pPr>
                    <w:pStyle w:val="null3"/>
                    <w:jc w:val="center"/>
                  </w:pPr>
                  <w:r>
                    <w:rPr>
                      <w:sz w:val="19"/>
                    </w:rPr>
                    <w:t>比赛场馆</w:t>
                  </w:r>
                </w:p>
              </w:tc>
              <w:tc>
                <w:tcPr>
                  <w:tcW w:type="dxa" w:w="933"/>
                  <w:vMerge w:val="restart"/>
                </w:tcPr>
                <w:p>
                  <w:pPr>
                    <w:pStyle w:val="null3"/>
                    <w:jc w:val="center"/>
                  </w:pPr>
                  <w:r>
                    <w:rPr>
                      <w:sz w:val="19"/>
                    </w:rPr>
                    <w:t>广东省射击馆</w:t>
                  </w:r>
                </w:p>
              </w:tc>
              <w:tc>
                <w:tcPr>
                  <w:tcW w:type="dxa" w:w="933"/>
                </w:tcPr>
                <w:p>
                  <w:pPr>
                    <w:pStyle w:val="null3"/>
                    <w:jc w:val="center"/>
                  </w:pPr>
                  <w:r>
                    <w:rPr>
                      <w:sz w:val="19"/>
                    </w:rPr>
                    <w:t>射击</w:t>
                  </w:r>
                </w:p>
              </w:tc>
              <w:tc>
                <w:tcPr>
                  <w:tcW w:type="dxa" w:w="933"/>
                </w:tcPr>
                <w:p>
                  <w:pPr>
                    <w:pStyle w:val="null3"/>
                    <w:jc w:val="center"/>
                  </w:pPr>
                  <w:r>
                    <w:rPr>
                      <w:sz w:val="19"/>
                    </w:rPr>
                    <w:t>步手枪</w:t>
                  </w:r>
                </w:p>
              </w:tc>
              <w:tc>
                <w:tcPr>
                  <w:tcW w:type="dxa" w:w="933"/>
                  <w:vMerge w:val="restart"/>
                </w:tcPr>
                <w:p>
                  <w:pPr>
                    <w:pStyle w:val="null3"/>
                    <w:jc w:val="center"/>
                  </w:pPr>
                  <w:r>
                    <w:rPr>
                      <w:sz w:val="19"/>
                    </w:rPr>
                    <w:t>重点声环境保障区域</w:t>
                  </w:r>
                </w:p>
              </w:tc>
            </w:tr>
            <w:tr>
              <w:tc>
                <w:tcPr>
                  <w:tcW w:type="dxa" w:w="933"/>
                  <w:vMerge/>
                </w:tcPr>
                <w:p/>
              </w:tc>
              <w:tc>
                <w:tcPr>
                  <w:tcW w:type="dxa" w:w="933"/>
                  <w:vMerge/>
                </w:tcPr>
                <w:p/>
              </w:tc>
              <w:tc>
                <w:tcPr>
                  <w:tcW w:type="dxa" w:w="933"/>
                  <w:vMerge/>
                </w:tcPr>
                <w:p/>
              </w:tc>
              <w:tc>
                <w:tcPr>
                  <w:tcW w:type="dxa" w:w="933"/>
                </w:tcPr>
                <w:p>
                  <w:pPr>
                    <w:pStyle w:val="null3"/>
                    <w:jc w:val="center"/>
                  </w:pPr>
                  <w:r>
                    <w:rPr>
                      <w:sz w:val="19"/>
                    </w:rPr>
                    <w:t>射击（残奥聋奥）</w:t>
                  </w:r>
                </w:p>
              </w:tc>
              <w:tc>
                <w:tcPr>
                  <w:tcW w:type="dxa" w:w="933"/>
                </w:tcPr>
                <w:p>
                  <w:pPr>
                    <w:pStyle w:val="null3"/>
                    <w:jc w:val="center"/>
                  </w:pPr>
                  <w:r>
                    <w:rPr>
                      <w:sz w:val="19"/>
                    </w:rPr>
                    <w:t xml:space="preserve"> </w:t>
                  </w:r>
                </w:p>
              </w:tc>
              <w:tc>
                <w:tcPr>
                  <w:tcW w:type="dxa" w:w="933"/>
                  <w:vMerge/>
                </w:tcPr>
                <w:p/>
              </w:tc>
            </w:tr>
            <w:tr>
              <w:tc>
                <w:tcPr>
                  <w:tcW w:type="dxa" w:w="933"/>
                </w:tcPr>
                <w:p>
                  <w:pPr>
                    <w:pStyle w:val="null3"/>
                    <w:jc w:val="center"/>
                  </w:pPr>
                  <w:r>
                    <w:rPr>
                      <w:sz w:val="19"/>
                    </w:rPr>
                    <w:t>2</w:t>
                  </w:r>
                </w:p>
              </w:tc>
              <w:tc>
                <w:tcPr>
                  <w:tcW w:type="dxa" w:w="933"/>
                  <w:vMerge/>
                </w:tcPr>
                <w:p/>
              </w:tc>
              <w:tc>
                <w:tcPr>
                  <w:tcW w:type="dxa" w:w="933"/>
                </w:tcPr>
                <w:p>
                  <w:pPr>
                    <w:pStyle w:val="null3"/>
                    <w:jc w:val="center"/>
                  </w:pPr>
                  <w:r>
                    <w:rPr>
                      <w:sz w:val="19"/>
                    </w:rPr>
                    <w:t>广东省黄村体育训练中心综合训练馆</w:t>
                  </w:r>
                </w:p>
              </w:tc>
              <w:tc>
                <w:tcPr>
                  <w:tcW w:type="dxa" w:w="933"/>
                </w:tcPr>
                <w:p>
                  <w:pPr>
                    <w:pStyle w:val="null3"/>
                    <w:jc w:val="center"/>
                  </w:pPr>
                  <w:r>
                    <w:rPr>
                      <w:sz w:val="19"/>
                    </w:rPr>
                    <w:t>现代五项</w:t>
                  </w:r>
                </w:p>
              </w:tc>
              <w:tc>
                <w:tcPr>
                  <w:tcW w:type="dxa" w:w="933"/>
                </w:tcPr>
                <w:p>
                  <w:pPr>
                    <w:pStyle w:val="null3"/>
                    <w:jc w:val="center"/>
                  </w:pPr>
                  <w:r>
                    <w:rPr>
                      <w:sz w:val="19"/>
                    </w:rPr>
                    <w:t>/</w:t>
                  </w:r>
                </w:p>
              </w:tc>
              <w:tc>
                <w:tcPr>
                  <w:tcW w:type="dxa" w:w="933"/>
                </w:tcPr>
                <w:p>
                  <w:pPr>
                    <w:pStyle w:val="null3"/>
                    <w:jc w:val="center"/>
                  </w:pPr>
                  <w:r>
                    <w:rPr>
                      <w:sz w:val="19"/>
                    </w:rPr>
                    <w:t xml:space="preserve"> </w:t>
                  </w:r>
                </w:p>
              </w:tc>
            </w:tr>
            <w:tr>
              <w:tc>
                <w:tcPr>
                  <w:tcW w:type="dxa" w:w="933"/>
                </w:tcPr>
                <w:p>
                  <w:pPr>
                    <w:pStyle w:val="null3"/>
                    <w:jc w:val="center"/>
                  </w:pPr>
                  <w:r>
                    <w:rPr>
                      <w:sz w:val="19"/>
                    </w:rPr>
                    <w:t>3</w:t>
                  </w:r>
                </w:p>
              </w:tc>
              <w:tc>
                <w:tcPr>
                  <w:tcW w:type="dxa" w:w="933"/>
                  <w:vMerge/>
                </w:tcPr>
                <w:p/>
              </w:tc>
              <w:tc>
                <w:tcPr>
                  <w:tcW w:type="dxa" w:w="933"/>
                </w:tcPr>
                <w:p>
                  <w:pPr>
                    <w:pStyle w:val="null3"/>
                    <w:jc w:val="center"/>
                  </w:pPr>
                  <w:r>
                    <w:rPr>
                      <w:sz w:val="19"/>
                    </w:rPr>
                    <w:t>广东省黄村体育训练中心跑射场地</w:t>
                  </w:r>
                </w:p>
              </w:tc>
              <w:tc>
                <w:tcPr>
                  <w:tcW w:type="dxa" w:w="933"/>
                </w:tcPr>
                <w:p>
                  <w:pPr>
                    <w:pStyle w:val="null3"/>
                    <w:jc w:val="center"/>
                  </w:pPr>
                  <w:r>
                    <w:rPr>
                      <w:sz w:val="19"/>
                    </w:rPr>
                    <w:t>现代五项</w:t>
                  </w:r>
                </w:p>
              </w:tc>
              <w:tc>
                <w:tcPr>
                  <w:tcW w:type="dxa" w:w="933"/>
                </w:tcPr>
                <w:p>
                  <w:pPr>
                    <w:pStyle w:val="null3"/>
                    <w:jc w:val="center"/>
                  </w:pPr>
                  <w:r>
                    <w:rPr>
                      <w:sz w:val="19"/>
                    </w:rPr>
                    <w:t>/</w:t>
                  </w:r>
                </w:p>
              </w:tc>
              <w:tc>
                <w:tcPr>
                  <w:tcW w:type="dxa" w:w="933"/>
                </w:tcPr>
                <w:p>
                  <w:pPr>
                    <w:pStyle w:val="null3"/>
                    <w:jc w:val="center"/>
                  </w:pPr>
                  <w:r>
                    <w:rPr>
                      <w:sz w:val="19"/>
                    </w:rPr>
                    <w:t>重点声环境保障区域</w:t>
                  </w:r>
                </w:p>
              </w:tc>
            </w:tr>
            <w:tr>
              <w:tc>
                <w:tcPr>
                  <w:tcW w:type="dxa" w:w="933"/>
                  <w:vMerge w:val="restart"/>
                </w:tcPr>
                <w:p>
                  <w:pPr>
                    <w:pStyle w:val="null3"/>
                    <w:jc w:val="center"/>
                  </w:pPr>
                  <w:r>
                    <w:rPr>
                      <w:sz w:val="19"/>
                    </w:rPr>
                    <w:t>4</w:t>
                  </w:r>
                </w:p>
              </w:tc>
              <w:tc>
                <w:tcPr>
                  <w:tcW w:type="dxa" w:w="933"/>
                  <w:vMerge/>
                </w:tcPr>
                <w:p/>
              </w:tc>
              <w:tc>
                <w:tcPr>
                  <w:tcW w:type="dxa" w:w="933"/>
                  <w:vMerge w:val="restart"/>
                </w:tcPr>
                <w:p>
                  <w:pPr>
                    <w:pStyle w:val="null3"/>
                    <w:jc w:val="center"/>
                  </w:pPr>
                  <w:r>
                    <w:rPr>
                      <w:sz w:val="19"/>
                    </w:rPr>
                    <w:t>广东国际划船中心</w:t>
                  </w:r>
                </w:p>
              </w:tc>
              <w:tc>
                <w:tcPr>
                  <w:tcW w:type="dxa" w:w="933"/>
                </w:tcPr>
                <w:p>
                  <w:pPr>
                    <w:pStyle w:val="null3"/>
                    <w:jc w:val="center"/>
                  </w:pPr>
                  <w:r>
                    <w:rPr>
                      <w:sz w:val="19"/>
                    </w:rPr>
                    <w:t>赛艇</w:t>
                  </w:r>
                </w:p>
              </w:tc>
              <w:tc>
                <w:tcPr>
                  <w:tcW w:type="dxa" w:w="933"/>
                </w:tcPr>
                <w:p>
                  <w:pPr>
                    <w:pStyle w:val="null3"/>
                    <w:jc w:val="center"/>
                  </w:pPr>
                  <w:r>
                    <w:rPr>
                      <w:sz w:val="19"/>
                    </w:rPr>
                    <w:t>/</w:t>
                  </w:r>
                </w:p>
              </w:tc>
              <w:tc>
                <w:tcPr>
                  <w:tcW w:type="dxa" w:w="933"/>
                  <w:vMerge w:val="restart"/>
                </w:tcPr>
                <w:p>
                  <w:pPr>
                    <w:pStyle w:val="null3"/>
                    <w:jc w:val="center"/>
                  </w:pPr>
                  <w:r>
                    <w:rPr>
                      <w:sz w:val="19"/>
                    </w:rPr>
                    <w:t xml:space="preserve"> </w:t>
                  </w:r>
                </w:p>
              </w:tc>
            </w:tr>
            <w:tr>
              <w:tc>
                <w:tcPr>
                  <w:tcW w:type="dxa" w:w="933"/>
                  <w:vMerge/>
                </w:tcPr>
                <w:p/>
              </w:tc>
              <w:tc>
                <w:tcPr>
                  <w:tcW w:type="dxa" w:w="933"/>
                  <w:vMerge/>
                </w:tcPr>
                <w:p/>
              </w:tc>
              <w:tc>
                <w:tcPr>
                  <w:tcW w:type="dxa" w:w="933"/>
                  <w:vMerge/>
                </w:tcPr>
                <w:p/>
              </w:tc>
              <w:tc>
                <w:tcPr>
                  <w:tcW w:type="dxa" w:w="933"/>
                </w:tcPr>
                <w:p>
                  <w:pPr>
                    <w:pStyle w:val="null3"/>
                    <w:jc w:val="center"/>
                  </w:pPr>
                  <w:r>
                    <w:rPr>
                      <w:sz w:val="19"/>
                    </w:rPr>
                    <w:t>皮划艇</w:t>
                  </w:r>
                </w:p>
              </w:tc>
              <w:tc>
                <w:tcPr>
                  <w:tcW w:type="dxa" w:w="933"/>
                </w:tcPr>
                <w:p>
                  <w:pPr>
                    <w:pStyle w:val="null3"/>
                    <w:jc w:val="center"/>
                  </w:pPr>
                  <w:r>
                    <w:rPr>
                      <w:sz w:val="19"/>
                    </w:rPr>
                    <w:t>静水</w:t>
                  </w:r>
                </w:p>
              </w:tc>
              <w:tc>
                <w:tcPr>
                  <w:tcW w:type="dxa" w:w="933"/>
                  <w:vMerge/>
                </w:tcPr>
                <w:p/>
              </w:tc>
            </w:tr>
            <w:tr>
              <w:tc>
                <w:tcPr>
                  <w:tcW w:type="dxa" w:w="933"/>
                  <w:vMerge/>
                </w:tcPr>
                <w:p/>
              </w:tc>
              <w:tc>
                <w:tcPr>
                  <w:tcW w:type="dxa" w:w="933"/>
                  <w:vMerge/>
                </w:tcPr>
                <w:p/>
              </w:tc>
              <w:tc>
                <w:tcPr>
                  <w:tcW w:type="dxa" w:w="933"/>
                  <w:vMerge/>
                </w:tcPr>
                <w:p/>
              </w:tc>
              <w:tc>
                <w:tcPr>
                  <w:tcW w:type="dxa" w:w="933"/>
                </w:tcPr>
                <w:p>
                  <w:pPr>
                    <w:pStyle w:val="null3"/>
                    <w:jc w:val="center"/>
                  </w:pPr>
                  <w:r>
                    <w:rPr>
                      <w:sz w:val="19"/>
                    </w:rPr>
                    <w:t>赛艇（残奥聋奥）</w:t>
                  </w:r>
                </w:p>
              </w:tc>
              <w:tc>
                <w:tcPr>
                  <w:tcW w:type="dxa" w:w="933"/>
                </w:tcPr>
                <w:p>
                  <w:pPr>
                    <w:pStyle w:val="null3"/>
                    <w:jc w:val="center"/>
                  </w:pPr>
                  <w:r>
                    <w:rPr>
                      <w:sz w:val="19"/>
                    </w:rPr>
                    <w:t xml:space="preserve"> </w:t>
                  </w:r>
                </w:p>
              </w:tc>
              <w:tc>
                <w:tcPr>
                  <w:tcW w:type="dxa" w:w="933"/>
                  <w:vMerge/>
                </w:tcPr>
                <w:p/>
              </w:tc>
            </w:tr>
            <w:tr>
              <w:tc>
                <w:tcPr>
                  <w:tcW w:type="dxa" w:w="933"/>
                  <w:vMerge/>
                </w:tcPr>
                <w:p/>
              </w:tc>
              <w:tc>
                <w:tcPr>
                  <w:tcW w:type="dxa" w:w="933"/>
                  <w:vMerge/>
                </w:tcPr>
                <w:p/>
              </w:tc>
              <w:tc>
                <w:tcPr>
                  <w:tcW w:type="dxa" w:w="933"/>
                  <w:vMerge/>
                </w:tcPr>
                <w:p/>
              </w:tc>
              <w:tc>
                <w:tcPr>
                  <w:tcW w:type="dxa" w:w="933"/>
                </w:tcPr>
                <w:p>
                  <w:pPr>
                    <w:pStyle w:val="null3"/>
                    <w:jc w:val="center"/>
                  </w:pPr>
                  <w:r>
                    <w:rPr>
                      <w:sz w:val="19"/>
                    </w:rPr>
                    <w:t>皮划艇（残奥聋奥）</w:t>
                  </w:r>
                </w:p>
              </w:tc>
              <w:tc>
                <w:tcPr>
                  <w:tcW w:type="dxa" w:w="933"/>
                </w:tcPr>
                <w:p>
                  <w:pPr>
                    <w:pStyle w:val="null3"/>
                    <w:jc w:val="center"/>
                  </w:pPr>
                  <w:r>
                    <w:rPr>
                      <w:sz w:val="19"/>
                    </w:rPr>
                    <w:t xml:space="preserve"> </w:t>
                  </w:r>
                </w:p>
              </w:tc>
              <w:tc>
                <w:tcPr>
                  <w:tcW w:type="dxa" w:w="933"/>
                  <w:vMerge/>
                </w:tcPr>
                <w:p/>
              </w:tc>
            </w:tr>
            <w:tr>
              <w:tc>
                <w:tcPr>
                  <w:tcW w:type="dxa" w:w="933"/>
                </w:tcPr>
                <w:p>
                  <w:pPr>
                    <w:pStyle w:val="null3"/>
                    <w:jc w:val="center"/>
                  </w:pPr>
                  <w:r>
                    <w:rPr>
                      <w:sz w:val="19"/>
                    </w:rPr>
                    <w:t>5</w:t>
                  </w:r>
                </w:p>
              </w:tc>
              <w:tc>
                <w:tcPr>
                  <w:tcW w:type="dxa" w:w="933"/>
                  <w:vMerge/>
                </w:tcPr>
                <w:p/>
              </w:tc>
              <w:tc>
                <w:tcPr>
                  <w:tcW w:type="dxa" w:w="933"/>
                </w:tcPr>
                <w:p>
                  <w:pPr>
                    <w:pStyle w:val="null3"/>
                    <w:jc w:val="center"/>
                  </w:pPr>
                  <w:r>
                    <w:rPr>
                      <w:sz w:val="19"/>
                    </w:rPr>
                    <w:t>广东激流回旋赛场</w:t>
                  </w:r>
                </w:p>
              </w:tc>
              <w:tc>
                <w:tcPr>
                  <w:tcW w:type="dxa" w:w="933"/>
                </w:tcPr>
                <w:p>
                  <w:pPr>
                    <w:pStyle w:val="null3"/>
                    <w:jc w:val="center"/>
                  </w:pPr>
                  <w:r>
                    <w:rPr>
                      <w:sz w:val="19"/>
                    </w:rPr>
                    <w:t>皮划艇</w:t>
                  </w:r>
                </w:p>
              </w:tc>
              <w:tc>
                <w:tcPr>
                  <w:tcW w:type="dxa" w:w="933"/>
                </w:tcPr>
                <w:p>
                  <w:pPr>
                    <w:pStyle w:val="null3"/>
                    <w:jc w:val="center"/>
                  </w:pPr>
                  <w:r>
                    <w:rPr>
                      <w:sz w:val="19"/>
                    </w:rPr>
                    <w:t>激流回旋</w:t>
                  </w:r>
                </w:p>
              </w:tc>
              <w:tc>
                <w:tcPr>
                  <w:tcW w:type="dxa" w:w="933"/>
                </w:tcPr>
                <w:p>
                  <w:pPr>
                    <w:pStyle w:val="null3"/>
                    <w:jc w:val="center"/>
                  </w:pPr>
                  <w:r>
                    <w:rPr>
                      <w:sz w:val="19"/>
                    </w:rPr>
                    <w:t xml:space="preserve"> </w:t>
                  </w:r>
                </w:p>
              </w:tc>
            </w:tr>
            <w:tr>
              <w:tc>
                <w:tcPr>
                  <w:tcW w:type="dxa" w:w="933"/>
                  <w:vMerge w:val="restart"/>
                </w:tcPr>
                <w:p>
                  <w:pPr>
                    <w:pStyle w:val="null3"/>
                    <w:jc w:val="center"/>
                  </w:pPr>
                  <w:r>
                    <w:rPr>
                      <w:sz w:val="19"/>
                    </w:rPr>
                    <w:t>6</w:t>
                  </w:r>
                </w:p>
              </w:tc>
              <w:tc>
                <w:tcPr>
                  <w:tcW w:type="dxa" w:w="933"/>
                  <w:vMerge/>
                </w:tcPr>
                <w:p/>
              </w:tc>
              <w:tc>
                <w:tcPr>
                  <w:tcW w:type="dxa" w:w="933"/>
                  <w:vMerge w:val="restart"/>
                </w:tcPr>
                <w:p>
                  <w:pPr>
                    <w:pStyle w:val="null3"/>
                    <w:jc w:val="center"/>
                  </w:pPr>
                  <w:r>
                    <w:rPr>
                      <w:sz w:val="19"/>
                    </w:rPr>
                    <w:t>广州体育学院亚运篮球馆及附属场地</w:t>
                  </w:r>
                </w:p>
              </w:tc>
              <w:tc>
                <w:tcPr>
                  <w:tcW w:type="dxa" w:w="933"/>
                </w:tcPr>
                <w:p>
                  <w:pPr>
                    <w:pStyle w:val="null3"/>
                    <w:jc w:val="center"/>
                  </w:pPr>
                  <w:r>
                    <w:rPr>
                      <w:sz w:val="19"/>
                    </w:rPr>
                    <w:t>霹雳舞</w:t>
                  </w:r>
                </w:p>
              </w:tc>
              <w:tc>
                <w:tcPr>
                  <w:tcW w:type="dxa" w:w="933"/>
                </w:tcPr>
                <w:p>
                  <w:pPr>
                    <w:pStyle w:val="null3"/>
                    <w:jc w:val="center"/>
                  </w:pPr>
                  <w:r>
                    <w:rPr>
                      <w:sz w:val="19"/>
                    </w:rPr>
                    <w:t>/</w:t>
                  </w:r>
                </w:p>
              </w:tc>
              <w:tc>
                <w:tcPr>
                  <w:tcW w:type="dxa" w:w="933"/>
                  <w:vMerge w:val="restart"/>
                </w:tcPr>
                <w:p>
                  <w:pPr>
                    <w:pStyle w:val="null3"/>
                    <w:jc w:val="center"/>
                  </w:pPr>
                  <w:r>
                    <w:rPr>
                      <w:sz w:val="19"/>
                    </w:rPr>
                    <w:t xml:space="preserve"> </w:t>
                  </w:r>
                </w:p>
              </w:tc>
            </w:tr>
            <w:tr>
              <w:tc>
                <w:tcPr>
                  <w:tcW w:type="dxa" w:w="933"/>
                  <w:vMerge/>
                </w:tcPr>
                <w:p/>
              </w:tc>
              <w:tc>
                <w:tcPr>
                  <w:tcW w:type="dxa" w:w="933"/>
                  <w:vMerge/>
                </w:tcPr>
                <w:p/>
              </w:tc>
              <w:tc>
                <w:tcPr>
                  <w:tcW w:type="dxa" w:w="933"/>
                  <w:vMerge/>
                </w:tcPr>
                <w:p/>
              </w:tc>
              <w:tc>
                <w:tcPr>
                  <w:tcW w:type="dxa" w:w="933"/>
                </w:tcPr>
                <w:p>
                  <w:pPr>
                    <w:pStyle w:val="null3"/>
                    <w:jc w:val="center"/>
                  </w:pPr>
                  <w:r>
                    <w:rPr>
                      <w:sz w:val="19"/>
                    </w:rPr>
                    <w:t>排球</w:t>
                  </w:r>
                </w:p>
              </w:tc>
              <w:tc>
                <w:tcPr>
                  <w:tcW w:type="dxa" w:w="933"/>
                </w:tcPr>
                <w:p>
                  <w:pPr>
                    <w:pStyle w:val="null3"/>
                    <w:jc w:val="center"/>
                  </w:pPr>
                  <w:r>
                    <w:rPr>
                      <w:sz w:val="19"/>
                    </w:rPr>
                    <w:t>男子20岁以下组</w:t>
                  </w:r>
                </w:p>
              </w:tc>
              <w:tc>
                <w:tcPr>
                  <w:tcW w:type="dxa" w:w="933"/>
                  <w:vMerge/>
                </w:tcPr>
                <w:p/>
              </w:tc>
            </w:tr>
            <w:tr>
              <w:tc>
                <w:tcPr>
                  <w:tcW w:type="dxa" w:w="933"/>
                  <w:vMerge w:val="restart"/>
                </w:tcPr>
                <w:p>
                  <w:pPr>
                    <w:pStyle w:val="null3"/>
                    <w:jc w:val="center"/>
                  </w:pPr>
                  <w:r>
                    <w:rPr>
                      <w:sz w:val="19"/>
                    </w:rPr>
                    <w:t>7</w:t>
                  </w:r>
                </w:p>
              </w:tc>
              <w:tc>
                <w:tcPr>
                  <w:tcW w:type="dxa" w:w="933"/>
                  <w:vMerge/>
                </w:tcPr>
                <w:p/>
              </w:tc>
              <w:tc>
                <w:tcPr>
                  <w:tcW w:type="dxa" w:w="933"/>
                  <w:vMerge w:val="restart"/>
                </w:tcPr>
                <w:p>
                  <w:pPr>
                    <w:pStyle w:val="null3"/>
                    <w:jc w:val="center"/>
                  </w:pPr>
                  <w:r>
                    <w:rPr>
                      <w:sz w:val="19"/>
                    </w:rPr>
                    <w:t>华南农业大学体育馆</w:t>
                  </w:r>
                </w:p>
              </w:tc>
              <w:tc>
                <w:tcPr>
                  <w:tcW w:type="dxa" w:w="933"/>
                </w:tcPr>
                <w:p>
                  <w:pPr>
                    <w:pStyle w:val="null3"/>
                    <w:jc w:val="center"/>
                  </w:pPr>
                  <w:r>
                    <w:rPr>
                      <w:sz w:val="19"/>
                    </w:rPr>
                    <w:t>排球</w:t>
                  </w:r>
                </w:p>
              </w:tc>
              <w:tc>
                <w:tcPr>
                  <w:tcW w:type="dxa" w:w="933"/>
                </w:tcPr>
                <w:p>
                  <w:pPr>
                    <w:pStyle w:val="null3"/>
                    <w:jc w:val="center"/>
                  </w:pPr>
                  <w:r>
                    <w:rPr>
                      <w:sz w:val="19"/>
                    </w:rPr>
                    <w:t>男子20岁以下组</w:t>
                  </w:r>
                </w:p>
              </w:tc>
              <w:tc>
                <w:tcPr>
                  <w:tcW w:type="dxa" w:w="933"/>
                  <w:vMerge w:val="restart"/>
                </w:tcPr>
                <w:p>
                  <w:pPr>
                    <w:pStyle w:val="null3"/>
                    <w:jc w:val="center"/>
                  </w:pPr>
                  <w:r>
                    <w:rPr>
                      <w:sz w:val="19"/>
                    </w:rPr>
                    <w:t xml:space="preserve"> </w:t>
                  </w:r>
                </w:p>
              </w:tc>
            </w:tr>
            <w:tr>
              <w:tc>
                <w:tcPr>
                  <w:tcW w:type="dxa" w:w="933"/>
                  <w:vMerge/>
                </w:tcPr>
                <w:p/>
              </w:tc>
              <w:tc>
                <w:tcPr>
                  <w:tcW w:type="dxa" w:w="933"/>
                  <w:vMerge/>
                </w:tcPr>
                <w:p/>
              </w:tc>
              <w:tc>
                <w:tcPr>
                  <w:tcW w:type="dxa" w:w="933"/>
                  <w:vMerge/>
                </w:tcPr>
                <w:p/>
              </w:tc>
              <w:tc>
                <w:tcPr>
                  <w:tcW w:type="dxa" w:w="933"/>
                </w:tcPr>
                <w:p>
                  <w:pPr>
                    <w:pStyle w:val="null3"/>
                    <w:jc w:val="center"/>
                  </w:pPr>
                  <w:r>
                    <w:rPr>
                      <w:sz w:val="19"/>
                    </w:rPr>
                    <w:t>坐式排球（残奥聋奥）</w:t>
                  </w:r>
                </w:p>
              </w:tc>
              <w:tc>
                <w:tcPr>
                  <w:tcW w:type="dxa" w:w="933"/>
                </w:tcPr>
                <w:p>
                  <w:pPr>
                    <w:pStyle w:val="null3"/>
                    <w:jc w:val="center"/>
                  </w:pPr>
                  <w:r>
                    <w:rPr>
                      <w:sz w:val="19"/>
                    </w:rPr>
                    <w:t xml:space="preserve"> </w:t>
                  </w:r>
                </w:p>
              </w:tc>
              <w:tc>
                <w:tcPr>
                  <w:tcW w:type="dxa" w:w="933"/>
                  <w:vMerge/>
                </w:tcPr>
                <w:p/>
              </w:tc>
            </w:tr>
            <w:tr>
              <w:tc>
                <w:tcPr>
                  <w:tcW w:type="dxa" w:w="933"/>
                </w:tcPr>
                <w:p>
                  <w:pPr>
                    <w:pStyle w:val="null3"/>
                    <w:jc w:val="center"/>
                  </w:pPr>
                  <w:r>
                    <w:rPr>
                      <w:sz w:val="19"/>
                    </w:rPr>
                    <w:t>8</w:t>
                  </w:r>
                </w:p>
              </w:tc>
              <w:tc>
                <w:tcPr>
                  <w:tcW w:type="dxa" w:w="933"/>
                  <w:vMerge/>
                </w:tcPr>
                <w:p/>
              </w:tc>
              <w:tc>
                <w:tcPr>
                  <w:tcW w:type="dxa" w:w="933"/>
                </w:tcPr>
                <w:p>
                  <w:pPr>
                    <w:pStyle w:val="null3"/>
                    <w:jc w:val="center"/>
                  </w:pPr>
                  <w:r>
                    <w:rPr>
                      <w:sz w:val="19"/>
                    </w:rPr>
                    <w:t>广东省奥林匹克中心游泳跳水馆</w:t>
                  </w:r>
                </w:p>
              </w:tc>
              <w:tc>
                <w:tcPr>
                  <w:tcW w:type="dxa" w:w="933"/>
                </w:tcPr>
                <w:p>
                  <w:pPr>
                    <w:pStyle w:val="null3"/>
                    <w:jc w:val="center"/>
                  </w:pPr>
                  <w:r>
                    <w:rPr>
                      <w:sz w:val="19"/>
                    </w:rPr>
                    <w:t>游泳</w:t>
                  </w:r>
                </w:p>
              </w:tc>
              <w:tc>
                <w:tcPr>
                  <w:tcW w:type="dxa" w:w="933"/>
                </w:tcPr>
                <w:p>
                  <w:pPr>
                    <w:pStyle w:val="null3"/>
                    <w:jc w:val="center"/>
                  </w:pPr>
                  <w:r>
                    <w:rPr>
                      <w:sz w:val="19"/>
                    </w:rPr>
                    <w:t>水球</w:t>
                  </w:r>
                </w:p>
              </w:tc>
              <w:tc>
                <w:tcPr>
                  <w:tcW w:type="dxa" w:w="933"/>
                </w:tcPr>
                <w:p>
                  <w:pPr>
                    <w:pStyle w:val="null3"/>
                    <w:jc w:val="center"/>
                  </w:pPr>
                  <w:r>
                    <w:rPr>
                      <w:sz w:val="19"/>
                    </w:rPr>
                    <w:t xml:space="preserve"> </w:t>
                  </w:r>
                </w:p>
              </w:tc>
            </w:tr>
            <w:tr>
              <w:tc>
                <w:tcPr>
                  <w:tcW w:type="dxa" w:w="933"/>
                  <w:vMerge w:val="restart"/>
                </w:tcPr>
                <w:p>
                  <w:pPr>
                    <w:pStyle w:val="null3"/>
                    <w:jc w:val="center"/>
                  </w:pPr>
                  <w:r>
                    <w:rPr>
                      <w:sz w:val="19"/>
                    </w:rPr>
                    <w:t>9</w:t>
                  </w:r>
                </w:p>
              </w:tc>
              <w:tc>
                <w:tcPr>
                  <w:tcW w:type="dxa" w:w="933"/>
                  <w:vMerge/>
                </w:tcPr>
                <w:p/>
              </w:tc>
              <w:tc>
                <w:tcPr>
                  <w:tcW w:type="dxa" w:w="933"/>
                  <w:vMerge w:val="restart"/>
                </w:tcPr>
                <w:p>
                  <w:pPr>
                    <w:pStyle w:val="null3"/>
                    <w:jc w:val="center"/>
                  </w:pPr>
                  <w:r>
                    <w:rPr>
                      <w:sz w:val="19"/>
                    </w:rPr>
                    <w:t>广东省奥林匹克中心体育场</w:t>
                  </w:r>
                </w:p>
              </w:tc>
              <w:tc>
                <w:tcPr>
                  <w:tcW w:type="dxa" w:w="933"/>
                </w:tcPr>
                <w:p>
                  <w:pPr>
                    <w:pStyle w:val="null3"/>
                    <w:jc w:val="center"/>
                  </w:pPr>
                  <w:r>
                    <w:rPr>
                      <w:sz w:val="19"/>
                    </w:rPr>
                    <w:t>田径</w:t>
                  </w:r>
                </w:p>
              </w:tc>
              <w:tc>
                <w:tcPr>
                  <w:tcW w:type="dxa" w:w="933"/>
                </w:tcPr>
                <w:p>
                  <w:pPr>
                    <w:pStyle w:val="null3"/>
                    <w:jc w:val="center"/>
                  </w:pPr>
                  <w:r>
                    <w:rPr>
                      <w:sz w:val="19"/>
                    </w:rPr>
                    <w:t>（不含马拉松、竞走项目）</w:t>
                  </w:r>
                </w:p>
              </w:tc>
              <w:tc>
                <w:tcPr>
                  <w:tcW w:type="dxa" w:w="933"/>
                  <w:vMerge w:val="restart"/>
                </w:tcPr>
                <w:p>
                  <w:pPr>
                    <w:pStyle w:val="null3"/>
                    <w:jc w:val="center"/>
                  </w:pPr>
                  <w:r>
                    <w:rPr>
                      <w:sz w:val="19"/>
                    </w:rPr>
                    <w:t xml:space="preserve"> </w:t>
                  </w:r>
                </w:p>
              </w:tc>
            </w:tr>
            <w:tr>
              <w:tc>
                <w:tcPr>
                  <w:tcW w:type="dxa" w:w="933"/>
                  <w:vMerge/>
                </w:tcPr>
                <w:p/>
              </w:tc>
              <w:tc>
                <w:tcPr>
                  <w:tcW w:type="dxa" w:w="933"/>
                  <w:vMerge/>
                </w:tcPr>
                <w:p/>
              </w:tc>
              <w:tc>
                <w:tcPr>
                  <w:tcW w:type="dxa" w:w="933"/>
                  <w:vMerge/>
                </w:tcPr>
                <w:p/>
              </w:tc>
              <w:tc>
                <w:tcPr>
                  <w:tcW w:type="dxa" w:w="933"/>
                </w:tcPr>
                <w:p>
                  <w:pPr>
                    <w:pStyle w:val="null3"/>
                    <w:jc w:val="center"/>
                  </w:pPr>
                  <w:r>
                    <w:rPr>
                      <w:sz w:val="19"/>
                    </w:rPr>
                    <w:t>田径（残奥聋奥）</w:t>
                  </w:r>
                </w:p>
              </w:tc>
              <w:tc>
                <w:tcPr>
                  <w:tcW w:type="dxa" w:w="933"/>
                </w:tcPr>
                <w:p>
                  <w:pPr>
                    <w:pStyle w:val="null3"/>
                    <w:jc w:val="center"/>
                  </w:pPr>
                  <w:r>
                    <w:rPr>
                      <w:sz w:val="19"/>
                    </w:rPr>
                    <w:t xml:space="preserve"> </w:t>
                  </w:r>
                </w:p>
              </w:tc>
              <w:tc>
                <w:tcPr>
                  <w:tcW w:type="dxa" w:w="933"/>
                  <w:vMerge/>
                </w:tcPr>
                <w:p/>
              </w:tc>
            </w:tr>
            <w:tr>
              <w:tc>
                <w:tcPr>
                  <w:tcW w:type="dxa" w:w="933"/>
                </w:tcPr>
                <w:p>
                  <w:pPr>
                    <w:pStyle w:val="null3"/>
                    <w:jc w:val="center"/>
                  </w:pPr>
                  <w:r>
                    <w:rPr>
                      <w:sz w:val="19"/>
                    </w:rPr>
                    <w:t>10</w:t>
                  </w:r>
                </w:p>
              </w:tc>
              <w:tc>
                <w:tcPr>
                  <w:tcW w:type="dxa" w:w="933"/>
                  <w:vMerge/>
                </w:tcPr>
                <w:p/>
              </w:tc>
              <w:tc>
                <w:tcPr>
                  <w:tcW w:type="dxa" w:w="933"/>
                </w:tcPr>
                <w:p>
                  <w:pPr>
                    <w:pStyle w:val="null3"/>
                    <w:jc w:val="center"/>
                  </w:pPr>
                  <w:r>
                    <w:rPr>
                      <w:sz w:val="19"/>
                    </w:rPr>
                    <w:t>广东省人民体育场</w:t>
                  </w:r>
                </w:p>
              </w:tc>
              <w:tc>
                <w:tcPr>
                  <w:tcW w:type="dxa" w:w="933"/>
                </w:tcPr>
                <w:p>
                  <w:pPr>
                    <w:pStyle w:val="null3"/>
                    <w:jc w:val="center"/>
                  </w:pPr>
                  <w:r>
                    <w:rPr>
                      <w:sz w:val="19"/>
                    </w:rPr>
                    <w:t>足球</w:t>
                  </w:r>
                </w:p>
              </w:tc>
              <w:tc>
                <w:tcPr>
                  <w:tcW w:type="dxa" w:w="933"/>
                </w:tcPr>
                <w:p>
                  <w:pPr>
                    <w:pStyle w:val="null3"/>
                    <w:jc w:val="center"/>
                  </w:pPr>
                  <w:r>
                    <w:rPr>
                      <w:sz w:val="19"/>
                    </w:rPr>
                    <w:t>女子16岁以下组</w:t>
                  </w:r>
                </w:p>
              </w:tc>
              <w:tc>
                <w:tcPr>
                  <w:tcW w:type="dxa" w:w="933"/>
                </w:tcPr>
                <w:p>
                  <w:pPr>
                    <w:pStyle w:val="null3"/>
                    <w:jc w:val="center"/>
                  </w:pPr>
                  <w:r>
                    <w:rPr>
                      <w:sz w:val="19"/>
                    </w:rPr>
                    <w:t xml:space="preserve"> </w:t>
                  </w:r>
                </w:p>
              </w:tc>
            </w:tr>
            <w:tr>
              <w:tc>
                <w:tcPr>
                  <w:tcW w:type="dxa" w:w="933"/>
                </w:tcPr>
                <w:p>
                  <w:pPr>
                    <w:pStyle w:val="null3"/>
                    <w:jc w:val="center"/>
                  </w:pPr>
                  <w:r>
                    <w:rPr>
                      <w:sz w:val="19"/>
                    </w:rPr>
                    <w:t>11</w:t>
                  </w:r>
                </w:p>
              </w:tc>
              <w:tc>
                <w:tcPr>
                  <w:tcW w:type="dxa" w:w="933"/>
                  <w:vMerge/>
                </w:tcPr>
                <w:p/>
              </w:tc>
              <w:tc>
                <w:tcPr>
                  <w:tcW w:type="dxa" w:w="933"/>
                </w:tcPr>
                <w:p>
                  <w:pPr>
                    <w:pStyle w:val="null3"/>
                    <w:jc w:val="center"/>
                  </w:pPr>
                  <w:r>
                    <w:rPr>
                      <w:sz w:val="19"/>
                    </w:rPr>
                    <w:t>广州飞碟训练中心</w:t>
                  </w:r>
                </w:p>
              </w:tc>
              <w:tc>
                <w:tcPr>
                  <w:tcW w:type="dxa" w:w="933"/>
                </w:tcPr>
                <w:p>
                  <w:pPr>
                    <w:pStyle w:val="null3"/>
                    <w:jc w:val="center"/>
                  </w:pPr>
                  <w:r>
                    <w:rPr>
                      <w:sz w:val="19"/>
                    </w:rPr>
                    <w:t>射击</w:t>
                  </w:r>
                </w:p>
              </w:tc>
              <w:tc>
                <w:tcPr>
                  <w:tcW w:type="dxa" w:w="933"/>
                </w:tcPr>
                <w:p>
                  <w:pPr>
                    <w:pStyle w:val="null3"/>
                    <w:jc w:val="center"/>
                  </w:pPr>
                  <w:r>
                    <w:rPr>
                      <w:sz w:val="19"/>
                    </w:rPr>
                    <w:t>飞碟</w:t>
                  </w:r>
                </w:p>
              </w:tc>
              <w:tc>
                <w:tcPr>
                  <w:tcW w:type="dxa" w:w="933"/>
                </w:tcPr>
                <w:p>
                  <w:pPr>
                    <w:pStyle w:val="null3"/>
                    <w:jc w:val="center"/>
                  </w:pPr>
                  <w:r>
                    <w:rPr>
                      <w:sz w:val="19"/>
                    </w:rPr>
                    <w:t xml:space="preserve"> </w:t>
                  </w:r>
                </w:p>
              </w:tc>
            </w:tr>
            <w:tr>
              <w:tc>
                <w:tcPr>
                  <w:tcW w:type="dxa" w:w="933"/>
                </w:tcPr>
                <w:p>
                  <w:pPr>
                    <w:pStyle w:val="null3"/>
                    <w:jc w:val="center"/>
                  </w:pPr>
                  <w:r>
                    <w:rPr>
                      <w:sz w:val="19"/>
                    </w:rPr>
                    <w:t>12</w:t>
                  </w:r>
                </w:p>
              </w:tc>
              <w:tc>
                <w:tcPr>
                  <w:tcW w:type="dxa" w:w="933"/>
                  <w:vMerge/>
                </w:tcPr>
                <w:p/>
              </w:tc>
              <w:tc>
                <w:tcPr>
                  <w:tcW w:type="dxa" w:w="933"/>
                </w:tcPr>
                <w:p>
                  <w:pPr>
                    <w:pStyle w:val="null3"/>
                    <w:jc w:val="center"/>
                  </w:pPr>
                  <w:r>
                    <w:rPr>
                      <w:sz w:val="19"/>
                    </w:rPr>
                    <w:t>广州天河体育中心体育场</w:t>
                  </w:r>
                </w:p>
              </w:tc>
              <w:tc>
                <w:tcPr>
                  <w:tcW w:type="dxa" w:w="933"/>
                </w:tcPr>
                <w:p>
                  <w:pPr>
                    <w:pStyle w:val="null3"/>
                    <w:jc w:val="center"/>
                  </w:pPr>
                  <w:r>
                    <w:rPr>
                      <w:sz w:val="19"/>
                    </w:rPr>
                    <w:t>足球</w:t>
                  </w:r>
                </w:p>
              </w:tc>
              <w:tc>
                <w:tcPr>
                  <w:tcW w:type="dxa" w:w="933"/>
                </w:tcPr>
                <w:p>
                  <w:pPr>
                    <w:pStyle w:val="null3"/>
                    <w:jc w:val="center"/>
                  </w:pPr>
                  <w:r>
                    <w:rPr>
                      <w:sz w:val="19"/>
                    </w:rPr>
                    <w:t>女子16岁以下组</w:t>
                  </w:r>
                </w:p>
              </w:tc>
              <w:tc>
                <w:tcPr>
                  <w:tcW w:type="dxa" w:w="933"/>
                </w:tcPr>
                <w:p>
                  <w:pPr>
                    <w:pStyle w:val="null3"/>
                    <w:jc w:val="center"/>
                  </w:pPr>
                  <w:r>
                    <w:rPr>
                      <w:sz w:val="19"/>
                    </w:rPr>
                    <w:t xml:space="preserve"> </w:t>
                  </w:r>
                </w:p>
              </w:tc>
            </w:tr>
            <w:tr>
              <w:tc>
                <w:tcPr>
                  <w:tcW w:type="dxa" w:w="933"/>
                </w:tcPr>
                <w:p>
                  <w:pPr>
                    <w:pStyle w:val="null3"/>
                    <w:jc w:val="center"/>
                  </w:pPr>
                  <w:r>
                    <w:rPr>
                      <w:sz w:val="19"/>
                    </w:rPr>
                    <w:t>13</w:t>
                  </w:r>
                </w:p>
              </w:tc>
              <w:tc>
                <w:tcPr>
                  <w:tcW w:type="dxa" w:w="933"/>
                  <w:vMerge/>
                </w:tcPr>
                <w:p/>
              </w:tc>
              <w:tc>
                <w:tcPr>
                  <w:tcW w:type="dxa" w:w="933"/>
                </w:tcPr>
                <w:p>
                  <w:pPr>
                    <w:pStyle w:val="null3"/>
                    <w:jc w:val="center"/>
                  </w:pPr>
                  <w:r>
                    <w:rPr>
                      <w:sz w:val="19"/>
                    </w:rPr>
                    <w:t>广州越秀山体育场</w:t>
                  </w:r>
                </w:p>
              </w:tc>
              <w:tc>
                <w:tcPr>
                  <w:tcW w:type="dxa" w:w="933"/>
                </w:tcPr>
                <w:p>
                  <w:pPr>
                    <w:pStyle w:val="null3"/>
                    <w:jc w:val="center"/>
                  </w:pPr>
                  <w:r>
                    <w:rPr>
                      <w:sz w:val="19"/>
                    </w:rPr>
                    <w:t>足球</w:t>
                  </w:r>
                </w:p>
              </w:tc>
              <w:tc>
                <w:tcPr>
                  <w:tcW w:type="dxa" w:w="933"/>
                </w:tcPr>
                <w:p>
                  <w:pPr>
                    <w:pStyle w:val="null3"/>
                    <w:jc w:val="center"/>
                  </w:pPr>
                  <w:r>
                    <w:rPr>
                      <w:sz w:val="19"/>
                    </w:rPr>
                    <w:t>女子16岁以下组</w:t>
                  </w:r>
                </w:p>
              </w:tc>
              <w:tc>
                <w:tcPr>
                  <w:tcW w:type="dxa" w:w="933"/>
                </w:tcPr>
                <w:p>
                  <w:pPr>
                    <w:pStyle w:val="null3"/>
                    <w:jc w:val="center"/>
                  </w:pPr>
                  <w:r>
                    <w:rPr>
                      <w:sz w:val="19"/>
                    </w:rPr>
                    <w:t xml:space="preserve"> </w:t>
                  </w:r>
                </w:p>
              </w:tc>
            </w:tr>
            <w:tr>
              <w:tc>
                <w:tcPr>
                  <w:tcW w:type="dxa" w:w="933"/>
                </w:tcPr>
                <w:p>
                  <w:pPr>
                    <w:pStyle w:val="null3"/>
                    <w:jc w:val="center"/>
                  </w:pPr>
                  <w:r>
                    <w:rPr>
                      <w:sz w:val="19"/>
                    </w:rPr>
                    <w:t>14</w:t>
                  </w:r>
                </w:p>
              </w:tc>
              <w:tc>
                <w:tcPr>
                  <w:tcW w:type="dxa" w:w="933"/>
                  <w:vMerge/>
                </w:tcPr>
                <w:p/>
              </w:tc>
              <w:tc>
                <w:tcPr>
                  <w:tcW w:type="dxa" w:w="933"/>
                </w:tcPr>
                <w:p>
                  <w:pPr>
                    <w:pStyle w:val="null3"/>
                    <w:jc w:val="center"/>
                  </w:pPr>
                  <w:r>
                    <w:rPr>
                      <w:sz w:val="19"/>
                    </w:rPr>
                    <w:t>广州大学城体育中心体育场</w:t>
                  </w:r>
                </w:p>
              </w:tc>
              <w:tc>
                <w:tcPr>
                  <w:tcW w:type="dxa" w:w="933"/>
                </w:tcPr>
                <w:p>
                  <w:pPr>
                    <w:pStyle w:val="null3"/>
                    <w:jc w:val="center"/>
                  </w:pPr>
                  <w:r>
                    <w:rPr>
                      <w:sz w:val="19"/>
                    </w:rPr>
                    <w:t>足球</w:t>
                  </w:r>
                </w:p>
              </w:tc>
              <w:tc>
                <w:tcPr>
                  <w:tcW w:type="dxa" w:w="933"/>
                </w:tcPr>
                <w:p>
                  <w:pPr>
                    <w:pStyle w:val="null3"/>
                    <w:jc w:val="center"/>
                  </w:pPr>
                  <w:r>
                    <w:rPr>
                      <w:sz w:val="19"/>
                    </w:rPr>
                    <w:t>女子16岁以下组</w:t>
                  </w:r>
                </w:p>
              </w:tc>
              <w:tc>
                <w:tcPr>
                  <w:tcW w:type="dxa" w:w="933"/>
                </w:tcPr>
                <w:p>
                  <w:pPr>
                    <w:pStyle w:val="null3"/>
                    <w:jc w:val="center"/>
                  </w:pPr>
                  <w:r>
                    <w:rPr>
                      <w:sz w:val="19"/>
                    </w:rPr>
                    <w:t xml:space="preserve"> </w:t>
                  </w:r>
                </w:p>
              </w:tc>
            </w:tr>
            <w:tr>
              <w:tc>
                <w:tcPr>
                  <w:tcW w:type="dxa" w:w="933"/>
                </w:tcPr>
                <w:p>
                  <w:pPr>
                    <w:pStyle w:val="null3"/>
                    <w:jc w:val="center"/>
                  </w:pPr>
                  <w:r>
                    <w:rPr>
                      <w:sz w:val="19"/>
                    </w:rPr>
                    <w:t>15</w:t>
                  </w:r>
                </w:p>
              </w:tc>
              <w:tc>
                <w:tcPr>
                  <w:tcW w:type="dxa" w:w="933"/>
                  <w:vMerge/>
                </w:tcPr>
                <w:p/>
              </w:tc>
              <w:tc>
                <w:tcPr>
                  <w:tcW w:type="dxa" w:w="933"/>
                </w:tcPr>
                <w:p>
                  <w:pPr>
                    <w:pStyle w:val="null3"/>
                    <w:jc w:val="center"/>
                  </w:pPr>
                  <w:r>
                    <w:rPr>
                      <w:sz w:val="19"/>
                    </w:rPr>
                    <w:t>广州大学城体育中心极限运动中心</w:t>
                  </w:r>
                </w:p>
              </w:tc>
              <w:tc>
                <w:tcPr>
                  <w:tcW w:type="dxa" w:w="933"/>
                </w:tcPr>
                <w:p>
                  <w:pPr>
                    <w:pStyle w:val="null3"/>
                    <w:jc w:val="center"/>
                  </w:pPr>
                  <w:r>
                    <w:rPr>
                      <w:sz w:val="19"/>
                    </w:rPr>
                    <w:t>攀岩</w:t>
                  </w:r>
                </w:p>
              </w:tc>
              <w:tc>
                <w:tcPr>
                  <w:tcW w:type="dxa" w:w="933"/>
                </w:tcPr>
                <w:p>
                  <w:pPr>
                    <w:pStyle w:val="null3"/>
                    <w:jc w:val="center"/>
                  </w:pPr>
                  <w:r>
                    <w:rPr>
                      <w:sz w:val="19"/>
                    </w:rPr>
                    <w:t>/</w:t>
                  </w:r>
                </w:p>
              </w:tc>
              <w:tc>
                <w:tcPr>
                  <w:tcW w:type="dxa" w:w="933"/>
                </w:tcPr>
                <w:p>
                  <w:pPr>
                    <w:pStyle w:val="null3"/>
                    <w:jc w:val="center"/>
                  </w:pPr>
                  <w:r>
                    <w:rPr>
                      <w:sz w:val="19"/>
                    </w:rPr>
                    <w:t xml:space="preserve"> </w:t>
                  </w:r>
                </w:p>
              </w:tc>
            </w:tr>
            <w:tr>
              <w:tc>
                <w:tcPr>
                  <w:tcW w:type="dxa" w:w="933"/>
                </w:tcPr>
                <w:p>
                  <w:pPr>
                    <w:pStyle w:val="null3"/>
                    <w:jc w:val="center"/>
                  </w:pPr>
                  <w:r>
                    <w:rPr>
                      <w:sz w:val="19"/>
                    </w:rPr>
                    <w:t>16</w:t>
                  </w:r>
                </w:p>
              </w:tc>
              <w:tc>
                <w:tcPr>
                  <w:tcW w:type="dxa" w:w="933"/>
                  <w:vMerge/>
                </w:tcPr>
                <w:p/>
              </w:tc>
              <w:tc>
                <w:tcPr>
                  <w:tcW w:type="dxa" w:w="933"/>
                </w:tcPr>
                <w:p>
                  <w:pPr>
                    <w:pStyle w:val="null3"/>
                    <w:jc w:val="center"/>
                  </w:pPr>
                  <w:r>
                    <w:rPr>
                      <w:sz w:val="19"/>
                    </w:rPr>
                    <w:t>待定</w:t>
                  </w:r>
                </w:p>
              </w:tc>
              <w:tc>
                <w:tcPr>
                  <w:tcW w:type="dxa" w:w="933"/>
                </w:tcPr>
                <w:p>
                  <w:pPr>
                    <w:pStyle w:val="null3"/>
                    <w:jc w:val="center"/>
                  </w:pPr>
                  <w:r>
                    <w:rPr>
                      <w:sz w:val="19"/>
                    </w:rPr>
                    <w:t>游泳</w:t>
                  </w:r>
                </w:p>
              </w:tc>
              <w:tc>
                <w:tcPr>
                  <w:tcW w:type="dxa" w:w="933"/>
                </w:tcPr>
                <w:p>
                  <w:pPr>
                    <w:pStyle w:val="null3"/>
                    <w:jc w:val="center"/>
                  </w:pPr>
                  <w:r>
                    <w:rPr>
                      <w:sz w:val="19"/>
                    </w:rPr>
                    <w:t>跳水</w:t>
                  </w:r>
                </w:p>
              </w:tc>
              <w:tc>
                <w:tcPr>
                  <w:tcW w:type="dxa" w:w="933"/>
                </w:tcPr>
                <w:p>
                  <w:pPr>
                    <w:pStyle w:val="null3"/>
                    <w:jc w:val="center"/>
                  </w:pPr>
                  <w:r>
                    <w:rPr>
                      <w:sz w:val="19"/>
                    </w:rPr>
                    <w:t xml:space="preserve"> </w:t>
                  </w:r>
                </w:p>
              </w:tc>
            </w:tr>
            <w:tr>
              <w:tc>
                <w:tcPr>
                  <w:tcW w:type="dxa" w:w="933"/>
                  <w:vMerge w:val="restart"/>
                </w:tcPr>
                <w:p>
                  <w:pPr>
                    <w:pStyle w:val="null3"/>
                    <w:jc w:val="center"/>
                  </w:pPr>
                  <w:r>
                    <w:rPr>
                      <w:sz w:val="19"/>
                    </w:rPr>
                    <w:t>17</w:t>
                  </w:r>
                </w:p>
              </w:tc>
              <w:tc>
                <w:tcPr>
                  <w:tcW w:type="dxa" w:w="933"/>
                  <w:vMerge/>
                </w:tcPr>
                <w:p/>
              </w:tc>
              <w:tc>
                <w:tcPr>
                  <w:tcW w:type="dxa" w:w="933"/>
                  <w:vMerge w:val="restart"/>
                </w:tcPr>
                <w:p>
                  <w:pPr>
                    <w:pStyle w:val="null3"/>
                    <w:jc w:val="center"/>
                  </w:pPr>
                  <w:r>
                    <w:rPr>
                      <w:sz w:val="19"/>
                    </w:rPr>
                    <w:t>广州天河体育中心体育馆</w:t>
                  </w:r>
                </w:p>
              </w:tc>
              <w:tc>
                <w:tcPr>
                  <w:tcW w:type="dxa" w:w="933"/>
                </w:tcPr>
                <w:p>
                  <w:pPr>
                    <w:pStyle w:val="null3"/>
                    <w:jc w:val="center"/>
                  </w:pPr>
                  <w:r>
                    <w:rPr>
                      <w:sz w:val="19"/>
                    </w:rPr>
                    <w:t>排球</w:t>
                  </w:r>
                </w:p>
              </w:tc>
              <w:tc>
                <w:tcPr>
                  <w:tcW w:type="dxa" w:w="933"/>
                </w:tcPr>
                <w:p>
                  <w:pPr>
                    <w:pStyle w:val="null3"/>
                    <w:jc w:val="center"/>
                  </w:pPr>
                  <w:r>
                    <w:rPr>
                      <w:sz w:val="19"/>
                    </w:rPr>
                    <w:t>女子18岁以下组</w:t>
                  </w:r>
                </w:p>
              </w:tc>
              <w:tc>
                <w:tcPr>
                  <w:tcW w:type="dxa" w:w="933"/>
                  <w:vMerge w:val="restart"/>
                </w:tcPr>
                <w:p>
                  <w:pPr>
                    <w:pStyle w:val="null3"/>
                    <w:jc w:val="center"/>
                  </w:pPr>
                  <w:r>
                    <w:rPr>
                      <w:sz w:val="19"/>
                    </w:rPr>
                    <w:t xml:space="preserve"> </w:t>
                  </w:r>
                </w:p>
              </w:tc>
            </w:tr>
            <w:tr>
              <w:tc>
                <w:tcPr>
                  <w:tcW w:type="dxa" w:w="933"/>
                  <w:vMerge/>
                </w:tcPr>
                <w:p/>
              </w:tc>
              <w:tc>
                <w:tcPr>
                  <w:tcW w:type="dxa" w:w="933"/>
                  <w:vMerge/>
                </w:tcPr>
                <w:p/>
              </w:tc>
              <w:tc>
                <w:tcPr>
                  <w:tcW w:type="dxa" w:w="933"/>
                  <w:vMerge/>
                </w:tcPr>
                <w:p/>
              </w:tc>
              <w:tc>
                <w:tcPr>
                  <w:tcW w:type="dxa" w:w="933"/>
                </w:tcPr>
                <w:p>
                  <w:pPr>
                    <w:pStyle w:val="null3"/>
                    <w:jc w:val="center"/>
                  </w:pPr>
                  <w:r>
                    <w:rPr>
                      <w:sz w:val="19"/>
                    </w:rPr>
                    <w:t>乒乓球（群体）</w:t>
                  </w:r>
                </w:p>
              </w:tc>
              <w:tc>
                <w:tcPr>
                  <w:tcW w:type="dxa" w:w="933"/>
                </w:tcPr>
                <w:p>
                  <w:pPr>
                    <w:pStyle w:val="null3"/>
                    <w:jc w:val="center"/>
                  </w:pPr>
                  <w:r>
                    <w:rPr>
                      <w:sz w:val="19"/>
                    </w:rPr>
                    <w:t xml:space="preserve"> </w:t>
                  </w:r>
                </w:p>
              </w:tc>
              <w:tc>
                <w:tcPr>
                  <w:tcW w:type="dxa" w:w="933"/>
                  <w:vMerge/>
                </w:tcPr>
                <w:p/>
              </w:tc>
            </w:tr>
            <w:tr>
              <w:tc>
                <w:tcPr>
                  <w:tcW w:type="dxa" w:w="933"/>
                </w:tcPr>
                <w:p>
                  <w:pPr>
                    <w:pStyle w:val="null3"/>
                    <w:jc w:val="center"/>
                  </w:pPr>
                  <w:r>
                    <w:rPr>
                      <w:sz w:val="19"/>
                    </w:rPr>
                    <w:t>18</w:t>
                  </w:r>
                </w:p>
              </w:tc>
              <w:tc>
                <w:tcPr>
                  <w:tcW w:type="dxa" w:w="933"/>
                  <w:vMerge/>
                </w:tcPr>
                <w:p/>
              </w:tc>
              <w:tc>
                <w:tcPr>
                  <w:tcW w:type="dxa" w:w="933"/>
                </w:tcPr>
                <w:p>
                  <w:pPr>
                    <w:pStyle w:val="null3"/>
                    <w:jc w:val="center"/>
                  </w:pPr>
                  <w:r>
                    <w:rPr>
                      <w:sz w:val="19"/>
                    </w:rPr>
                    <w:t>广州市羽毛球运动管理中心训练馆</w:t>
                  </w:r>
                </w:p>
              </w:tc>
              <w:tc>
                <w:tcPr>
                  <w:tcW w:type="dxa" w:w="933"/>
                </w:tcPr>
                <w:p>
                  <w:pPr>
                    <w:pStyle w:val="null3"/>
                    <w:jc w:val="center"/>
                  </w:pPr>
                  <w:r>
                    <w:rPr>
                      <w:sz w:val="19"/>
                    </w:rPr>
                    <w:t>乒乓球（群体/比赛）</w:t>
                  </w:r>
                </w:p>
                <w:p>
                  <w:pPr>
                    <w:pStyle w:val="null3"/>
                    <w:jc w:val="center"/>
                  </w:pPr>
                  <w:r>
                    <w:rPr>
                      <w:sz w:val="19"/>
                    </w:rPr>
                    <w:t>排球（训练）</w:t>
                  </w:r>
                </w:p>
              </w:tc>
              <w:tc>
                <w:tcPr>
                  <w:tcW w:type="dxa" w:w="933"/>
                </w:tcPr>
                <w:p>
                  <w:pPr>
                    <w:pStyle w:val="null3"/>
                    <w:jc w:val="center"/>
                  </w:pPr>
                  <w:r>
                    <w:rPr>
                      <w:sz w:val="19"/>
                    </w:rPr>
                    <w:t xml:space="preserve"> </w:t>
                  </w:r>
                </w:p>
              </w:tc>
              <w:tc>
                <w:tcPr>
                  <w:tcW w:type="dxa" w:w="933"/>
                </w:tcPr>
                <w:p>
                  <w:pPr>
                    <w:pStyle w:val="null3"/>
                    <w:jc w:val="center"/>
                  </w:pPr>
                  <w:r>
                    <w:rPr>
                      <w:sz w:val="19"/>
                    </w:rPr>
                    <w:t xml:space="preserve"> </w:t>
                  </w:r>
                </w:p>
              </w:tc>
            </w:tr>
            <w:tr>
              <w:tc>
                <w:tcPr>
                  <w:tcW w:type="dxa" w:w="933"/>
                  <w:vMerge w:val="restart"/>
                </w:tcPr>
                <w:p>
                  <w:pPr>
                    <w:pStyle w:val="null3"/>
                    <w:jc w:val="center"/>
                  </w:pPr>
                  <w:r>
                    <w:rPr>
                      <w:sz w:val="19"/>
                    </w:rPr>
                    <w:t>19</w:t>
                  </w:r>
                </w:p>
                <w:p>
                  <w:pPr>
                    <w:pStyle w:val="null3"/>
                    <w:jc w:val="center"/>
                  </w:pPr>
                  <w:r>
                    <w:rPr>
                      <w:sz w:val="19"/>
                    </w:rPr>
                    <w:t xml:space="preserve"> </w:t>
                  </w:r>
                </w:p>
                <w:p>
                  <w:pPr>
                    <w:pStyle w:val="null3"/>
                  </w:pPr>
                  <w:r>
                    <w:rPr>
                      <w:sz w:val="19"/>
                    </w:rPr>
                    <w:t xml:space="preserve"> </w:t>
                  </w:r>
                </w:p>
              </w:tc>
              <w:tc>
                <w:tcPr>
                  <w:tcW w:type="dxa" w:w="933"/>
                  <w:vMerge/>
                </w:tcPr>
                <w:p/>
              </w:tc>
              <w:tc>
                <w:tcPr>
                  <w:tcW w:type="dxa" w:w="933"/>
                  <w:vMerge w:val="restart"/>
                </w:tcPr>
                <w:p>
                  <w:pPr>
                    <w:pStyle w:val="null3"/>
                    <w:jc w:val="center"/>
                  </w:pPr>
                  <w:r>
                    <w:rPr>
                      <w:sz w:val="19"/>
                    </w:rPr>
                    <w:t>广州体育馆</w:t>
                  </w:r>
                </w:p>
              </w:tc>
              <w:tc>
                <w:tcPr>
                  <w:tcW w:type="dxa" w:w="933"/>
                </w:tcPr>
                <w:p>
                  <w:pPr>
                    <w:pStyle w:val="null3"/>
                    <w:jc w:val="center"/>
                  </w:pPr>
                  <w:r>
                    <w:rPr>
                      <w:sz w:val="19"/>
                    </w:rPr>
                    <w:t>排球</w:t>
                  </w:r>
                </w:p>
              </w:tc>
              <w:tc>
                <w:tcPr>
                  <w:tcW w:type="dxa" w:w="933"/>
                </w:tcPr>
                <w:p>
                  <w:pPr>
                    <w:pStyle w:val="null3"/>
                    <w:jc w:val="center"/>
                  </w:pPr>
                  <w:r>
                    <w:rPr>
                      <w:sz w:val="19"/>
                    </w:rPr>
                    <w:t>女子18岁以下组</w:t>
                  </w:r>
                </w:p>
              </w:tc>
              <w:tc>
                <w:tcPr>
                  <w:tcW w:type="dxa" w:w="933"/>
                </w:tcPr>
                <w:p>
                  <w:pPr>
                    <w:pStyle w:val="null3"/>
                    <w:jc w:val="center"/>
                  </w:pPr>
                  <w:r>
                    <w:rPr>
                      <w:sz w:val="19"/>
                    </w:rPr>
                    <w:t xml:space="preserve"> </w:t>
                  </w:r>
                </w:p>
              </w:tc>
            </w:tr>
            <w:tr>
              <w:tc>
                <w:tcPr>
                  <w:tcW w:type="dxa" w:w="933"/>
                  <w:vMerge/>
                </w:tcPr>
                <w:p/>
              </w:tc>
              <w:tc>
                <w:tcPr>
                  <w:tcW w:type="dxa" w:w="933"/>
                  <w:vMerge/>
                </w:tcPr>
                <w:p/>
              </w:tc>
              <w:tc>
                <w:tcPr>
                  <w:tcW w:type="dxa" w:w="933"/>
                  <w:vMerge/>
                </w:tcPr>
                <w:p/>
              </w:tc>
              <w:tc>
                <w:tcPr>
                  <w:tcW w:type="dxa" w:w="933"/>
                </w:tcPr>
                <w:p>
                  <w:pPr>
                    <w:pStyle w:val="null3"/>
                    <w:jc w:val="center"/>
                  </w:pPr>
                  <w:r>
                    <w:rPr>
                      <w:sz w:val="19"/>
                    </w:rPr>
                    <w:t>蹦床</w:t>
                  </w:r>
                </w:p>
              </w:tc>
              <w:tc>
                <w:tcPr>
                  <w:tcW w:type="dxa" w:w="933"/>
                </w:tcPr>
                <w:p>
                  <w:pPr>
                    <w:pStyle w:val="null3"/>
                    <w:jc w:val="center"/>
                  </w:pPr>
                  <w:r>
                    <w:rPr>
                      <w:sz w:val="19"/>
                    </w:rPr>
                    <w:t xml:space="preserve"> </w:t>
                  </w:r>
                </w:p>
              </w:tc>
              <w:tc>
                <w:tcPr>
                  <w:tcW w:type="dxa" w:w="933"/>
                </w:tcPr>
                <w:p>
                  <w:pPr>
                    <w:pStyle w:val="null3"/>
                    <w:jc w:val="center"/>
                  </w:pPr>
                  <w:r>
                    <w:rPr>
                      <w:sz w:val="19"/>
                    </w:rPr>
                    <w:t xml:space="preserve"> </w:t>
                  </w:r>
                </w:p>
              </w:tc>
            </w:tr>
            <w:tr>
              <w:tc>
                <w:tcPr>
                  <w:tcW w:type="dxa" w:w="933"/>
                  <w:vMerge/>
                </w:tcPr>
                <w:p/>
              </w:tc>
              <w:tc>
                <w:tcPr>
                  <w:tcW w:type="dxa" w:w="933"/>
                  <w:vMerge/>
                </w:tcPr>
                <w:p/>
              </w:tc>
              <w:tc>
                <w:tcPr>
                  <w:tcW w:type="dxa" w:w="933"/>
                  <w:vMerge/>
                </w:tcPr>
                <w:p/>
              </w:tc>
              <w:tc>
                <w:tcPr>
                  <w:tcW w:type="dxa" w:w="933"/>
                </w:tcPr>
                <w:p>
                  <w:pPr>
                    <w:pStyle w:val="null3"/>
                    <w:jc w:val="center"/>
                  </w:pPr>
                  <w:r>
                    <w:rPr>
                      <w:sz w:val="19"/>
                    </w:rPr>
                    <w:t>轮椅篮球（残奥聋奥）</w:t>
                  </w:r>
                </w:p>
              </w:tc>
              <w:tc>
                <w:tcPr>
                  <w:tcW w:type="dxa" w:w="933"/>
                </w:tcPr>
                <w:p>
                  <w:pPr>
                    <w:pStyle w:val="null3"/>
                    <w:jc w:val="center"/>
                  </w:pPr>
                  <w:r>
                    <w:rPr>
                      <w:sz w:val="19"/>
                    </w:rPr>
                    <w:t>/</w:t>
                  </w:r>
                </w:p>
              </w:tc>
              <w:tc>
                <w:tcPr>
                  <w:tcW w:type="dxa" w:w="933"/>
                </w:tcPr>
                <w:p>
                  <w:pPr>
                    <w:pStyle w:val="null3"/>
                    <w:jc w:val="center"/>
                  </w:pPr>
                  <w:r>
                    <w:rPr>
                      <w:sz w:val="19"/>
                    </w:rPr>
                    <w:t xml:space="preserve"> </w:t>
                  </w:r>
                </w:p>
              </w:tc>
            </w:tr>
            <w:tr>
              <w:tc>
                <w:tcPr>
                  <w:tcW w:type="dxa" w:w="933"/>
                </w:tcPr>
                <w:p>
                  <w:pPr>
                    <w:pStyle w:val="null3"/>
                    <w:jc w:val="center"/>
                  </w:pPr>
                  <w:r>
                    <w:rPr>
                      <w:sz w:val="19"/>
                    </w:rPr>
                    <w:t>20</w:t>
                  </w:r>
                </w:p>
              </w:tc>
              <w:tc>
                <w:tcPr>
                  <w:tcW w:type="dxa" w:w="933"/>
                  <w:vMerge/>
                </w:tcPr>
                <w:p/>
              </w:tc>
              <w:tc>
                <w:tcPr>
                  <w:tcW w:type="dxa" w:w="933"/>
                </w:tcPr>
                <w:p>
                  <w:pPr>
                    <w:pStyle w:val="null3"/>
                    <w:jc w:val="center"/>
                  </w:pPr>
                  <w:r>
                    <w:rPr>
                      <w:sz w:val="19"/>
                    </w:rPr>
                    <w:t>广州天河体育中心篮球城</w:t>
                  </w:r>
                </w:p>
              </w:tc>
              <w:tc>
                <w:tcPr>
                  <w:tcW w:type="dxa" w:w="933"/>
                </w:tcPr>
                <w:p>
                  <w:pPr>
                    <w:pStyle w:val="null3"/>
                    <w:jc w:val="center"/>
                  </w:pPr>
                  <w:r>
                    <w:rPr>
                      <w:sz w:val="19"/>
                    </w:rPr>
                    <w:t>篮球（群体）</w:t>
                  </w:r>
                </w:p>
              </w:tc>
              <w:tc>
                <w:tcPr>
                  <w:tcW w:type="dxa" w:w="933"/>
                </w:tcPr>
                <w:p>
                  <w:pPr>
                    <w:pStyle w:val="null3"/>
                    <w:jc w:val="center"/>
                  </w:pPr>
                  <w:r>
                    <w:rPr>
                      <w:sz w:val="19"/>
                    </w:rPr>
                    <w:t>/</w:t>
                  </w:r>
                </w:p>
              </w:tc>
              <w:tc>
                <w:tcPr>
                  <w:tcW w:type="dxa" w:w="933"/>
                </w:tcPr>
                <w:p>
                  <w:pPr>
                    <w:pStyle w:val="null3"/>
                    <w:jc w:val="center"/>
                  </w:pPr>
                  <w:r>
                    <w:rPr>
                      <w:sz w:val="19"/>
                    </w:rPr>
                    <w:t xml:space="preserve"> </w:t>
                  </w:r>
                </w:p>
              </w:tc>
            </w:tr>
            <w:tr>
              <w:tc>
                <w:tcPr>
                  <w:tcW w:type="dxa" w:w="933"/>
                  <w:vMerge w:val="restart"/>
                </w:tcPr>
                <w:p>
                  <w:pPr>
                    <w:pStyle w:val="null3"/>
                    <w:jc w:val="center"/>
                  </w:pPr>
                  <w:r>
                    <w:rPr>
                      <w:sz w:val="19"/>
                    </w:rPr>
                    <w:t>21</w:t>
                  </w:r>
                </w:p>
              </w:tc>
              <w:tc>
                <w:tcPr>
                  <w:tcW w:type="dxa" w:w="933"/>
                  <w:vMerge/>
                </w:tcPr>
                <w:p/>
              </w:tc>
              <w:tc>
                <w:tcPr>
                  <w:tcW w:type="dxa" w:w="933"/>
                  <w:vMerge w:val="restart"/>
                </w:tcPr>
                <w:p>
                  <w:pPr>
                    <w:pStyle w:val="null3"/>
                    <w:jc w:val="center"/>
                  </w:pPr>
                  <w:r>
                    <w:rPr>
                      <w:sz w:val="19"/>
                    </w:rPr>
                    <w:t>广州体育职业技术学院体育馆</w:t>
                  </w:r>
                </w:p>
              </w:tc>
              <w:tc>
                <w:tcPr>
                  <w:tcW w:type="dxa" w:w="933"/>
                </w:tcPr>
                <w:p>
                  <w:pPr>
                    <w:pStyle w:val="null3"/>
                    <w:jc w:val="center"/>
                  </w:pPr>
                  <w:r>
                    <w:rPr>
                      <w:sz w:val="19"/>
                    </w:rPr>
                    <w:t>乒乓球（残奥聋奥）</w:t>
                  </w:r>
                </w:p>
              </w:tc>
              <w:tc>
                <w:tcPr>
                  <w:tcW w:type="dxa" w:w="933"/>
                </w:tcPr>
                <w:p>
                  <w:pPr>
                    <w:pStyle w:val="null3"/>
                    <w:jc w:val="center"/>
                  </w:pPr>
                  <w:r>
                    <w:rPr>
                      <w:sz w:val="19"/>
                    </w:rPr>
                    <w:t>/</w:t>
                  </w:r>
                </w:p>
              </w:tc>
              <w:tc>
                <w:tcPr>
                  <w:tcW w:type="dxa" w:w="933"/>
                  <w:vMerge w:val="restart"/>
                </w:tcPr>
                <w:p>
                  <w:pPr>
                    <w:pStyle w:val="null3"/>
                    <w:jc w:val="center"/>
                  </w:pPr>
                  <w:r>
                    <w:rPr>
                      <w:sz w:val="19"/>
                    </w:rPr>
                    <w:t xml:space="preserve"> </w:t>
                  </w:r>
                </w:p>
              </w:tc>
            </w:tr>
            <w:tr>
              <w:tc>
                <w:tcPr>
                  <w:tcW w:type="dxa" w:w="933"/>
                  <w:vMerge/>
                </w:tcPr>
                <w:p/>
              </w:tc>
              <w:tc>
                <w:tcPr>
                  <w:tcW w:type="dxa" w:w="933"/>
                  <w:vMerge/>
                </w:tcPr>
                <w:p/>
              </w:tc>
              <w:tc>
                <w:tcPr>
                  <w:tcW w:type="dxa" w:w="933"/>
                  <w:vMerge/>
                </w:tcPr>
                <w:p/>
              </w:tc>
              <w:tc>
                <w:tcPr>
                  <w:tcW w:type="dxa" w:w="933"/>
                </w:tcPr>
                <w:p>
                  <w:pPr>
                    <w:pStyle w:val="null3"/>
                    <w:jc w:val="center"/>
                  </w:pPr>
                  <w:r>
                    <w:rPr>
                      <w:sz w:val="19"/>
                    </w:rPr>
                    <w:t>乒乓球（残运会大众）</w:t>
                  </w:r>
                </w:p>
              </w:tc>
              <w:tc>
                <w:tcPr>
                  <w:tcW w:type="dxa" w:w="933"/>
                </w:tcPr>
                <w:p>
                  <w:pPr>
                    <w:pStyle w:val="null3"/>
                    <w:jc w:val="center"/>
                  </w:pPr>
                  <w:r>
                    <w:rPr>
                      <w:sz w:val="19"/>
                    </w:rPr>
                    <w:t xml:space="preserve"> </w:t>
                  </w:r>
                </w:p>
              </w:tc>
              <w:tc>
                <w:tcPr>
                  <w:tcW w:type="dxa" w:w="933"/>
                  <w:vMerge/>
                </w:tcPr>
                <w:p/>
              </w:tc>
            </w:tr>
            <w:tr>
              <w:tc>
                <w:tcPr>
                  <w:tcW w:type="dxa" w:w="933"/>
                  <w:vMerge w:val="restart"/>
                </w:tcPr>
                <w:p>
                  <w:pPr>
                    <w:pStyle w:val="null3"/>
                    <w:jc w:val="center"/>
                  </w:pPr>
                  <w:r>
                    <w:rPr>
                      <w:sz w:val="19"/>
                    </w:rPr>
                    <w:t>22</w:t>
                  </w:r>
                </w:p>
              </w:tc>
              <w:tc>
                <w:tcPr>
                  <w:tcW w:type="dxa" w:w="933"/>
                  <w:vMerge/>
                </w:tcPr>
                <w:p/>
              </w:tc>
              <w:tc>
                <w:tcPr>
                  <w:tcW w:type="dxa" w:w="933"/>
                  <w:vMerge w:val="restart"/>
                </w:tcPr>
                <w:p>
                  <w:pPr>
                    <w:pStyle w:val="null3"/>
                    <w:jc w:val="center"/>
                  </w:pPr>
                  <w:r>
                    <w:rPr>
                      <w:sz w:val="19"/>
                    </w:rPr>
                    <w:t>广州市残疾人体育运动中心</w:t>
                  </w:r>
                </w:p>
              </w:tc>
              <w:tc>
                <w:tcPr>
                  <w:tcW w:type="dxa" w:w="933"/>
                </w:tcPr>
                <w:p>
                  <w:pPr>
                    <w:pStyle w:val="null3"/>
                    <w:jc w:val="center"/>
                  </w:pPr>
                  <w:r>
                    <w:rPr>
                      <w:sz w:val="19"/>
                    </w:rPr>
                    <w:t>盲人门球（残奥聋奥）</w:t>
                  </w:r>
                </w:p>
              </w:tc>
              <w:tc>
                <w:tcPr>
                  <w:tcW w:type="dxa" w:w="933"/>
                </w:tcPr>
                <w:p>
                  <w:pPr>
                    <w:pStyle w:val="null3"/>
                    <w:jc w:val="center"/>
                  </w:pPr>
                  <w:r>
                    <w:rPr>
                      <w:sz w:val="19"/>
                    </w:rPr>
                    <w:t xml:space="preserve"> </w:t>
                  </w:r>
                </w:p>
              </w:tc>
              <w:tc>
                <w:tcPr>
                  <w:tcW w:type="dxa" w:w="933"/>
                  <w:vMerge w:val="restart"/>
                </w:tcPr>
                <w:p>
                  <w:pPr>
                    <w:pStyle w:val="null3"/>
                    <w:jc w:val="center"/>
                  </w:pPr>
                  <w:r>
                    <w:rPr>
                      <w:sz w:val="19"/>
                    </w:rPr>
                    <w:t>重点声环境保障区域</w:t>
                  </w:r>
                </w:p>
              </w:tc>
            </w:tr>
            <w:tr>
              <w:tc>
                <w:tcPr>
                  <w:tcW w:type="dxa" w:w="933"/>
                  <w:vMerge/>
                </w:tcPr>
                <w:p/>
              </w:tc>
              <w:tc>
                <w:tcPr>
                  <w:tcW w:type="dxa" w:w="933"/>
                  <w:vMerge/>
                </w:tcPr>
                <w:p/>
              </w:tc>
              <w:tc>
                <w:tcPr>
                  <w:tcW w:type="dxa" w:w="933"/>
                  <w:vMerge/>
                </w:tcPr>
                <w:p/>
              </w:tc>
              <w:tc>
                <w:tcPr>
                  <w:tcW w:type="dxa" w:w="933"/>
                </w:tcPr>
                <w:p>
                  <w:pPr>
                    <w:pStyle w:val="null3"/>
                    <w:jc w:val="center"/>
                  </w:pPr>
                  <w:r>
                    <w:rPr>
                      <w:sz w:val="19"/>
                    </w:rPr>
                    <w:t>旱地冰壶（残运会大众）</w:t>
                  </w:r>
                </w:p>
              </w:tc>
              <w:tc>
                <w:tcPr>
                  <w:tcW w:type="dxa" w:w="933"/>
                </w:tcPr>
                <w:p>
                  <w:pPr>
                    <w:pStyle w:val="null3"/>
                    <w:jc w:val="center"/>
                  </w:pPr>
                  <w:r>
                    <w:rPr>
                      <w:sz w:val="19"/>
                    </w:rPr>
                    <w:t xml:space="preserve"> </w:t>
                  </w:r>
                </w:p>
              </w:tc>
              <w:tc>
                <w:tcPr>
                  <w:tcW w:type="dxa" w:w="933"/>
                  <w:vMerge/>
                </w:tcPr>
                <w:p/>
              </w:tc>
            </w:tr>
            <w:tr>
              <w:tc>
                <w:tcPr>
                  <w:tcW w:type="dxa" w:w="933"/>
                </w:tcPr>
                <w:p>
                  <w:pPr>
                    <w:pStyle w:val="null3"/>
                    <w:jc w:val="center"/>
                  </w:pPr>
                  <w:r>
                    <w:rPr>
                      <w:sz w:val="19"/>
                    </w:rPr>
                    <w:t>23</w:t>
                  </w:r>
                </w:p>
              </w:tc>
              <w:tc>
                <w:tcPr>
                  <w:tcW w:type="dxa" w:w="933"/>
                  <w:vMerge/>
                </w:tcPr>
                <w:p/>
              </w:tc>
              <w:tc>
                <w:tcPr>
                  <w:tcW w:type="dxa" w:w="933"/>
                </w:tcPr>
                <w:p>
                  <w:pPr>
                    <w:pStyle w:val="null3"/>
                    <w:jc w:val="center"/>
                  </w:pPr>
                  <w:r>
                    <w:rPr>
                      <w:sz w:val="19"/>
                    </w:rPr>
                    <w:t>广州大学城体育中心体育场2号副场</w:t>
                  </w:r>
                </w:p>
              </w:tc>
              <w:tc>
                <w:tcPr>
                  <w:tcW w:type="dxa" w:w="933"/>
                </w:tcPr>
                <w:p>
                  <w:pPr>
                    <w:pStyle w:val="null3"/>
                    <w:jc w:val="center"/>
                  </w:pPr>
                  <w:r>
                    <w:rPr>
                      <w:sz w:val="19"/>
                    </w:rPr>
                    <w:t>盲人足球（残奥聋奥）</w:t>
                  </w:r>
                </w:p>
              </w:tc>
              <w:tc>
                <w:tcPr>
                  <w:tcW w:type="dxa" w:w="933"/>
                </w:tcPr>
                <w:p>
                  <w:pPr>
                    <w:pStyle w:val="null3"/>
                    <w:jc w:val="center"/>
                  </w:pPr>
                  <w:r>
                    <w:rPr>
                      <w:sz w:val="19"/>
                    </w:rPr>
                    <w:t xml:space="preserve"> </w:t>
                  </w:r>
                </w:p>
              </w:tc>
              <w:tc>
                <w:tcPr>
                  <w:tcW w:type="dxa" w:w="933"/>
                </w:tcPr>
                <w:p>
                  <w:pPr>
                    <w:pStyle w:val="null3"/>
                    <w:jc w:val="center"/>
                  </w:pPr>
                  <w:r>
                    <w:rPr>
                      <w:sz w:val="19"/>
                    </w:rPr>
                    <w:t>重点声环境保障区域</w:t>
                  </w:r>
                </w:p>
              </w:tc>
            </w:tr>
            <w:tr>
              <w:tc>
                <w:tcPr>
                  <w:tcW w:type="dxa" w:w="933"/>
                </w:tcPr>
                <w:p>
                  <w:pPr>
                    <w:pStyle w:val="null3"/>
                    <w:jc w:val="center"/>
                  </w:pPr>
                  <w:r>
                    <w:rPr>
                      <w:sz w:val="19"/>
                    </w:rPr>
                    <w:t>24</w:t>
                  </w:r>
                </w:p>
              </w:tc>
              <w:tc>
                <w:tcPr>
                  <w:tcW w:type="dxa" w:w="933"/>
                  <w:vMerge/>
                </w:tcPr>
                <w:p/>
              </w:tc>
              <w:tc>
                <w:tcPr>
                  <w:tcW w:type="dxa" w:w="933"/>
                </w:tcPr>
                <w:p>
                  <w:pPr>
                    <w:pStyle w:val="null3"/>
                    <w:jc w:val="center"/>
                  </w:pPr>
                  <w:r>
                    <w:rPr>
                      <w:sz w:val="19"/>
                    </w:rPr>
                    <w:t>广州大学城体育中心体育场和环场路</w:t>
                  </w:r>
                </w:p>
              </w:tc>
              <w:tc>
                <w:tcPr>
                  <w:tcW w:type="dxa" w:w="933"/>
                </w:tcPr>
                <w:p>
                  <w:pPr>
                    <w:pStyle w:val="null3"/>
                    <w:jc w:val="center"/>
                  </w:pPr>
                  <w:r>
                    <w:rPr>
                      <w:sz w:val="19"/>
                    </w:rPr>
                    <w:t>越野滑轮（残运会大众）</w:t>
                  </w:r>
                </w:p>
              </w:tc>
              <w:tc>
                <w:tcPr>
                  <w:tcW w:type="dxa" w:w="933"/>
                </w:tcPr>
                <w:p>
                  <w:pPr>
                    <w:pStyle w:val="null3"/>
                    <w:jc w:val="center"/>
                  </w:pPr>
                  <w:r>
                    <w:rPr>
                      <w:sz w:val="19"/>
                    </w:rPr>
                    <w:t>/</w:t>
                  </w:r>
                </w:p>
              </w:tc>
              <w:tc>
                <w:tcPr>
                  <w:tcW w:type="dxa" w:w="933"/>
                </w:tcPr>
                <w:p>
                  <w:pPr>
                    <w:pStyle w:val="null3"/>
                    <w:jc w:val="center"/>
                  </w:pPr>
                  <w:r>
                    <w:rPr>
                      <w:sz w:val="19"/>
                    </w:rPr>
                    <w:t xml:space="preserve"> </w:t>
                  </w:r>
                </w:p>
              </w:tc>
            </w:tr>
            <w:tr>
              <w:tc>
                <w:tcPr>
                  <w:tcW w:type="dxa" w:w="933"/>
                </w:tcPr>
                <w:p>
                  <w:pPr>
                    <w:pStyle w:val="null3"/>
                    <w:jc w:val="center"/>
                  </w:pPr>
                  <w:r>
                    <w:rPr>
                      <w:sz w:val="19"/>
                    </w:rPr>
                    <w:t>25</w:t>
                  </w:r>
                </w:p>
              </w:tc>
              <w:tc>
                <w:tcPr>
                  <w:tcW w:type="dxa" w:w="933"/>
                  <w:vMerge/>
                </w:tcPr>
                <w:p/>
              </w:tc>
              <w:tc>
                <w:tcPr>
                  <w:tcW w:type="dxa" w:w="933"/>
                </w:tcPr>
                <w:p>
                  <w:pPr>
                    <w:pStyle w:val="null3"/>
                    <w:jc w:val="center"/>
                  </w:pPr>
                  <w:r>
                    <w:rPr>
                      <w:sz w:val="19"/>
                    </w:rPr>
                    <w:t>广州南沙体育馆</w:t>
                  </w:r>
                </w:p>
              </w:tc>
              <w:tc>
                <w:tcPr>
                  <w:tcW w:type="dxa" w:w="933"/>
                </w:tcPr>
                <w:p>
                  <w:pPr>
                    <w:pStyle w:val="null3"/>
                    <w:jc w:val="center"/>
                  </w:pPr>
                  <w:r>
                    <w:rPr>
                      <w:sz w:val="19"/>
                    </w:rPr>
                    <w:t>武术</w:t>
                  </w:r>
                </w:p>
              </w:tc>
              <w:tc>
                <w:tcPr>
                  <w:tcW w:type="dxa" w:w="933"/>
                </w:tcPr>
                <w:p>
                  <w:pPr>
                    <w:pStyle w:val="null3"/>
                    <w:jc w:val="center"/>
                  </w:pPr>
                  <w:r>
                    <w:rPr>
                      <w:sz w:val="19"/>
                    </w:rPr>
                    <w:t>武术套路</w:t>
                  </w:r>
                </w:p>
              </w:tc>
              <w:tc>
                <w:tcPr>
                  <w:tcW w:type="dxa" w:w="933"/>
                </w:tcPr>
                <w:p>
                  <w:pPr>
                    <w:pStyle w:val="null3"/>
                    <w:jc w:val="center"/>
                  </w:pPr>
                  <w:r>
                    <w:rPr>
                      <w:sz w:val="19"/>
                    </w:rPr>
                    <w:t xml:space="preserve"> </w:t>
                  </w:r>
                </w:p>
              </w:tc>
            </w:tr>
            <w:tr>
              <w:tc>
                <w:tcPr>
                  <w:tcW w:type="dxa" w:w="933"/>
                </w:tcPr>
                <w:p>
                  <w:pPr>
                    <w:pStyle w:val="null3"/>
                    <w:jc w:val="center"/>
                  </w:pPr>
                  <w:r>
                    <w:rPr>
                      <w:sz w:val="19"/>
                    </w:rPr>
                    <w:t>26</w:t>
                  </w:r>
                </w:p>
              </w:tc>
              <w:tc>
                <w:tcPr>
                  <w:tcW w:type="dxa" w:w="933"/>
                  <w:vMerge/>
                </w:tcPr>
                <w:p/>
              </w:tc>
              <w:tc>
                <w:tcPr>
                  <w:tcW w:type="dxa" w:w="933"/>
                </w:tcPr>
                <w:p>
                  <w:pPr>
                    <w:pStyle w:val="null3"/>
                    <w:jc w:val="center"/>
                  </w:pPr>
                  <w:r>
                    <w:rPr>
                      <w:sz w:val="19"/>
                    </w:rPr>
                    <w:t>广州南沙网球中心</w:t>
                  </w:r>
                </w:p>
              </w:tc>
              <w:tc>
                <w:tcPr>
                  <w:tcW w:type="dxa" w:w="933"/>
                </w:tcPr>
                <w:p>
                  <w:pPr>
                    <w:pStyle w:val="null3"/>
                    <w:jc w:val="center"/>
                  </w:pPr>
                  <w:r>
                    <w:rPr>
                      <w:sz w:val="19"/>
                    </w:rPr>
                    <w:t>网球（群体）</w:t>
                  </w:r>
                </w:p>
              </w:tc>
              <w:tc>
                <w:tcPr>
                  <w:tcW w:type="dxa" w:w="933"/>
                </w:tcPr>
                <w:p>
                  <w:pPr>
                    <w:pStyle w:val="null3"/>
                    <w:jc w:val="center"/>
                  </w:pPr>
                  <w:r>
                    <w:rPr>
                      <w:sz w:val="19"/>
                    </w:rPr>
                    <w:t>/</w:t>
                  </w:r>
                </w:p>
              </w:tc>
              <w:tc>
                <w:tcPr>
                  <w:tcW w:type="dxa" w:w="933"/>
                </w:tcPr>
                <w:p>
                  <w:pPr>
                    <w:pStyle w:val="null3"/>
                    <w:jc w:val="center"/>
                  </w:pPr>
                  <w:r>
                    <w:rPr>
                      <w:sz w:val="19"/>
                    </w:rPr>
                    <w:t xml:space="preserve"> </w:t>
                  </w:r>
                </w:p>
              </w:tc>
            </w:tr>
            <w:tr>
              <w:tc>
                <w:tcPr>
                  <w:tcW w:type="dxa" w:w="933"/>
                </w:tcPr>
                <w:p>
                  <w:pPr>
                    <w:pStyle w:val="null3"/>
                    <w:jc w:val="center"/>
                  </w:pPr>
                  <w:r>
                    <w:rPr>
                      <w:sz w:val="19"/>
                    </w:rPr>
                    <w:t>27</w:t>
                  </w:r>
                </w:p>
              </w:tc>
              <w:tc>
                <w:tcPr>
                  <w:tcW w:type="dxa" w:w="933"/>
                </w:tcPr>
                <w:p>
                  <w:pPr>
                    <w:pStyle w:val="null3"/>
                    <w:jc w:val="center"/>
                  </w:pPr>
                  <w:r>
                    <w:rPr>
                      <w:sz w:val="19"/>
                    </w:rPr>
                    <w:t>备用场馆</w:t>
                  </w:r>
                </w:p>
              </w:tc>
              <w:tc>
                <w:tcPr>
                  <w:tcW w:type="dxa" w:w="933"/>
                </w:tcPr>
                <w:p>
                  <w:pPr>
                    <w:pStyle w:val="null3"/>
                    <w:jc w:val="center"/>
                  </w:pPr>
                  <w:r>
                    <w:rPr>
                      <w:sz w:val="19"/>
                    </w:rPr>
                    <w:t>广东体育馆（二沙体育训练中心）</w:t>
                  </w:r>
                </w:p>
              </w:tc>
              <w:tc>
                <w:tcPr>
                  <w:tcW w:type="dxa" w:w="933"/>
                </w:tcPr>
                <w:p>
                  <w:pPr>
                    <w:pStyle w:val="null3"/>
                    <w:jc w:val="center"/>
                  </w:pPr>
                  <w:r>
                    <w:rPr>
                      <w:sz w:val="19"/>
                    </w:rPr>
                    <w:t>备用场馆</w:t>
                  </w:r>
                </w:p>
              </w:tc>
              <w:tc>
                <w:tcPr>
                  <w:tcW w:type="dxa" w:w="933"/>
                </w:tcPr>
                <w:p>
                  <w:pPr>
                    <w:pStyle w:val="null3"/>
                    <w:jc w:val="center"/>
                  </w:pPr>
                  <w:r>
                    <w:rPr>
                      <w:sz w:val="19"/>
                    </w:rPr>
                    <w:t>/</w:t>
                  </w:r>
                </w:p>
              </w:tc>
              <w:tc>
                <w:tcPr>
                  <w:tcW w:type="dxa" w:w="933"/>
                </w:tcPr>
                <w:p>
                  <w:pPr>
                    <w:pStyle w:val="null3"/>
                    <w:jc w:val="center"/>
                  </w:pPr>
                  <w:r>
                    <w:rPr>
                      <w:sz w:val="19"/>
                    </w:rPr>
                    <w:t xml:space="preserve"> </w:t>
                  </w:r>
                </w:p>
              </w:tc>
            </w:tr>
            <w:tr>
              <w:tc>
                <w:tcPr>
                  <w:tcW w:type="dxa" w:w="933"/>
                </w:tcPr>
                <w:p>
                  <w:pPr>
                    <w:pStyle w:val="null3"/>
                    <w:jc w:val="center"/>
                  </w:pPr>
                  <w:r>
                    <w:rPr>
                      <w:sz w:val="19"/>
                    </w:rPr>
                    <w:t>28</w:t>
                  </w:r>
                </w:p>
              </w:tc>
              <w:tc>
                <w:tcPr>
                  <w:tcW w:type="dxa" w:w="933"/>
                  <w:vMerge w:val="restart"/>
                </w:tcPr>
                <w:p>
                  <w:pPr>
                    <w:pStyle w:val="null3"/>
                    <w:jc w:val="center"/>
                  </w:pPr>
                  <w:r>
                    <w:rPr>
                      <w:sz w:val="19"/>
                    </w:rPr>
                    <w:t>训练场馆</w:t>
                  </w:r>
                </w:p>
              </w:tc>
              <w:tc>
                <w:tcPr>
                  <w:tcW w:type="dxa" w:w="933"/>
                </w:tcPr>
                <w:p>
                  <w:pPr>
                    <w:pStyle w:val="null3"/>
                    <w:jc w:val="center"/>
                  </w:pPr>
                  <w:r>
                    <w:rPr>
                      <w:sz w:val="19"/>
                    </w:rPr>
                    <w:t>广州大学城体育中心体育场副场</w:t>
                  </w:r>
                </w:p>
              </w:tc>
              <w:tc>
                <w:tcPr>
                  <w:tcW w:type="dxa" w:w="933"/>
                </w:tcPr>
                <w:p>
                  <w:pPr>
                    <w:pStyle w:val="null3"/>
                    <w:jc w:val="center"/>
                  </w:pPr>
                  <w:r>
                    <w:rPr>
                      <w:sz w:val="19"/>
                    </w:rPr>
                    <w:t>足球</w:t>
                  </w:r>
                </w:p>
              </w:tc>
              <w:tc>
                <w:tcPr>
                  <w:tcW w:type="dxa" w:w="933"/>
                </w:tcPr>
                <w:p>
                  <w:pPr>
                    <w:pStyle w:val="null3"/>
                    <w:jc w:val="center"/>
                  </w:pPr>
                  <w:r>
                    <w:rPr>
                      <w:sz w:val="19"/>
                    </w:rPr>
                    <w:t>女子16岁以下组</w:t>
                  </w:r>
                </w:p>
              </w:tc>
              <w:tc>
                <w:tcPr>
                  <w:tcW w:type="dxa" w:w="933"/>
                </w:tcPr>
                <w:p>
                  <w:pPr>
                    <w:pStyle w:val="null3"/>
                    <w:jc w:val="center"/>
                  </w:pPr>
                  <w:r>
                    <w:rPr>
                      <w:sz w:val="19"/>
                    </w:rPr>
                    <w:t xml:space="preserve"> </w:t>
                  </w:r>
                </w:p>
              </w:tc>
            </w:tr>
            <w:tr>
              <w:tc>
                <w:tcPr>
                  <w:tcW w:type="dxa" w:w="933"/>
                </w:tcPr>
                <w:p>
                  <w:pPr>
                    <w:pStyle w:val="null3"/>
                    <w:jc w:val="center"/>
                  </w:pPr>
                  <w:r>
                    <w:rPr>
                      <w:sz w:val="19"/>
                    </w:rPr>
                    <w:t>29</w:t>
                  </w:r>
                </w:p>
              </w:tc>
              <w:tc>
                <w:tcPr>
                  <w:tcW w:type="dxa" w:w="933"/>
                  <w:vMerge/>
                </w:tcPr>
                <w:p/>
              </w:tc>
              <w:tc>
                <w:tcPr>
                  <w:tcW w:type="dxa" w:w="933"/>
                </w:tcPr>
                <w:p>
                  <w:pPr>
                    <w:pStyle w:val="null3"/>
                    <w:jc w:val="center"/>
                  </w:pPr>
                  <w:r>
                    <w:rPr>
                      <w:sz w:val="19"/>
                    </w:rPr>
                    <w:t>广州天河体育中心体育场田径副场</w:t>
                  </w:r>
                </w:p>
              </w:tc>
              <w:tc>
                <w:tcPr>
                  <w:tcW w:type="dxa" w:w="933"/>
                </w:tcPr>
                <w:p>
                  <w:pPr>
                    <w:pStyle w:val="null3"/>
                    <w:jc w:val="center"/>
                  </w:pPr>
                  <w:r>
                    <w:rPr>
                      <w:sz w:val="19"/>
                    </w:rPr>
                    <w:t>足球</w:t>
                  </w:r>
                </w:p>
              </w:tc>
              <w:tc>
                <w:tcPr>
                  <w:tcW w:type="dxa" w:w="933"/>
                </w:tcPr>
                <w:p>
                  <w:pPr>
                    <w:pStyle w:val="null3"/>
                    <w:jc w:val="center"/>
                  </w:pPr>
                  <w:r>
                    <w:rPr>
                      <w:sz w:val="19"/>
                    </w:rPr>
                    <w:t>女子16岁以下组</w:t>
                  </w:r>
                </w:p>
              </w:tc>
              <w:tc>
                <w:tcPr>
                  <w:tcW w:type="dxa" w:w="933"/>
                </w:tcPr>
                <w:p>
                  <w:pPr>
                    <w:pStyle w:val="null3"/>
                    <w:jc w:val="center"/>
                  </w:pPr>
                  <w:r>
                    <w:rPr>
                      <w:sz w:val="19"/>
                    </w:rPr>
                    <w:t xml:space="preserve"> </w:t>
                  </w:r>
                </w:p>
              </w:tc>
            </w:tr>
            <w:tr>
              <w:tc>
                <w:tcPr>
                  <w:tcW w:type="dxa" w:w="933"/>
                </w:tcPr>
                <w:p>
                  <w:pPr>
                    <w:pStyle w:val="null3"/>
                    <w:jc w:val="center"/>
                  </w:pPr>
                  <w:r>
                    <w:rPr>
                      <w:sz w:val="19"/>
                    </w:rPr>
                    <w:t>30</w:t>
                  </w:r>
                </w:p>
              </w:tc>
              <w:tc>
                <w:tcPr>
                  <w:tcW w:type="dxa" w:w="933"/>
                  <w:vMerge/>
                </w:tcPr>
                <w:p/>
              </w:tc>
              <w:tc>
                <w:tcPr>
                  <w:tcW w:type="dxa" w:w="933"/>
                </w:tcPr>
                <w:p>
                  <w:pPr>
                    <w:pStyle w:val="null3"/>
                    <w:jc w:val="center"/>
                  </w:pPr>
                  <w:r>
                    <w:rPr>
                      <w:sz w:val="19"/>
                    </w:rPr>
                    <w:t>广州市工人体育场</w:t>
                  </w:r>
                </w:p>
              </w:tc>
              <w:tc>
                <w:tcPr>
                  <w:tcW w:type="dxa" w:w="933"/>
                </w:tcPr>
                <w:p>
                  <w:pPr>
                    <w:pStyle w:val="null3"/>
                    <w:jc w:val="center"/>
                  </w:pPr>
                  <w:r>
                    <w:rPr>
                      <w:sz w:val="19"/>
                    </w:rPr>
                    <w:t>足球</w:t>
                  </w:r>
                </w:p>
              </w:tc>
              <w:tc>
                <w:tcPr>
                  <w:tcW w:type="dxa" w:w="933"/>
                </w:tcPr>
                <w:p>
                  <w:pPr>
                    <w:pStyle w:val="null3"/>
                    <w:jc w:val="center"/>
                  </w:pPr>
                  <w:r>
                    <w:rPr>
                      <w:sz w:val="19"/>
                    </w:rPr>
                    <w:t>女子16岁以下组</w:t>
                  </w:r>
                </w:p>
              </w:tc>
              <w:tc>
                <w:tcPr>
                  <w:tcW w:type="dxa" w:w="933"/>
                </w:tcPr>
                <w:p>
                  <w:pPr>
                    <w:pStyle w:val="null3"/>
                    <w:jc w:val="center"/>
                  </w:pPr>
                  <w:r>
                    <w:rPr>
                      <w:sz w:val="19"/>
                    </w:rPr>
                    <w:t xml:space="preserve"> </w:t>
                  </w:r>
                </w:p>
              </w:tc>
            </w:tr>
            <w:tr>
              <w:tc>
                <w:tcPr>
                  <w:tcW w:type="dxa" w:w="933"/>
                </w:tcPr>
                <w:p>
                  <w:pPr>
                    <w:pStyle w:val="null3"/>
                    <w:jc w:val="center"/>
                  </w:pPr>
                  <w:r>
                    <w:rPr>
                      <w:sz w:val="19"/>
                    </w:rPr>
                    <w:t>31</w:t>
                  </w:r>
                </w:p>
              </w:tc>
              <w:tc>
                <w:tcPr>
                  <w:tcW w:type="dxa" w:w="933"/>
                  <w:vMerge/>
                </w:tcPr>
                <w:p/>
              </w:tc>
              <w:tc>
                <w:tcPr>
                  <w:tcW w:type="dxa" w:w="933"/>
                </w:tcPr>
                <w:p>
                  <w:pPr>
                    <w:pStyle w:val="null3"/>
                    <w:jc w:val="center"/>
                  </w:pPr>
                  <w:r>
                    <w:rPr>
                      <w:sz w:val="19"/>
                    </w:rPr>
                    <w:t>燕子岗体育场</w:t>
                  </w:r>
                </w:p>
              </w:tc>
              <w:tc>
                <w:tcPr>
                  <w:tcW w:type="dxa" w:w="933"/>
                </w:tcPr>
                <w:p>
                  <w:pPr>
                    <w:pStyle w:val="null3"/>
                    <w:jc w:val="center"/>
                  </w:pPr>
                  <w:r>
                    <w:rPr>
                      <w:sz w:val="19"/>
                    </w:rPr>
                    <w:t>足球</w:t>
                  </w:r>
                </w:p>
              </w:tc>
              <w:tc>
                <w:tcPr>
                  <w:tcW w:type="dxa" w:w="933"/>
                </w:tcPr>
                <w:p>
                  <w:pPr>
                    <w:pStyle w:val="null3"/>
                    <w:jc w:val="center"/>
                  </w:pPr>
                  <w:r>
                    <w:rPr>
                      <w:sz w:val="19"/>
                    </w:rPr>
                    <w:t>女子16岁以下组</w:t>
                  </w:r>
                </w:p>
              </w:tc>
              <w:tc>
                <w:tcPr>
                  <w:tcW w:type="dxa" w:w="933"/>
                </w:tcPr>
                <w:p>
                  <w:pPr>
                    <w:pStyle w:val="null3"/>
                    <w:jc w:val="center"/>
                  </w:pPr>
                  <w:r>
                    <w:rPr>
                      <w:sz w:val="19"/>
                    </w:rPr>
                    <w:t xml:space="preserve"> </w:t>
                  </w:r>
                </w:p>
              </w:tc>
            </w:tr>
          </w:tbl>
          <w:p>
            <w:pPr>
              <w:pStyle w:val="null3"/>
            </w:pPr>
            <w:r>
              <w:rPr/>
              <w:t xml:space="preserve"> 注：届时名单以官方公布为准。</w:t>
            </w:r>
            <w:r>
              <w:br/>
            </w:r>
            <w:r>
              <w:rPr/>
              <w:t xml:space="preserve"> 表3 广州市接待酒店（驻地）声环境监测名单</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Pr>
                <w:p>
                  <w:pPr>
                    <w:pStyle w:val="null3"/>
                    <w:jc w:val="center"/>
                  </w:pPr>
                  <w:r>
                    <w:rPr>
                      <w:sz w:val="19"/>
                    </w:rPr>
                    <w:t>序号</w:t>
                  </w:r>
                </w:p>
              </w:tc>
              <w:tc>
                <w:tcPr>
                  <w:tcW w:type="dxa" w:w="2799"/>
                </w:tcPr>
                <w:p>
                  <w:pPr>
                    <w:pStyle w:val="null3"/>
                    <w:jc w:val="center"/>
                  </w:pPr>
                  <w:r>
                    <w:rPr>
                      <w:sz w:val="19"/>
                    </w:rPr>
                    <w:t>接待酒店（驻地）名称</w:t>
                  </w:r>
                </w:p>
              </w:tc>
            </w:tr>
            <w:tr>
              <w:tc>
                <w:tcPr>
                  <w:tcW w:type="dxa" w:w="2799"/>
                </w:tcPr>
                <w:p>
                  <w:pPr>
                    <w:pStyle w:val="null3"/>
                    <w:jc w:val="center"/>
                  </w:pPr>
                  <w:r>
                    <w:rPr>
                      <w:sz w:val="19"/>
                    </w:rPr>
                    <w:t>1</w:t>
                  </w:r>
                </w:p>
              </w:tc>
              <w:tc>
                <w:tcPr>
                  <w:tcW w:type="dxa" w:w="2799"/>
                </w:tcPr>
                <w:p>
                  <w:pPr>
                    <w:pStyle w:val="null3"/>
                    <w:jc w:val="center"/>
                  </w:pPr>
                  <w:r>
                    <w:rPr>
                      <w:sz w:val="19"/>
                    </w:rPr>
                    <w:t>白云国际会议中心</w:t>
                  </w:r>
                </w:p>
              </w:tc>
            </w:tr>
            <w:tr>
              <w:tc>
                <w:tcPr>
                  <w:tcW w:type="dxa" w:w="2799"/>
                </w:tcPr>
                <w:p>
                  <w:pPr>
                    <w:pStyle w:val="null3"/>
                    <w:jc w:val="center"/>
                  </w:pPr>
                  <w:r>
                    <w:rPr>
                      <w:sz w:val="19"/>
                    </w:rPr>
                    <w:t>2</w:t>
                  </w:r>
                </w:p>
              </w:tc>
              <w:tc>
                <w:tcPr>
                  <w:tcW w:type="dxa" w:w="2799"/>
                </w:tcPr>
                <w:p>
                  <w:pPr>
                    <w:pStyle w:val="null3"/>
                    <w:jc w:val="center"/>
                  </w:pPr>
                  <w:r>
                    <w:rPr>
                      <w:sz w:val="19"/>
                    </w:rPr>
                    <w:t>云珠万豪</w:t>
                  </w:r>
                </w:p>
              </w:tc>
            </w:tr>
            <w:tr>
              <w:tc>
                <w:tcPr>
                  <w:tcW w:type="dxa" w:w="2799"/>
                </w:tcPr>
                <w:p>
                  <w:pPr>
                    <w:pStyle w:val="null3"/>
                    <w:jc w:val="center"/>
                  </w:pPr>
                  <w:r>
                    <w:rPr>
                      <w:sz w:val="19"/>
                    </w:rPr>
                    <w:t>3</w:t>
                  </w:r>
                </w:p>
              </w:tc>
              <w:tc>
                <w:tcPr>
                  <w:tcW w:type="dxa" w:w="2799"/>
                </w:tcPr>
                <w:p>
                  <w:pPr>
                    <w:pStyle w:val="null3"/>
                    <w:jc w:val="center"/>
                  </w:pPr>
                  <w:r>
                    <w:rPr>
                      <w:sz w:val="19"/>
                    </w:rPr>
                    <w:t>云珠喜来登</w:t>
                  </w:r>
                </w:p>
              </w:tc>
            </w:tr>
            <w:tr>
              <w:tc>
                <w:tcPr>
                  <w:tcW w:type="dxa" w:w="2799"/>
                </w:tcPr>
                <w:p>
                  <w:pPr>
                    <w:pStyle w:val="null3"/>
                    <w:jc w:val="center"/>
                  </w:pPr>
                  <w:r>
                    <w:rPr>
                      <w:sz w:val="19"/>
                    </w:rPr>
                    <w:t>4</w:t>
                  </w:r>
                </w:p>
              </w:tc>
              <w:tc>
                <w:tcPr>
                  <w:tcW w:type="dxa" w:w="2799"/>
                </w:tcPr>
                <w:p>
                  <w:pPr>
                    <w:pStyle w:val="null3"/>
                    <w:jc w:val="center"/>
                  </w:pPr>
                  <w:r>
                    <w:rPr>
                      <w:sz w:val="19"/>
                    </w:rPr>
                    <w:t>云珠源宿</w:t>
                  </w:r>
                </w:p>
              </w:tc>
            </w:tr>
            <w:tr>
              <w:tc>
                <w:tcPr>
                  <w:tcW w:type="dxa" w:w="2799"/>
                </w:tcPr>
                <w:p>
                  <w:pPr>
                    <w:pStyle w:val="null3"/>
                    <w:jc w:val="center"/>
                  </w:pPr>
                  <w:r>
                    <w:rPr>
                      <w:sz w:val="19"/>
                    </w:rPr>
                    <w:t>5</w:t>
                  </w:r>
                </w:p>
              </w:tc>
              <w:tc>
                <w:tcPr>
                  <w:tcW w:type="dxa" w:w="2799"/>
                </w:tcPr>
                <w:p>
                  <w:pPr>
                    <w:pStyle w:val="null3"/>
                    <w:jc w:val="center"/>
                  </w:pPr>
                  <w:r>
                    <w:rPr>
                      <w:sz w:val="19"/>
                    </w:rPr>
                    <w:t>黄埔君澜酒店</w:t>
                  </w:r>
                </w:p>
              </w:tc>
            </w:tr>
            <w:tr>
              <w:tc>
                <w:tcPr>
                  <w:tcW w:type="dxa" w:w="2799"/>
                </w:tcPr>
                <w:p>
                  <w:pPr>
                    <w:pStyle w:val="null3"/>
                    <w:jc w:val="center"/>
                  </w:pPr>
                  <w:r>
                    <w:rPr>
                      <w:sz w:val="19"/>
                    </w:rPr>
                    <w:t>6</w:t>
                  </w:r>
                </w:p>
              </w:tc>
              <w:tc>
                <w:tcPr>
                  <w:tcW w:type="dxa" w:w="2799"/>
                </w:tcPr>
                <w:p>
                  <w:pPr>
                    <w:pStyle w:val="null3"/>
                    <w:jc w:val="center"/>
                  </w:pPr>
                  <w:r>
                    <w:rPr>
                      <w:sz w:val="19"/>
                    </w:rPr>
                    <w:t>阳光酒店</w:t>
                  </w:r>
                </w:p>
              </w:tc>
            </w:tr>
            <w:tr>
              <w:tc>
                <w:tcPr>
                  <w:tcW w:type="dxa" w:w="2799"/>
                </w:tcPr>
                <w:p>
                  <w:pPr>
                    <w:pStyle w:val="null3"/>
                    <w:jc w:val="center"/>
                  </w:pPr>
                  <w:r>
                    <w:rPr>
                      <w:sz w:val="19"/>
                    </w:rPr>
                    <w:t>7</w:t>
                  </w:r>
                </w:p>
              </w:tc>
              <w:tc>
                <w:tcPr>
                  <w:tcW w:type="dxa" w:w="2799"/>
                </w:tcPr>
                <w:p>
                  <w:pPr>
                    <w:pStyle w:val="null3"/>
                    <w:jc w:val="center"/>
                  </w:pPr>
                  <w:r>
                    <w:rPr>
                      <w:sz w:val="19"/>
                    </w:rPr>
                    <w:t>亚洲国际大酒店</w:t>
                  </w:r>
                </w:p>
              </w:tc>
            </w:tr>
            <w:tr>
              <w:tc>
                <w:tcPr>
                  <w:tcW w:type="dxa" w:w="2799"/>
                </w:tcPr>
                <w:p>
                  <w:pPr>
                    <w:pStyle w:val="null3"/>
                    <w:jc w:val="center"/>
                  </w:pPr>
                  <w:r>
                    <w:rPr>
                      <w:sz w:val="19"/>
                    </w:rPr>
                    <w:t>8</w:t>
                  </w:r>
                </w:p>
              </w:tc>
              <w:tc>
                <w:tcPr>
                  <w:tcW w:type="dxa" w:w="2799"/>
                </w:tcPr>
                <w:p>
                  <w:pPr>
                    <w:pStyle w:val="null3"/>
                    <w:jc w:val="center"/>
                  </w:pPr>
                  <w:r>
                    <w:rPr>
                      <w:sz w:val="19"/>
                    </w:rPr>
                    <w:t>南航明珠空港大酒店</w:t>
                  </w:r>
                </w:p>
              </w:tc>
            </w:tr>
            <w:tr>
              <w:tc>
                <w:tcPr>
                  <w:tcW w:type="dxa" w:w="2799"/>
                </w:tcPr>
                <w:p>
                  <w:pPr>
                    <w:pStyle w:val="null3"/>
                    <w:jc w:val="center"/>
                  </w:pPr>
                  <w:r>
                    <w:rPr>
                      <w:sz w:val="19"/>
                    </w:rPr>
                    <w:t>9</w:t>
                  </w:r>
                </w:p>
              </w:tc>
              <w:tc>
                <w:tcPr>
                  <w:tcW w:type="dxa" w:w="2799"/>
                </w:tcPr>
                <w:p>
                  <w:pPr>
                    <w:pStyle w:val="null3"/>
                    <w:jc w:val="center"/>
                  </w:pPr>
                  <w:r>
                    <w:rPr>
                      <w:sz w:val="19"/>
                    </w:rPr>
                    <w:t>华钜君悦酒店</w:t>
                  </w:r>
                </w:p>
              </w:tc>
            </w:tr>
            <w:tr>
              <w:tc>
                <w:tcPr>
                  <w:tcW w:type="dxa" w:w="2799"/>
                </w:tcPr>
                <w:p>
                  <w:pPr>
                    <w:pStyle w:val="null3"/>
                    <w:jc w:val="center"/>
                  </w:pPr>
                  <w:r>
                    <w:rPr>
                      <w:sz w:val="19"/>
                    </w:rPr>
                    <w:t>10</w:t>
                  </w:r>
                </w:p>
              </w:tc>
              <w:tc>
                <w:tcPr>
                  <w:tcW w:type="dxa" w:w="2799"/>
                </w:tcPr>
                <w:p>
                  <w:pPr>
                    <w:pStyle w:val="null3"/>
                    <w:jc w:val="center"/>
                  </w:pPr>
                  <w:r>
                    <w:rPr>
                      <w:sz w:val="19"/>
                    </w:rPr>
                    <w:t>洲至奢选广州香岚官洲酒店</w:t>
                  </w:r>
                </w:p>
              </w:tc>
            </w:tr>
            <w:tr>
              <w:tc>
                <w:tcPr>
                  <w:tcW w:type="dxa" w:w="2799"/>
                </w:tcPr>
                <w:p>
                  <w:pPr>
                    <w:pStyle w:val="null3"/>
                    <w:jc w:val="center"/>
                  </w:pPr>
                  <w:r>
                    <w:rPr>
                      <w:sz w:val="19"/>
                    </w:rPr>
                    <w:t>11</w:t>
                  </w:r>
                </w:p>
              </w:tc>
              <w:tc>
                <w:tcPr>
                  <w:tcW w:type="dxa" w:w="2799"/>
                </w:tcPr>
                <w:p>
                  <w:pPr>
                    <w:pStyle w:val="null3"/>
                    <w:jc w:val="center"/>
                  </w:pPr>
                  <w:r>
                    <w:rPr>
                      <w:sz w:val="19"/>
                    </w:rPr>
                    <w:t>南沙花园酒店</w:t>
                  </w:r>
                </w:p>
              </w:tc>
            </w:tr>
            <w:tr>
              <w:tc>
                <w:tcPr>
                  <w:tcW w:type="dxa" w:w="2799"/>
                </w:tcPr>
                <w:p>
                  <w:pPr>
                    <w:pStyle w:val="null3"/>
                    <w:jc w:val="center"/>
                  </w:pPr>
                  <w:r>
                    <w:rPr>
                      <w:sz w:val="19"/>
                    </w:rPr>
                    <w:t>12</w:t>
                  </w:r>
                </w:p>
              </w:tc>
              <w:tc>
                <w:tcPr>
                  <w:tcW w:type="dxa" w:w="2799"/>
                </w:tcPr>
                <w:p>
                  <w:pPr>
                    <w:pStyle w:val="null3"/>
                    <w:jc w:val="center"/>
                  </w:pPr>
                  <w:r>
                    <w:rPr>
                      <w:sz w:val="19"/>
                    </w:rPr>
                    <w:t>南沙开建岭南东方酒店</w:t>
                  </w:r>
                </w:p>
              </w:tc>
            </w:tr>
            <w:tr>
              <w:tc>
                <w:tcPr>
                  <w:tcW w:type="dxa" w:w="2799"/>
                </w:tcPr>
                <w:p>
                  <w:pPr>
                    <w:pStyle w:val="null3"/>
                    <w:jc w:val="center"/>
                  </w:pPr>
                  <w:r>
                    <w:rPr>
                      <w:sz w:val="19"/>
                    </w:rPr>
                    <w:t>13</w:t>
                  </w:r>
                </w:p>
              </w:tc>
              <w:tc>
                <w:tcPr>
                  <w:tcW w:type="dxa" w:w="2799"/>
                </w:tcPr>
                <w:p>
                  <w:pPr>
                    <w:pStyle w:val="null3"/>
                    <w:jc w:val="center"/>
                  </w:pPr>
                  <w:r>
                    <w:rPr>
                      <w:sz w:val="19"/>
                    </w:rPr>
                    <w:t>碧桂园金叶子温泉度假酒店</w:t>
                  </w:r>
                </w:p>
              </w:tc>
            </w:tr>
            <w:tr>
              <w:tc>
                <w:tcPr>
                  <w:tcW w:type="dxa" w:w="2799"/>
                </w:tcPr>
                <w:p>
                  <w:pPr>
                    <w:pStyle w:val="null3"/>
                    <w:jc w:val="center"/>
                  </w:pPr>
                  <w:r>
                    <w:rPr>
                      <w:sz w:val="19"/>
                    </w:rPr>
                    <w:t>14</w:t>
                  </w:r>
                </w:p>
              </w:tc>
              <w:tc>
                <w:tcPr>
                  <w:tcW w:type="dxa" w:w="2799"/>
                </w:tcPr>
                <w:p>
                  <w:pPr>
                    <w:pStyle w:val="null3"/>
                    <w:jc w:val="center"/>
                  </w:pPr>
                  <w:r>
                    <w:rPr>
                      <w:sz w:val="19"/>
                    </w:rPr>
                    <w:t>设计之都郡雅酒店</w:t>
                  </w:r>
                </w:p>
              </w:tc>
            </w:tr>
            <w:tr>
              <w:tc>
                <w:tcPr>
                  <w:tcW w:type="dxa" w:w="2799"/>
                </w:tcPr>
                <w:p>
                  <w:pPr>
                    <w:pStyle w:val="null3"/>
                    <w:jc w:val="center"/>
                  </w:pPr>
                  <w:r>
                    <w:rPr>
                      <w:sz w:val="19"/>
                    </w:rPr>
                    <w:t>15</w:t>
                  </w:r>
                </w:p>
              </w:tc>
              <w:tc>
                <w:tcPr>
                  <w:tcW w:type="dxa" w:w="2799"/>
                </w:tcPr>
                <w:p>
                  <w:pPr>
                    <w:pStyle w:val="null3"/>
                    <w:jc w:val="center"/>
                  </w:pPr>
                  <w:r>
                    <w:rPr>
                      <w:sz w:val="19"/>
                    </w:rPr>
                    <w:t>白云宾馆</w:t>
                  </w:r>
                </w:p>
              </w:tc>
            </w:tr>
            <w:tr>
              <w:tc>
                <w:tcPr>
                  <w:tcW w:type="dxa" w:w="2799"/>
                </w:tcPr>
                <w:p>
                  <w:pPr>
                    <w:pStyle w:val="null3"/>
                    <w:jc w:val="center"/>
                  </w:pPr>
                  <w:r>
                    <w:rPr>
                      <w:sz w:val="19"/>
                    </w:rPr>
                    <w:t>16</w:t>
                  </w:r>
                </w:p>
              </w:tc>
              <w:tc>
                <w:tcPr>
                  <w:tcW w:type="dxa" w:w="2799"/>
                </w:tcPr>
                <w:p>
                  <w:pPr>
                    <w:pStyle w:val="null3"/>
                    <w:jc w:val="center"/>
                  </w:pPr>
                  <w:r>
                    <w:rPr>
                      <w:sz w:val="19"/>
                    </w:rPr>
                    <w:t>翡翠希尔顿酒店</w:t>
                  </w:r>
                </w:p>
              </w:tc>
            </w:tr>
            <w:tr>
              <w:tc>
                <w:tcPr>
                  <w:tcW w:type="dxa" w:w="2799"/>
                </w:tcPr>
                <w:p>
                  <w:pPr>
                    <w:pStyle w:val="null3"/>
                    <w:jc w:val="center"/>
                  </w:pPr>
                  <w:r>
                    <w:rPr>
                      <w:sz w:val="19"/>
                    </w:rPr>
                    <w:t>17</w:t>
                  </w:r>
                </w:p>
              </w:tc>
              <w:tc>
                <w:tcPr>
                  <w:tcW w:type="dxa" w:w="2799"/>
                </w:tcPr>
                <w:p>
                  <w:pPr>
                    <w:pStyle w:val="null3"/>
                    <w:jc w:val="center"/>
                  </w:pPr>
                  <w:r>
                    <w:rPr>
                      <w:sz w:val="19"/>
                    </w:rPr>
                    <w:t>鸣泉居酒店</w:t>
                  </w:r>
                </w:p>
              </w:tc>
            </w:tr>
            <w:tr>
              <w:tc>
                <w:tcPr>
                  <w:tcW w:type="dxa" w:w="2799"/>
                </w:tcPr>
                <w:p>
                  <w:pPr>
                    <w:pStyle w:val="null3"/>
                    <w:jc w:val="center"/>
                  </w:pPr>
                  <w:r>
                    <w:rPr>
                      <w:sz w:val="19"/>
                    </w:rPr>
                    <w:t>18</w:t>
                  </w:r>
                </w:p>
              </w:tc>
              <w:tc>
                <w:tcPr>
                  <w:tcW w:type="dxa" w:w="2799"/>
                </w:tcPr>
                <w:p>
                  <w:pPr>
                    <w:pStyle w:val="null3"/>
                    <w:jc w:val="center"/>
                  </w:pPr>
                  <w:r>
                    <w:rPr>
                      <w:sz w:val="19"/>
                    </w:rPr>
                    <w:t>中国大酒店</w:t>
                  </w:r>
                </w:p>
              </w:tc>
            </w:tr>
            <w:tr>
              <w:tc>
                <w:tcPr>
                  <w:tcW w:type="dxa" w:w="2799"/>
                </w:tcPr>
                <w:p>
                  <w:pPr>
                    <w:pStyle w:val="null3"/>
                    <w:jc w:val="center"/>
                  </w:pPr>
                  <w:r>
                    <w:rPr>
                      <w:sz w:val="19"/>
                    </w:rPr>
                    <w:t>19</w:t>
                  </w:r>
                </w:p>
              </w:tc>
              <w:tc>
                <w:tcPr>
                  <w:tcW w:type="dxa" w:w="2799"/>
                </w:tcPr>
                <w:p>
                  <w:pPr>
                    <w:pStyle w:val="null3"/>
                    <w:jc w:val="center"/>
                  </w:pPr>
                  <w:r>
                    <w:rPr>
                      <w:sz w:val="19"/>
                    </w:rPr>
                    <w:t>东方宾馆</w:t>
                  </w:r>
                </w:p>
              </w:tc>
            </w:tr>
            <w:tr>
              <w:tc>
                <w:tcPr>
                  <w:tcW w:type="dxa" w:w="2799"/>
                </w:tcPr>
                <w:p>
                  <w:pPr>
                    <w:pStyle w:val="null3"/>
                    <w:jc w:val="center"/>
                  </w:pPr>
                  <w:r>
                    <w:rPr>
                      <w:sz w:val="19"/>
                    </w:rPr>
                    <w:t>20</w:t>
                  </w:r>
                </w:p>
              </w:tc>
              <w:tc>
                <w:tcPr>
                  <w:tcW w:type="dxa" w:w="2799"/>
                </w:tcPr>
                <w:p>
                  <w:pPr>
                    <w:pStyle w:val="null3"/>
                    <w:jc w:val="center"/>
                  </w:pPr>
                  <w:r>
                    <w:rPr>
                      <w:sz w:val="19"/>
                    </w:rPr>
                    <w:t>空港万豪万枫酒店</w:t>
                  </w:r>
                </w:p>
              </w:tc>
            </w:tr>
            <w:tr>
              <w:tc>
                <w:tcPr>
                  <w:tcW w:type="dxa" w:w="2799"/>
                </w:tcPr>
                <w:p>
                  <w:pPr>
                    <w:pStyle w:val="null3"/>
                    <w:jc w:val="center"/>
                  </w:pPr>
                  <w:r>
                    <w:rPr>
                      <w:sz w:val="19"/>
                    </w:rPr>
                    <w:t>21</w:t>
                  </w:r>
                </w:p>
              </w:tc>
              <w:tc>
                <w:tcPr>
                  <w:tcW w:type="dxa" w:w="2799"/>
                </w:tcPr>
                <w:p>
                  <w:pPr>
                    <w:pStyle w:val="null3"/>
                    <w:jc w:val="center"/>
                  </w:pPr>
                  <w:r>
                    <w:rPr>
                      <w:sz w:val="19"/>
                    </w:rPr>
                    <w:t>琶洲岭南东方酒店</w:t>
                  </w:r>
                </w:p>
              </w:tc>
            </w:tr>
            <w:tr>
              <w:tc>
                <w:tcPr>
                  <w:tcW w:type="dxa" w:w="2799"/>
                </w:tcPr>
                <w:p>
                  <w:pPr>
                    <w:pStyle w:val="null3"/>
                    <w:jc w:val="center"/>
                  </w:pPr>
                  <w:r>
                    <w:rPr>
                      <w:sz w:val="19"/>
                    </w:rPr>
                    <w:t>22</w:t>
                  </w:r>
                </w:p>
              </w:tc>
              <w:tc>
                <w:tcPr>
                  <w:tcW w:type="dxa" w:w="2799"/>
                </w:tcPr>
                <w:p>
                  <w:pPr>
                    <w:pStyle w:val="null3"/>
                    <w:jc w:val="center"/>
                  </w:pPr>
                  <w:r>
                    <w:rPr>
                      <w:sz w:val="19"/>
                    </w:rPr>
                    <w:t>南沙越秀喜来登酒店</w:t>
                  </w:r>
                </w:p>
              </w:tc>
            </w:tr>
            <w:tr>
              <w:tc>
                <w:tcPr>
                  <w:tcW w:type="dxa" w:w="2799"/>
                </w:tcPr>
                <w:p>
                  <w:pPr>
                    <w:pStyle w:val="null3"/>
                    <w:jc w:val="center"/>
                  </w:pPr>
                  <w:r>
                    <w:rPr>
                      <w:sz w:val="19"/>
                    </w:rPr>
                    <w:t>23</w:t>
                  </w:r>
                </w:p>
              </w:tc>
              <w:tc>
                <w:tcPr>
                  <w:tcW w:type="dxa" w:w="2799"/>
                </w:tcPr>
                <w:p>
                  <w:pPr>
                    <w:pStyle w:val="null3"/>
                    <w:jc w:val="center"/>
                  </w:pPr>
                  <w:r>
                    <w:rPr>
                      <w:sz w:val="19"/>
                    </w:rPr>
                    <w:t>合汇合温泉酒店</w:t>
                  </w:r>
                </w:p>
              </w:tc>
            </w:tr>
          </w:tbl>
          <w:p>
            <w:pPr>
              <w:pStyle w:val="null3"/>
            </w:pPr>
            <w:r>
              <w:rPr/>
              <w:t>注：上述名单为第一批公布的接待饭店，后续随官方公布情况更新。</w:t>
            </w:r>
            <w:r>
              <w:br/>
            </w:r>
            <w:r>
              <w:rPr/>
              <w:t xml:space="preserve"> 2.监测要求</w:t>
            </w:r>
            <w:r>
              <w:br/>
            </w:r>
            <w:r>
              <w:rPr/>
              <w:t xml:space="preserve"> 赛前演练阶段对各比赛场馆、接待酒店按东南西北四个方向开展昼、夜间声环境质量监测，监测昼、夜间10分钟等效声级。</w:t>
            </w:r>
            <w:r>
              <w:br/>
            </w:r>
            <w:r>
              <w:rPr/>
              <w:t xml:space="preserve"> 采用便携式噪声自动监测设备在赛前（2025年6月至2025年11月9日）对广州市残疾人体育运动中心、广州大学城体育中心（体育场2号副场）、广东省射击馆、广东省黄村体育训练中心（现代五项跑射场地）按东南西北四个方向每半个月开展24小时声环境质量监测；赛事期间（2025年11月10日至11月21日、12月8日至12月15日）每日开展24小时声环境质量连续监测。</w:t>
            </w:r>
            <w:r>
              <w:br/>
            </w:r>
            <w:r>
              <w:rPr/>
              <w:t xml:space="preserve"> 注：因部分赛事比赛时间较早（2025年6月至10月期间），实际场馆监测时间根据官方公布的比赛时间为准</w:t>
            </w:r>
            <w:r>
              <w:br/>
            </w:r>
            <w:r>
              <w:rPr/>
              <w:t xml:space="preserve"> 3.监测设备要求</w:t>
            </w:r>
            <w:r>
              <w:br/>
            </w:r>
            <w:r>
              <w:rPr/>
              <w:t xml:space="preserve"> （1）投标人应配有便携式噪声自动监测设备或移动式噪声自动监测站。</w:t>
            </w:r>
            <w:r>
              <w:br/>
            </w:r>
            <w:r>
              <w:rPr/>
              <w:t xml:space="preserve"> （2）监测设备应满足Ⅰ级声级计要求。</w:t>
            </w:r>
            <w:r>
              <w:br/>
            </w:r>
            <w:r>
              <w:rPr/>
              <w:t xml:space="preserve"> （3）设备应具有实时上传监测数据的功能。</w:t>
            </w:r>
            <w:r>
              <w:br/>
            </w:r>
            <w:r>
              <w:rPr/>
              <w:t xml:space="preserve"> 4.质控要求</w:t>
            </w:r>
            <w:r>
              <w:br/>
            </w:r>
            <w:r>
              <w:rPr/>
              <w:t xml:space="preserve"> 监测设备开展监测前必须校准并提供可溯源的校准记录。</w:t>
            </w:r>
            <w:r>
              <w:br/>
            </w:r>
            <w:r>
              <w:rPr/>
              <w:t xml:space="preserve"> 5.进度要求</w:t>
            </w:r>
            <w:r>
              <w:br/>
            </w:r>
            <w:r>
              <w:rPr/>
              <w:t xml:space="preserve"> （1）2025年5月25日前完成赛前演练阶段监测并提交赛前演练监测报告。</w:t>
            </w:r>
            <w:r>
              <w:br/>
            </w:r>
            <w:r>
              <w:rPr/>
              <w:t xml:space="preserve"> （2）2025年11月10日前完成4个重点声环境保障区域赛前声环境质量监测报告。</w:t>
            </w:r>
            <w:r>
              <w:br/>
            </w:r>
            <w:r>
              <w:rPr/>
              <w:t xml:space="preserve"> （3）赛事期间（2025年11月10日至11月21日、12月8日至12月15日）完成赛事运行阶段监测。</w:t>
            </w:r>
            <w:r>
              <w:br/>
            </w:r>
            <w:r>
              <w:rPr/>
              <w:t xml:space="preserve"> （4）2025年12月31日前提交赛后总结报告。 </w:t>
            </w:r>
          </w:p>
        </w:tc>
      </w:tr>
      <w:tr>
        <w:tc>
          <w:tcPr>
            <w:tcW w:type="dxa" w:w="2076"/>
          </w:tcPr>
          <w:p/>
        </w:tc>
        <w:tc>
          <w:tcPr>
            <w:tcW w:type="dxa" w:w="415"/>
          </w:tcPr>
          <w:p>
            <w:pPr>
              <w:pStyle w:val="null3"/>
            </w:pPr>
            <w:r>
              <w:rPr/>
              <w:t>4</w:t>
            </w:r>
          </w:p>
        </w:tc>
        <w:tc>
          <w:tcPr>
            <w:tcW w:type="dxa" w:w="5814"/>
          </w:tcPr>
          <w:p>
            <w:pPr>
              <w:pStyle w:val="null3"/>
            </w:pPr>
            <w:r>
              <w:rPr/>
              <w:t>（四）服务人员要求</w:t>
            </w:r>
            <w:r>
              <w:br/>
            </w:r>
            <w:r>
              <w:rPr/>
              <w:t xml:space="preserve"> 1.人员配置</w:t>
            </w:r>
            <w:r>
              <w:br/>
            </w:r>
            <w:r>
              <w:rPr/>
              <w:t xml:space="preserve"> 团队人数不少于5人。</w:t>
            </w:r>
            <w:r>
              <w:br/>
            </w:r>
            <w:r>
              <w:rPr/>
              <w:t xml:space="preserve"> 2.人员资质</w:t>
            </w:r>
            <w:r>
              <w:br/>
            </w:r>
            <w:r>
              <w:rPr/>
              <w:t xml:space="preserve"> 有环境相关学历和环境相关专业背景；其中2人以上拥有高级工程师职称。</w:t>
            </w:r>
            <w:r>
              <w:br/>
            </w:r>
            <w:r>
              <w:rPr/>
              <w:t xml:space="preserve"> 3.综合能力要求</w:t>
            </w:r>
            <w:r>
              <w:br/>
            </w:r>
            <w:r>
              <w:rPr/>
              <w:t xml:space="preserve"> 熟悉该项目的数据处理和报告编制等专业技术，熟练使用自动监测设备，有开展过赛事声环境监测业务经历。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采购包2（大气环境质量监测保障）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签订合同后至2025年12月31日</w:t>
            </w:r>
          </w:p>
        </w:tc>
      </w:tr>
      <w:tr>
        <w:tc>
          <w:tcPr>
            <w:tcW w:type="dxa" w:w="4153"/>
          </w:tcPr>
          <w:p>
            <w:pPr>
              <w:pStyle w:val="null3"/>
            </w:pPr>
            <w:r>
              <w:rPr/>
              <w:t>标的提供的地点</w:t>
            </w:r>
          </w:p>
        </w:tc>
        <w:tc>
          <w:tcPr>
            <w:tcW w:type="dxa" w:w="4153"/>
          </w:tcPr>
          <w:p>
            <w:pPr>
              <w:pStyle w:val="null3"/>
            </w:pPr>
            <w:r>
              <w:rPr/>
              <w:t>广州市内采购人指定地点。</w:t>
            </w:r>
          </w:p>
        </w:tc>
      </w:tr>
      <w:tr/>
      <w:tr/>
      <w:tr>
        <w:tc>
          <w:tcPr>
            <w:tcW w:type="dxa" w:w="4153"/>
          </w:tcPr>
          <w:p>
            <w:pPr>
              <w:pStyle w:val="null3"/>
            </w:pPr>
            <w:r>
              <w:rPr/>
              <w:t>付款方式</w:t>
            </w:r>
          </w:p>
        </w:tc>
        <w:tc>
          <w:tcPr>
            <w:tcW w:type="dxa" w:w="4153"/>
          </w:tcPr>
          <w:p>
            <w:pPr>
              <w:pStyle w:val="null3"/>
            </w:pPr>
            <w:r>
              <w:rPr/>
              <w:t>第1期为(预付款)：支付比例50%，合同签定并收发票后，于5个工作日内预付合同总额50%款项。</w:t>
            </w:r>
          </w:p>
          <w:p>
            <w:pPr>
              <w:pStyle w:val="null3"/>
            </w:pPr>
            <w:r>
              <w:rPr/>
              <w:t>第2期为(进度款)：支付比例40%，采购人在中标供应商提交监测数据分析及会商工作方案且经过验收合格并收到发票后，于5个工作日内支付合同总额40%款项。</w:t>
            </w:r>
          </w:p>
          <w:p>
            <w:pPr>
              <w:pStyle w:val="null3"/>
            </w:pPr>
            <w:r>
              <w:rPr/>
              <w:t>第3期为(尾款)：支付比例10%，采购人在中标供应商完成全运会和残特奥会会期监测保障服务后，提交监测报告、会商报告或评估报告、总结报告，并收到发票后，于5个工作日内支付合同总额10%款项。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及方式：项目完成后，由中标供应商提出验收申请，由采购人7日内启动验收。由采购人对项目报告进行初步验收，组织聘请不少于3名专家对项目进行整体验收。按照采购人要求，协助提供纸质成果材料。 2.验收标准：专家根据项目监测方案，对监测过程、监测数据、监测结果和评估结果进行验收。 3.验收费用：本项目验收所产生的所有费用由（各包组）中标供应商承担。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保密要求：未经采购人许可，投标人及投标人参与本项目的人员均不得对外披露、泄露本项目执行过程中采购人提供的信息、因合同履行而知悉的企业信息或环境信息、本项目执行过程中形成的过程信息、以及最终的成果信息。投标人应采取有效措施，保证其参与本项目的人员遵守本约定，并对投标人人员违反本约定所造成的后果承担连带责任。项目实施过程中，投标人必须采取必要措施对本项目的数据、技术文档等资料保密；项目完成后，未经采购人书面同意，投标人不得以任何形式运用、公布或向第三方透露本项目相关监测结果、监测情况及其他技术文档资料。否则，由于投标人过错导致上述信息发生泄密情况的，投标人必须承担一切法律后果。 2.知识产权：采购人在中华人民共和国境内使用中标供应商提供的货物及服务时免受第三方提出的侵犯其专利权或其它知识产权的起诉。如果第三方提出侵权指控，中标供应商应承担由此而引起的一切法律责任和费用。 3.中标供应商必须在投标文件中对以上条款和服务承诺明确列出，承诺内容必须达到本篇及招标文件其他条款的要求。 4.其他未尽事宜由供需双方在采购合同中详细约定。 5.投标人应按照采购人要求，协助提供纸质成果材料。</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大气环境质量监测保障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800,000.00</w:t>
            </w:r>
          </w:p>
        </w:tc>
        <w:tc>
          <w:tcPr>
            <w:tcW w:type="dxa" w:w="933"/>
          </w:tcPr>
          <w:p>
            <w:pPr>
              <w:pStyle w:val="null3"/>
              <w:jc w:val="right"/>
            </w:pPr>
            <w:r>
              <w:rPr/>
              <w:t>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大气环境质量监测保障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（一）服务内容</w:t>
            </w:r>
            <w:r>
              <w:br/>
            </w:r>
            <w:r>
              <w:rPr/>
              <w:t xml:space="preserve"> 1.开展赛事期间空气质量监测数据综合分析，深入分析空气质量整体状况、区域气象扩散条件、污染物及其前体物来源、污染气团传输路径等，分析内容包括但不限于：气象要素、常规六参数、颗粒物组分、VOCs组分等，掌握大气污染物的时空分布特征及其排放、气象因素贡献。</w:t>
            </w:r>
            <w:r>
              <w:br/>
            </w:r>
            <w:r>
              <w:rPr/>
              <w:t xml:space="preserve"> 2.组织空气质量会商研判专家团队，开展赛事期间空气质量会商，提供空气质量预报预警会商、污染物成因解析和溯源评估服务，对研判污染防控重点、防控应对措施、区域应对统筹安排进行支撑，形成会商报告。</w:t>
            </w:r>
          </w:p>
        </w:tc>
      </w:tr>
      <w:tr>
        <w:tc>
          <w:tcPr>
            <w:tcW w:type="dxa" w:w="2076"/>
          </w:tcPr>
          <w:p/>
        </w:tc>
        <w:tc>
          <w:tcPr>
            <w:tcW w:type="dxa" w:w="415"/>
          </w:tcPr>
          <w:p>
            <w:pPr>
              <w:pStyle w:val="null3"/>
            </w:pPr>
            <w:r>
              <w:rPr/>
              <w:t>2</w:t>
            </w:r>
          </w:p>
        </w:tc>
        <w:tc>
          <w:tcPr>
            <w:tcW w:type="dxa" w:w="5814"/>
          </w:tcPr>
          <w:p>
            <w:pPr>
              <w:pStyle w:val="null3"/>
            </w:pPr>
            <w:r>
              <w:rPr/>
              <w:t>（二）服务成果</w:t>
            </w:r>
            <w:r>
              <w:br/>
            </w:r>
            <w:r>
              <w:rPr/>
              <w:t xml:space="preserve"> 所有服务成果需以电子形式提供给采购人，成果包括（但不限于）：</w:t>
            </w:r>
            <w:r>
              <w:br/>
            </w:r>
            <w:r>
              <w:rPr/>
              <w:t xml:space="preserve"> 1.监测数据分析及会商工作方案1份；</w:t>
            </w:r>
            <w:r>
              <w:br/>
            </w:r>
            <w:r>
              <w:rPr/>
              <w:t xml:space="preserve"> 2.监测数据综合分析图集1份；</w:t>
            </w:r>
            <w:r>
              <w:br/>
            </w:r>
            <w:r>
              <w:rPr/>
              <w:t xml:space="preserve"> 3.会商报告集1份。</w:t>
            </w:r>
          </w:p>
        </w:tc>
      </w:tr>
      <w:tr>
        <w:tc>
          <w:tcPr>
            <w:tcW w:type="dxa" w:w="2076"/>
          </w:tcPr>
          <w:p/>
        </w:tc>
        <w:tc>
          <w:tcPr>
            <w:tcW w:type="dxa" w:w="415"/>
          </w:tcPr>
          <w:p>
            <w:pPr>
              <w:pStyle w:val="null3"/>
            </w:pPr>
            <w:r>
              <w:rPr/>
              <w:t>3</w:t>
            </w:r>
          </w:p>
        </w:tc>
        <w:tc>
          <w:tcPr>
            <w:tcW w:type="dxa" w:w="5814"/>
          </w:tcPr>
          <w:p>
            <w:pPr>
              <w:pStyle w:val="null3"/>
            </w:pPr>
            <w:r>
              <w:rPr/>
              <w:t>（三）服务技术要求</w:t>
            </w:r>
            <w:r>
              <w:br/>
            </w:r>
            <w:r>
              <w:rPr/>
              <w:t xml:space="preserve"> 1. 标准规范要求</w:t>
            </w:r>
            <w:r>
              <w:br/>
            </w:r>
            <w:r>
              <w:rPr/>
              <w:t xml:space="preserve"> 《环境空气质量标准（GB 3095—2012）》及修改单</w:t>
            </w:r>
            <w:r>
              <w:br/>
            </w:r>
            <w:r>
              <w:rPr/>
              <w:t xml:space="preserve"> 2.监测及相关工作要求</w:t>
            </w:r>
            <w:r>
              <w:br/>
            </w:r>
            <w:r>
              <w:rPr/>
              <w:t xml:space="preserve"> （1）开展赛事期间监测数据综合分析，深入分析空气质量状况、区域污染特征、来源、传输路径等，分析项目包括但不限于：气象条件、常规六参数、颗粒物组分、VOCs组分。针对颗粒物污染过程进行深度分析，明确气象和化学方面的来源和成因；针对臭氧污染过程开展臭氧及前体物的浓度变化、关键前体物组分及其活性变化、气象因素对臭氧的影响等分析。</w:t>
            </w:r>
            <w:r>
              <w:br/>
            </w:r>
            <w:r>
              <w:rPr/>
              <w:t xml:space="preserve"> （2）开展赛事期间空气质量会商研判，赛事期间密切跟踪空气质量形势，组织专家开展会商研判。基于空气质量模式结果，开展模拟结果诊断分析、大气扩散条件和气象条件分析，基于空气质量监测结果，开展污染物成因解析和溯源评估，形成会商报告。</w:t>
            </w:r>
            <w:r>
              <w:br/>
            </w:r>
            <w:r>
              <w:rPr/>
              <w:t xml:space="preserve"> 3.进度要求：项目签订日至2025年9月，完成监测数据分析及会商工作方案；在2025年12月31日前，提交监测数据综合分析图集、完成会商报告和验收。</w:t>
            </w:r>
          </w:p>
        </w:tc>
      </w:tr>
      <w:tr>
        <w:tc>
          <w:tcPr>
            <w:tcW w:type="dxa" w:w="2076"/>
          </w:tcPr>
          <w:p/>
        </w:tc>
        <w:tc>
          <w:tcPr>
            <w:tcW w:type="dxa" w:w="415"/>
          </w:tcPr>
          <w:p>
            <w:pPr>
              <w:pStyle w:val="null3"/>
            </w:pPr>
            <w:r>
              <w:rPr/>
              <w:t>4</w:t>
            </w:r>
          </w:p>
        </w:tc>
        <w:tc>
          <w:tcPr>
            <w:tcW w:type="dxa" w:w="5814"/>
          </w:tcPr>
          <w:p>
            <w:pPr>
              <w:pStyle w:val="null3"/>
            </w:pPr>
            <w:r>
              <w:rPr/>
              <w:t>（四）服务人员要求</w:t>
            </w:r>
            <w:r>
              <w:br/>
            </w:r>
            <w:r>
              <w:rPr/>
              <w:t xml:space="preserve"> 1.人员配置</w:t>
            </w:r>
            <w:r>
              <w:br/>
            </w:r>
            <w:r>
              <w:rPr/>
              <w:t xml:space="preserve"> 项目需投入工作人员至少6人，其中项目负责人1名、会商保障专业技术人员2名、其余项目团队人员3名，确保工作顺利开展。</w:t>
            </w:r>
            <w:r>
              <w:br/>
            </w:r>
            <w:r>
              <w:rPr/>
              <w:t xml:space="preserve"> 2.人员资质</w:t>
            </w:r>
            <w:r>
              <w:br/>
            </w:r>
            <w:r>
              <w:rPr/>
              <w:t xml:space="preserve"> （1）项目负责人具有正高级职称且是大气科学、环境相关专业博士学位，会商保障专业技术人员和项目其他成员至少有2人具有副高级（或以上）职称或大气科学、环境相关专业博士学位。</w:t>
            </w:r>
            <w:r>
              <w:br/>
            </w:r>
            <w:r>
              <w:rPr/>
              <w:t xml:space="preserve"> （2）项目团队成员具有大气环境监测数据综合分析或预报会商研判经验。</w:t>
            </w:r>
            <w:r>
              <w:br/>
            </w:r>
            <w:r>
              <w:rPr/>
              <w:t xml:space="preserve"> 3.综合能力要求</w:t>
            </w:r>
            <w:r>
              <w:br/>
            </w:r>
            <w:r>
              <w:rPr/>
              <w:t xml:space="preserve"> 项目团队应开展过2年以上大气环境监测数据综合分析或预报会商工作，项目负责人应具有5年相关工作经验，承担过与本项目需求类似的项目，项目团队成员应专业配置合理，职责清晰。除项目负责人外，具有本项目需求类似的相关工作经验的团队成员应不少于3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采购包3（基于人群时空暴露的环境健康风险评估预警）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签订合同后至2025年12月31日</w:t>
            </w:r>
          </w:p>
        </w:tc>
      </w:tr>
      <w:tr>
        <w:tc>
          <w:tcPr>
            <w:tcW w:type="dxa" w:w="4153"/>
          </w:tcPr>
          <w:p>
            <w:pPr>
              <w:pStyle w:val="null3"/>
            </w:pPr>
            <w:r>
              <w:rPr/>
              <w:t>标的提供的地点</w:t>
            </w:r>
          </w:p>
        </w:tc>
        <w:tc>
          <w:tcPr>
            <w:tcW w:type="dxa" w:w="4153"/>
          </w:tcPr>
          <w:p>
            <w:pPr>
              <w:pStyle w:val="null3"/>
            </w:pPr>
            <w:r>
              <w:rPr/>
              <w:t>广州市内采购人指定地点。</w:t>
            </w:r>
          </w:p>
        </w:tc>
      </w:tr>
      <w:tr/>
      <w:tr/>
      <w:tr>
        <w:tc>
          <w:tcPr>
            <w:tcW w:type="dxa" w:w="4153"/>
          </w:tcPr>
          <w:p>
            <w:pPr>
              <w:pStyle w:val="null3"/>
            </w:pPr>
            <w:r>
              <w:rPr/>
              <w:t>付款方式</w:t>
            </w:r>
          </w:p>
        </w:tc>
        <w:tc>
          <w:tcPr>
            <w:tcW w:type="dxa" w:w="4153"/>
          </w:tcPr>
          <w:p>
            <w:pPr>
              <w:pStyle w:val="null3"/>
            </w:pPr>
            <w:r>
              <w:rPr/>
              <w:t>第1期为(预付款)：支付比例50%，合同签定并收发票后，于5个工作日内预付合同总额50%款项。</w:t>
            </w:r>
          </w:p>
          <w:p>
            <w:pPr>
              <w:pStyle w:val="null3"/>
            </w:pPr>
            <w:r>
              <w:rPr/>
              <w:t>第2期为(进度款)：支付比例40%，采购人在中标供应商提交研究报告初稿，且经过验收合格并收到发票后，于5个工作日内支付合同总额40%款项。</w:t>
            </w:r>
          </w:p>
          <w:p>
            <w:pPr>
              <w:pStyle w:val="null3"/>
            </w:pPr>
            <w:r>
              <w:rPr/>
              <w:t>第3期为(尾款)：支付比例10%，采购人在中标供应商完成全运会和残特奥会会期监测保障服务后，提交监测报告、会商报告或评估报告、总结报告，并收到发票后，于5个工作日内支付合同总额10%款项。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1期：1.验收时间及方式：项目完成后，由中标供应商提出验收申请，由采购人7日内启动验收。由采购人对项目报告进行初步验收，组织聘请不少于3名专家对项目进行整体验收。 2.验收标准：专家根据项目监测方案，对监测过程、监测数据、监测结果和评估结果进行验收。 3.验收费用：本项目验收所产生的所有费用由（各包组）中标供应商承担。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保密要求：未经采购人许可，投标人及投标人参与本项目的人员均不得对外披露、泄露本项目执行过程中采购人提供的信息、因合同履行而知悉的企业信息或环境信息、本项目执行过程中形成的过程信息、以及最终的成果信息。投标人应采取有效措施，保证其参与本项目的人员遵守本约定，并对投标人人员违反本约定所造成的后果承担连带责任。项目实施过程中，投标人必须采取必要措施对本项目的数据、技术文档等资料保密；项目完成后，未经采购人书面同意，投标人不得以任何形式运用、公布或向第三方透露本项目相关监测结果、监测情况及其他技术文档资料。否则，由于投标人过错导致上述信息发生泄密情况的，投标人必须承担一切法律后果。 2.知识产权：采购人在中华人民共和国境内使用中标供应商提供的货物及服务时免受第三方提出的侵犯其专利权或其它知识产权的起诉。如果第三方提出侵权指控，中标供应商应承担由此而引起的一切法律责任和费用。 3.中标供应商必须在投标文件中对以上条款和服务承诺明确列出，承诺内容必须达到本篇及招标文件其他条款的要求。 4.其他未尽事宜由供需双方在采购合同中详细约定。</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基于人群时空暴露的环境健康风险评估预警</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170,000.00</w:t>
            </w:r>
          </w:p>
        </w:tc>
        <w:tc>
          <w:tcPr>
            <w:tcW w:type="dxa" w:w="933"/>
          </w:tcPr>
          <w:p>
            <w:pPr>
              <w:pStyle w:val="null3"/>
              <w:jc w:val="right"/>
            </w:pPr>
            <w:r>
              <w:rPr/>
              <w:t>170,000.00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基于人群时空暴露的环境健康风险评估预警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（一）服务内容</w:t>
            </w:r>
            <w:r>
              <w:br/>
            </w:r>
            <w:r>
              <w:rPr/>
              <w:t xml:space="preserve"> 1.多源时空数据采集：采集十五届全国运动会和特残奥会广州赛区重点片区地形、土地利用、人口热力、交通、气象条件（温度、湿度、风速、风向）、环境污染物监测、污染源排放等监测数据。</w:t>
            </w:r>
            <w:r>
              <w:br/>
            </w:r>
            <w:r>
              <w:rPr/>
              <w:t xml:space="preserve"> 2.数据集成与融合处理：进行多源异构时空数据源的融合处理，构建统一时空参照的数据库。</w:t>
            </w:r>
            <w:r>
              <w:br/>
            </w:r>
            <w:r>
              <w:rPr/>
              <w:t xml:space="preserve"> 3.时空特征分析：开展基于时空数据库的重点片区人群和关键环境要素时空特征分析。</w:t>
            </w:r>
            <w:r>
              <w:br/>
            </w:r>
            <w:r>
              <w:rPr/>
              <w:t xml:space="preserve"> 4.从影响身心健康的维度，构建考虑人群动态分布和环境动态监测的重点地区关键环境健康指标的评估模型，基于评估模型绘制关键环境健康指标地图，开展风险评估和预警建议。</w:t>
            </w:r>
          </w:p>
        </w:tc>
      </w:tr>
      <w:tr>
        <w:tc>
          <w:tcPr>
            <w:tcW w:type="dxa" w:w="2076"/>
          </w:tcPr>
          <w:p/>
        </w:tc>
        <w:tc>
          <w:tcPr>
            <w:tcW w:type="dxa" w:w="415"/>
          </w:tcPr>
          <w:p>
            <w:pPr>
              <w:pStyle w:val="null3"/>
            </w:pPr>
            <w:r>
              <w:rPr/>
              <w:t>2</w:t>
            </w:r>
          </w:p>
        </w:tc>
        <w:tc>
          <w:tcPr>
            <w:tcW w:type="dxa" w:w="5814"/>
          </w:tcPr>
          <w:p>
            <w:pPr>
              <w:pStyle w:val="null3"/>
            </w:pPr>
            <w:r>
              <w:rPr/>
              <w:t>（二）服务成果</w:t>
            </w:r>
            <w:r>
              <w:br/>
            </w:r>
            <w:r>
              <w:rPr/>
              <w:t xml:space="preserve"> 十五届全国运动会和特残奥会广州赛区重点片区环境健康风险评估报告。</w:t>
            </w:r>
          </w:p>
        </w:tc>
      </w:tr>
      <w:tr>
        <w:tc>
          <w:tcPr>
            <w:tcW w:type="dxa" w:w="2076"/>
          </w:tcPr>
          <w:p/>
        </w:tc>
        <w:tc>
          <w:tcPr>
            <w:tcW w:type="dxa" w:w="415"/>
          </w:tcPr>
          <w:p>
            <w:pPr>
              <w:pStyle w:val="null3"/>
            </w:pPr>
            <w:r>
              <w:rPr/>
              <w:t>3</w:t>
            </w:r>
          </w:p>
        </w:tc>
        <w:tc>
          <w:tcPr>
            <w:tcW w:type="dxa" w:w="5814"/>
          </w:tcPr>
          <w:p>
            <w:pPr>
              <w:pStyle w:val="null3"/>
            </w:pPr>
            <w:r>
              <w:rPr/>
              <w:t>（三）服务技术要求</w:t>
            </w:r>
            <w:r>
              <w:br/>
            </w:r>
            <w:r>
              <w:rPr/>
              <w:t xml:space="preserve"> 1.标准规范要求：地图制图参照相关行业技术标准和规范；</w:t>
            </w:r>
            <w:r>
              <w:br/>
            </w:r>
            <w:r>
              <w:rPr/>
              <w:t xml:space="preserve"> 2.进度要求：项目签订日至2025年8月10日，完成项目研究报告初稿；2025年8月11日至2025年12月31日，完成项目终稿和验收。</w:t>
            </w:r>
          </w:p>
        </w:tc>
      </w:tr>
      <w:tr>
        <w:tc>
          <w:tcPr>
            <w:tcW w:type="dxa" w:w="2076"/>
          </w:tcPr>
          <w:p/>
        </w:tc>
        <w:tc>
          <w:tcPr>
            <w:tcW w:type="dxa" w:w="415"/>
          </w:tcPr>
          <w:p>
            <w:pPr>
              <w:pStyle w:val="null3"/>
            </w:pPr>
            <w:r>
              <w:rPr/>
              <w:t>4</w:t>
            </w:r>
          </w:p>
        </w:tc>
        <w:tc>
          <w:tcPr>
            <w:tcW w:type="dxa" w:w="5814"/>
          </w:tcPr>
          <w:p>
            <w:pPr>
              <w:pStyle w:val="null3"/>
            </w:pPr>
            <w:r>
              <w:rPr/>
              <w:t>（四）服务人员要求</w:t>
            </w:r>
            <w:r>
              <w:br/>
            </w:r>
            <w:r>
              <w:rPr/>
              <w:t xml:space="preserve"> 1.人员配置</w:t>
            </w:r>
            <w:r>
              <w:br/>
            </w:r>
            <w:r>
              <w:rPr/>
              <w:t xml:space="preserve"> 项目负责人1人；子任务负责人2人；其他技术骨干6人以上。</w:t>
            </w:r>
            <w:r>
              <w:br/>
            </w:r>
            <w:r>
              <w:rPr/>
              <w:t xml:space="preserve"> 2.人员资质：具有博士学位及高级职称不少于3人，其他硕士以上学位技术骨干不少于5人。</w:t>
            </w:r>
            <w:r>
              <w:br/>
            </w:r>
            <w:r>
              <w:rPr/>
              <w:t xml:space="preserve"> 3.综合能力要求：在环境健康、地理信息等领域具备长期的研究基础和能力。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广东省广州生态环境监测中心站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投标人可参投一个或多个采购包，但最多只能被推荐为1个采购包的第一中标候选人。本项目依照采购包号从小到大顺序进行评审，已推荐为第一中标候选人的，将不再推荐为其他采购包的第一中标候选人。例如：投标人已推荐为采购包1的第一中标候选人，则不再推荐为采购包2的第一中标候选人，采购包2由综合得分排名第二的投标人替补，依次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采购机构代理服务收费标准：采购代理服务费参照广州市工程招标代理行业协会关于印发《广州市招标代理服务费计费规则》的通知（穗招代理协[2017]号）执行，以中标金额为基准按差额定率累进法计算。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标人在本项目发布结果公告后3天内，须提供与递交投标文件电子标书内容一致且每页加盖单位公章的纸质文件1套（1正）及非加密电子版投标文件U盘（或光盘）1份给采购人（邮寄地址：广州市番禺区大学城中心南大街19号，联系人：姚工，020-32662150），邮寄外包裹须注明项目名称、项目编号、包号（如有）、投标人名称等能识别其身份的信息，请合理安排时间并及时将快递单号发送至采购代理机构邮箱（gdonghongye@163.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采购包1(声环境质量监测保障)：综合评分法,是指投标文件满足招标文件全部实质性要求，且按照评审因素的量化指标评审得分最高的投标人为中标候选人的评标方法。（最低报价不是中标的唯一依据。）</w:t>
      </w:r>
    </w:p>
    <w:p>
      <w:pPr>
        <w:pStyle w:val="null3"/>
      </w:pPr>
      <w:r>
        <w:rPr/>
        <w:t>采购包2(大气环境质量监测保障)：综合评分法,是指投标文件满足招标文件全部实质性要求，且按照评审因素的量化指标评审得分最高的投标人为中标候选人的评标方法。（最低报价不是中标的唯一依据。）</w:t>
      </w:r>
    </w:p>
    <w:p>
      <w:pPr>
        <w:pStyle w:val="null3"/>
      </w:pPr>
      <w:r>
        <w:rPr/>
        <w:t>采购包3(基于人群时空暴露的环境健康风险评估预警)：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采购包1（声环境质量监测保障）：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采购包2（大气环境质量监测保障）：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采购包3（基于人群时空暴露的环境健康风险评估预警）：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采购包1（声环境质量监测保障）：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本项目属于专门面向中小企业采购的项目，投标人须符合本项目采购标的对应行业（其他未列明行业）政策划分标准的中小企业。监狱企业、残疾人福利单位视同小型、微型企业。 注1：中小企业以投标人填写的《中小企业声明函》（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投标人可登陆https://gdgpo.czt.gd.gov.cn/freecms/site/guangdong/tz/info/2024/15000058.html查阅。</w:t>
            </w:r>
          </w:p>
        </w:tc>
      </w:tr>
    </w:tbl>
    <w:p>
      <w:pPr>
        <w:pStyle w:val="null3"/>
      </w:pPr>
      <w:r>
        <w:rPr/>
        <w:t>采购包2（大气环境质量监测保障）：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本项目允许联合体响应，联合体组成单位数量不得超出2家。（若为联合体响应，须提供联合体响应协议，联合体各方应在联合体协议中约定各自承担的任务及费用分配比例）</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本项目不属于专门面向中小企业采购的项目（本项目采购标的所属行业：其他未列明行业）。</w:t>
            </w:r>
          </w:p>
        </w:tc>
      </w:tr>
    </w:tbl>
    <w:p>
      <w:pPr>
        <w:pStyle w:val="null3"/>
      </w:pPr>
      <w:r>
        <w:rPr/>
        <w:t>采购包3（基于人群时空暴露的环境健康风险评估预警）：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本项目不属于专门面向中小企业采购的项目（本项目采购标的所属行业：其他未列明行业）</w:t>
            </w:r>
          </w:p>
        </w:tc>
      </w:tr>
    </w:tbl>
    <w:p>
      <w:pPr>
        <w:pStyle w:val="null3"/>
        <w:ind w:firstLine="480"/>
      </w:pPr>
      <w:r>
        <w:rPr/>
        <w:t>表二符合性审查表：</w:t>
      </w:r>
    </w:p>
    <w:p>
      <w:pPr>
        <w:pStyle w:val="null3"/>
      </w:pPr>
      <w:r>
        <w:rPr/>
        <w:t>采购包1（声环境质量监测保障）：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采购包2（大气环境质量监测保障）：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采购包3（基于人群时空暴露的环境健康风险评估预警）：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采购包1(声环境质量监测保障):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商务部分34.0分</w:t>
            </w:r>
          </w:p>
          <w:p>
            <w:pPr>
              <w:pStyle w:val="null3"/>
            </w:pPr>
            <w:r>
              <w:rPr/>
              <w:t>技术部分51.0分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(4.0分)</w:t>
            </w:r>
          </w:p>
        </w:tc>
        <w:tc>
          <w:tcPr>
            <w:tcW w:type="dxa" w:w="5076"/>
          </w:tcPr>
          <w:p>
            <w:pPr>
              <w:pStyle w:val="null3"/>
              <w:jc w:val="left"/>
            </w:pPr>
            <w:r>
              <w:rPr/>
              <w:t>根据各投标人对采购需求附表一“具体技术(参数)要求”序号1到4的技术条款响应程度进行评审（共4大项）：完全满足或优于招标文件要求的每大项得1分，不能全部满足的该大项不得分，最高得4分。 （注：采购需求中有明确提供的证明资料，则以采购需求中要求的为准，无或未按要求提供证明材料的不得分；如采购需求中无明确证明材料的，以投标人投标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对本项目的理解、重点难点分析方案1 (3.0分)</w:t>
            </w:r>
          </w:p>
        </w:tc>
        <w:tc>
          <w:tcPr>
            <w:tcW w:type="dxa" w:w="5076"/>
          </w:tcPr>
          <w:p>
            <w:pPr>
              <w:pStyle w:val="null3"/>
              <w:jc w:val="left"/>
            </w:pPr>
            <w:r>
              <w:rPr/>
              <w:t>根据投标人提供的对项目的理解、重点难点分析进行评审，能提供对项目的理解、重点难点分析方案，得3分，否则不得分且对本项目的理解、重点难点分析方案2均不得分。</w:t>
            </w:r>
          </w:p>
        </w:tc>
      </w:tr>
      <w:tr>
        <w:tc>
          <w:tcPr>
            <w:tcW w:type="dxa" w:w="922"/>
            <w:gridSpan w:val="2"/>
            <w:vMerge/>
          </w:tcPr>
          <w:p/>
        </w:tc>
        <w:tc>
          <w:tcPr>
            <w:tcW w:type="dxa" w:w="2307"/>
          </w:tcPr>
          <w:p>
            <w:pPr>
              <w:pStyle w:val="null3"/>
              <w:jc w:val="left"/>
            </w:pPr>
            <w:r>
              <w:rPr/>
              <w:t>对本项目的理解、重点难点分析方案2 (6.0分)</w:t>
            </w:r>
          </w:p>
        </w:tc>
        <w:tc>
          <w:tcPr>
            <w:tcW w:type="dxa" w:w="5076"/>
          </w:tcPr>
          <w:p>
            <w:pPr>
              <w:pStyle w:val="null3"/>
              <w:jc w:val="left"/>
            </w:pPr>
            <w:r>
              <w:rPr/>
              <w:t>根据对本项目的理解、重点难点分析方案1的描述进行评审，投标人提供的方案能完全满足或优于采购需求的得6分，能基本满足采购需求的得4分，能部分满足采购需求的得2分，不满足不得分。</w:t>
            </w:r>
          </w:p>
        </w:tc>
      </w:tr>
      <w:tr>
        <w:tc>
          <w:tcPr>
            <w:tcW w:type="dxa" w:w="922"/>
            <w:gridSpan w:val="2"/>
            <w:vMerge/>
          </w:tcPr>
          <w:p/>
        </w:tc>
        <w:tc>
          <w:tcPr>
            <w:tcW w:type="dxa" w:w="2307"/>
          </w:tcPr>
          <w:p>
            <w:pPr>
              <w:pStyle w:val="null3"/>
              <w:jc w:val="left"/>
            </w:pPr>
            <w:r>
              <w:rPr/>
              <w:t>项目实施方案1 (3.0分)</w:t>
            </w:r>
          </w:p>
        </w:tc>
        <w:tc>
          <w:tcPr>
            <w:tcW w:type="dxa" w:w="5076"/>
          </w:tcPr>
          <w:p>
            <w:pPr>
              <w:pStyle w:val="null3"/>
              <w:jc w:val="left"/>
            </w:pPr>
            <w:r>
              <w:rPr/>
              <w:t>根据投标人提供的项目实施方案（包括：工作方法、技术路线、服务流程）进行评审，能提供项目实施方案且方案内容同时包括以上内容的，得3分，否则不得分且项目实施方案2均不得分。</w:t>
            </w:r>
          </w:p>
        </w:tc>
      </w:tr>
      <w:tr>
        <w:tc>
          <w:tcPr>
            <w:tcW w:type="dxa" w:w="922"/>
            <w:gridSpan w:val="2"/>
            <w:vMerge/>
          </w:tcPr>
          <w:p/>
        </w:tc>
        <w:tc>
          <w:tcPr>
            <w:tcW w:type="dxa" w:w="2307"/>
          </w:tcPr>
          <w:p>
            <w:pPr>
              <w:pStyle w:val="null3"/>
              <w:jc w:val="left"/>
            </w:pPr>
            <w:r>
              <w:rPr/>
              <w:t>项目实施方案2 (6.0分)</w:t>
            </w:r>
          </w:p>
        </w:tc>
        <w:tc>
          <w:tcPr>
            <w:tcW w:type="dxa" w:w="5076"/>
          </w:tcPr>
          <w:p>
            <w:pPr>
              <w:pStyle w:val="null3"/>
              <w:jc w:val="left"/>
            </w:pPr>
            <w:r>
              <w:rPr/>
              <w:t>根据项目实施方案1的描述进行评审，投标人提供的方案能完全满足或优于采购需求的得6分，能基本满足采购需求的得4分，能部分满足采购需求的得2分，不满足不得分。</w:t>
            </w:r>
          </w:p>
        </w:tc>
      </w:tr>
      <w:tr>
        <w:tc>
          <w:tcPr>
            <w:tcW w:type="dxa" w:w="922"/>
            <w:gridSpan w:val="2"/>
            <w:vMerge/>
          </w:tcPr>
          <w:p/>
        </w:tc>
        <w:tc>
          <w:tcPr>
            <w:tcW w:type="dxa" w:w="2307"/>
          </w:tcPr>
          <w:p>
            <w:pPr>
              <w:pStyle w:val="null3"/>
              <w:jc w:val="left"/>
            </w:pPr>
            <w:r>
              <w:rPr/>
              <w:t>服务质量保障措施1 (3.0分)</w:t>
            </w:r>
          </w:p>
        </w:tc>
        <w:tc>
          <w:tcPr>
            <w:tcW w:type="dxa" w:w="5076"/>
          </w:tcPr>
          <w:p>
            <w:pPr>
              <w:pStyle w:val="null3"/>
              <w:jc w:val="left"/>
            </w:pPr>
            <w:r>
              <w:rPr/>
              <w:t>根据投标人提供的服务质量保障措施（包括：质量保证体系、质量控制程序、质量措施）进行评审，能提供服务质量保障措施且方案内容同时包括以上内容的，得3分，否则不得分且服务质量保障措施2均不得分。</w:t>
            </w:r>
          </w:p>
        </w:tc>
      </w:tr>
      <w:tr>
        <w:tc>
          <w:tcPr>
            <w:tcW w:type="dxa" w:w="922"/>
            <w:gridSpan w:val="2"/>
            <w:vMerge/>
          </w:tcPr>
          <w:p/>
        </w:tc>
        <w:tc>
          <w:tcPr>
            <w:tcW w:type="dxa" w:w="2307"/>
          </w:tcPr>
          <w:p>
            <w:pPr>
              <w:pStyle w:val="null3"/>
              <w:jc w:val="left"/>
            </w:pPr>
            <w:r>
              <w:rPr/>
              <w:t>服务质量保障措施2 (6.0分)</w:t>
            </w:r>
          </w:p>
        </w:tc>
        <w:tc>
          <w:tcPr>
            <w:tcW w:type="dxa" w:w="5076"/>
          </w:tcPr>
          <w:p>
            <w:pPr>
              <w:pStyle w:val="null3"/>
              <w:jc w:val="left"/>
            </w:pPr>
            <w:r>
              <w:rPr/>
              <w:t>根据服务质量保障措施1的描述进行评审，投标人提供的方案完全满足或优于采购需求的得6分，能基本满足采购需求的得4分，能部分满足采购需求的得2分，不满足不得分。</w:t>
            </w:r>
          </w:p>
        </w:tc>
      </w:tr>
      <w:tr>
        <w:tc>
          <w:tcPr>
            <w:tcW w:type="dxa" w:w="922"/>
            <w:gridSpan w:val="2"/>
            <w:vMerge/>
          </w:tcPr>
          <w:p/>
        </w:tc>
        <w:tc>
          <w:tcPr>
            <w:tcW w:type="dxa" w:w="2307"/>
          </w:tcPr>
          <w:p>
            <w:pPr>
              <w:pStyle w:val="null3"/>
              <w:jc w:val="left"/>
            </w:pPr>
            <w:r>
              <w:rPr/>
              <w:t>组织管理方案1 (2.0分)</w:t>
            </w:r>
          </w:p>
        </w:tc>
        <w:tc>
          <w:tcPr>
            <w:tcW w:type="dxa" w:w="5076"/>
          </w:tcPr>
          <w:p>
            <w:pPr>
              <w:pStyle w:val="null3"/>
              <w:jc w:val="left"/>
            </w:pPr>
            <w:r>
              <w:rPr/>
              <w:t>根据投标人提供的组织管理方案（包括：项目组织、管理实施、项目进度计划）进行评审，能提供组织管理方案且方案内容同时包括以上内容的，得2分，否则不得分且组织管理方案2均不得分。</w:t>
            </w:r>
          </w:p>
        </w:tc>
      </w:tr>
      <w:tr>
        <w:tc>
          <w:tcPr>
            <w:tcW w:type="dxa" w:w="922"/>
            <w:gridSpan w:val="2"/>
            <w:vMerge/>
          </w:tcPr>
          <w:p/>
        </w:tc>
        <w:tc>
          <w:tcPr>
            <w:tcW w:type="dxa" w:w="2307"/>
          </w:tcPr>
          <w:p>
            <w:pPr>
              <w:pStyle w:val="null3"/>
              <w:jc w:val="left"/>
            </w:pPr>
            <w:r>
              <w:rPr/>
              <w:t>组织管理方案2 (6.0分)</w:t>
            </w:r>
          </w:p>
        </w:tc>
        <w:tc>
          <w:tcPr>
            <w:tcW w:type="dxa" w:w="5076"/>
          </w:tcPr>
          <w:p>
            <w:pPr>
              <w:pStyle w:val="null3"/>
              <w:jc w:val="left"/>
            </w:pPr>
            <w:r>
              <w:rPr/>
              <w:t>根据组织管理方案1的描述进行评审，投标人提供的方案能完全满足或优于采购需求的得6分，能基本满足采购需求的得4分，能部分满足采购需求的得2分，不满足不得分。</w:t>
            </w:r>
          </w:p>
        </w:tc>
      </w:tr>
      <w:tr>
        <w:tc>
          <w:tcPr>
            <w:tcW w:type="dxa" w:w="922"/>
            <w:gridSpan w:val="2"/>
            <w:vMerge/>
          </w:tcPr>
          <w:p/>
        </w:tc>
        <w:tc>
          <w:tcPr>
            <w:tcW w:type="dxa" w:w="2307"/>
          </w:tcPr>
          <w:p>
            <w:pPr>
              <w:pStyle w:val="null3"/>
              <w:jc w:val="left"/>
            </w:pPr>
            <w:r>
              <w:rPr/>
              <w:t>仪器设备 (12.0分)</w:t>
            </w:r>
          </w:p>
        </w:tc>
        <w:tc>
          <w:tcPr>
            <w:tcW w:type="dxa" w:w="5076"/>
          </w:tcPr>
          <w:p>
            <w:pPr>
              <w:pStyle w:val="null3"/>
              <w:jc w:val="left"/>
            </w:pPr>
            <w:r>
              <w:rPr/>
              <w:t>根据投标人具有的检测仪器设备情况评分： 1.具有便携式噪声自动监测设备或移动式噪声自动监测站，每1台得1分；本项最高得6分。 2.便携式噪声自动监测设备或移动式噪声自动监测站能满足Ⅰ级声级计要求的得4分，不满足不得分。 3.便携式噪声自动监测设备或移动式噪声自动监测站能实时上传监测数据的功能得2分，不满足不得分。 注：1.为投标人自有的，需提供购买发票或合同扫描件及设备照片；2.若为租赁的，需提供租赁合同扫描件和设备照片；3.若非自有和非租赁的，提供承诺函承诺在合同签订后10天内提供以上工具，承诺函格式自拟；4.满足Ⅰ级声级计要求和实时上传监测数据的功能投标人须提供承诺函（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投标人提供2022年1月1日（以合同签订时间为准）以来同类声环境质量监测项目业绩，每提供一份得2分，满分8分。 注：同一项目不重复计分，须提供合同关键页扫描件（含签订合同双方的单位名称、合同项目名称、签订合同双方的落款盖章、签订日期的关键页）作为同类业绩证明资料。不提供或资料不全不得分。</w:t>
            </w:r>
          </w:p>
        </w:tc>
      </w:tr>
      <w:tr>
        <w:tc>
          <w:tcPr>
            <w:tcW w:type="dxa" w:w="922"/>
            <w:gridSpan w:val="2"/>
            <w:vMerge/>
          </w:tcPr>
          <w:p/>
        </w:tc>
        <w:tc>
          <w:tcPr>
            <w:tcW w:type="dxa" w:w="2307"/>
          </w:tcPr>
          <w:p>
            <w:pPr>
              <w:pStyle w:val="null3"/>
              <w:jc w:val="left"/>
            </w:pPr>
            <w:r>
              <w:rPr/>
              <w:t>企业信誉 (4.0分)</w:t>
            </w:r>
          </w:p>
        </w:tc>
        <w:tc>
          <w:tcPr>
            <w:tcW w:type="dxa" w:w="5076"/>
          </w:tcPr>
          <w:p>
            <w:pPr>
              <w:pStyle w:val="null3"/>
              <w:jc w:val="left"/>
            </w:pPr>
            <w:r>
              <w:rPr/>
              <w:t>投标人提供对投标人自身（控股公司、分公司等）自2021年1月1日以来在环境监测服务项目中未受到环保主管部门公开的负面通报或通报批评、涉嫌数据造假等执法公示的承诺书，提供承诺书得4分，未提供或提供不全不得分。</w:t>
            </w:r>
          </w:p>
        </w:tc>
      </w:tr>
      <w:tr>
        <w:tc>
          <w:tcPr>
            <w:tcW w:type="dxa" w:w="922"/>
            <w:gridSpan w:val="2"/>
            <w:vMerge/>
          </w:tcPr>
          <w:p/>
        </w:tc>
        <w:tc>
          <w:tcPr>
            <w:tcW w:type="dxa" w:w="2307"/>
          </w:tcPr>
          <w:p>
            <w:pPr>
              <w:pStyle w:val="null3"/>
              <w:jc w:val="left"/>
            </w:pPr>
            <w:r>
              <w:rPr/>
              <w:t>项目负责人（限1人） (8.0分)</w:t>
            </w:r>
          </w:p>
        </w:tc>
        <w:tc>
          <w:tcPr>
            <w:tcW w:type="dxa" w:w="5076"/>
          </w:tcPr>
          <w:p>
            <w:pPr>
              <w:pStyle w:val="null3"/>
              <w:jc w:val="left"/>
            </w:pPr>
            <w:r>
              <w:rPr/>
              <w:t>1.具有环境相关专业正高级职称的，得4分；具有环境相关专业副高级职称的，得2分，其他不得分，本小项最高得4分。 2.具有环境相关专业的博士学位的，得4分；具有环境相关专业的硕士学位，得2分。本小项最高得4分。 注:投标人须提供上述人员职称证书及学位证书复印件，以及在本公司任职的外部证明材料（如加盖政府有关部门印章的在本项目投标截止日之前六个月内任意一个月的《投保单》或《社会保险参保人员证明》等），未提供或提供不全不得分。</w:t>
            </w:r>
          </w:p>
        </w:tc>
      </w:tr>
      <w:tr>
        <w:tc>
          <w:tcPr>
            <w:tcW w:type="dxa" w:w="922"/>
            <w:gridSpan w:val="2"/>
            <w:vMerge/>
          </w:tcPr>
          <w:p/>
        </w:tc>
        <w:tc>
          <w:tcPr>
            <w:tcW w:type="dxa" w:w="2307"/>
          </w:tcPr>
          <w:p>
            <w:pPr>
              <w:pStyle w:val="null3"/>
              <w:jc w:val="left"/>
            </w:pPr>
            <w:r>
              <w:rPr/>
              <w:t>项目实施人员团队（项目负责人除外） (14.0分)</w:t>
            </w:r>
          </w:p>
        </w:tc>
        <w:tc>
          <w:tcPr>
            <w:tcW w:type="dxa" w:w="5076"/>
          </w:tcPr>
          <w:p>
            <w:pPr>
              <w:pStyle w:val="null3"/>
              <w:jc w:val="left"/>
            </w:pPr>
            <w:r>
              <w:rPr/>
              <w:t>具有环境相关专业副高级（或以上）职称的每提供1人得4分；具有环境相关专业中级职称的每提供1人得2分，此项最多得14分。 注:同一人有多个证书按最高职称算，不得重复计分，投标人须提供上述人员职称证书复印件，以及在本公司任职的外部证明材料（如加盖政府有关部门印章的在本项目投标截止日之前六个月内任意一个月的《投保单》或《社会保险参保人员证明》等），未提供或提供不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采购包2(大气环境质量监测保障):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(8.0分)</w:t>
            </w:r>
          </w:p>
        </w:tc>
        <w:tc>
          <w:tcPr>
            <w:tcW w:type="dxa" w:w="5076"/>
          </w:tcPr>
          <w:p>
            <w:pPr>
              <w:pStyle w:val="null3"/>
              <w:jc w:val="left"/>
            </w:pPr>
            <w:r>
              <w:rPr/>
              <w:t>根据各投标人对采购需求附表一“具体技术(参数)要求”序号1到4的技术条款响应程度进行评审（共4大项）：完全满足或优于招标文件要求的每大项得2分，不能全部满足的该大项不得分，最高得8分。 （注：采购需求中有明确提供的证明资料，则以采购需求中要求的为准，无或未按要求提供证明材料的不得分；如采购需求中无明确证明材料的，以投标人投标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对本项目的理解、重点难点分析方案1 (3.0分)</w:t>
            </w:r>
          </w:p>
        </w:tc>
        <w:tc>
          <w:tcPr>
            <w:tcW w:type="dxa" w:w="5076"/>
          </w:tcPr>
          <w:p>
            <w:pPr>
              <w:pStyle w:val="null3"/>
              <w:jc w:val="left"/>
            </w:pPr>
            <w:r>
              <w:rPr/>
              <w:t>根据投标人提供的对项目的理解、重点难点分析进行评审，能提供对项目的理解、重点难点分析方案，得3分，否则不得分且对本项目的理解、重点难点分析方案2均不得分。</w:t>
            </w:r>
          </w:p>
        </w:tc>
      </w:tr>
      <w:tr>
        <w:tc>
          <w:tcPr>
            <w:tcW w:type="dxa" w:w="922"/>
            <w:gridSpan w:val="2"/>
            <w:vMerge/>
          </w:tcPr>
          <w:p/>
        </w:tc>
        <w:tc>
          <w:tcPr>
            <w:tcW w:type="dxa" w:w="2307"/>
          </w:tcPr>
          <w:p>
            <w:pPr>
              <w:pStyle w:val="null3"/>
              <w:jc w:val="left"/>
            </w:pPr>
            <w:r>
              <w:rPr/>
              <w:t>对本项目的理解、重点难点分析方案2 (6.0分)</w:t>
            </w:r>
          </w:p>
        </w:tc>
        <w:tc>
          <w:tcPr>
            <w:tcW w:type="dxa" w:w="5076"/>
          </w:tcPr>
          <w:p>
            <w:pPr>
              <w:pStyle w:val="null3"/>
              <w:jc w:val="left"/>
            </w:pPr>
            <w:r>
              <w:rPr/>
              <w:t>根据对本项目的理解、重点难点分析方案1的描述进行评审，投标人提供的方案能完全满足或优于采购需求的得6分，能基本满足采购需求的得4分，能部分满足采购需求的得2分，不满足不得分。</w:t>
            </w:r>
          </w:p>
        </w:tc>
      </w:tr>
      <w:tr>
        <w:tc>
          <w:tcPr>
            <w:tcW w:type="dxa" w:w="922"/>
            <w:gridSpan w:val="2"/>
            <w:vMerge/>
          </w:tcPr>
          <w:p/>
        </w:tc>
        <w:tc>
          <w:tcPr>
            <w:tcW w:type="dxa" w:w="2307"/>
          </w:tcPr>
          <w:p>
            <w:pPr>
              <w:pStyle w:val="null3"/>
              <w:jc w:val="left"/>
            </w:pPr>
            <w:r>
              <w:rPr/>
              <w:t>监测数据综合分析方案 (6.0分)</w:t>
            </w:r>
          </w:p>
        </w:tc>
        <w:tc>
          <w:tcPr>
            <w:tcW w:type="dxa" w:w="5076"/>
          </w:tcPr>
          <w:p>
            <w:pPr>
              <w:pStyle w:val="null3"/>
              <w:jc w:val="left"/>
            </w:pPr>
            <w:r>
              <w:rPr/>
              <w:t>根据“监测数据综合分析”的服务内容与要求，针对本项目实际情况，投标人制定的监测数据综合分析方案（气象条件、常规六参数、颗粒物组分、VOCs组分分析等）进行评审，投标人提供的方案内容完善、可行性高，能完全满足或优于采购需求的，得6分；内容不够完善、具有一定的可行性，能基本满足采购需求的，得4分；提供的内容简单，能部分满足采购需求的，得2分；不满足不得分。</w:t>
            </w:r>
          </w:p>
        </w:tc>
      </w:tr>
      <w:tr>
        <w:tc>
          <w:tcPr>
            <w:tcW w:type="dxa" w:w="922"/>
            <w:gridSpan w:val="2"/>
            <w:vMerge/>
          </w:tcPr>
          <w:p/>
        </w:tc>
        <w:tc>
          <w:tcPr>
            <w:tcW w:type="dxa" w:w="2307"/>
          </w:tcPr>
          <w:p>
            <w:pPr>
              <w:pStyle w:val="null3"/>
              <w:jc w:val="left"/>
            </w:pPr>
            <w:r>
              <w:rPr/>
              <w:t>空气质量会商研判方案 (6.0分)</w:t>
            </w:r>
          </w:p>
        </w:tc>
        <w:tc>
          <w:tcPr>
            <w:tcW w:type="dxa" w:w="5076"/>
          </w:tcPr>
          <w:p>
            <w:pPr>
              <w:pStyle w:val="null3"/>
              <w:jc w:val="left"/>
            </w:pPr>
            <w:r>
              <w:rPr/>
              <w:t>根据“空气质量会商研判”的服务内容与要求，针对本项目实际情况，投标人制定的空气质量会商研判方案（会商研判流程、空气质量模式模拟结果与气象诊断分析、污染物成因解析和溯源评估、会商报告等）进行评审，投标人提供的方案内容完善、可行性高，能完全满足或优于采购需求的，得6分；内容不够完善、具有一定的可行性，能基本满足采购需求的，得4分；提供的内容简单，能部分满足采购需求的，得2分；不满足不得分。</w:t>
            </w:r>
          </w:p>
        </w:tc>
      </w:tr>
      <w:tr>
        <w:tc>
          <w:tcPr>
            <w:tcW w:type="dxa" w:w="922"/>
            <w:gridSpan w:val="2"/>
            <w:vMerge/>
          </w:tcPr>
          <w:p/>
        </w:tc>
        <w:tc>
          <w:tcPr>
            <w:tcW w:type="dxa" w:w="2307"/>
          </w:tcPr>
          <w:p>
            <w:pPr>
              <w:pStyle w:val="null3"/>
              <w:jc w:val="left"/>
            </w:pPr>
            <w:r>
              <w:rPr/>
              <w:t>项目成果质量保障措施 (8.0分)</w:t>
            </w:r>
          </w:p>
        </w:tc>
        <w:tc>
          <w:tcPr>
            <w:tcW w:type="dxa" w:w="5076"/>
          </w:tcPr>
          <w:p>
            <w:pPr>
              <w:pStyle w:val="null3"/>
              <w:jc w:val="left"/>
            </w:pPr>
            <w:r>
              <w:rPr/>
              <w:t>根据投标人提供的项目成果质量保障措施进行评审，服务质量保证体系及保障措施全面、可行性高，操作性强的，得8分；服务质量保证体系及保障措施基本全面、具有一定的可行性和操作性的，得4分；服务质量保证体系及保障措施清晰但不全面，缺乏可行性的，得2分；不提供不得分。</w:t>
            </w:r>
          </w:p>
        </w:tc>
      </w:tr>
      <w:tr>
        <w:tc>
          <w:tcPr>
            <w:tcW w:type="dxa" w:w="922"/>
            <w:gridSpan w:val="2"/>
            <w:vMerge/>
          </w:tcPr>
          <w:p/>
        </w:tc>
        <w:tc>
          <w:tcPr>
            <w:tcW w:type="dxa" w:w="2307"/>
          </w:tcPr>
          <w:p>
            <w:pPr>
              <w:pStyle w:val="null3"/>
              <w:jc w:val="left"/>
            </w:pPr>
            <w:r>
              <w:rPr/>
              <w:t>组织管理方案1 (2.0分)</w:t>
            </w:r>
          </w:p>
        </w:tc>
        <w:tc>
          <w:tcPr>
            <w:tcW w:type="dxa" w:w="5076"/>
          </w:tcPr>
          <w:p>
            <w:pPr>
              <w:pStyle w:val="null3"/>
              <w:jc w:val="left"/>
            </w:pPr>
            <w:r>
              <w:rPr/>
              <w:t>根据投标人提供的组织管理方案（包括：项目组织、管理实施、项目进度计划）进行评审，能提供组织管理方案且方案内容同时包括以上内容的，得2分，否则不得分且组织管理方案2均不得分。</w:t>
            </w:r>
          </w:p>
        </w:tc>
      </w:tr>
      <w:tr>
        <w:tc>
          <w:tcPr>
            <w:tcW w:type="dxa" w:w="922"/>
            <w:gridSpan w:val="2"/>
            <w:vMerge/>
          </w:tcPr>
          <w:p/>
        </w:tc>
        <w:tc>
          <w:tcPr>
            <w:tcW w:type="dxa" w:w="2307"/>
          </w:tcPr>
          <w:p>
            <w:pPr>
              <w:pStyle w:val="null3"/>
              <w:jc w:val="left"/>
            </w:pPr>
            <w:r>
              <w:rPr/>
              <w:t>组织管理方案2 (6.0分)</w:t>
            </w:r>
          </w:p>
        </w:tc>
        <w:tc>
          <w:tcPr>
            <w:tcW w:type="dxa" w:w="5076"/>
          </w:tcPr>
          <w:p>
            <w:pPr>
              <w:pStyle w:val="null3"/>
              <w:jc w:val="left"/>
            </w:pPr>
            <w:r>
              <w:rPr/>
              <w:t>根据组织管理方案1的描述进行评审，投标人提供的方案能完全满足或优于采购需求的得6分，能基本满足采购需求的得4分，能部分满足采购需求的得2分，不满足不得分。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投标人提供2022年1月1日（以合同签订时间为准）以来同类大气环境监测数据综合分析、预报会商研判经验项目业绩，每提供一份得2分，满分10分。 注：同一项目不重复计分，须提供合同关键页扫描件（含签订合同双方的单位名称、合同项目名称、签订合同双方的落款盖章、签订日期的关键页）作为同类业绩证明资料。不提供或资料不全不得分。 (联合体投标的，联合体任一方提供的材料均可纳入评审)</w:t>
            </w:r>
          </w:p>
        </w:tc>
      </w:tr>
      <w:tr>
        <w:tc>
          <w:tcPr>
            <w:tcW w:type="dxa" w:w="922"/>
            <w:gridSpan w:val="2"/>
            <w:vMerge/>
          </w:tcPr>
          <w:p/>
        </w:tc>
        <w:tc>
          <w:tcPr>
            <w:tcW w:type="dxa" w:w="2307"/>
          </w:tcPr>
          <w:p>
            <w:pPr>
              <w:pStyle w:val="null3"/>
              <w:jc w:val="left"/>
            </w:pPr>
            <w:r>
              <w:rPr/>
              <w:t>科研能力 (4.0分)</w:t>
            </w:r>
          </w:p>
        </w:tc>
        <w:tc>
          <w:tcPr>
            <w:tcW w:type="dxa" w:w="5076"/>
          </w:tcPr>
          <w:p>
            <w:pPr>
              <w:pStyle w:val="null3"/>
              <w:jc w:val="left"/>
            </w:pPr>
            <w:r>
              <w:rPr/>
              <w:t>根据投标人的科研实力进行综合评分，投标人拥有大气环境相关的科研平台实力或实验室的，得4分。【注：需提供科研平台批复复印件或网站公示截图作为证明材料。】 (联合体投标的，联合体任一方提供的材料均可纳入评审)</w:t>
            </w:r>
          </w:p>
        </w:tc>
      </w:tr>
      <w:tr>
        <w:tc>
          <w:tcPr>
            <w:tcW w:type="dxa" w:w="922"/>
            <w:gridSpan w:val="2"/>
            <w:vMerge/>
          </w:tcPr>
          <w:p/>
        </w:tc>
        <w:tc>
          <w:tcPr>
            <w:tcW w:type="dxa" w:w="2307"/>
          </w:tcPr>
          <w:p>
            <w:pPr>
              <w:pStyle w:val="null3"/>
              <w:jc w:val="left"/>
            </w:pPr>
            <w:r>
              <w:rPr/>
              <w:t>企业信誉 (4.0分)</w:t>
            </w:r>
          </w:p>
        </w:tc>
        <w:tc>
          <w:tcPr>
            <w:tcW w:type="dxa" w:w="5076"/>
          </w:tcPr>
          <w:p>
            <w:pPr>
              <w:pStyle w:val="null3"/>
              <w:jc w:val="left"/>
            </w:pPr>
            <w:r>
              <w:rPr/>
              <w:t>投标人提供对投标人自身（控股公司、分公司等）自2021年1月1日以来在环境监测服务项目中未受到环保主管部门公开的负面通报或通报批评、涉嫌数据造假等执法公示的承诺书，提供承诺书得4分，未提供或提供不全不得分。 (联合体投标的，联合体所有单位均需要提供材料)</w:t>
            </w:r>
          </w:p>
        </w:tc>
      </w:tr>
      <w:tr>
        <w:tc>
          <w:tcPr>
            <w:tcW w:type="dxa" w:w="922"/>
            <w:gridSpan w:val="2"/>
            <w:vMerge/>
          </w:tcPr>
          <w:p/>
        </w:tc>
        <w:tc>
          <w:tcPr>
            <w:tcW w:type="dxa" w:w="2307"/>
          </w:tcPr>
          <w:p>
            <w:pPr>
              <w:pStyle w:val="null3"/>
              <w:jc w:val="left"/>
            </w:pPr>
            <w:r>
              <w:rPr/>
              <w:t>项目负责人（限1人） (10.0分)</w:t>
            </w:r>
          </w:p>
        </w:tc>
        <w:tc>
          <w:tcPr>
            <w:tcW w:type="dxa" w:w="5076"/>
          </w:tcPr>
          <w:p>
            <w:pPr>
              <w:pStyle w:val="null3"/>
              <w:jc w:val="left"/>
            </w:pPr>
            <w:r>
              <w:rPr/>
              <w:t>1.具有正高级职称且是大气科学、环境相关专业博士学位，得4分；具有副高级职称或大气科学、环境相关专业博士学位，得2分；其他，得0分，本小项最高得4分。 2.2022年1月1日至今发表与本项目相关的VOCs、颗粒物研究方向的论文（须为第一或通讯作者），每提供1个研究方向的论文得1分，最高2分。 3.负责过同类项目，每提供1个得2分，最高得4分； 注:投标人须提供上述人员职称证书、学位证书复印件、体现目负责人的论文复印件、大气环境监测数据综合分析或预报会商研判相关的项目证明如服务项目合同（合同中需体现项目负责人的名字，若合同不体现的，投标人需提供其他材料进行补充）等，以及在本公司任职的外部证明材料（如加盖政府有关部门印章的在本项目投标截止日之前六个月内任意一个月的《投保单》或《社会保险参保人员证明》等），未提供或提供不全不得分。 (联合体投标的，联合体任一方提供的材料均可纳入评审)</w:t>
            </w:r>
          </w:p>
        </w:tc>
      </w:tr>
      <w:tr>
        <w:tc>
          <w:tcPr>
            <w:tcW w:type="dxa" w:w="922"/>
            <w:gridSpan w:val="2"/>
            <w:vMerge/>
          </w:tcPr>
          <w:p/>
        </w:tc>
        <w:tc>
          <w:tcPr>
            <w:tcW w:type="dxa" w:w="2307"/>
          </w:tcPr>
          <w:p>
            <w:pPr>
              <w:pStyle w:val="null3"/>
              <w:jc w:val="left"/>
            </w:pPr>
            <w:r>
              <w:rPr/>
              <w:t>项目实施人员团队（项目负责人除外） (8.0分)</w:t>
            </w:r>
          </w:p>
        </w:tc>
        <w:tc>
          <w:tcPr>
            <w:tcW w:type="dxa" w:w="5076"/>
          </w:tcPr>
          <w:p>
            <w:pPr>
              <w:pStyle w:val="null3"/>
              <w:jc w:val="left"/>
            </w:pPr>
            <w:r>
              <w:rPr/>
              <w:t>1.会商保障专业技术人员：具有副高级（或以上）职称或大气科学、环境相关专业博士学位，每人得1分，本小项最高3分。 2.项目团队其他成员：具有副高级（或以上）职称或大气科学、环境相关专业博士学位，每人得1分，本小项最高3分。 3. 团队成员具有2年以上与大气环境监测数据综合分析、预报会商研判相关的工作经验，每人得1分，本小项最高2分。 注:投标人须提供上述人员职称证书、学位证书复印件、大气环境监测数据综合分析或预报会商研判相关的工作经验证明，如项目合同（合同中需体现团队成员的名字，若合同不体现的，投标人需提供其他材料进行补充）等，以及在本公司任职的外部证明材料（如加盖政府有关部门印章的在本项目投标截止日之前六个月内任意一个月的《投保单》或《社会保险参保人员证明》等），未提供或提供不全不得分。 (联合体投标的，联合体任一方提供的材料均可纳入评审)</w:t>
            </w:r>
          </w:p>
        </w:tc>
      </w:tr>
      <w:tr>
        <w:tc>
          <w:tcPr>
            <w:tcW w:type="dxa" w:w="922"/>
            <w:gridSpan w:val="2"/>
            <w:vMerge/>
          </w:tcPr>
          <w:p/>
        </w:tc>
        <w:tc>
          <w:tcPr>
            <w:tcW w:type="dxa" w:w="2307"/>
          </w:tcPr>
          <w:p>
            <w:pPr>
              <w:pStyle w:val="null3"/>
              <w:jc w:val="left"/>
            </w:pPr>
            <w:r>
              <w:rPr/>
              <w:t>服务便利性 (4.0分)</w:t>
            </w:r>
          </w:p>
        </w:tc>
        <w:tc>
          <w:tcPr>
            <w:tcW w:type="dxa" w:w="5076"/>
          </w:tcPr>
          <w:p>
            <w:pPr>
              <w:pStyle w:val="null3"/>
              <w:jc w:val="left"/>
            </w:pPr>
            <w:r>
              <w:rPr/>
              <w:t>根据投标人服务便利性承诺内容进行评审： 1.承诺中标后有固定的办公场所，能在2小时内到达采购人办公场所的（番禺区大学城中心南大街19号），得4分； 2.承诺中标后有固定的办公场所，能在3小时内到达采购人办公场所的（番禺区大学城中心南大街19号），得2分； 3.承诺中标后有固定的办公场所，能在5小时内到达采购人办公场所的（番禺区大学城中心南大街19号），得1分； 4.其余情况不得分。 【注：投标人须按上述评审要求提供承诺函，承诺内容包括中标后有固定的办公场所以及明确到场服务时间，未提供承诺函或提供承诺函内容不符合要求导致专家无法认定的不得分。】 (联合体投标的，联合体任一方提供的材料均可纳入评审)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采购包3(基于人群时空暴露的环境健康风险评估预警):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(8.0分)</w:t>
            </w:r>
          </w:p>
        </w:tc>
        <w:tc>
          <w:tcPr>
            <w:tcW w:type="dxa" w:w="5076"/>
          </w:tcPr>
          <w:p>
            <w:pPr>
              <w:pStyle w:val="null3"/>
              <w:jc w:val="left"/>
            </w:pPr>
            <w:r>
              <w:rPr/>
              <w:t>根据各投标人对采购需求附表一“具体技术(参数)要求”序号1到4的技术条款响应程度进行评审（共4大项）：完全满足或优于招标文件要求的每大项得2分，不能全部满足的该大项不得分，最高得8分。 （注：采购需求中有明确提供的证明资料，则以采购需求中要求的为准，无或未按要求提供证明材料的不得分；如采购需求中无明确证明材料的，以投标人投标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对本项目的理解、重点难点分析方案1 (3.0分)</w:t>
            </w:r>
          </w:p>
        </w:tc>
        <w:tc>
          <w:tcPr>
            <w:tcW w:type="dxa" w:w="5076"/>
          </w:tcPr>
          <w:p>
            <w:pPr>
              <w:pStyle w:val="null3"/>
              <w:jc w:val="left"/>
            </w:pPr>
            <w:r>
              <w:rPr/>
              <w:t>根据投标人提供的对项目的理解、重点难点分析进行评审，能提供对项目的理解、重点难点分析方案，得3分，否则不得分且对本项目的理解、重点难点分析方案2均不得分。</w:t>
            </w:r>
          </w:p>
        </w:tc>
      </w:tr>
      <w:tr>
        <w:tc>
          <w:tcPr>
            <w:tcW w:type="dxa" w:w="922"/>
            <w:gridSpan w:val="2"/>
            <w:vMerge/>
          </w:tcPr>
          <w:p/>
        </w:tc>
        <w:tc>
          <w:tcPr>
            <w:tcW w:type="dxa" w:w="2307"/>
          </w:tcPr>
          <w:p>
            <w:pPr>
              <w:pStyle w:val="null3"/>
              <w:jc w:val="left"/>
            </w:pPr>
            <w:r>
              <w:rPr/>
              <w:t>对本项目的理解、重点难点分析方案2 (6.0分)</w:t>
            </w:r>
          </w:p>
        </w:tc>
        <w:tc>
          <w:tcPr>
            <w:tcW w:type="dxa" w:w="5076"/>
          </w:tcPr>
          <w:p>
            <w:pPr>
              <w:pStyle w:val="null3"/>
              <w:jc w:val="left"/>
            </w:pPr>
            <w:r>
              <w:rPr/>
              <w:t>根据对本项目的理解、重点难点分析方案1的描述进行评审，投标人提供的方案能完全满足或优于采购需求的得6分，能基本满足采购需求的得4分，能部分满足采购需求的得2分，不满足不得分。</w:t>
            </w:r>
          </w:p>
        </w:tc>
      </w:tr>
      <w:tr>
        <w:tc>
          <w:tcPr>
            <w:tcW w:type="dxa" w:w="922"/>
            <w:gridSpan w:val="2"/>
            <w:vMerge/>
          </w:tcPr>
          <w:p/>
        </w:tc>
        <w:tc>
          <w:tcPr>
            <w:tcW w:type="dxa" w:w="2307"/>
          </w:tcPr>
          <w:p>
            <w:pPr>
              <w:pStyle w:val="null3"/>
              <w:jc w:val="left"/>
            </w:pPr>
            <w:r>
              <w:rPr/>
              <w:t>项目实施方案1 (3.0分)</w:t>
            </w:r>
          </w:p>
        </w:tc>
        <w:tc>
          <w:tcPr>
            <w:tcW w:type="dxa" w:w="5076"/>
          </w:tcPr>
          <w:p>
            <w:pPr>
              <w:pStyle w:val="null3"/>
              <w:jc w:val="left"/>
            </w:pPr>
            <w:r>
              <w:rPr/>
              <w:t>根据投标人提供的项目实施方案（包括：工作方法、技术路线、服务流程）进行评审，能提供项目实施方案且方案内容同时包括以上内容的，得3分，否则不得分且项目实施方案2均不得分。</w:t>
            </w:r>
          </w:p>
        </w:tc>
      </w:tr>
      <w:tr>
        <w:tc>
          <w:tcPr>
            <w:tcW w:type="dxa" w:w="922"/>
            <w:gridSpan w:val="2"/>
            <w:vMerge/>
          </w:tcPr>
          <w:p/>
        </w:tc>
        <w:tc>
          <w:tcPr>
            <w:tcW w:type="dxa" w:w="2307"/>
          </w:tcPr>
          <w:p>
            <w:pPr>
              <w:pStyle w:val="null3"/>
              <w:jc w:val="left"/>
            </w:pPr>
            <w:r>
              <w:rPr/>
              <w:t>项目实施方案2 (8.0分)</w:t>
            </w:r>
          </w:p>
        </w:tc>
        <w:tc>
          <w:tcPr>
            <w:tcW w:type="dxa" w:w="5076"/>
          </w:tcPr>
          <w:p>
            <w:pPr>
              <w:pStyle w:val="null3"/>
              <w:jc w:val="left"/>
            </w:pPr>
            <w:r>
              <w:rPr/>
              <w:t>根据项目实施方案1的描述进行评审，投标人提供的方案能完全满足或优于采购需求的得8分，能基本满足采购需求的得5分，能部分满足采购需求的得2分，不满足不得分。</w:t>
            </w:r>
          </w:p>
        </w:tc>
      </w:tr>
      <w:tr>
        <w:tc>
          <w:tcPr>
            <w:tcW w:type="dxa" w:w="922"/>
            <w:gridSpan w:val="2"/>
            <w:vMerge/>
          </w:tcPr>
          <w:p/>
        </w:tc>
        <w:tc>
          <w:tcPr>
            <w:tcW w:type="dxa" w:w="2307"/>
          </w:tcPr>
          <w:p>
            <w:pPr>
              <w:pStyle w:val="null3"/>
              <w:jc w:val="left"/>
            </w:pPr>
            <w:r>
              <w:rPr/>
              <w:t>服务质量保障措施1 (3.0分)</w:t>
            </w:r>
          </w:p>
        </w:tc>
        <w:tc>
          <w:tcPr>
            <w:tcW w:type="dxa" w:w="5076"/>
          </w:tcPr>
          <w:p>
            <w:pPr>
              <w:pStyle w:val="null3"/>
              <w:jc w:val="left"/>
            </w:pPr>
            <w:r>
              <w:rPr/>
              <w:t>根据投标人提供的服务质量保障措施（包括：质量保证体系、质量控制程序、质量措施）进行评审，能提供服务质量保障措施且方案内容同时包括以上内容的，得3分，否则不得分且服务质量保障措施2均不得分。</w:t>
            </w:r>
          </w:p>
        </w:tc>
      </w:tr>
      <w:tr>
        <w:tc>
          <w:tcPr>
            <w:tcW w:type="dxa" w:w="922"/>
            <w:gridSpan w:val="2"/>
            <w:vMerge/>
          </w:tcPr>
          <w:p/>
        </w:tc>
        <w:tc>
          <w:tcPr>
            <w:tcW w:type="dxa" w:w="2307"/>
          </w:tcPr>
          <w:p>
            <w:pPr>
              <w:pStyle w:val="null3"/>
              <w:jc w:val="left"/>
            </w:pPr>
            <w:r>
              <w:rPr/>
              <w:t>服务质量保障措施2 (6.0分)</w:t>
            </w:r>
          </w:p>
        </w:tc>
        <w:tc>
          <w:tcPr>
            <w:tcW w:type="dxa" w:w="5076"/>
          </w:tcPr>
          <w:p>
            <w:pPr>
              <w:pStyle w:val="null3"/>
              <w:jc w:val="left"/>
            </w:pPr>
            <w:r>
              <w:rPr/>
              <w:t>根据服务质量保障措施1的描述进行评审，投标人提供的方案完全满足或优于采购需求的得6分，能基本满足采购需求的得4分，能部分满足采购需求的得2分，不满足不得分。</w:t>
            </w:r>
          </w:p>
        </w:tc>
      </w:tr>
      <w:tr>
        <w:tc>
          <w:tcPr>
            <w:tcW w:type="dxa" w:w="922"/>
            <w:gridSpan w:val="2"/>
            <w:vMerge/>
          </w:tcPr>
          <w:p/>
        </w:tc>
        <w:tc>
          <w:tcPr>
            <w:tcW w:type="dxa" w:w="2307"/>
          </w:tcPr>
          <w:p>
            <w:pPr>
              <w:pStyle w:val="null3"/>
              <w:jc w:val="left"/>
            </w:pPr>
            <w:r>
              <w:rPr/>
              <w:t>组织管理方案1 (2.0分)</w:t>
            </w:r>
          </w:p>
        </w:tc>
        <w:tc>
          <w:tcPr>
            <w:tcW w:type="dxa" w:w="5076"/>
          </w:tcPr>
          <w:p>
            <w:pPr>
              <w:pStyle w:val="null3"/>
              <w:jc w:val="left"/>
            </w:pPr>
            <w:r>
              <w:rPr/>
              <w:t>根据投标人提供的组织管理方案（包括：项目组织、管理实施、项目进度计划）进行评审，能提供组织管理方案且方案内容同时包括以上内容的，得2分，否则不得分且组织管理方案2均不得分。</w:t>
            </w:r>
          </w:p>
        </w:tc>
      </w:tr>
      <w:tr>
        <w:tc>
          <w:tcPr>
            <w:tcW w:type="dxa" w:w="922"/>
            <w:gridSpan w:val="2"/>
            <w:vMerge/>
          </w:tcPr>
          <w:p/>
        </w:tc>
        <w:tc>
          <w:tcPr>
            <w:tcW w:type="dxa" w:w="2307"/>
          </w:tcPr>
          <w:p>
            <w:pPr>
              <w:pStyle w:val="null3"/>
              <w:jc w:val="left"/>
            </w:pPr>
            <w:r>
              <w:rPr/>
              <w:t>组织管理方案2 (6.0分)</w:t>
            </w:r>
          </w:p>
        </w:tc>
        <w:tc>
          <w:tcPr>
            <w:tcW w:type="dxa" w:w="5076"/>
          </w:tcPr>
          <w:p>
            <w:pPr>
              <w:pStyle w:val="null3"/>
              <w:jc w:val="left"/>
            </w:pPr>
            <w:r>
              <w:rPr/>
              <w:t>根据组织管理方案1的描述进行评审，投标人提供的方案能完全满足或优于采购需求的得6分，能基本满足采购需求的得4分，能部分满足采购需求的得2分，不满足不得分。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投标人提供2022年1月1日（以合同签订时间或立项时间为准）以来同类环境健康风险评估相关项目业绩，每提供一份得2 分，满分10分。 注：同一项目不重复计分，须提供合同关键页扫描件（含签订合同双方的单位名称、合同项目名称、签订合同双方的落款盖章、签订日期的关键页）或研究项目获批立项的计划书作为同类业绩证明资料。不提供或资料不全不得分。</w:t>
            </w:r>
          </w:p>
        </w:tc>
      </w:tr>
      <w:tr>
        <w:tc>
          <w:tcPr>
            <w:tcW w:type="dxa" w:w="922"/>
            <w:gridSpan w:val="2"/>
            <w:vMerge/>
          </w:tcPr>
          <w:p/>
        </w:tc>
        <w:tc>
          <w:tcPr>
            <w:tcW w:type="dxa" w:w="2307"/>
          </w:tcPr>
          <w:p>
            <w:pPr>
              <w:pStyle w:val="null3"/>
              <w:jc w:val="left"/>
            </w:pPr>
            <w:r>
              <w:rPr/>
              <w:t>企业信誉 (4.0分)</w:t>
            </w:r>
          </w:p>
        </w:tc>
        <w:tc>
          <w:tcPr>
            <w:tcW w:type="dxa" w:w="5076"/>
          </w:tcPr>
          <w:p>
            <w:pPr>
              <w:pStyle w:val="null3"/>
              <w:jc w:val="left"/>
            </w:pPr>
            <w:r>
              <w:rPr/>
              <w:t>投标人提供对投标人自身（控股公司、分公司等）自2021年1月1日以来在环境监测服务项目中未受到环保主管部门公开的负面通报或通报批评、涉嫌数据造假等执法公示的承诺书，提供承诺书得4分，未提供或提供不全不得分。</w:t>
            </w:r>
          </w:p>
        </w:tc>
      </w:tr>
      <w:tr>
        <w:tc>
          <w:tcPr>
            <w:tcW w:type="dxa" w:w="922"/>
            <w:gridSpan w:val="2"/>
            <w:vMerge/>
          </w:tcPr>
          <w:p/>
        </w:tc>
        <w:tc>
          <w:tcPr>
            <w:tcW w:type="dxa" w:w="2307"/>
          </w:tcPr>
          <w:p>
            <w:pPr>
              <w:pStyle w:val="null3"/>
              <w:jc w:val="left"/>
            </w:pPr>
            <w:r>
              <w:rPr/>
              <w:t>项目负责人（限1人） (10.0分)</w:t>
            </w:r>
          </w:p>
        </w:tc>
        <w:tc>
          <w:tcPr>
            <w:tcW w:type="dxa" w:w="5076"/>
          </w:tcPr>
          <w:p>
            <w:pPr>
              <w:pStyle w:val="null3"/>
              <w:jc w:val="left"/>
            </w:pPr>
            <w:r>
              <w:rPr/>
              <w:t>1.具有环境/地理相关专业正高级职称的，得4分；具有环境/地理相关专业副高级职称的，得2分，其他不得分，本小项最高得4分。 2.具有环境/地理相关专业的博士学位，得3分；硕士研究生学位，得1分。本小项最高得3分。 3.具有5年以上环境健康相关研究的工作经验，得3分，本项最高得3分。 【注:投标人须提供上述人员学位证书、职称证书、环境健康相关研究工作经验证明，如服务项目合同或科研项目任务书(合同或任务书中需体现项目负责人的名字)等复印件，以及在本公司任职的外部证明材料（如加盖政府有关部门印章的在本项目投标截止日之前六个月内任意一个月的《投保单》或《社会保险参保人员证明》等），未提供或提供不全不得分。】</w:t>
            </w:r>
          </w:p>
        </w:tc>
      </w:tr>
      <w:tr>
        <w:tc>
          <w:tcPr>
            <w:tcW w:type="dxa" w:w="922"/>
            <w:gridSpan w:val="2"/>
            <w:vMerge/>
          </w:tcPr>
          <w:p/>
        </w:tc>
        <w:tc>
          <w:tcPr>
            <w:tcW w:type="dxa" w:w="2307"/>
          </w:tcPr>
          <w:p>
            <w:pPr>
              <w:pStyle w:val="null3"/>
              <w:jc w:val="left"/>
            </w:pPr>
            <w:r>
              <w:rPr/>
              <w:t>项目实施人员团队（项目负责人除外） (16.0分)</w:t>
            </w:r>
          </w:p>
        </w:tc>
        <w:tc>
          <w:tcPr>
            <w:tcW w:type="dxa" w:w="5076"/>
          </w:tcPr>
          <w:p>
            <w:pPr>
              <w:pStyle w:val="null3"/>
              <w:jc w:val="left"/>
            </w:pPr>
            <w:r>
              <w:rPr/>
              <w:t>1.具有环境/地理相关专业博士学位且有高级职称的每人得4分，本小项最高分8分。 2.具有硕士以上学位或中级（含）以上职称，每人1分，本小项最高5分。 3.具有5年以上环境健康研究的工作经验，得3分，本项最高得3分。 【注:同一人员不得重复计分，投标人须提供上述人员职称证书、学位证书、环境健康相关研究工作经验证明，如服务项目合同或科研项目任务书(合同或任务书中需体现团队成员的名字)等复印件，以及在本公司任职的外部证明材料（如加盖政府有关部门印章的在本项目投标截止日之前六个月内任意一个月的《投保单》或《社会保险参保人员证明》等），未提供或提供不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合同编号：</w:t>
      </w:r>
      <w:r>
        <w:rPr>
          <w:sz w:val="21"/>
        </w:rPr>
        <w:t xml:space="preserve">  </w:t>
      </w:r>
    </w:p>
    <w:p>
      <w:pPr>
        <w:pStyle w:val="null3"/>
        <w:ind w:firstLine="482"/>
        <w:jc w:val="center"/>
      </w:pPr>
      <w:r>
        <w:rPr>
          <w:sz w:val="21"/>
          <w:b/>
        </w:rPr>
        <w:t xml:space="preserve">  </w:t>
      </w:r>
    </w:p>
    <w:p>
      <w:pPr>
        <w:pStyle w:val="null3"/>
        <w:ind w:firstLine="482"/>
        <w:jc w:val="center"/>
      </w:pPr>
      <w:r>
        <w:rPr>
          <w:sz w:val="21"/>
          <w:b/>
        </w:rPr>
        <w:t xml:space="preserve"> </w:t>
      </w:r>
    </w:p>
    <w:p>
      <w:pPr>
        <w:pStyle w:val="null3"/>
        <w:ind w:firstLine="482"/>
        <w:jc w:val="center"/>
      </w:pPr>
      <w:r>
        <w:rPr>
          <w:sz w:val="21"/>
          <w:b/>
        </w:rPr>
        <w:t xml:space="preserve"> </w:t>
      </w:r>
    </w:p>
    <w:p>
      <w:pPr>
        <w:pStyle w:val="null3"/>
        <w:ind w:firstLine="482"/>
        <w:jc w:val="center"/>
      </w:pPr>
      <w:r>
        <w:rPr>
          <w:sz w:val="21"/>
          <w:b/>
        </w:rPr>
        <w:t xml:space="preserve"> </w:t>
      </w:r>
    </w:p>
    <w:p>
      <w:pPr>
        <w:pStyle w:val="null3"/>
        <w:ind w:firstLine="482"/>
        <w:jc w:val="center"/>
      </w:pPr>
      <w:r>
        <w:rPr>
          <w:sz w:val="21"/>
          <w:b/>
        </w:rPr>
        <w:t xml:space="preserve"> </w:t>
      </w:r>
    </w:p>
    <w:p>
      <w:pPr>
        <w:pStyle w:val="null3"/>
        <w:jc w:val="center"/>
      </w:pPr>
      <w:r>
        <w:rPr>
          <w:sz w:val="56"/>
          <w:b/>
        </w:rPr>
        <w:t>广东省广州生态环境监测中心站</w:t>
      </w:r>
    </w:p>
    <w:p>
      <w:pPr>
        <w:pStyle w:val="null3"/>
        <w:jc w:val="center"/>
      </w:pPr>
      <w:r>
        <w:rPr>
          <w:sz w:val="56"/>
          <w:b/>
        </w:rPr>
        <w:t>招</w:t>
      </w:r>
      <w:r>
        <w:rPr>
          <w:sz w:val="56"/>
          <w:b/>
        </w:rPr>
        <w:t>标</w:t>
      </w:r>
      <w:r>
        <w:rPr>
          <w:sz w:val="21"/>
          <w:b/>
        </w:rPr>
        <w:t xml:space="preserve"> </w:t>
      </w:r>
      <w:r>
        <w:rPr>
          <w:sz w:val="56"/>
          <w:b/>
        </w:rPr>
        <w:t>合</w:t>
      </w:r>
      <w:r>
        <w:rPr>
          <w:sz w:val="21"/>
          <w:b/>
        </w:rPr>
        <w:t xml:space="preserve"> </w:t>
      </w:r>
      <w:r>
        <w:rPr>
          <w:sz w:val="56"/>
          <w:b/>
        </w:rPr>
        <w:t>同</w:t>
      </w:r>
    </w:p>
    <w:p>
      <w:pPr>
        <w:pStyle w:val="null3"/>
        <w:jc w:val="center"/>
      </w:pPr>
      <w:r>
        <w:rPr>
          <w:sz w:val="52"/>
        </w:rPr>
        <w:t>（服务类）</w:t>
      </w:r>
    </w:p>
    <w:p>
      <w:pPr>
        <w:pStyle w:val="null3"/>
        <w:jc w:val="center"/>
      </w:pPr>
      <w:r>
        <w:br/>
      </w:r>
    </w:p>
    <w:p>
      <w:pPr>
        <w:pStyle w:val="null3"/>
        <w:ind w:firstLine="720"/>
        <w:jc w:val="both"/>
      </w:pPr>
      <w:r>
        <w:rPr>
          <w:sz w:val="24"/>
        </w:rPr>
        <w:t>项目名称：</w:t>
      </w:r>
      <w:r>
        <w:rPr>
          <w:sz w:val="21"/>
          <w:u w:val="single"/>
        </w:rPr>
        <w:t xml:space="preserve">                                    </w:t>
      </w:r>
    </w:p>
    <w:p>
      <w:pPr>
        <w:pStyle w:val="null3"/>
        <w:jc w:val="both"/>
      </w:pPr>
      <w:r>
        <w:rPr>
          <w:sz w:val="24"/>
        </w:rPr>
        <w:t>需方（甲方）：</w:t>
      </w:r>
      <w:r>
        <w:rPr>
          <w:sz w:val="21"/>
          <w:u w:val="single"/>
        </w:rPr>
        <w:t xml:space="preserve">                                 </w:t>
      </w:r>
    </w:p>
    <w:p>
      <w:pPr>
        <w:pStyle w:val="null3"/>
        <w:jc w:val="both"/>
      </w:pPr>
      <w:r>
        <w:rPr>
          <w:sz w:val="24"/>
        </w:rPr>
        <w:t>供方（乙方）：</w:t>
      </w:r>
      <w:r>
        <w:rPr>
          <w:sz w:val="21"/>
          <w:u w:val="single"/>
        </w:rPr>
        <w:t xml:space="preserve">                                 </w:t>
      </w:r>
    </w:p>
    <w:p>
      <w:pPr>
        <w:pStyle w:val="null3"/>
        <w:jc w:val="both"/>
      </w:pPr>
      <w:r>
        <w:rPr>
          <w:sz w:val="24"/>
        </w:rPr>
        <w:t>签订时间：</w:t>
      </w:r>
      <w:r>
        <w:rPr>
          <w:sz w:val="21"/>
          <w:u w:val="single"/>
        </w:rPr>
        <w:t xml:space="preserve">                                     </w:t>
      </w:r>
    </w:p>
    <w:p>
      <w:pPr>
        <w:pStyle w:val="null3"/>
        <w:jc w:val="both"/>
      </w:pPr>
      <w:r>
        <w:rPr>
          <w:sz w:val="24"/>
        </w:rPr>
        <w:t>签订地点：</w:t>
      </w:r>
      <w:r>
        <w:rPr>
          <w:sz w:val="21"/>
          <w:u w:val="single"/>
        </w:rPr>
        <w:t xml:space="preserve">                                     </w:t>
      </w:r>
    </w:p>
    <w:p>
      <w:pPr>
        <w:pStyle w:val="null3"/>
        <w:ind w:firstLine="277"/>
        <w:jc w:val="both"/>
      </w:pPr>
      <w:r>
        <w:rPr>
          <w:sz w:val="24"/>
        </w:rPr>
        <w:t>根据《中华人民共和国政府采购法》、《中华人民共和国民法典》以及</w:t>
      </w:r>
      <w:r>
        <w:rPr>
          <w:u w:val="single"/>
        </w:rPr>
        <w:t xml:space="preserve">    </w:t>
      </w:r>
      <w:r>
        <w:rPr>
          <w:sz w:val="24"/>
        </w:rPr>
        <w:t>年</w:t>
      </w:r>
      <w:r>
        <w:rPr>
          <w:u w:val="single"/>
        </w:rPr>
        <w:t xml:space="preserve">   </w:t>
      </w:r>
      <w:r>
        <w:rPr>
          <w:sz w:val="24"/>
        </w:rPr>
        <w:t>月</w:t>
      </w:r>
      <w:r>
        <w:rPr>
          <w:u w:val="single"/>
        </w:rPr>
        <w:t xml:space="preserve">   </w:t>
      </w:r>
      <w:r>
        <w:rPr>
          <w:sz w:val="24"/>
        </w:rPr>
        <w:t>日开标的</w:t>
      </w:r>
      <w:r>
        <w:rPr>
          <w:u w:val="single"/>
        </w:rPr>
        <w:t xml:space="preserve">                        </w:t>
      </w:r>
      <w:r>
        <w:rPr>
          <w:sz w:val="24"/>
        </w:rPr>
        <w:t>项目（招标编号：</w:t>
      </w:r>
      <w:r>
        <w:rPr>
          <w:sz w:val="24"/>
        </w:rPr>
        <w:t xml:space="preserve">          </w:t>
      </w:r>
      <w:r>
        <w:rPr>
          <w:sz w:val="24"/>
        </w:rPr>
        <w:t>）的要</w:t>
      </w:r>
      <w:r>
        <w:rPr>
          <w:sz w:val="24"/>
        </w:rPr>
        <w:t>求，就甲方向乙方采购以下服务，经双方协商一致，签订本合同。</w:t>
      </w:r>
    </w:p>
    <w:p>
      <w:pPr>
        <w:pStyle w:val="null3"/>
      </w:pPr>
      <w:r>
        <w:rPr/>
        <w:t xml:space="preserve"> </w:t>
      </w:r>
    </w:p>
    <w:p>
      <w:pPr>
        <w:pStyle w:val="null3"/>
        <w:jc w:val="both"/>
      </w:pPr>
      <w:r>
        <w:rPr>
          <w:sz w:val="24"/>
          <w:b/>
        </w:rPr>
        <w:t>一、服务内容</w:t>
      </w:r>
    </w:p>
    <w:p>
      <w:pPr>
        <w:pStyle w:val="null3"/>
        <w:ind w:firstLine="480"/>
        <w:jc w:val="left"/>
      </w:pPr>
      <w:r>
        <w:rPr>
          <w:sz w:val="24"/>
        </w:rPr>
        <w:t>（一）</w:t>
      </w:r>
      <w:r>
        <w:rPr>
          <w:sz w:val="24"/>
        </w:rPr>
        <w:t>服务内容</w:t>
      </w:r>
    </w:p>
    <w:p>
      <w:pPr>
        <w:pStyle w:val="null3"/>
        <w:ind w:firstLine="480"/>
        <w:jc w:val="both"/>
      </w:pPr>
      <w:r>
        <w:rPr>
          <w:sz w:val="24"/>
        </w:rPr>
        <w:t>1、</w:t>
      </w:r>
      <w:r>
        <w:rPr>
          <w:sz w:val="21"/>
          <w:u w:val="single"/>
        </w:rPr>
        <w:t xml:space="preserve">     </w:t>
      </w:r>
      <w:r>
        <w:rPr>
          <w:sz w:val="24"/>
        </w:rPr>
        <w:t>。</w:t>
      </w:r>
    </w:p>
    <w:p>
      <w:pPr>
        <w:pStyle w:val="null3"/>
        <w:ind w:firstLine="480"/>
        <w:jc w:val="both"/>
      </w:pPr>
      <w:r>
        <w:rPr>
          <w:sz w:val="24"/>
        </w:rPr>
        <w:t>2、......</w:t>
      </w:r>
    </w:p>
    <w:p>
      <w:pPr>
        <w:pStyle w:val="null3"/>
        <w:ind w:firstLine="480"/>
        <w:jc w:val="both"/>
      </w:pPr>
      <w:r>
        <w:rPr>
          <w:sz w:val="24"/>
        </w:rPr>
        <w:t>（根据各采购包的具体技术</w:t>
      </w:r>
      <w:r>
        <w:rPr>
          <w:sz w:val="24"/>
        </w:rPr>
        <w:t>(参数)要求中全部内容填写）</w:t>
      </w:r>
    </w:p>
    <w:p>
      <w:pPr>
        <w:pStyle w:val="null3"/>
        <w:ind w:firstLine="480"/>
        <w:jc w:val="left"/>
      </w:pPr>
      <w:r>
        <w:rPr>
          <w:sz w:val="24"/>
        </w:rPr>
        <w:t>（二）</w:t>
      </w:r>
      <w:r>
        <w:rPr>
          <w:sz w:val="24"/>
        </w:rPr>
        <w:t>服务成果</w:t>
      </w:r>
    </w:p>
    <w:p>
      <w:pPr>
        <w:pStyle w:val="null3"/>
        <w:ind w:firstLine="480"/>
        <w:jc w:val="both"/>
      </w:pPr>
      <w:r>
        <w:rPr>
          <w:sz w:val="24"/>
        </w:rPr>
        <w:t>1、</w:t>
      </w:r>
      <w:r>
        <w:rPr>
          <w:sz w:val="21"/>
          <w:u w:val="single"/>
        </w:rPr>
        <w:t xml:space="preserve">     </w:t>
      </w:r>
      <w:r>
        <w:rPr>
          <w:sz w:val="24"/>
        </w:rPr>
        <w:t>。</w:t>
      </w:r>
    </w:p>
    <w:p>
      <w:pPr>
        <w:pStyle w:val="null3"/>
        <w:ind w:firstLine="480"/>
        <w:jc w:val="both"/>
      </w:pPr>
      <w:r>
        <w:rPr>
          <w:sz w:val="24"/>
        </w:rPr>
        <w:t>2、......</w:t>
      </w:r>
    </w:p>
    <w:p>
      <w:pPr>
        <w:pStyle w:val="null3"/>
        <w:ind w:firstLine="480"/>
        <w:jc w:val="both"/>
      </w:pPr>
      <w:r>
        <w:rPr>
          <w:sz w:val="24"/>
        </w:rPr>
        <w:t>（根据各采购包的具体技术</w:t>
      </w:r>
      <w:r>
        <w:rPr>
          <w:sz w:val="24"/>
        </w:rPr>
        <w:t>(参数)要求中全部内容填写）</w:t>
      </w:r>
    </w:p>
    <w:p>
      <w:pPr>
        <w:pStyle w:val="null3"/>
        <w:jc w:val="both"/>
      </w:pPr>
      <w:r>
        <w:rPr>
          <w:sz w:val="24"/>
          <w:b/>
        </w:rPr>
        <w:t>二、服务技术要求</w:t>
      </w:r>
    </w:p>
    <w:p>
      <w:pPr>
        <w:pStyle w:val="null3"/>
        <w:ind w:firstLine="480"/>
        <w:jc w:val="both"/>
      </w:pPr>
      <w:r>
        <w:rPr>
          <w:sz w:val="24"/>
        </w:rPr>
        <w:t>1、</w:t>
      </w:r>
      <w:r>
        <w:rPr>
          <w:sz w:val="21"/>
          <w:u w:val="single"/>
        </w:rPr>
        <w:t xml:space="preserve">     </w:t>
      </w:r>
      <w:r>
        <w:rPr>
          <w:sz w:val="24"/>
        </w:rPr>
        <w:t>。</w:t>
      </w:r>
    </w:p>
    <w:p>
      <w:pPr>
        <w:pStyle w:val="null3"/>
        <w:ind w:firstLine="480"/>
        <w:jc w:val="both"/>
      </w:pPr>
      <w:r>
        <w:rPr>
          <w:sz w:val="24"/>
        </w:rPr>
        <w:t>2、......</w:t>
      </w:r>
    </w:p>
    <w:p>
      <w:pPr>
        <w:pStyle w:val="null3"/>
        <w:ind w:firstLine="480"/>
        <w:jc w:val="both"/>
      </w:pPr>
      <w:r>
        <w:rPr>
          <w:sz w:val="24"/>
        </w:rPr>
        <w:t>（根据各采购包的具体技术</w:t>
      </w:r>
      <w:r>
        <w:rPr>
          <w:sz w:val="24"/>
        </w:rPr>
        <w:t>(参数)要求中全部内容填写）</w:t>
      </w:r>
    </w:p>
    <w:p>
      <w:pPr>
        <w:pStyle w:val="null3"/>
        <w:jc w:val="both"/>
      </w:pPr>
      <w:r>
        <w:rPr>
          <w:sz w:val="24"/>
          <w:b/>
        </w:rPr>
        <w:t>三、服务人员要求</w:t>
      </w:r>
    </w:p>
    <w:p>
      <w:pPr>
        <w:pStyle w:val="null3"/>
        <w:ind w:firstLine="480"/>
        <w:jc w:val="both"/>
      </w:pPr>
      <w:r>
        <w:rPr>
          <w:sz w:val="24"/>
        </w:rPr>
        <w:t>1、</w:t>
      </w:r>
      <w:r>
        <w:rPr>
          <w:sz w:val="21"/>
          <w:u w:val="single"/>
        </w:rPr>
        <w:t xml:space="preserve">     </w:t>
      </w:r>
      <w:r>
        <w:rPr>
          <w:sz w:val="24"/>
        </w:rPr>
        <w:t>。</w:t>
      </w:r>
    </w:p>
    <w:p>
      <w:pPr>
        <w:pStyle w:val="null3"/>
        <w:ind w:firstLine="480"/>
        <w:jc w:val="both"/>
      </w:pPr>
      <w:r>
        <w:rPr>
          <w:sz w:val="24"/>
        </w:rPr>
        <w:t>2、......</w:t>
      </w:r>
    </w:p>
    <w:p>
      <w:pPr>
        <w:pStyle w:val="null3"/>
        <w:ind w:firstLine="480"/>
        <w:jc w:val="both"/>
      </w:pPr>
      <w:r>
        <w:rPr>
          <w:sz w:val="24"/>
        </w:rPr>
        <w:t>（根据各采购包的具体技术</w:t>
      </w:r>
      <w:r>
        <w:rPr>
          <w:sz w:val="24"/>
        </w:rPr>
        <w:t>(</w:t>
      </w:r>
      <w:r>
        <w:rPr>
          <w:sz w:val="24"/>
        </w:rPr>
        <w:t>参数</w:t>
      </w:r>
      <w:r>
        <w:rPr>
          <w:sz w:val="24"/>
        </w:rPr>
        <w:t>)</w:t>
      </w:r>
      <w:r>
        <w:rPr>
          <w:sz w:val="24"/>
        </w:rPr>
        <w:t>要求中全部内容填写）</w:t>
      </w:r>
    </w:p>
    <w:p>
      <w:pPr>
        <w:pStyle w:val="null3"/>
        <w:jc w:val="both"/>
      </w:pPr>
      <w:r>
        <w:rPr>
          <w:sz w:val="24"/>
          <w:b/>
        </w:rPr>
        <w:t>四、合同金额及支付方式</w:t>
      </w:r>
    </w:p>
    <w:p>
      <w:pPr>
        <w:pStyle w:val="null3"/>
        <w:ind w:firstLine="480"/>
        <w:jc w:val="both"/>
      </w:pPr>
      <w:r>
        <w:rPr>
          <w:sz w:val="24"/>
        </w:rPr>
        <w:t>1、合同金额为（大写）：人民币          元整（小写：¥         ）。该费用为包干价，本合同执行期间合同总金额不变。本合同的金额如需政府采购支付部门审核确定的，以政府采购支付部门审核确定的金额为准。</w:t>
      </w:r>
    </w:p>
    <w:p>
      <w:pPr>
        <w:pStyle w:val="null3"/>
        <w:ind w:firstLine="480"/>
        <w:jc w:val="both"/>
      </w:pPr>
      <w:r>
        <w:rPr>
          <w:sz w:val="24"/>
        </w:rPr>
        <w:t>2、付款方式</w:t>
      </w:r>
    </w:p>
    <w:p>
      <w:pPr>
        <w:pStyle w:val="null3"/>
        <w:ind w:firstLine="480"/>
        <w:jc w:val="both"/>
      </w:pPr>
      <w:r>
        <w:rPr>
          <w:sz w:val="24"/>
        </w:rPr>
        <w:t>（</w:t>
      </w:r>
      <w:r>
        <w:rPr>
          <w:sz w:val="24"/>
        </w:rPr>
        <w:t>1）第一期：合同签定并收发票后，于5个工作日内预付合同总额50%款项；（即¥      大写：                元整）的款项。</w:t>
      </w:r>
    </w:p>
    <w:p>
      <w:pPr>
        <w:pStyle w:val="null3"/>
        <w:ind w:firstLine="480"/>
        <w:jc w:val="both"/>
      </w:pPr>
      <w:r>
        <w:rPr>
          <w:sz w:val="24"/>
        </w:rPr>
        <w:t>（</w:t>
      </w:r>
      <w:r>
        <w:rPr>
          <w:sz w:val="24"/>
        </w:rPr>
        <w:t>2）第二期：甲方在乙方            ，且经过验收合格，并收到发票后，于5个工作日内支付合同总额40%款项；（即¥      大写：                元整）的款项。</w:t>
      </w:r>
    </w:p>
    <w:p>
      <w:pPr>
        <w:pStyle w:val="null3"/>
        <w:ind w:firstLine="480"/>
        <w:jc w:val="both"/>
      </w:pPr>
      <w:r>
        <w:rPr>
          <w:sz w:val="24"/>
        </w:rPr>
        <w:t>（</w:t>
      </w:r>
      <w:r>
        <w:rPr>
          <w:sz w:val="24"/>
        </w:rPr>
        <w:t>3）第三期：甲方在乙方完成全运会和残</w:t>
      </w:r>
      <w:r>
        <w:rPr>
          <w:sz w:val="24"/>
        </w:rPr>
        <w:t>特奥会</w:t>
      </w:r>
      <w:r>
        <w:rPr>
          <w:sz w:val="24"/>
        </w:rPr>
        <w:t>会期监测保障服务后，提交监测报告、会商报告或评估报告、总结报告，并收到发票后，于</w:t>
      </w:r>
      <w:r>
        <w:rPr>
          <w:sz w:val="24"/>
        </w:rPr>
        <w:t>5个工作日内支付合同总额10%款项。（即¥      大写：                元整）的款项。</w:t>
      </w:r>
    </w:p>
    <w:p>
      <w:pPr>
        <w:pStyle w:val="null3"/>
        <w:ind w:firstLine="480"/>
        <w:jc w:val="both"/>
      </w:pPr>
      <w:r>
        <w:rPr>
          <w:sz w:val="24"/>
        </w:rPr>
        <w:t>3、乙方凭以下有效的文件向甲方提出支付申请：</w:t>
      </w:r>
    </w:p>
    <w:p>
      <w:pPr>
        <w:pStyle w:val="null3"/>
        <w:ind w:firstLine="480"/>
        <w:jc w:val="both"/>
      </w:pPr>
      <w:r>
        <w:rPr>
          <w:sz w:val="24"/>
        </w:rPr>
        <w:t>（</w:t>
      </w:r>
      <w:r>
        <w:rPr>
          <w:sz w:val="24"/>
        </w:rPr>
        <w:t>1）项目合同；</w:t>
      </w:r>
    </w:p>
    <w:p>
      <w:pPr>
        <w:pStyle w:val="null3"/>
        <w:ind w:firstLine="480"/>
        <w:jc w:val="both"/>
      </w:pPr>
      <w:r>
        <w:rPr>
          <w:sz w:val="24"/>
        </w:rPr>
        <w:t>（</w:t>
      </w:r>
      <w:r>
        <w:rPr>
          <w:sz w:val="24"/>
        </w:rPr>
        <w:t>2）按法律规定开具相应的发票；</w:t>
      </w:r>
    </w:p>
    <w:p>
      <w:pPr>
        <w:pStyle w:val="null3"/>
        <w:ind w:firstLine="480"/>
        <w:jc w:val="both"/>
      </w:pPr>
      <w:r>
        <w:rPr>
          <w:sz w:val="24"/>
        </w:rPr>
        <w:t>（</w:t>
      </w:r>
      <w:r>
        <w:rPr>
          <w:sz w:val="24"/>
        </w:rPr>
        <w:t>3）项目中标（成交）通知书；</w:t>
      </w:r>
    </w:p>
    <w:p>
      <w:pPr>
        <w:pStyle w:val="null3"/>
        <w:ind w:firstLine="480"/>
        <w:jc w:val="both"/>
      </w:pPr>
      <w:r>
        <w:rPr>
          <w:sz w:val="24"/>
        </w:rPr>
        <w:t>（</w:t>
      </w:r>
      <w:r>
        <w:rPr>
          <w:sz w:val="24"/>
        </w:rPr>
        <w:t>4）服务进度成果材料。</w:t>
      </w:r>
    </w:p>
    <w:p>
      <w:pPr>
        <w:pStyle w:val="null3"/>
        <w:ind w:firstLine="480"/>
        <w:jc w:val="both"/>
      </w:pPr>
      <w:r>
        <w:rPr>
          <w:sz w:val="24"/>
        </w:rPr>
        <w:t>4、关于款项支付的其他说明：</w:t>
      </w:r>
    </w:p>
    <w:p>
      <w:pPr>
        <w:pStyle w:val="null3"/>
        <w:ind w:firstLine="480"/>
        <w:jc w:val="both"/>
      </w:pPr>
      <w:r>
        <w:rPr>
          <w:sz w:val="24"/>
        </w:rPr>
        <w:t>（</w:t>
      </w:r>
      <w:r>
        <w:rPr>
          <w:sz w:val="24"/>
        </w:rPr>
        <w:t>1）乙方有义务向甲方提供申请财政付款所需文件材料。除了证明服务进度成果材料之外，乙方还必须向甲方相应的款项发票作为请款凭据。如对申请材料有其他要求的，乙方也应配合及时提供。如乙方未按本合同约定及时提供请款所需材料和发票的，甲方有权延缓申请支付，直至收到乙方提供的材料和发票时止，而不视为甲方违约。</w:t>
      </w:r>
    </w:p>
    <w:p>
      <w:pPr>
        <w:pStyle w:val="null3"/>
        <w:ind w:firstLine="480"/>
        <w:jc w:val="both"/>
      </w:pPr>
      <w:r>
        <w:rPr>
          <w:sz w:val="24"/>
        </w:rPr>
        <w:t>（</w:t>
      </w:r>
      <w:r>
        <w:rPr>
          <w:sz w:val="24"/>
        </w:rPr>
        <w:t>2）由于甲方使用的是财政性资金，甲方向财政部门申请支付即视为履行了付款义务，乙方不得因财政部门审核需要时间、拨款迟延等原因要求甲方承担迟延付款的责任，更不得因此怠于履行合同义务。</w:t>
      </w:r>
    </w:p>
    <w:p>
      <w:pPr>
        <w:pStyle w:val="null3"/>
        <w:jc w:val="both"/>
      </w:pPr>
      <w:r>
        <w:rPr>
          <w:sz w:val="24"/>
          <w:b/>
        </w:rPr>
        <w:t>五、服务</w:t>
      </w:r>
      <w:r>
        <w:rPr>
          <w:sz w:val="24"/>
          <w:b/>
        </w:rPr>
        <w:t>期限</w:t>
      </w:r>
    </w:p>
    <w:p>
      <w:pPr>
        <w:pStyle w:val="null3"/>
        <w:ind w:firstLine="480"/>
        <w:jc w:val="both"/>
      </w:pPr>
      <w:r>
        <w:rPr>
          <w:sz w:val="24"/>
        </w:rPr>
        <w:t>委托服务期自</w:t>
      </w:r>
      <w:r>
        <w:rPr>
          <w:sz w:val="24"/>
        </w:rPr>
        <w:t xml:space="preserve">      </w:t>
      </w:r>
      <w:r>
        <w:rPr>
          <w:sz w:val="24"/>
        </w:rPr>
        <w:t>至</w:t>
      </w:r>
      <w:r>
        <w:rPr>
          <w:sz w:val="24"/>
        </w:rPr>
        <w:t xml:space="preserve">       </w:t>
      </w:r>
      <w:r>
        <w:rPr>
          <w:sz w:val="24"/>
        </w:rPr>
        <w:t>结束。</w:t>
      </w:r>
    </w:p>
    <w:p>
      <w:pPr>
        <w:pStyle w:val="null3"/>
        <w:jc w:val="both"/>
      </w:pPr>
      <w:r>
        <w:rPr>
          <w:sz w:val="24"/>
          <w:b/>
        </w:rPr>
        <w:t>六、双方的权利和义务</w:t>
      </w:r>
    </w:p>
    <w:p>
      <w:pPr>
        <w:pStyle w:val="null3"/>
        <w:ind w:firstLine="480"/>
        <w:jc w:val="both"/>
      </w:pPr>
      <w:r>
        <w:rPr>
          <w:sz w:val="24"/>
        </w:rPr>
        <w:t>1、 甲方的权利和义务</w:t>
      </w:r>
    </w:p>
    <w:p>
      <w:pPr>
        <w:pStyle w:val="null3"/>
        <w:ind w:firstLine="480"/>
        <w:jc w:val="both"/>
      </w:pPr>
      <w:r>
        <w:rPr>
          <w:sz w:val="24"/>
        </w:rPr>
        <w:t>（</w:t>
      </w:r>
      <w:r>
        <w:rPr>
          <w:sz w:val="24"/>
        </w:rPr>
        <w:t>1）在合同执行期内，甲方应积极配合乙方做好服务工作。</w:t>
      </w:r>
    </w:p>
    <w:p>
      <w:pPr>
        <w:pStyle w:val="null3"/>
        <w:ind w:firstLine="480"/>
        <w:jc w:val="both"/>
      </w:pPr>
      <w:r>
        <w:rPr>
          <w:sz w:val="24"/>
        </w:rPr>
        <w:t>（</w:t>
      </w:r>
      <w:r>
        <w:rPr>
          <w:sz w:val="24"/>
        </w:rPr>
        <w:t>2）在服务期内，甲方应组织对乙方人员的工作态度、技术水平进行监督，并汇总收集和及时反馈意见，以便改正乙方的不足与缺点。</w:t>
      </w:r>
    </w:p>
    <w:p>
      <w:pPr>
        <w:pStyle w:val="null3"/>
        <w:ind w:firstLine="480"/>
        <w:jc w:val="both"/>
      </w:pPr>
      <w:r>
        <w:rPr>
          <w:sz w:val="24"/>
        </w:rPr>
        <w:t>（</w:t>
      </w:r>
      <w:r>
        <w:rPr>
          <w:sz w:val="24"/>
        </w:rPr>
        <w:t>3）在服务期内，甲方针对乙方服务内容开展相应的监督，如发现工作中存在质量或其他问题的，乙方应及时整改。</w:t>
      </w:r>
    </w:p>
    <w:p>
      <w:pPr>
        <w:pStyle w:val="null3"/>
        <w:ind w:firstLine="480"/>
        <w:jc w:val="both"/>
      </w:pPr>
      <w:r>
        <w:rPr>
          <w:sz w:val="24"/>
        </w:rPr>
        <w:t>2、乙方的权利和义务</w:t>
      </w:r>
    </w:p>
    <w:p>
      <w:pPr>
        <w:pStyle w:val="null3"/>
        <w:ind w:firstLine="480"/>
        <w:jc w:val="both"/>
      </w:pPr>
      <w:r>
        <w:rPr>
          <w:sz w:val="24"/>
        </w:rPr>
        <w:t>（</w:t>
      </w:r>
      <w:r>
        <w:rPr>
          <w:sz w:val="24"/>
        </w:rPr>
        <w:t>1）在合同期内，乙方需按照甲方要求开展服务工作。</w:t>
      </w:r>
    </w:p>
    <w:p>
      <w:pPr>
        <w:pStyle w:val="null3"/>
        <w:ind w:firstLine="480"/>
        <w:jc w:val="both"/>
      </w:pPr>
      <w:r>
        <w:rPr>
          <w:sz w:val="24"/>
        </w:rPr>
        <w:t>（</w:t>
      </w:r>
      <w:r>
        <w:rPr>
          <w:sz w:val="24"/>
        </w:rPr>
        <w:t>2）合同期内，乙方的服务需符合相关要求标准，如果由于不符合导致重新开展工作的，费用由乙方负责。</w:t>
      </w:r>
    </w:p>
    <w:p>
      <w:pPr>
        <w:pStyle w:val="null3"/>
        <w:ind w:firstLine="480"/>
        <w:jc w:val="both"/>
      </w:pPr>
      <w:r>
        <w:rPr>
          <w:sz w:val="24"/>
        </w:rPr>
        <w:t>（</w:t>
      </w:r>
      <w:r>
        <w:rPr>
          <w:sz w:val="24"/>
        </w:rPr>
        <w:t>3）乙方应承担本项目的安全生产责任。乙方在项目实施过程中造成的第三方的人身及财产损失，由乙方独自承担相应的法律和经济责任，与甲方无关；造成甲方经济损失的，由乙方承担，甲方保留追究其法律责任的权利。</w:t>
      </w:r>
    </w:p>
    <w:p>
      <w:pPr>
        <w:pStyle w:val="null3"/>
        <w:jc w:val="both"/>
      </w:pPr>
      <w:r>
        <w:rPr>
          <w:sz w:val="24"/>
          <w:b/>
        </w:rPr>
        <w:t>七、验收条款</w:t>
      </w:r>
    </w:p>
    <w:p>
      <w:pPr>
        <w:pStyle w:val="null3"/>
        <w:jc w:val="both"/>
      </w:pPr>
      <w:r>
        <w:rPr>
          <w:sz w:val="24"/>
        </w:rPr>
        <w:t>1</w:t>
      </w:r>
      <w:r>
        <w:rPr>
          <w:sz w:val="24"/>
        </w:rPr>
        <w:t>、</w:t>
      </w:r>
      <w:r>
        <w:rPr>
          <w:sz w:val="24"/>
        </w:rPr>
        <w:t>验收时间及方式：项目完成后，由</w:t>
      </w:r>
      <w:r>
        <w:rPr>
          <w:sz w:val="24"/>
        </w:rPr>
        <w:t>乙方</w:t>
      </w:r>
      <w:r>
        <w:rPr>
          <w:sz w:val="24"/>
        </w:rPr>
        <w:t>提出验收申请，由</w:t>
      </w:r>
      <w:r>
        <w:rPr>
          <w:sz w:val="24"/>
        </w:rPr>
        <w:t>甲方</w:t>
      </w:r>
      <w:r>
        <w:rPr>
          <w:sz w:val="24"/>
        </w:rPr>
        <w:t>7</w:t>
      </w:r>
      <w:r>
        <w:rPr>
          <w:sz w:val="24"/>
        </w:rPr>
        <w:t>日内启动验收。由</w:t>
      </w:r>
      <w:r>
        <w:rPr>
          <w:sz w:val="24"/>
        </w:rPr>
        <w:t>甲方</w:t>
      </w:r>
      <w:r>
        <w:rPr>
          <w:sz w:val="24"/>
        </w:rPr>
        <w:t>对项目报告进行初步验收，组织聘请不少于</w:t>
      </w:r>
      <w:r>
        <w:rPr>
          <w:sz w:val="24"/>
        </w:rPr>
        <w:t>3</w:t>
      </w:r>
      <w:r>
        <w:rPr>
          <w:sz w:val="24"/>
        </w:rPr>
        <w:t>名专家对项目进行整体验收。</w:t>
      </w:r>
      <w:r>
        <w:rPr>
          <w:sz w:val="24"/>
        </w:rPr>
        <w:t>（其中包组</w:t>
      </w:r>
      <w:r>
        <w:rPr>
          <w:sz w:val="24"/>
        </w:rPr>
        <w:t>2</w:t>
      </w:r>
      <w:r>
        <w:rPr>
          <w:sz w:val="24"/>
        </w:rPr>
        <w:t>：</w:t>
      </w:r>
      <w:r>
        <w:rPr>
          <w:sz w:val="24"/>
        </w:rPr>
        <w:t>按照甲方要求，协助提供纸质成果材料。</w:t>
      </w:r>
      <w:r>
        <w:rPr>
          <w:sz w:val="24"/>
        </w:rPr>
        <w:t>）</w:t>
      </w:r>
    </w:p>
    <w:p>
      <w:pPr>
        <w:pStyle w:val="null3"/>
        <w:ind w:firstLine="480"/>
        <w:jc w:val="both"/>
      </w:pPr>
      <w:r>
        <w:rPr>
          <w:sz w:val="24"/>
        </w:rPr>
        <w:t>2</w:t>
      </w:r>
      <w:r>
        <w:rPr>
          <w:sz w:val="24"/>
        </w:rPr>
        <w:t>、</w:t>
      </w:r>
      <w:r>
        <w:rPr>
          <w:sz w:val="24"/>
        </w:rPr>
        <w:t>验收标准：专家根据项目监测方案，对监测过程、监测数据、监测结果和评估结果进行验收。</w:t>
      </w:r>
    </w:p>
    <w:p>
      <w:pPr>
        <w:pStyle w:val="null3"/>
        <w:ind w:firstLine="480"/>
        <w:jc w:val="both"/>
      </w:pPr>
      <w:r>
        <w:rPr>
          <w:sz w:val="24"/>
        </w:rPr>
        <w:t>3</w:t>
      </w:r>
      <w:r>
        <w:rPr>
          <w:sz w:val="24"/>
        </w:rPr>
        <w:t>、</w:t>
      </w:r>
      <w:r>
        <w:rPr>
          <w:sz w:val="24"/>
        </w:rPr>
        <w:t>验收费用：本项目验收所产生的所有费用由（各包组）</w:t>
      </w:r>
      <w:r>
        <w:rPr>
          <w:sz w:val="24"/>
        </w:rPr>
        <w:t>乙方</w:t>
      </w:r>
      <w:r>
        <w:rPr>
          <w:sz w:val="24"/>
        </w:rPr>
        <w:t>承担。</w:t>
      </w:r>
    </w:p>
    <w:p>
      <w:pPr>
        <w:pStyle w:val="null3"/>
        <w:jc w:val="both"/>
      </w:pPr>
      <w:r>
        <w:rPr>
          <w:sz w:val="24"/>
          <w:b/>
        </w:rPr>
        <w:t>八、</w:t>
      </w:r>
      <w:r>
        <w:rPr>
          <w:sz w:val="24"/>
          <w:b/>
        </w:rPr>
        <w:t>其他要求</w:t>
      </w:r>
    </w:p>
    <w:p>
      <w:pPr>
        <w:pStyle w:val="null3"/>
        <w:ind w:firstLine="480"/>
        <w:jc w:val="both"/>
      </w:pPr>
      <w:r>
        <w:rPr>
          <w:sz w:val="24"/>
        </w:rPr>
        <w:t>1、保密要求：未经甲方许可，乙方及乙方参与本项目的人员均不得对外披露、泄露本项目执行过程中甲方提供的信息、因合同履行而知悉的企业信息或环境信息、本项目执行过程中形成的过程信息、以及最终的成果信息。乙方应采取有效措施，保证其参与本项目的人员遵守本约定，并对乙方人员违反本约定所造成的后果承担连带责任。项目实施过程中，乙方必须采取必要措施对本项目的数据、技术文档等资料保密；项目完成后，未经甲方书面同意，乙方不得以任何形式运用、公布或向第三方透露本项目相关监测结果、监测情况及其他技术文档资料。否则，由于乙方过错导致上述信息发生泄密情况的，乙方必须承担一切法律后果。</w:t>
      </w:r>
    </w:p>
    <w:p>
      <w:pPr>
        <w:pStyle w:val="null3"/>
        <w:ind w:firstLine="480"/>
        <w:jc w:val="both"/>
      </w:pPr>
      <w:r>
        <w:rPr>
          <w:sz w:val="24"/>
        </w:rPr>
        <w:t>2、知识产权：甲方在中华人民共和国境内使用乙方提供的货物及服务时免受第三方提出的侵犯其专利权或其它知识产权的起诉。如果第三方提出侵权指控，乙方应承担由此而引起的一切法律责任和费用。</w:t>
      </w:r>
    </w:p>
    <w:p>
      <w:pPr>
        <w:pStyle w:val="null3"/>
        <w:ind w:firstLine="480"/>
        <w:jc w:val="both"/>
      </w:pPr>
      <w:r>
        <w:rPr>
          <w:sz w:val="24"/>
        </w:rPr>
        <w:t>3、乙方必须在投标文件中对以上条款和服务承诺明确列出，承诺内容必须达到本篇及招标文件其他条款的要求。</w:t>
      </w:r>
    </w:p>
    <w:p>
      <w:pPr>
        <w:pStyle w:val="null3"/>
        <w:ind w:firstLine="480"/>
        <w:jc w:val="both"/>
      </w:pPr>
      <w:r>
        <w:rPr>
          <w:sz w:val="24"/>
        </w:rPr>
        <w:t>4、其他未尽事宜由供需双方在采购合同中详细约定。</w:t>
      </w:r>
    </w:p>
    <w:p>
      <w:pPr>
        <w:pStyle w:val="null3"/>
        <w:ind w:firstLine="480"/>
        <w:jc w:val="both"/>
      </w:pPr>
      <w:r>
        <w:rPr>
          <w:sz w:val="24"/>
        </w:rPr>
        <w:t>5</w:t>
      </w:r>
      <w:r>
        <w:rPr>
          <w:sz w:val="24"/>
        </w:rPr>
        <w:t>、（仅包组</w:t>
      </w:r>
      <w:r>
        <w:rPr>
          <w:sz w:val="24"/>
        </w:rPr>
        <w:t>2</w:t>
      </w:r>
      <w:r>
        <w:rPr>
          <w:sz w:val="24"/>
        </w:rPr>
        <w:t>）乙方应按照甲方要求，协助提供纸质成果材料。</w:t>
      </w:r>
    </w:p>
    <w:p>
      <w:pPr>
        <w:pStyle w:val="null3"/>
        <w:jc w:val="both"/>
      </w:pPr>
      <w:r>
        <w:rPr>
          <w:sz w:val="24"/>
          <w:b/>
        </w:rPr>
        <w:t>九、违约</w:t>
      </w:r>
      <w:r>
        <w:rPr>
          <w:sz w:val="24"/>
          <w:b/>
        </w:rPr>
        <w:t>处理</w:t>
      </w:r>
    </w:p>
    <w:p>
      <w:pPr>
        <w:pStyle w:val="null3"/>
        <w:ind w:firstLine="480"/>
        <w:jc w:val="both"/>
      </w:pPr>
      <w:r>
        <w:rPr>
          <w:sz w:val="24"/>
        </w:rPr>
        <w:t>1、乙方提供的服务不符合需求或本合同规定的，甲方有权拒绝接受服务、单方面终止合同，并且乙方须向甲方支付本合同总价5%的违约金。</w:t>
      </w:r>
    </w:p>
    <w:p>
      <w:pPr>
        <w:pStyle w:val="null3"/>
        <w:ind w:firstLine="480"/>
        <w:jc w:val="both"/>
      </w:pPr>
      <w:r>
        <w:rPr>
          <w:sz w:val="24"/>
        </w:rPr>
        <w:t>2、乙方未能按本合同规定的时间提供服务，从逾期之日起每日按本合同总价3‰ 的数额向甲方支付违约金；逾期半个月以上的，甲方有权单方面终止合同，由此造成的甲方经济损失由乙方承担。</w:t>
      </w:r>
    </w:p>
    <w:p>
      <w:pPr>
        <w:pStyle w:val="null3"/>
        <w:ind w:firstLine="480"/>
        <w:jc w:val="both"/>
      </w:pPr>
      <w:r>
        <w:rPr>
          <w:sz w:val="24"/>
        </w:rPr>
        <w:t>3、甲方无正当理由拒绝接受服务，到期拒付服务款项的，甲方向乙方支付本合同总价5%的违约金。</w:t>
      </w:r>
    </w:p>
    <w:p>
      <w:pPr>
        <w:pStyle w:val="null3"/>
        <w:ind w:firstLine="480"/>
        <w:jc w:val="both"/>
      </w:pPr>
      <w:r>
        <w:rPr>
          <w:sz w:val="24"/>
        </w:rPr>
        <w:t>4、甲方无正当理由逾期付款，自甲方收到付款所需的完整文件材料且5个工作日后起，甲方须按每天按合同总金额1‰的金额向乙方偿付违约金。</w:t>
      </w:r>
    </w:p>
    <w:p>
      <w:pPr>
        <w:pStyle w:val="null3"/>
        <w:ind w:firstLine="480"/>
        <w:jc w:val="both"/>
      </w:pPr>
      <w:r>
        <w:rPr>
          <w:sz w:val="24"/>
        </w:rPr>
        <w:t>5、其它违约责任按《中华人民共和国民法典》处理。</w:t>
      </w:r>
    </w:p>
    <w:p>
      <w:pPr>
        <w:pStyle w:val="null3"/>
        <w:jc w:val="both"/>
      </w:pPr>
      <w:r>
        <w:rPr>
          <w:sz w:val="24"/>
          <w:b/>
        </w:rPr>
        <w:t>十、合同转让与分包</w:t>
      </w:r>
    </w:p>
    <w:p>
      <w:pPr>
        <w:pStyle w:val="null3"/>
        <w:ind w:firstLine="480"/>
        <w:jc w:val="both"/>
      </w:pPr>
      <w:r>
        <w:rPr>
          <w:sz w:val="24"/>
        </w:rPr>
        <w:t>本合同乙方在任何情况下都不得转让其应履行的合同义务。否则，甲方有权单方面解除合同，并要求乙方承担合同总金额</w:t>
      </w:r>
      <w:r>
        <w:rPr>
          <w:sz w:val="24"/>
        </w:rPr>
        <w:t>20%的违约金。</w:t>
      </w:r>
    </w:p>
    <w:p>
      <w:pPr>
        <w:pStyle w:val="null3"/>
        <w:jc w:val="both"/>
      </w:pPr>
      <w:r>
        <w:rPr>
          <w:sz w:val="24"/>
          <w:b/>
        </w:rPr>
        <w:t>十一、合同终止</w:t>
      </w:r>
    </w:p>
    <w:p>
      <w:pPr>
        <w:pStyle w:val="null3"/>
        <w:ind w:firstLine="480"/>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十二、争端的解决</w:t>
      </w:r>
    </w:p>
    <w:p>
      <w:pPr>
        <w:pStyle w:val="null3"/>
        <w:ind w:firstLine="480"/>
        <w:jc w:val="both"/>
      </w:pPr>
      <w:r>
        <w:rPr>
          <w:sz w:val="24"/>
        </w:rPr>
        <w:t>合同执行过程中发生的任何争议，如双方不能通过友好协商解决，向甲方所在地人民法院提起诉讼。</w:t>
      </w:r>
    </w:p>
    <w:p>
      <w:pPr>
        <w:pStyle w:val="null3"/>
        <w:jc w:val="both"/>
      </w:pPr>
      <w:r>
        <w:rPr>
          <w:sz w:val="24"/>
          <w:b/>
        </w:rPr>
        <w:t>十三、不可抗力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rPr>
        <w:t>甲方为广州市财政核拔的事业单位。如因政策调整等不确定因素造成本合同无法履行或需要变更时，甲方有权提早一个月书面通知乙方终止或变更合同，乙方应当理解并不得以此向甲方索赔。</w:t>
      </w:r>
    </w:p>
    <w:p>
      <w:pPr>
        <w:pStyle w:val="null3"/>
        <w:jc w:val="both"/>
      </w:pPr>
      <w:r>
        <w:rPr>
          <w:sz w:val="24"/>
          <w:b/>
        </w:rPr>
        <w:t>十四、其它</w:t>
      </w:r>
    </w:p>
    <w:p>
      <w:pPr>
        <w:pStyle w:val="null3"/>
        <w:ind w:firstLine="480"/>
        <w:jc w:val="both"/>
      </w:pPr>
      <w:r>
        <w:rPr>
          <w:sz w:val="24"/>
        </w:rPr>
        <w:t>1、本合同所有附件、甲乙双方要约及响应文件均为合同的有效组成部分，与本合同具有同等法律效力。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3、如一方地址、电话、传真号码有变更，应在变更后3个工作日内书面通知对方，否则，应承担相应责任。</w:t>
      </w:r>
    </w:p>
    <w:p>
      <w:pPr>
        <w:pStyle w:val="null3"/>
        <w:jc w:val="both"/>
      </w:pPr>
      <w:r>
        <w:rPr>
          <w:sz w:val="24"/>
          <w:b/>
        </w:rPr>
        <w:t>十五、合同生效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w:t>
      </w:r>
      <w:r>
        <w:rPr>
          <w:sz w:val="24"/>
          <w:u w:val="single"/>
        </w:rPr>
        <w:t xml:space="preserve"> </w:t>
      </w:r>
      <w:r>
        <w:rPr>
          <w:sz w:val="24"/>
          <w:u w:val="single"/>
        </w:rPr>
        <w:t>伍</w:t>
      </w:r>
      <w:r>
        <w:rPr>
          <w:sz w:val="24"/>
        </w:rPr>
        <w:t>份，其中甲方</w:t>
      </w:r>
      <w:r>
        <w:rPr>
          <w:sz w:val="24"/>
          <w:u w:val="single"/>
        </w:rPr>
        <w:t xml:space="preserve"> </w:t>
      </w:r>
      <w:r>
        <w:rPr>
          <w:sz w:val="24"/>
          <w:u w:val="single"/>
        </w:rPr>
        <w:t>贰</w:t>
      </w:r>
      <w:r>
        <w:rPr>
          <w:sz w:val="24"/>
        </w:rPr>
        <w:t>份，乙方</w:t>
      </w:r>
      <w:r>
        <w:rPr>
          <w:sz w:val="24"/>
          <w:u w:val="single"/>
        </w:rPr>
        <w:t xml:space="preserve"> </w:t>
      </w:r>
      <w:r>
        <w:rPr>
          <w:sz w:val="24"/>
          <w:u w:val="single"/>
        </w:rPr>
        <w:t>贰</w:t>
      </w:r>
      <w:r>
        <w:rPr>
          <w:sz w:val="24"/>
        </w:rPr>
        <w:t>份，采购代理机构</w:t>
      </w:r>
      <w:r>
        <w:rPr>
          <w:sz w:val="24"/>
          <w:u w:val="single"/>
        </w:rPr>
        <w:t xml:space="preserve"> </w:t>
      </w:r>
      <w:r>
        <w:rPr>
          <w:sz w:val="24"/>
          <w:u w:val="single"/>
        </w:rPr>
        <w:t>壹</w:t>
      </w:r>
      <w:r>
        <w:rPr>
          <w:sz w:val="24"/>
        </w:rPr>
        <w:t>份。</w:t>
      </w:r>
    </w:p>
    <w:p>
      <w:pPr>
        <w:pStyle w:val="null3"/>
        <w:ind w:firstLine="426"/>
        <w:jc w:val="both"/>
      </w:pPr>
      <w:r>
        <w:rPr>
          <w:sz w:val="21"/>
          <w:b/>
        </w:rPr>
        <w:t xml:space="preserve"> </w:t>
      </w:r>
    </w:p>
    <w:p>
      <w:pPr>
        <w:pStyle w:val="null3"/>
        <w:ind w:firstLine="426"/>
        <w:jc w:val="both"/>
      </w:pPr>
      <w:r>
        <w:rPr>
          <w:sz w:val="21"/>
          <w:b/>
        </w:rPr>
        <w:t xml:space="preserve"> </w:t>
      </w:r>
    </w:p>
    <w:p>
      <w:pPr>
        <w:pStyle w:val="null3"/>
        <w:ind w:firstLine="484"/>
        <w:jc w:val="both"/>
      </w:pPr>
      <w:r>
        <w:rPr>
          <w:sz w:val="24"/>
        </w:rPr>
        <w:t>甲</w:t>
      </w:r>
      <w:r>
        <w:rPr>
          <w:sz w:val="24"/>
        </w:rPr>
        <w:t>方：广东省广州生态环境监测中心站（盖章）</w:t>
      </w:r>
    </w:p>
    <w:p>
      <w:pPr>
        <w:pStyle w:val="null3"/>
        <w:jc w:val="both"/>
      </w:pPr>
      <w:r>
        <w:rPr>
          <w:sz w:val="24"/>
        </w:rPr>
        <w:t xml:space="preserve">    </w:t>
      </w:r>
      <w:r>
        <w:rPr>
          <w:sz w:val="24"/>
        </w:rPr>
        <w:t>法定代表人（负责人）：</w:t>
      </w:r>
    </w:p>
    <w:p>
      <w:pPr>
        <w:pStyle w:val="null3"/>
        <w:ind w:firstLine="480"/>
        <w:jc w:val="both"/>
      </w:pPr>
      <w:r>
        <w:rPr>
          <w:sz w:val="24"/>
        </w:rPr>
        <w:t>授权代表（签字）：</w:t>
      </w:r>
      <w:r>
        <w:rPr>
          <w:sz w:val="24"/>
        </w:rPr>
        <w:t xml:space="preserve">  </w:t>
      </w:r>
    </w:p>
    <w:p>
      <w:pPr>
        <w:pStyle w:val="null3"/>
        <w:ind w:firstLine="484"/>
        <w:jc w:val="both"/>
      </w:pPr>
      <w:r>
        <w:rPr>
          <w:sz w:val="24"/>
        </w:rPr>
        <w:t>项目联系人：</w:t>
      </w:r>
    </w:p>
    <w:p>
      <w:pPr>
        <w:pStyle w:val="null3"/>
        <w:ind w:firstLine="484"/>
        <w:jc w:val="both"/>
      </w:pPr>
      <w:r>
        <w:rPr>
          <w:sz w:val="24"/>
        </w:rPr>
        <w:t>地</w:t>
      </w:r>
      <w:r>
        <w:rPr>
          <w:sz w:val="24"/>
        </w:rPr>
        <w:t>址：广州市番禺区大学城中心南大街</w:t>
      </w:r>
      <w:r>
        <w:rPr>
          <w:sz w:val="24"/>
        </w:rPr>
        <w:t>19号</w:t>
      </w:r>
    </w:p>
    <w:p>
      <w:pPr>
        <w:pStyle w:val="null3"/>
        <w:ind w:firstLine="484"/>
        <w:jc w:val="both"/>
      </w:pPr>
      <w:r>
        <w:rPr>
          <w:sz w:val="24"/>
        </w:rPr>
        <w:t>电</w:t>
      </w:r>
      <w:r>
        <w:rPr>
          <w:sz w:val="24"/>
        </w:rPr>
        <w:t>话：</w:t>
      </w:r>
      <w:r>
        <w:rPr>
          <w:sz w:val="24"/>
        </w:rPr>
        <w:t>020-32662150</w:t>
      </w:r>
    </w:p>
    <w:p>
      <w:pPr>
        <w:pStyle w:val="null3"/>
        <w:ind w:firstLine="484"/>
        <w:jc w:val="both"/>
      </w:pPr>
      <w:r>
        <w:rPr>
          <w:sz w:val="24"/>
        </w:rPr>
        <w:t>纳税人识别号：</w:t>
      </w:r>
    </w:p>
    <w:p>
      <w:pPr>
        <w:pStyle w:val="null3"/>
        <w:ind w:firstLine="484"/>
        <w:jc w:val="both"/>
      </w:pPr>
      <w:r>
        <w:rPr>
          <w:sz w:val="24"/>
        </w:rPr>
        <w:t>乙</w:t>
      </w:r>
      <w:r>
        <w:rPr>
          <w:sz w:val="24"/>
        </w:rPr>
        <w:t>方：</w:t>
      </w:r>
      <w:r>
        <w:rPr>
          <w:sz w:val="24"/>
        </w:rPr>
        <w:t xml:space="preserve">    </w:t>
      </w:r>
    </w:p>
    <w:p>
      <w:pPr>
        <w:pStyle w:val="null3"/>
        <w:ind w:firstLine="484"/>
        <w:jc w:val="both"/>
      </w:pPr>
      <w:r>
        <w:rPr>
          <w:sz w:val="24"/>
        </w:rPr>
        <w:t>法定代表人</w:t>
      </w:r>
      <w:r>
        <w:rPr>
          <w:sz w:val="24"/>
        </w:rPr>
        <w:t>/授权人：</w:t>
      </w:r>
    </w:p>
    <w:p>
      <w:pPr>
        <w:pStyle w:val="null3"/>
        <w:ind w:firstLine="484"/>
        <w:jc w:val="both"/>
      </w:pPr>
      <w:r>
        <w:rPr>
          <w:sz w:val="24"/>
        </w:rPr>
        <w:t>项目联系人：</w:t>
      </w:r>
    </w:p>
    <w:p>
      <w:pPr>
        <w:pStyle w:val="null3"/>
        <w:ind w:firstLine="476"/>
        <w:jc w:val="both"/>
      </w:pPr>
      <w:r>
        <w:rPr>
          <w:sz w:val="24"/>
        </w:rPr>
        <w:t>地</w:t>
      </w:r>
      <w:r>
        <w:rPr>
          <w:sz w:val="24"/>
        </w:rPr>
        <w:t>址：</w:t>
      </w:r>
    </w:p>
    <w:p>
      <w:pPr>
        <w:pStyle w:val="null3"/>
        <w:ind w:firstLine="484"/>
        <w:jc w:val="both"/>
      </w:pPr>
      <w:r>
        <w:rPr>
          <w:sz w:val="24"/>
        </w:rPr>
        <w:t>电</w:t>
      </w:r>
      <w:r>
        <w:rPr>
          <w:sz w:val="24"/>
        </w:rPr>
        <w:t>话：</w:t>
      </w:r>
    </w:p>
    <w:p>
      <w:pPr>
        <w:pStyle w:val="null3"/>
        <w:ind w:firstLine="484"/>
        <w:jc w:val="both"/>
      </w:pPr>
      <w:r>
        <w:rPr>
          <w:sz w:val="24"/>
        </w:rPr>
        <w:t>开户名称：</w:t>
      </w:r>
    </w:p>
    <w:p>
      <w:pPr>
        <w:pStyle w:val="null3"/>
        <w:ind w:firstLine="484"/>
        <w:jc w:val="both"/>
      </w:pPr>
      <w:r>
        <w:rPr>
          <w:sz w:val="24"/>
        </w:rPr>
        <w:t>帐</w:t>
      </w:r>
      <w:r>
        <w:rPr>
          <w:sz w:val="24"/>
        </w:rPr>
        <w:t>号：</w:t>
      </w:r>
    </w:p>
    <w:p>
      <w:pPr>
        <w:pStyle w:val="null3"/>
        <w:ind w:firstLine="484"/>
        <w:jc w:val="both"/>
      </w:pPr>
      <w:r>
        <w:rPr>
          <w:sz w:val="24"/>
        </w:rPr>
        <w:t>开户银行：</w:t>
      </w:r>
    </w:p>
    <w:p>
      <w:pPr>
        <w:pStyle w:val="null3"/>
        <w:ind w:firstLine="484"/>
        <w:jc w:val="both"/>
      </w:pPr>
      <w:r>
        <w:rPr>
          <w:sz w:val="24"/>
        </w:rPr>
        <w:t>合同附件：</w:t>
      </w:r>
    </w:p>
    <w:p>
      <w:pPr>
        <w:pStyle w:val="null3"/>
        <w:ind w:firstLine="480"/>
        <w:jc w:val="both"/>
      </w:pPr>
      <w:r>
        <w:rPr>
          <w:sz w:val="24"/>
        </w:rPr>
        <w:t>1、廉洁自律承诺书</w:t>
      </w:r>
    </w:p>
    <w:p>
      <w:pPr>
        <w:pStyle w:val="null3"/>
        <w:ind w:firstLine="480"/>
        <w:jc w:val="both"/>
      </w:pPr>
      <w:r>
        <w:rPr>
          <w:sz w:val="24"/>
        </w:rPr>
        <w:t>2、中标通知书</w:t>
      </w:r>
    </w:p>
    <w:p>
      <w:pPr>
        <w:pStyle w:val="null3"/>
        <w:ind w:firstLine="480"/>
        <w:jc w:val="both"/>
      </w:pPr>
      <w:r>
        <w:rPr>
          <w:sz w:val="24"/>
        </w:rPr>
        <w:t>3、营业执照</w:t>
      </w:r>
    </w:p>
    <w:p>
      <w:pPr>
        <w:pStyle w:val="null3"/>
        <w:ind w:left="495" w:firstLine="301"/>
        <w:jc w:val="both"/>
      </w:pPr>
      <w:r>
        <w:rPr>
          <w:sz w:val="24"/>
        </w:rPr>
        <w:t>附件</w:t>
      </w:r>
      <w:r>
        <w:rPr>
          <w:sz w:val="24"/>
        </w:rPr>
        <w:t>1：</w:t>
      </w:r>
    </w:p>
    <w:p>
      <w:pPr>
        <w:pStyle w:val="null3"/>
        <w:jc w:val="center"/>
      </w:pPr>
      <w:r>
        <w:rPr>
          <w:sz w:val="24"/>
          <w:b/>
        </w:rPr>
        <w:t>廉洁自律承诺书</w:t>
      </w:r>
    </w:p>
    <w:p>
      <w:pPr>
        <w:pStyle w:val="null3"/>
        <w:jc w:val="left"/>
      </w:pPr>
      <w:r>
        <w:rPr>
          <w:sz w:val="24"/>
          <w:shd w:fill="FFFFFF" w:val="clear"/>
        </w:rPr>
        <w:t>本公司承诺：</w:t>
      </w:r>
    </w:p>
    <w:p>
      <w:pPr>
        <w:pStyle w:val="null3"/>
        <w:ind w:firstLine="480"/>
        <w:jc w:val="left"/>
      </w:pPr>
      <w:r>
        <w:rPr>
          <w:sz w:val="24"/>
          <w:shd w:fill="FFFFFF" w:val="clear"/>
        </w:rPr>
        <w:t>一、严格遵守国家法律法规及行业规范</w:t>
      </w:r>
      <w:r>
        <w:rPr>
          <w:sz w:val="24"/>
          <w:shd w:fill="FFFFFF" w:val="clear"/>
        </w:rPr>
        <w:t>，</w:t>
      </w:r>
      <w:r>
        <w:rPr>
          <w:sz w:val="24"/>
          <w:shd w:fill="FFFFFF" w:val="clear"/>
        </w:rPr>
        <w:t>依法经营，廉洁从业。</w:t>
      </w:r>
    </w:p>
    <w:p>
      <w:pPr>
        <w:pStyle w:val="null3"/>
        <w:ind w:firstLine="480"/>
        <w:jc w:val="left"/>
      </w:pPr>
      <w:r>
        <w:rPr>
          <w:sz w:val="24"/>
          <w:shd w:fill="FFFFFF" w:val="clear"/>
        </w:rPr>
        <w:t>二、不为谋取不正当利益</w:t>
      </w:r>
      <w:r>
        <w:rPr>
          <w:sz w:val="24"/>
          <w:shd w:fill="FFFFFF" w:val="clear"/>
        </w:rPr>
        <w:t>，</w:t>
      </w:r>
      <w:r>
        <w:rPr>
          <w:sz w:val="24"/>
          <w:shd w:fill="FFFFFF" w:val="clear"/>
        </w:rPr>
        <w:t>给予甲方相关人员红包、礼品礼金、有价证券、回扣、购物券、会员卡等财物</w:t>
      </w:r>
      <w:r>
        <w:rPr>
          <w:sz w:val="24"/>
          <w:shd w:fill="FFFFFF" w:val="clear"/>
        </w:rPr>
        <w:t>，</w:t>
      </w:r>
      <w:r>
        <w:rPr>
          <w:sz w:val="24"/>
          <w:shd w:fill="FFFFFF" w:val="clear"/>
        </w:rPr>
        <w:t>不报销应由其本人及亲属支付的个人费用。</w:t>
      </w:r>
    </w:p>
    <w:p>
      <w:pPr>
        <w:pStyle w:val="null3"/>
        <w:ind w:firstLine="480"/>
        <w:jc w:val="left"/>
      </w:pPr>
      <w:r>
        <w:rPr>
          <w:sz w:val="24"/>
          <w:shd w:fill="FFFFFF" w:val="clear"/>
        </w:rPr>
        <w:t>三、不邀请甲方相关人员及其亲属参加旅游、娱乐、健身、宴请等活动。</w:t>
      </w:r>
    </w:p>
    <w:p>
      <w:pPr>
        <w:pStyle w:val="null3"/>
        <w:ind w:firstLine="480"/>
        <w:jc w:val="left"/>
      </w:pPr>
      <w:r>
        <w:rPr>
          <w:sz w:val="24"/>
          <w:shd w:fill="FFFFFF" w:val="clear"/>
        </w:rPr>
        <w:t>四、不通过不当手段造成可能影响公平竞争的其他情况。</w:t>
      </w:r>
    </w:p>
    <w:p>
      <w:pPr>
        <w:pStyle w:val="null3"/>
        <w:ind w:firstLine="480"/>
        <w:jc w:val="left"/>
      </w:pPr>
      <w:r>
        <w:rPr>
          <w:sz w:val="24"/>
          <w:shd w:fill="FFFFFF" w:val="clear"/>
        </w:rPr>
        <w:t>五、不通过泄露甲方不公开的信息或秘密为公司或者个人谋取利益。</w:t>
      </w:r>
    </w:p>
    <w:p>
      <w:pPr>
        <w:pStyle w:val="null3"/>
        <w:ind w:firstLine="482"/>
        <w:jc w:val="left"/>
      </w:pPr>
      <w:r>
        <w:rPr>
          <w:sz w:val="24"/>
          <w:b/>
          <w:shd w:fill="FFFFFF" w:val="clear"/>
        </w:rPr>
        <w:t>若违反上述承诺，本公司将承担相应的法律后果，并无条件承诺三年内不承接广东省广州生态环境监测中心站的项目。</w:t>
      </w:r>
    </w:p>
    <w:p>
      <w:pPr>
        <w:pStyle w:val="null3"/>
        <w:ind w:firstLine="480"/>
        <w:jc w:val="left"/>
      </w:pPr>
      <w:r>
        <w:rPr>
          <w:sz w:val="24"/>
          <w:shd w:fill="FFFFFF" w:val="clear"/>
        </w:rPr>
        <w:t>公司名称：</w:t>
      </w:r>
      <w:r>
        <w:rPr>
          <w:sz w:val="24"/>
          <w:shd w:fill="FFFFFF" w:val="clear"/>
        </w:rPr>
        <w:t xml:space="preserve">                    </w:t>
      </w:r>
    </w:p>
    <w:p>
      <w:pPr>
        <w:pStyle w:val="null3"/>
        <w:ind w:firstLine="480"/>
        <w:jc w:val="right"/>
      </w:pPr>
      <w:r>
        <w:rPr>
          <w:sz w:val="24"/>
          <w:shd w:fill="FFFFFF" w:val="clear"/>
        </w:rPr>
        <w:t>年</w:t>
      </w:r>
      <w:r>
        <w:rPr>
          <w:sz w:val="24"/>
          <w:shd w:fill="FFFFFF" w:val="clear"/>
        </w:rPr>
        <w:t xml:space="preserve">   </w:t>
      </w:r>
      <w:r>
        <w:rPr>
          <w:sz w:val="24"/>
          <w:shd w:fill="FFFFFF" w:val="clear"/>
        </w:rPr>
        <w:t>月</w:t>
      </w:r>
      <w:r>
        <w:rPr>
          <w:sz w:val="24"/>
          <w:shd w:fill="FFFFFF" w:val="clear"/>
        </w:rPr>
        <w:t xml:space="preserve">   </w:t>
      </w:r>
      <w:r>
        <w:rPr>
          <w:sz w:val="24"/>
          <w:shd w:fill="FFFFFF" w:val="clear"/>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440101-2025-05236</w:t>
      </w:r>
    </w:p>
    <w:p>
      <w:pPr>
        <w:pStyle w:val="null3"/>
        <w:jc w:val="center"/>
        <w:outlineLvl w:val="3"/>
      </w:pPr>
      <w:r>
        <w:rPr>
          <w:sz w:val="24"/>
          <w:b/>
        </w:rPr>
        <w:t>采购项目编号：</w:t>
      </w:r>
      <w:r>
        <w:rPr>
          <w:sz w:val="24"/>
          <w:b/>
        </w:rPr>
        <w:t>HYGZ25SH01C0584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全运会环境质量监测保障</w:t>
      </w:r>
      <w:r>
        <w:rPr>
          <w:u w:val="single"/>
        </w:rPr>
        <w:t>”</w:t>
      </w:r>
      <w:r>
        <w:rPr/>
        <w:t>项目的招标[采购项目编号为：</w:t>
      </w:r>
      <w:r>
        <w:rPr>
          <w:u w:val="single"/>
        </w:rPr>
        <w:t>HYGZ25SH01C0584</w:t>
      </w:r>
      <w:r>
        <w:rPr/>
        <w:t>]，我方愿参与投标。</w:t>
      </w:r>
    </w:p>
    <w:p>
      <w:pPr>
        <w:pStyle w:val="null3"/>
        <w:ind w:firstLine="480"/>
      </w:pPr>
      <w:r>
        <w:rPr/>
        <w:t>我方确认收到贵方提供的</w:t>
      </w:r>
      <w:r>
        <w:rPr>
          <w:u w:val="single"/>
        </w:rPr>
        <w:t>“</w:t>
      </w:r>
      <w:r>
        <w:rPr>
          <w:u w:val="single"/>
        </w:rPr>
        <w:t>全运会环境质量监测保障</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全运会环境质量监测保障</w:t>
      </w:r>
      <w:r>
        <w:rPr/>
        <w:t>”项目采购[采购项目编号为</w:t>
      </w:r>
      <w:r>
        <w:rPr/>
        <w:t>HYGZ25SH01C0584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广东省广州生态环境监测中心站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全运会环境质量监测保障</w:t>
      </w:r>
      <w:r>
        <w:rPr/>
        <w:t>招标中获中标（采购项目编号：</w:t>
      </w:r>
      <w:r>
        <w:rPr/>
        <w:t>HYGZ25SH01C0584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