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版本号：N510821202600002620260512003</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公办养老机构大宗食材集中供应商采购项目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N5108212026000026</w:t>
      </w:r>
    </w:p>
    <w:p>
      <w:pPr>
        <w:pStyle w:val="null3"/>
        <w:jc w:val="left"/>
        <w:outlineLvl w:val="2"/>
      </w:pPr>
      <w:r>
        <w:rPr>
          <w:rFonts w:ascii="仿宋_GB2312" w:hAnsi="仿宋_GB2312" w:cs="仿宋_GB2312" w:eastAsia="仿宋_GB2312"/>
          <w:sz w:val="28"/>
          <w:b/>
        </w:rPr>
        <w:t>旺苍县民政局</w:t>
      </w:r>
    </w:p>
    <w:p>
      <w:pPr>
        <w:pStyle w:val="null3"/>
        <w:jc w:val="center"/>
        <w:outlineLvl w:val="2"/>
      </w:pPr>
      <w:r>
        <w:rPr>
          <w:rFonts w:ascii="仿宋_GB2312" w:hAnsi="仿宋_GB2312" w:cs="仿宋_GB2312" w:eastAsia="仿宋_GB2312"/>
          <w:sz w:val="28"/>
          <w:b/>
        </w:rPr>
        <w:t>四川允立工程项目管理有限责任公司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四川允立工程项目管理有限责任公司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旺苍县民政局</w:t>
      </w:r>
      <w:r>
        <w:rPr>
          <w:rFonts w:ascii="仿宋_GB2312" w:hAnsi="仿宋_GB2312" w:cs="仿宋_GB2312" w:eastAsia="仿宋_GB2312"/>
        </w:rPr>
        <w:t xml:space="preserve"> 委托，拟对 </w:t>
      </w:r>
      <w:r>
        <w:rPr>
          <w:rFonts w:ascii="仿宋_GB2312" w:hAnsi="仿宋_GB2312" w:cs="仿宋_GB2312" w:eastAsia="仿宋_GB2312"/>
        </w:rPr>
        <w:t>公办养老机构大宗食材集中供应商采购项目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广元市旺苍县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N5108212026000026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公办养老机构大宗食材集中供应商采购项目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加强养老机构食品卫生管理，确保食品质量和安全，堵塞漏洞，防范化解风险，杜绝机构大宗食材采购中不正之风，为老年人提供更加健康、营养的饮食保障，增强老年人的幸福感和满意度，全县公办养老机构实行食材集中采购供应制度，不仅可以提高采购效率，还能降低成本。本项目预算金额：700000元（大米单价3.5元/斤、面粉单价3.3元/斤、面条3.4元/斤、菜籽油118元/桶），投标人统一采用百分比报价，最终按照实际发生量据实结算，但一年内结算的总金额不得超过采购预算700000元。</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采购包1：专门面向小微企业采购。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1、供应商为食材生产商：须提供有效期内的《食品生产许可证》、《食品经营许可证》或《食品经营许可电子证书》或所在地县级以上地方市场监督管理部门备案证明（预包装）； 供应商为食材配送商：须提供有效期内的《食品经营许可证》或《食品经营备案登记》或《食品经营许可电子证书》或所在地县级以上地方市场监督管理部门备案证明（预包装）（描述：供应商为食材生产商：须提供有效期内的《食品生产许可证》复印件、《食品经营许可证》复印件或《食品经营许可电子证书》复印件或所在地县级以上地方市场监督管理部门备案证明（预包装）复印件；供应商为食材配送商：须提供有效期内的《食品经营许可证》复印件或《食品经营备案登记》复印件或《食品经营许可电子证书》复印件或所在地县级以上地方市场监督管理部门备案证明（预包装）复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旺苍县民政局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旺苍县东河镇商业南街6号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向女士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0839-6215082</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四川允立工程项目管理有限责任公司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四川省广元市旺苍县东河镇建设路188号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何悦</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15351406545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按照《四川省财政厅关于印发&lt;四川省政府采购营商环境指标提升专项行动工作方案&gt;的通知》（川财采〔2020〕74号）文件,成本支出加合理利润的原则，由成交供应商在领取成交通知书前向代理机构一次性支付代理服务费用。</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旺苍县民政局</w:t>
      </w:r>
      <w:r>
        <w:rPr>
          <w:rFonts w:ascii="仿宋_GB2312" w:hAnsi="仿宋_GB2312" w:cs="仿宋_GB2312" w:eastAsia="仿宋_GB2312"/>
        </w:rPr>
        <w:t xml:space="preserve"> 和 </w:t>
      </w:r>
      <w:r>
        <w:rPr>
          <w:rFonts w:ascii="仿宋_GB2312" w:hAnsi="仿宋_GB2312" w:cs="仿宋_GB2312" w:eastAsia="仿宋_GB2312"/>
        </w:rPr>
        <w:t>四川允立工程项目管理有限责任公司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旺苍县民政局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四川允立工程项目管理有限责任公司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投标人提出验收申请之日起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按照招标文件相关技术要求和标准以及投标人响应文件中技术应答部分进行技术履约验收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按照招标文件相关商务要求以及投标人响应文件中商务应答部分进行商务履约验收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按照行业相关技术标准和规定，由采购人组织相关单位及专业人员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旺苍县民政局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四川允立工程项目管理有限责任公司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四川允立工程项目管理有限责任公司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联系人：向女士</w:t>
      </w:r>
    </w:p>
    <w:p>
      <w:pPr>
        <w:pStyle w:val="null3"/>
        <w:jc w:val="left"/>
      </w:pPr>
      <w:r>
        <w:rPr>
          <w:rFonts w:ascii="仿宋_GB2312" w:hAnsi="仿宋_GB2312" w:cs="仿宋_GB2312" w:eastAsia="仿宋_GB2312"/>
        </w:rPr>
        <w:t>联系电话：0839-6215082</w:t>
      </w:r>
    </w:p>
    <w:p>
      <w:pPr>
        <w:pStyle w:val="null3"/>
        <w:jc w:val="left"/>
      </w:pPr>
      <w:r>
        <w:rPr>
          <w:rFonts w:ascii="仿宋_GB2312" w:hAnsi="仿宋_GB2312" w:cs="仿宋_GB2312" w:eastAsia="仿宋_GB2312"/>
        </w:rPr>
        <w:t>地址：旺苍县东河镇商业南街6号</w:t>
      </w:r>
    </w:p>
    <w:p>
      <w:pPr>
        <w:pStyle w:val="null3"/>
        <w:jc w:val="left"/>
      </w:pPr>
      <w:r>
        <w:rPr>
          <w:rFonts w:ascii="仿宋_GB2312" w:hAnsi="仿宋_GB2312" w:cs="仿宋_GB2312" w:eastAsia="仿宋_GB2312"/>
        </w:rPr>
        <w:t>邮编：628200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联系人：何女士</w:t>
      </w:r>
    </w:p>
    <w:p>
      <w:pPr>
        <w:pStyle w:val="null3"/>
        <w:jc w:val="left"/>
      </w:pPr>
      <w:r>
        <w:rPr>
          <w:rFonts w:ascii="仿宋_GB2312" w:hAnsi="仿宋_GB2312" w:cs="仿宋_GB2312" w:eastAsia="仿宋_GB2312"/>
        </w:rPr>
        <w:t>联系电话：15351406545</w:t>
      </w:r>
    </w:p>
    <w:p>
      <w:pPr>
        <w:pStyle w:val="null3"/>
        <w:jc w:val="left"/>
      </w:pPr>
      <w:r>
        <w:rPr>
          <w:rFonts w:ascii="仿宋_GB2312" w:hAnsi="仿宋_GB2312" w:cs="仿宋_GB2312" w:eastAsia="仿宋_GB2312"/>
        </w:rPr>
        <w:t>地址：四川省广元市旺苍县东河镇建设路188号</w:t>
      </w:r>
    </w:p>
    <w:p>
      <w:pPr>
        <w:pStyle w:val="null3"/>
        <w:jc w:val="left"/>
      </w:pPr>
      <w:r>
        <w:rPr>
          <w:rFonts w:ascii="仿宋_GB2312" w:hAnsi="仿宋_GB2312" w:cs="仿宋_GB2312" w:eastAsia="仿宋_GB2312"/>
        </w:rPr>
        <w:t>邮编：628200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700,000.00</w:t>
      </w:r>
    </w:p>
    <w:p>
      <w:pPr>
        <w:pStyle w:val="null3"/>
        <w:jc w:val="left"/>
      </w:pPr>
      <w:r>
        <w:rPr>
          <w:rFonts w:ascii="仿宋_GB2312" w:hAnsi="仿宋_GB2312" w:cs="仿宋_GB2312" w:eastAsia="仿宋_GB2312"/>
        </w:rPr>
        <w:t>采购包最高限价（元）: 700,000.00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A07060299 其他食品及加工盐</w:t>
            </w:r>
          </w:p>
        </w:tc>
        <w:tc>
          <w:tcPr>
            <w:tcW w:type="dxa" w:w="821"/>
          </w:tcPr>
          <w:p>
            <w:pPr>
              <w:pStyle w:val="null3"/>
              <w:jc w:val="left"/>
            </w:pPr>
            <w:r>
              <w:rPr>
                <w:rFonts w:ascii="仿宋_GB2312" w:hAnsi="仿宋_GB2312" w:cs="仿宋_GB2312" w:eastAsia="仿宋_GB2312"/>
              </w:rPr>
              <w:t>大米、面粉、面条、菜籽油</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700,000.00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大米、面粉、面条、菜籽油</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A07060299 其他食品及加工盐</w:t>
            </w:r>
          </w:p>
        </w:tc>
        <w:tc>
          <w:tcPr>
            <w:tcW w:type="dxa" w:w="2492"/>
          </w:tcPr>
          <w:p>
            <w:pPr>
              <w:pStyle w:val="null3"/>
              <w:jc w:val="left"/>
            </w:pPr>
            <w:r>
              <w:rPr>
                <w:rFonts w:ascii="仿宋_GB2312" w:hAnsi="仿宋_GB2312" w:cs="仿宋_GB2312" w:eastAsia="仿宋_GB2312"/>
              </w:rPr>
              <w:t>大米、面粉、面条、菜籽油</w:t>
            </w:r>
          </w:p>
        </w:tc>
        <w:tc>
          <w:tcPr>
            <w:tcW w:type="dxa" w:w="2492"/>
          </w:tcPr>
          <w:p>
            <w:pPr>
              <w:pStyle w:val="null3"/>
              <w:jc w:val="left"/>
            </w:pPr>
            <w:r>
              <w:rPr>
                <w:rFonts w:ascii="仿宋_GB2312" w:hAnsi="仿宋_GB2312" w:cs="仿宋_GB2312" w:eastAsia="仿宋_GB2312"/>
              </w:rPr>
              <w:t>大米、面粉、面条、菜籽油</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标的名称：大米、面粉、面条、菜籽油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项目概况</w:t>
            </w:r>
          </w:p>
        </w:tc>
        <w:tc>
          <w:tcPr>
            <w:tcW w:type="dxa" w:w="5814"/>
          </w:tcPr>
          <w:p>
            <w:pPr>
              <w:pStyle w:val="null3"/>
              <w:jc w:val="left"/>
            </w:pPr>
            <w:r>
              <w:rPr>
                <w:rFonts w:ascii="仿宋_GB2312" w:hAnsi="仿宋_GB2312" w:cs="仿宋_GB2312" w:eastAsia="仿宋_GB2312"/>
                <w:sz w:val="24"/>
              </w:rPr>
              <w:t>为加强养老机构食品卫生管理，确保食品质量和安全，堵塞漏洞，防范化解风险，杜绝机构大宗食材采购中不正之风，为老年人提供更加健康、营养的饮食保障，增强老年人的幸福感和满意度，全县公办养老机构实行食材集中采购供应制度，不仅可以提高采购效率，还能降低成本。本项目预算金额：700000元（大米单价3.5元/斤、面粉单价3.3元/斤、面条3.4元/斤、菜籽油118元/桶），投标人统一采用百分比报价，最终按照实际发生量据实结算，但一年内结算的总金额不得超过采购预算700000元。</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货物清单及配置</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63"/>
              <w:gridCol w:w="474"/>
              <w:gridCol w:w="474"/>
              <w:gridCol w:w="474"/>
              <w:gridCol w:w="3338"/>
              <w:gridCol w:w="474"/>
            </w:tblGrid>
            <w:tr>
              <w:tc>
                <w:tcPr>
                  <w:tcW w:type="dxa" w:w="36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序号</w:t>
                  </w:r>
                </w:p>
              </w:tc>
              <w:tc>
                <w:tcPr>
                  <w:tcW w:type="dxa" w:w="47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名称</w:t>
                  </w:r>
                </w:p>
              </w:tc>
              <w:tc>
                <w:tcPr>
                  <w:tcW w:type="dxa" w:w="47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数量</w:t>
                  </w:r>
                </w:p>
              </w:tc>
              <w:tc>
                <w:tcPr>
                  <w:tcW w:type="dxa" w:w="47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单位</w:t>
                  </w:r>
                </w:p>
              </w:tc>
              <w:tc>
                <w:tcPr>
                  <w:tcW w:type="dxa" w:w="333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技术参数</w:t>
                  </w:r>
                </w:p>
              </w:tc>
              <w:tc>
                <w:tcPr>
                  <w:tcW w:type="dxa" w:w="47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最高限价（元）</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大米</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斤</w:t>
                  </w:r>
                </w:p>
              </w:tc>
              <w:tc>
                <w:tcPr>
                  <w:tcW w:type="dxa" w:w="3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投标人所投大米不低于GB/T 1354-2018一级籼米标准，《食品安全国家标准粮食》GB 2715-2016标准、《大米》GB/T 1354-2018标准、《食品安全国家标准食品中真菌毒素限量》GB2 761-2017标准、《食品安全国家标准食品中污染物限量》GB 2762-2022标准、《食品安全国家标准食品中农药最大残留限量》（GB 2763-2021）标准；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原粮为非转基因籼稻；</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最近两年内粮食生产季生产的稻谷加工的大米；</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每袋大米净重为≥20kg；</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包装要求：产品包装牢固结实，封口严密，符合《粮食销售包装》GB/T17109-2008标准和《预包装食品标签通则》 GB7718-2011标准；</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生产日期标注在独立的纸制生产合格证上并固定于袋口封装线上，在未拆封包装袋之前完全能清晰看清生产日期。外包装上注明产品名称、原料、产地、净含量、厂名、厂址、生产日期、保质期、产品标准号、联系方式、质量等级、营养成分表、生产许可证编号、贮存条件；</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大米等级：一级；</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碎米总量：≤15.0%；</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小碎米含量：≤1.0%；</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加工精度：精碾；</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不完善粒含量：≤3.0%；</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水分含量：≤14.5%；</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杂质总量：≤0.25%；</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杂质无机杂质含量：≤0.02%；</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黄曲霉毒素B1：≤10ug/kg；</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黄粒米含量：≤0.5%；</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互混率：≤5.0%；</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色泽、气味：正常；</w:t>
                  </w:r>
                </w:p>
                <w:p>
                  <w:pPr>
                    <w:pStyle w:val="null3"/>
                    <w:jc w:val="both"/>
                  </w:pPr>
                  <w:r>
                    <w:rPr>
                      <w:rFonts w:ascii="仿宋_GB2312" w:hAnsi="仿宋_GB2312" w:cs="仿宋_GB2312" w:eastAsia="仿宋_GB2312"/>
                      <w:sz w:val="21"/>
                    </w:rPr>
                    <w:t xml:space="preserve">19. </w:t>
                  </w:r>
                  <w:r>
                    <w:rPr>
                      <w:rFonts w:ascii="仿宋_GB2312" w:hAnsi="仿宋_GB2312" w:cs="仿宋_GB2312" w:eastAsia="仿宋_GB2312"/>
                      <w:sz w:val="21"/>
                    </w:rPr>
                    <w:t>铅污染物限量标准（以Pb计）：≤0.2mg/Kg；</w:t>
                  </w:r>
                </w:p>
                <w:p>
                  <w:pPr>
                    <w:pStyle w:val="null3"/>
                    <w:jc w:val="both"/>
                  </w:pPr>
                  <w:r>
                    <w:rPr>
                      <w:rFonts w:ascii="仿宋_GB2312" w:hAnsi="仿宋_GB2312" w:cs="仿宋_GB2312" w:eastAsia="仿宋_GB2312"/>
                      <w:sz w:val="21"/>
                    </w:rPr>
                    <w:t>20.</w:t>
                  </w:r>
                  <w:r>
                    <w:rPr>
                      <w:rFonts w:ascii="仿宋_GB2312" w:hAnsi="仿宋_GB2312" w:cs="仿宋_GB2312" w:eastAsia="仿宋_GB2312"/>
                      <w:sz w:val="21"/>
                    </w:rPr>
                    <w:t>镉污染物限量标准（以Cd计）：≤0.2mg/Kg；</w:t>
                  </w:r>
                </w:p>
                <w:p>
                  <w:pPr>
                    <w:pStyle w:val="null3"/>
                    <w:jc w:val="both"/>
                  </w:pPr>
                  <w:r>
                    <w:rPr>
                      <w:rFonts w:ascii="仿宋_GB2312" w:hAnsi="仿宋_GB2312" w:cs="仿宋_GB2312" w:eastAsia="仿宋_GB2312"/>
                      <w:sz w:val="21"/>
                    </w:rPr>
                    <w:t xml:space="preserve">★21. </w:t>
                  </w:r>
                  <w:r>
                    <w:rPr>
                      <w:rFonts w:ascii="仿宋_GB2312" w:hAnsi="仿宋_GB2312" w:cs="仿宋_GB2312" w:eastAsia="仿宋_GB2312"/>
                      <w:sz w:val="21"/>
                    </w:rPr>
                    <w:t>农药残留限量标准：</w:t>
                  </w:r>
                </w:p>
                <w:p>
                  <w:pPr>
                    <w:pStyle w:val="null3"/>
                    <w:jc w:val="both"/>
                  </w:pPr>
                  <w:r>
                    <w:rPr>
                      <w:rFonts w:ascii="仿宋_GB2312" w:hAnsi="仿宋_GB2312" w:cs="仿宋_GB2312" w:eastAsia="仿宋_GB2312"/>
                      <w:sz w:val="21"/>
                    </w:rPr>
                    <w:t>（1）六六六(HCH)：≤0.05mg/Kg；</w:t>
                  </w:r>
                </w:p>
                <w:p>
                  <w:pPr>
                    <w:pStyle w:val="null3"/>
                    <w:jc w:val="both"/>
                  </w:pPr>
                  <w:r>
                    <w:rPr>
                      <w:rFonts w:ascii="仿宋_GB2312" w:hAnsi="仿宋_GB2312" w:cs="仿宋_GB2312" w:eastAsia="仿宋_GB2312"/>
                      <w:sz w:val="21"/>
                    </w:rPr>
                    <w:t>（2）滴滴涕（DDT）：≤0.05mg/Kg。</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3.5</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面粉</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斤</w:t>
                  </w:r>
                </w:p>
              </w:tc>
              <w:tc>
                <w:tcPr>
                  <w:tcW w:type="dxa" w:w="3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1.</w:t>
                  </w:r>
                  <w:r>
                    <w:rPr>
                      <w:rFonts w:ascii="仿宋_GB2312" w:hAnsi="仿宋_GB2312" w:cs="仿宋_GB2312" w:eastAsia="仿宋_GB2312"/>
                      <w:sz w:val="21"/>
                    </w:rPr>
                    <w:t>质量指标：投标人所投小麦粉（面粉）不低于《食品安全国家标准粮食》（GB 27152016）标准、《食品安全国家标准小麦粉》GB/T 1355-2021标准、《食品安全 国家标准食品中真菌毒素限量》GB2761-2017标准、《食品安全国家标准食品中污染物限量》GB2762-2022标准；</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每袋面粉净重为25kg（实际称量不得低于25kg）；</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生产日期标注在独立的纸制生产合格证上并固定于袋口封装线上，在未拆封包装袋之前完全能清晰看清生产日期。外包装上注明产品名称、原料、产地、净含量、厂名、厂址、生产日期、保质期、产品标准号、联系方式、质量等级、营养成分表、生产许可证编号、贮存条件；</w:t>
                  </w:r>
                </w:p>
                <w:p>
                  <w:pPr>
                    <w:pStyle w:val="null3"/>
                    <w:jc w:val="both"/>
                  </w:pPr>
                  <w:r>
                    <w:rPr>
                      <w:rFonts w:ascii="仿宋_GB2312" w:hAnsi="仿宋_GB2312" w:cs="仿宋_GB2312" w:eastAsia="仿宋_GB2312"/>
                      <w:sz w:val="21"/>
                    </w:rPr>
                    <w:t xml:space="preserve">4. </w:t>
                  </w:r>
                  <w:r>
                    <w:rPr>
                      <w:rFonts w:ascii="仿宋_GB2312" w:hAnsi="仿宋_GB2312" w:cs="仿宋_GB2312" w:eastAsia="仿宋_GB2312"/>
                      <w:sz w:val="21"/>
                    </w:rPr>
                    <w:t>灰分含量：≤0.7%；</w:t>
                  </w:r>
                </w:p>
                <w:p>
                  <w:pPr>
                    <w:pStyle w:val="null3"/>
                    <w:jc w:val="both"/>
                  </w:pPr>
                  <w:r>
                    <w:rPr>
                      <w:rFonts w:ascii="仿宋_GB2312" w:hAnsi="仿宋_GB2312" w:cs="仿宋_GB2312" w:eastAsia="仿宋_GB2312"/>
                      <w:sz w:val="21"/>
                    </w:rPr>
                    <w:t xml:space="preserve">5. </w:t>
                  </w:r>
                  <w:r>
                    <w:rPr>
                      <w:rFonts w:ascii="仿宋_GB2312" w:hAnsi="仿宋_GB2312" w:cs="仿宋_GB2312" w:eastAsia="仿宋_GB2312"/>
                      <w:sz w:val="21"/>
                    </w:rPr>
                    <w:t>脂肪酸值：≤80（mg/100g）；</w:t>
                  </w:r>
                </w:p>
                <w:p>
                  <w:pPr>
                    <w:pStyle w:val="null3"/>
                    <w:jc w:val="both"/>
                  </w:pPr>
                  <w:r>
                    <w:rPr>
                      <w:rFonts w:ascii="仿宋_GB2312" w:hAnsi="仿宋_GB2312" w:cs="仿宋_GB2312" w:eastAsia="仿宋_GB2312"/>
                      <w:sz w:val="21"/>
                    </w:rPr>
                    <w:t xml:space="preserve">6. </w:t>
                  </w:r>
                  <w:r>
                    <w:rPr>
                      <w:rFonts w:ascii="仿宋_GB2312" w:hAnsi="仿宋_GB2312" w:cs="仿宋_GB2312" w:eastAsia="仿宋_GB2312"/>
                      <w:sz w:val="21"/>
                    </w:rPr>
                    <w:t>水份含量：≤14.5%；</w:t>
                  </w:r>
                </w:p>
                <w:p>
                  <w:pPr>
                    <w:pStyle w:val="null3"/>
                    <w:jc w:val="both"/>
                  </w:pPr>
                  <w:r>
                    <w:rPr>
                      <w:rFonts w:ascii="仿宋_GB2312" w:hAnsi="仿宋_GB2312" w:cs="仿宋_GB2312" w:eastAsia="仿宋_GB2312"/>
                      <w:sz w:val="21"/>
                    </w:rPr>
                    <w:t xml:space="preserve">7. </w:t>
                  </w:r>
                  <w:r>
                    <w:rPr>
                      <w:rFonts w:ascii="仿宋_GB2312" w:hAnsi="仿宋_GB2312" w:cs="仿宋_GB2312" w:eastAsia="仿宋_GB2312"/>
                      <w:sz w:val="21"/>
                    </w:rPr>
                    <w:t>含砂量：≤0.02%；</w:t>
                  </w:r>
                </w:p>
                <w:p>
                  <w:pPr>
                    <w:pStyle w:val="null3"/>
                    <w:jc w:val="both"/>
                  </w:pPr>
                  <w:r>
                    <w:rPr>
                      <w:rFonts w:ascii="仿宋_GB2312" w:hAnsi="仿宋_GB2312" w:cs="仿宋_GB2312" w:eastAsia="仿宋_GB2312"/>
                      <w:sz w:val="21"/>
                    </w:rPr>
                    <w:t xml:space="preserve">8. </w:t>
                  </w:r>
                  <w:r>
                    <w:rPr>
                      <w:rFonts w:ascii="仿宋_GB2312" w:hAnsi="仿宋_GB2312" w:cs="仿宋_GB2312" w:eastAsia="仿宋_GB2312"/>
                      <w:sz w:val="21"/>
                    </w:rPr>
                    <w:t>磁性金属物：＜0.003g∕kg；</w:t>
                  </w:r>
                </w:p>
                <w:p>
                  <w:pPr>
                    <w:pStyle w:val="null3"/>
                    <w:jc w:val="both"/>
                  </w:pPr>
                  <w:r>
                    <w:rPr>
                      <w:rFonts w:ascii="仿宋_GB2312" w:hAnsi="仿宋_GB2312" w:cs="仿宋_GB2312" w:eastAsia="仿宋_GB2312"/>
                      <w:sz w:val="21"/>
                    </w:rPr>
                    <w:t xml:space="preserve">9. </w:t>
                  </w:r>
                  <w:r>
                    <w:rPr>
                      <w:rFonts w:ascii="仿宋_GB2312" w:hAnsi="仿宋_GB2312" w:cs="仿宋_GB2312" w:eastAsia="仿宋_GB2312"/>
                      <w:sz w:val="21"/>
                    </w:rPr>
                    <w:t>色泽、气味：正常；</w:t>
                  </w:r>
                </w:p>
                <w:p>
                  <w:pPr>
                    <w:pStyle w:val="null3"/>
                    <w:jc w:val="both"/>
                  </w:pPr>
                  <w:r>
                    <w:rPr>
                      <w:rFonts w:ascii="仿宋_GB2312" w:hAnsi="仿宋_GB2312" w:cs="仿宋_GB2312" w:eastAsia="仿宋_GB2312"/>
                      <w:sz w:val="21"/>
                    </w:rPr>
                    <w:t xml:space="preserve">10. </w:t>
                  </w:r>
                  <w:r>
                    <w:rPr>
                      <w:rFonts w:ascii="仿宋_GB2312" w:hAnsi="仿宋_GB2312" w:cs="仿宋_GB2312" w:eastAsia="仿宋_GB2312"/>
                      <w:sz w:val="21"/>
                    </w:rPr>
                    <w:t>外观形态：粉状或微粒状，无结块；</w:t>
                  </w:r>
                </w:p>
                <w:p>
                  <w:pPr>
                    <w:pStyle w:val="null3"/>
                    <w:jc w:val="both"/>
                  </w:pPr>
                  <w:r>
                    <w:rPr>
                      <w:rFonts w:ascii="仿宋_GB2312" w:hAnsi="仿宋_GB2312" w:cs="仿宋_GB2312" w:eastAsia="仿宋_GB2312"/>
                      <w:sz w:val="21"/>
                    </w:rPr>
                    <w:t xml:space="preserve">11. </w:t>
                  </w:r>
                  <w:r>
                    <w:rPr>
                      <w:rFonts w:ascii="仿宋_GB2312" w:hAnsi="仿宋_GB2312" w:cs="仿宋_GB2312" w:eastAsia="仿宋_GB2312"/>
                      <w:sz w:val="21"/>
                    </w:rPr>
                    <w:t>湿面筋含量：≥22%。</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3.3</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面条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斤</w:t>
                  </w:r>
                </w:p>
              </w:tc>
              <w:tc>
                <w:tcPr>
                  <w:tcW w:type="dxa" w:w="3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★1.提供优质并符合中华人民共和国有关面条质量标准及卫生标准（GB/T 40636-20121）的干面条；</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面条应该有鲜亮的色泽，均匀一致，气味应为本产品特有的正常气味，无酸味、霉味等异味；表面光滑细腻，不应该有变黑、变黄及霉点的现象出现。同时，面条的表面应该平整，没有粘连或裂口等情况，煮熟后口感不粘，柔软爽口；</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面条化学指标安全无害，不得含有砂等有害添加剂，禁止使用非食品原料如次硫酸氨钠甲醛（吊白块）等；生产时应选用高质量小麦粉作为主要原料，严禁添加任何不符合食品安全的材料；</w:t>
                  </w:r>
                </w:p>
                <w:p>
                  <w:pPr>
                    <w:pStyle w:val="null3"/>
                    <w:jc w:val="both"/>
                  </w:pPr>
                  <w:r>
                    <w:rPr>
                      <w:rFonts w:ascii="仿宋_GB2312" w:hAnsi="仿宋_GB2312" w:cs="仿宋_GB2312" w:eastAsia="仿宋_GB2312"/>
                      <w:sz w:val="21"/>
                    </w:rPr>
                    <w:t>★4.主要原料</w:t>
                  </w:r>
                  <w:r>
                    <w:rPr>
                      <w:rFonts w:ascii="仿宋_GB2312" w:hAnsi="仿宋_GB2312" w:cs="仿宋_GB2312" w:eastAsia="仿宋_GB2312"/>
                      <w:sz w:val="21"/>
                    </w:rPr>
                    <w:t>小麦粉</w:t>
                  </w:r>
                  <w:r>
                    <w:rPr>
                      <w:rFonts w:ascii="仿宋_GB2312" w:hAnsi="仿宋_GB2312" w:cs="仿宋_GB2312" w:eastAsia="仿宋_GB2312"/>
                      <w:sz w:val="21"/>
                    </w:rPr>
                    <w:t>应符合GB/T1355的规定，食用盐应符合GB2721的规定，食用碱应符合GB1886.1或GB1886.2的规定，生产用水应符合GB5749的规定，菜籽油应符合GB/T1536-2021的规定；</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需用食品级食品袋包装配送，包装要符合相应的国家规定，不应该有破损、变形等问题出现。</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3.4</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菜籽油</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桶</w:t>
                  </w:r>
                </w:p>
              </w:tc>
              <w:tc>
                <w:tcPr>
                  <w:tcW w:type="dxa" w:w="33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1.</w:t>
                  </w:r>
                  <w:r>
                    <w:rPr>
                      <w:rFonts w:ascii="仿宋_GB2312" w:hAnsi="仿宋_GB2312" w:cs="仿宋_GB2312" w:eastAsia="仿宋_GB2312"/>
                      <w:sz w:val="21"/>
                    </w:rPr>
                    <w:t>质量指标：投标人所投菜籽油不低于《食品安全国家标准植物油》 GB2716-2018标准、《菜籽油》GB/T1536-2021标准、《食品安全国家标准食品添加剂使用标准》 GB2760-2014标准、《食品安全国家标准食品中污染物限量》GB2762-2022标准、《食品安全国家标准食品中真菌毒素限量》GB2761-2017标准，达到国家一级标准，加工原料为非转基因油菜籽，严禁采用转基因菜籽油，不得掺有其他食用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包装要求：产品包装坚固结实，完好严密，封口严密无油迹等渗漏现象，符合《食品安全国家标准预包装食品标签通则GB7718-2011标准和《食用植物油销售包 装》GB/T17374-2008）标准。塑料桶须由无毒无害材料制作，每桶内装物净含量5L/桶，桶外须印有质量等级、生产厂家、生产日期、包装规格、 检验合格证和质保期等信息；</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色泽：淡黄色或浅黄色；</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透明度（20℃）：澄清、透明；</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气味、滋味：具有菜籽油固有的香味和滋味、无异味；</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水分及挥发物含量：≤0.10%；</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不溶性杂质含量：≤0.05%；</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酸价(以KOH 计)：≤1.5(mg/g)；</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过氧化值：≤0.125g/(g/100g）；</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加热试验(280℃)：无析出物，油色不得变深。</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118</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投标人提供的货物是正规品牌、正规厂家生产的合格全新产品，符合或优于国家（行业）相关标准，满足本项目采购文件的参数要求和技术指标，且权属清楚，不得侵害他人的知识产权，</w:t>
            </w:r>
            <w:r>
              <w:rPr>
                <w:rFonts w:ascii="仿宋_GB2312" w:hAnsi="仿宋_GB2312" w:cs="仿宋_GB2312" w:eastAsia="仿宋_GB2312"/>
                <w:sz w:val="24"/>
              </w:rPr>
              <w:t>项目所涉及的标准或规范如有最新标准，以最新标准为准</w:t>
            </w:r>
            <w:r>
              <w:rPr>
                <w:rFonts w:ascii="仿宋_GB2312" w:hAnsi="仿宋_GB2312" w:cs="仿宋_GB2312" w:eastAsia="仿宋_GB2312"/>
                <w:sz w:val="24"/>
              </w:rPr>
              <w:t>,</w:t>
            </w:r>
            <w:r>
              <w:rPr>
                <w:rFonts w:ascii="仿宋_GB2312" w:hAnsi="仿宋_GB2312" w:cs="仿宋_GB2312" w:eastAsia="仿宋_GB2312"/>
                <w:sz w:val="24"/>
              </w:rPr>
              <w:t>预包装食品应完整、无渗漏、无破损；有食品生产许可证编号；包装上应注明产品名称、配料表、质量等级、产地、生产日期、保质期、产品标准。投标人、采购双方对商品包装完好性、色泽度、质量及数量进行现场确认验收</w:t>
            </w:r>
            <w:r>
              <w:rPr>
                <w:rFonts w:ascii="仿宋_GB2312" w:hAnsi="仿宋_GB2312" w:cs="仿宋_GB2312" w:eastAsia="仿宋_GB2312"/>
                <w:sz w:val="24"/>
              </w:rPr>
              <w:t>,</w:t>
            </w:r>
            <w:r>
              <w:rPr>
                <w:rFonts w:ascii="仿宋_GB2312" w:hAnsi="仿宋_GB2312" w:cs="仿宋_GB2312" w:eastAsia="仿宋_GB2312"/>
                <w:sz w:val="24"/>
              </w:rPr>
              <w:t>验收结果将作为结算凭证。</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、配送要求：</w:t>
            </w:r>
          </w:p>
          <w:p>
            <w:pPr>
              <w:pStyle w:val="null3"/>
              <w:ind w:firstLine="480"/>
              <w:jc w:val="left"/>
            </w:pPr>
            <w:r>
              <w:rPr>
                <w:rFonts w:ascii="仿宋_GB2312" w:hAnsi="仿宋_GB2312" w:cs="仿宋_GB2312" w:eastAsia="仿宋_GB2312"/>
                <w:sz w:val="24"/>
              </w:rPr>
              <w:t>（1）中标人必须按采购人要求按时、按质、按量供货，如因不可抗力因素无法按时送达的，需提前与采购人联系并达成一致意见后发货。如未提前协商且逾期交货超过7天，采购人有权终止合同，且投标人应按合同总价的百分之三十的款额向采购人支付赔偿款。</w:t>
            </w:r>
          </w:p>
          <w:p>
            <w:pPr>
              <w:pStyle w:val="null3"/>
              <w:ind w:firstLine="480"/>
              <w:jc w:val="left"/>
            </w:pPr>
            <w:r>
              <w:rPr>
                <w:rFonts w:ascii="仿宋_GB2312" w:hAnsi="仿宋_GB2312" w:cs="仿宋_GB2312" w:eastAsia="仿宋_GB2312"/>
                <w:sz w:val="24"/>
              </w:rPr>
              <w:t>（2）中标人将货物运送至指定地点后，由采购人与投标人初步验收数量及规格，货物验收后的放置由采购人负责。</w:t>
            </w:r>
          </w:p>
          <w:p>
            <w:pPr>
              <w:pStyle w:val="null3"/>
              <w:ind w:firstLine="480"/>
              <w:jc w:val="left"/>
            </w:pPr>
            <w:r>
              <w:rPr>
                <w:rFonts w:ascii="仿宋_GB2312" w:hAnsi="仿宋_GB2312" w:cs="仿宋_GB2312" w:eastAsia="仿宋_GB2312"/>
                <w:sz w:val="24"/>
              </w:rPr>
              <w:t>（3）投标人的配送时间由采购人通知，投标人接到采购人订单后，应按采购人要求提供符合要求的食材送达至敬老院食堂并提供《送货清单》一式两份，如敬老院有其他时间段的送货需求，采购人通知中标人后，中标人应迅速组织货源当天内送达。采购人提前一周备好下一周所需食材，内容包括名称、种类、规格、数量、运送时间、送达地点、订单联系人等，若因个别品种缺货或无法提供的，投标人应在接到采购计划单1小时内及时告知采购人并协商解决办法。</w:t>
            </w:r>
          </w:p>
          <w:p>
            <w:pPr>
              <w:pStyle w:val="null3"/>
              <w:ind w:firstLine="480"/>
              <w:jc w:val="left"/>
            </w:pPr>
            <w:r>
              <w:rPr>
                <w:rFonts w:ascii="仿宋_GB2312" w:hAnsi="仿宋_GB2312" w:cs="仿宋_GB2312" w:eastAsia="仿宋_GB2312"/>
                <w:sz w:val="24"/>
              </w:rPr>
              <w:t>（4）投标人的配备车辆应清洁卫生，须符合《食品安全法》第三十三条。所有车辆应做到每日清洗、消毒并做好消毒记录。</w:t>
            </w:r>
          </w:p>
          <w:p>
            <w:pPr>
              <w:pStyle w:val="null3"/>
              <w:ind w:firstLine="425"/>
              <w:jc w:val="both"/>
            </w:pPr>
            <w:r>
              <w:rPr>
                <w:rFonts w:ascii="仿宋_GB2312" w:hAnsi="仿宋_GB2312" w:cs="仿宋_GB2312" w:eastAsia="仿宋_GB2312"/>
                <w:sz w:val="24"/>
              </w:rPr>
              <w:t>（5）投标人应在采购人要求的时间内将采购人所需食材运送到采购人指定场所，投标人配送的所有产品生产企业必须具备国家食品监管部门批准的食品生产许可证、相关机构出具的产品检验、检测合格证，做到食材的来源有据可查，食材、食品必须保证新鲜、不得出现腐烂变质，符合国家规定的卫生质量标准，采购人有权将不合格的食材、食品就地销毁，要求投标人在指定时间内重新配送。若食用投标人配送的食材、食品出现食物中毒现象，由投标人负担经济责任和相关的法律责任，同时采购人有权终止合同。</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、安全要求：</w:t>
            </w:r>
          </w:p>
          <w:p>
            <w:pPr>
              <w:pStyle w:val="null3"/>
              <w:ind w:firstLine="480"/>
              <w:jc w:val="left"/>
            </w:pPr>
            <w:r>
              <w:rPr>
                <w:rFonts w:ascii="仿宋_GB2312" w:hAnsi="仿宋_GB2312" w:cs="仿宋_GB2312" w:eastAsia="仿宋_GB2312"/>
                <w:sz w:val="24"/>
              </w:rPr>
              <w:t>（1）投标人必须严格遵守《食品安全法》，对所供应食材及配料等进行仓储管理及配送流程管理，投标人向采购人配送的食材要有符合国家生产标准的产品检验合格证和质量安全保证承诺书（提供承诺函加盖投标人电子签章）。</w:t>
            </w:r>
          </w:p>
          <w:p>
            <w:pPr>
              <w:pStyle w:val="null3"/>
              <w:ind w:firstLine="480"/>
              <w:jc w:val="left"/>
            </w:pPr>
            <w:r>
              <w:rPr>
                <w:rFonts w:ascii="仿宋_GB2312" w:hAnsi="仿宋_GB2312" w:cs="仿宋_GB2312" w:eastAsia="仿宋_GB2312"/>
                <w:sz w:val="24"/>
              </w:rPr>
              <w:t>（2）中标人对配送产品的质量安全负责，若因产品本身质量问题或配</w:t>
            </w:r>
          </w:p>
          <w:p>
            <w:pPr>
              <w:pStyle w:val="null3"/>
              <w:jc w:val="left"/>
            </w:pPr>
            <w:r>
              <w:rPr>
                <w:rFonts w:ascii="仿宋_GB2312" w:hAnsi="仿宋_GB2312" w:cs="仿宋_GB2312" w:eastAsia="仿宋_GB2312"/>
                <w:sz w:val="24"/>
              </w:rPr>
              <w:t>送中污染、变质造成食品安全事件，中标人负全部责任。</w:t>
            </w:r>
          </w:p>
          <w:p>
            <w:pPr>
              <w:pStyle w:val="null3"/>
              <w:ind w:firstLine="480"/>
              <w:jc w:val="left"/>
            </w:pPr>
            <w:r>
              <w:rPr>
                <w:rFonts w:ascii="仿宋_GB2312" w:hAnsi="仿宋_GB2312" w:cs="仿宋_GB2312" w:eastAsia="仿宋_GB2312"/>
                <w:sz w:val="24"/>
              </w:rPr>
              <w:t>（3）产品发生质量安全事件时，中标人负责人必须立即到现场妥善处理，负责做好入院就医事项，做好安抚工作，并承担所产生的一切费用，因质量问题造成身体伤害及经济损失时，由中标人负责全部赔偿。</w:t>
            </w:r>
          </w:p>
          <w:p>
            <w:pPr>
              <w:pStyle w:val="null3"/>
              <w:ind w:firstLine="480"/>
              <w:jc w:val="left"/>
            </w:pPr>
            <w:r>
              <w:rPr>
                <w:rFonts w:ascii="仿宋_GB2312" w:hAnsi="仿宋_GB2312" w:cs="仿宋_GB2312" w:eastAsia="仿宋_GB2312"/>
                <w:sz w:val="24"/>
              </w:rPr>
              <w:t>（4）因食用供餐发生食物中毒，经有关单位鉴定原因后，如确定为中标人提供之货品问题，中标人除需负担全数医药费及赔偿相关一切损失之外，应承担法律上一切责任，同时办理解约事宜。</w:t>
            </w:r>
          </w:p>
          <w:p>
            <w:pPr>
              <w:pStyle w:val="null3"/>
              <w:ind w:firstLine="480"/>
              <w:jc w:val="left"/>
            </w:pPr>
            <w:r>
              <w:rPr>
                <w:rFonts w:ascii="仿宋_GB2312" w:hAnsi="仿宋_GB2312" w:cs="仿宋_GB2312" w:eastAsia="仿宋_GB2312"/>
                <w:sz w:val="24"/>
              </w:rPr>
              <w:t>（5）合同签订前投标人提交一份食品安全责任保险保单复印件（加盖公章）给采购人核实、留存，并保证供货期间保额不得降低。</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配送管理人员和送货人员持有健康证；食品采购、保管、配送流程管理规范，措施得当，有安全管理职责人员分工，安全管理措施详细具体，突发事件安全应急预案详细具体。投标人在中标后、合同签订前购买保额不低于200万元的食品安全责任险，受益人为旺苍县民政局，保险期限覆盖合同履行期，保险单复印件提交采购人备案。在履行本项目的全部过程中，若出现安全事故（含交通运输、食品安全等），投标人全部承担法律责任和赔偿所有经济损失（含医疗费、误工费、诉讼费、声誉修复费等），且采购人有权单方解约。</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投标人针对本项目提供食材配送方案(包含①配送服务方案和流程；②配送时间节点；③配送过程中重点难点分析应对；④食材配送人员安排；⑤配送人员管理制度；⑥配送车辆安排；⑦配送保障措施；⑧配送过程中突发情况应急措施)。</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、投标人针对本项目提供项目售后服务方案(包含①售后服务主要措施；②售后服务保障方案；③售后服务人员安排)。</w:t>
            </w:r>
          </w:p>
          <w:p>
            <w:pPr>
              <w:pStyle w:val="null3"/>
              <w:ind w:left="420"/>
              <w:jc w:val="left"/>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如果本项目采购需求中引用的相关标准有最新版本的均以最新标准执行，</w:t>
            </w:r>
          </w:p>
          <w:p>
            <w:pPr>
              <w:pStyle w:val="null3"/>
              <w:jc w:val="left"/>
            </w:pPr>
            <w:r>
              <w:rPr>
                <w:rFonts w:ascii="仿宋_GB2312" w:hAnsi="仿宋_GB2312" w:cs="仿宋_GB2312" w:eastAsia="仿宋_GB2312"/>
                <w:sz w:val="24"/>
              </w:rPr>
              <w:t>采购活动中已经作废失效的，在评审中和履约中自动不再适用。</w:t>
            </w:r>
          </w:p>
          <w:p>
            <w:pPr>
              <w:pStyle w:val="null3"/>
              <w:ind w:firstLine="480"/>
              <w:jc w:val="left"/>
            </w:pPr>
            <w:r>
              <w:rPr>
                <w:rFonts w:ascii="仿宋_GB2312" w:hAnsi="仿宋_GB2312" w:cs="仿宋_GB2312" w:eastAsia="仿宋_GB2312"/>
                <w:sz w:val="24"/>
              </w:rPr>
              <w:t>注：★内容为本项目实质性要求，投标人必须满足，否则做无效投标处理。</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其他商务要求</w:t>
            </w:r>
          </w:p>
        </w:tc>
        <w:tc>
          <w:tcPr>
            <w:tcW w:type="dxa" w:w="5814"/>
          </w:tcPr>
          <w:p>
            <w:pPr>
              <w:pStyle w:val="null3"/>
              <w:ind w:firstLine="425"/>
              <w:jc w:val="both"/>
            </w:pPr>
            <w:r>
              <w:rPr>
                <w:rFonts w:ascii="仿宋_GB2312" w:hAnsi="仿宋_GB2312" w:cs="仿宋_GB2312" w:eastAsia="仿宋_GB2312"/>
                <w:sz w:val="24"/>
              </w:rPr>
              <w:t>★1、本项目投标人的服务费应包括投标人为履行服务要求需要的员工基本工资、</w:t>
            </w:r>
            <w:r>
              <w:rPr>
                <w:rFonts w:ascii="仿宋_GB2312" w:hAnsi="仿宋_GB2312" w:cs="仿宋_GB2312" w:eastAsia="仿宋_GB2312"/>
                <w:sz w:val="24"/>
              </w:rPr>
              <w:t>成本费、包装费、运输费、配送费、调换费、损耗费、检测费、税费</w:t>
            </w:r>
            <w:r>
              <w:rPr>
                <w:rFonts w:ascii="仿宋_GB2312" w:hAnsi="仿宋_GB2312" w:cs="仿宋_GB2312" w:eastAsia="仿宋_GB2312"/>
                <w:sz w:val="24"/>
              </w:rPr>
              <w:t>、合理利润、法定税费等完成本项目的所有费用。</w:t>
            </w:r>
          </w:p>
          <w:p>
            <w:pPr>
              <w:pStyle w:val="null3"/>
              <w:ind w:firstLine="425"/>
              <w:jc w:val="both"/>
            </w:pPr>
            <w:r>
              <w:rPr>
                <w:rFonts w:ascii="仿宋_GB2312" w:hAnsi="仿宋_GB2312" w:cs="仿宋_GB2312" w:eastAsia="仿宋_GB2312"/>
                <w:sz w:val="24"/>
              </w:rPr>
              <w:t>2</w:t>
            </w:r>
            <w:r>
              <w:rPr>
                <w:rFonts w:ascii="仿宋_GB2312" w:hAnsi="仿宋_GB2312" w:cs="仿宋_GB2312" w:eastAsia="仿宋_GB2312"/>
                <w:sz w:val="24"/>
              </w:rPr>
              <w:t>、退出机制和考核标准：</w:t>
            </w:r>
          </w:p>
          <w:p>
            <w:pPr>
              <w:pStyle w:val="null3"/>
              <w:ind w:firstLine="425"/>
              <w:jc w:val="both"/>
            </w:pPr>
            <w:r>
              <w:rPr>
                <w:rFonts w:ascii="仿宋_GB2312" w:hAnsi="仿宋_GB2312" w:cs="仿宋_GB2312" w:eastAsia="仿宋_GB2312"/>
                <w:sz w:val="24"/>
              </w:rPr>
              <w:t>★（1）建立退出机制。出现下列情形之一的，将终止食材配送资格，采购人有权解除政府采购合同。由此产生的一切经济及法律责任由中标人承担：</w:t>
            </w:r>
          </w:p>
          <w:p>
            <w:pPr>
              <w:pStyle w:val="null3"/>
              <w:ind w:firstLine="425"/>
              <w:jc w:val="both"/>
            </w:pPr>
            <w:r>
              <w:rPr>
                <w:rFonts w:ascii="仿宋_GB2312" w:hAnsi="仿宋_GB2312" w:cs="仿宋_GB2312" w:eastAsia="仿宋_GB2312"/>
                <w:sz w:val="24"/>
              </w:rPr>
              <w:t>①因中标人的原因直接导致发生食品安全事故的。</w:t>
            </w:r>
          </w:p>
          <w:p>
            <w:pPr>
              <w:pStyle w:val="null3"/>
              <w:ind w:firstLine="425"/>
              <w:jc w:val="both"/>
            </w:pPr>
            <w:r>
              <w:rPr>
                <w:rFonts w:ascii="仿宋_GB2312" w:hAnsi="仿宋_GB2312" w:cs="仿宋_GB2312" w:eastAsia="仿宋_GB2312"/>
                <w:sz w:val="24"/>
              </w:rPr>
              <w:t>②因中标人提供的食品安全保障条件发生不利于采购人的重大变化的（仓储、车辆达不到条件等）。</w:t>
            </w:r>
          </w:p>
          <w:p>
            <w:pPr>
              <w:pStyle w:val="null3"/>
              <w:ind w:firstLine="425"/>
              <w:jc w:val="both"/>
            </w:pPr>
            <w:r>
              <w:rPr>
                <w:rFonts w:ascii="仿宋_GB2312" w:hAnsi="仿宋_GB2312" w:cs="仿宋_GB2312" w:eastAsia="仿宋_GB2312"/>
                <w:sz w:val="24"/>
              </w:rPr>
              <w:t>③中标人所供食材未达到国家食品安全标准的。</w:t>
            </w:r>
          </w:p>
          <w:p>
            <w:pPr>
              <w:pStyle w:val="null3"/>
              <w:ind w:firstLine="425"/>
              <w:jc w:val="both"/>
            </w:pPr>
            <w:r>
              <w:rPr>
                <w:rFonts w:ascii="仿宋_GB2312" w:hAnsi="仿宋_GB2312" w:cs="仿宋_GB2312" w:eastAsia="仿宋_GB2312"/>
                <w:sz w:val="24"/>
              </w:rPr>
              <w:t>④逃避监督管理部门监管情节严重的，或严重违反食品质量安全法规以及有其他不良行为造成恶劣影响或严重后果的。</w:t>
            </w:r>
          </w:p>
          <w:p>
            <w:pPr>
              <w:pStyle w:val="null3"/>
              <w:ind w:firstLine="425"/>
              <w:jc w:val="both"/>
            </w:pPr>
            <w:r>
              <w:rPr>
                <w:rFonts w:ascii="仿宋_GB2312" w:hAnsi="仿宋_GB2312" w:cs="仿宋_GB2312" w:eastAsia="仿宋_GB2312"/>
                <w:sz w:val="24"/>
              </w:rPr>
              <w:t>⑤考核方式及要求：采购人每半年对中标人的食材质量、服务履约情况进行综合考核，考核总分100分。其中考核得分90分（含）及以上为合格，低于90分为不合格，考核不合格的，投标人须按采购人要求限期整改并提交整改报告，若中标人在考核得分低于80分，触发退出机制。</w:t>
            </w:r>
          </w:p>
          <w:p>
            <w:pPr>
              <w:pStyle w:val="null3"/>
              <w:ind w:firstLine="425"/>
              <w:jc w:val="both"/>
            </w:pPr>
            <w:r>
              <w:rPr>
                <w:rFonts w:ascii="仿宋_GB2312" w:hAnsi="仿宋_GB2312" w:cs="仿宋_GB2312" w:eastAsia="仿宋_GB2312"/>
                <w:sz w:val="24"/>
              </w:rPr>
              <w:t>（2）考核标准（扣分按次累计计算）</w:t>
            </w:r>
          </w:p>
          <w:tbl>
            <w:tblPr>
              <w:tblBorders>
                <w:top w:val="single"/>
                <w:left w:val="single"/>
                <w:bottom w:val="single"/>
                <w:right w:val="single"/>
                <w:insideH w:val="single"/>
                <w:insideV w:val="single"/>
              </w:tblBorders>
            </w:tblPr>
            <w:tblGrid>
              <w:gridCol w:w="635"/>
              <w:gridCol w:w="3841"/>
              <w:gridCol w:w="1122"/>
            </w:tblGrid>
            <w:tr>
              <w:tc>
                <w:tcPr>
                  <w:tcW w:type="dxa" w:w="63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序号</w:t>
                  </w:r>
                </w:p>
              </w:tc>
              <w:tc>
                <w:tcPr>
                  <w:tcW w:type="dxa" w:w="384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考核标准</w:t>
                  </w:r>
                </w:p>
              </w:tc>
              <w:tc>
                <w:tcPr>
                  <w:tcW w:type="dxa" w:w="112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扣分（分</w:t>
                  </w:r>
                  <w:r>
                    <w:rPr>
                      <w:rFonts w:ascii="仿宋_GB2312" w:hAnsi="仿宋_GB2312" w:cs="仿宋_GB2312" w:eastAsia="仿宋_GB2312"/>
                      <w:sz w:val="21"/>
                      <w:color w:val="000000"/>
                    </w:rPr>
                    <w:t>/</w:t>
                  </w:r>
                  <w:r>
                    <w:rPr>
                      <w:rFonts w:ascii="仿宋_GB2312" w:hAnsi="仿宋_GB2312" w:cs="仿宋_GB2312" w:eastAsia="仿宋_GB2312"/>
                      <w:sz w:val="21"/>
                      <w:color w:val="000000"/>
                    </w:rPr>
                    <w:t>次）</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1</w:t>
                  </w:r>
                </w:p>
              </w:tc>
              <w:tc>
                <w:tcPr>
                  <w:tcW w:type="dxa" w:w="3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20"/>
                    <w:jc w:val="left"/>
                  </w:pPr>
                  <w:r>
                    <w:rPr>
                      <w:rFonts w:ascii="仿宋_GB2312" w:hAnsi="仿宋_GB2312" w:cs="仿宋_GB2312" w:eastAsia="仿宋_GB2312"/>
                      <w:sz w:val="21"/>
                      <w:color w:val="000000"/>
                    </w:rPr>
                    <w:t>食材不新鲜、有变质、变质倾向和有异味的</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2</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2</w:t>
                  </w:r>
                </w:p>
              </w:tc>
              <w:tc>
                <w:tcPr>
                  <w:tcW w:type="dxa" w:w="3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20"/>
                    <w:jc w:val="left"/>
                  </w:pPr>
                  <w:r>
                    <w:rPr>
                      <w:rFonts w:ascii="仿宋_GB2312" w:hAnsi="仿宋_GB2312" w:cs="仿宋_GB2312" w:eastAsia="仿宋_GB2312"/>
                      <w:sz w:val="21"/>
                      <w:color w:val="000000"/>
                    </w:rPr>
                    <w:t>食材以次充好、缺斤少两的</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5</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3</w:t>
                  </w:r>
                </w:p>
              </w:tc>
              <w:tc>
                <w:tcPr>
                  <w:tcW w:type="dxa" w:w="3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20"/>
                    <w:jc w:val="left"/>
                  </w:pPr>
                  <w:r>
                    <w:rPr>
                      <w:rFonts w:ascii="仿宋_GB2312" w:hAnsi="仿宋_GB2312" w:cs="仿宋_GB2312" w:eastAsia="仿宋_GB2312"/>
                      <w:sz w:val="21"/>
                      <w:color w:val="000000"/>
                    </w:rPr>
                    <w:t>食材有砂石污染的</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2</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4</w:t>
                  </w:r>
                </w:p>
              </w:tc>
              <w:tc>
                <w:tcPr>
                  <w:tcW w:type="dxa" w:w="3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20"/>
                    <w:jc w:val="left"/>
                  </w:pPr>
                  <w:r>
                    <w:rPr>
                      <w:rFonts w:ascii="仿宋_GB2312" w:hAnsi="仿宋_GB2312" w:cs="仿宋_GB2312" w:eastAsia="仿宋_GB2312"/>
                      <w:sz w:val="21"/>
                      <w:color w:val="000000"/>
                    </w:rPr>
                    <w:t>食材混有危害健康致病寄生虫、卵的</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5</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5</w:t>
                  </w:r>
                </w:p>
              </w:tc>
              <w:tc>
                <w:tcPr>
                  <w:tcW w:type="dxa" w:w="3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20"/>
                    <w:jc w:val="left"/>
                  </w:pPr>
                  <w:r>
                    <w:rPr>
                      <w:rFonts w:ascii="仿宋_GB2312" w:hAnsi="仿宋_GB2312" w:cs="仿宋_GB2312" w:eastAsia="仿宋_GB2312"/>
                      <w:sz w:val="21"/>
                      <w:color w:val="000000"/>
                    </w:rPr>
                    <w:t>食材被交叉轻微污损的</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2</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6</w:t>
                  </w:r>
                </w:p>
              </w:tc>
              <w:tc>
                <w:tcPr>
                  <w:tcW w:type="dxa" w:w="3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20"/>
                    <w:jc w:val="left"/>
                  </w:pPr>
                  <w:r>
                    <w:rPr>
                      <w:rFonts w:ascii="仿宋_GB2312" w:hAnsi="仿宋_GB2312" w:cs="仿宋_GB2312" w:eastAsia="仿宋_GB2312"/>
                      <w:sz w:val="21"/>
                      <w:color w:val="000000"/>
                    </w:rPr>
                    <w:t>一批次食材个别品种不洁净的</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1</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7</w:t>
                  </w:r>
                </w:p>
              </w:tc>
              <w:tc>
                <w:tcPr>
                  <w:tcW w:type="dxa" w:w="3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20"/>
                    <w:jc w:val="left"/>
                  </w:pPr>
                  <w:r>
                    <w:rPr>
                      <w:rFonts w:ascii="仿宋_GB2312" w:hAnsi="仿宋_GB2312" w:cs="仿宋_GB2312" w:eastAsia="仿宋_GB2312"/>
                      <w:sz w:val="21"/>
                      <w:color w:val="000000"/>
                    </w:rPr>
                    <w:t>退换食材仍然不合格的</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3</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8</w:t>
                  </w:r>
                </w:p>
              </w:tc>
              <w:tc>
                <w:tcPr>
                  <w:tcW w:type="dxa" w:w="3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20"/>
                    <w:jc w:val="left"/>
                  </w:pPr>
                  <w:r>
                    <w:rPr>
                      <w:rFonts w:ascii="仿宋_GB2312" w:hAnsi="仿宋_GB2312" w:cs="仿宋_GB2312" w:eastAsia="仿宋_GB2312"/>
                      <w:sz w:val="21"/>
                      <w:color w:val="000000"/>
                    </w:rPr>
                    <w:t>配送的食材卫生检验合格证与产品的名称、商标相不一致的</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3</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9</w:t>
                  </w:r>
                </w:p>
              </w:tc>
              <w:tc>
                <w:tcPr>
                  <w:tcW w:type="dxa" w:w="3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20"/>
                    <w:jc w:val="left"/>
                  </w:pPr>
                  <w:r>
                    <w:rPr>
                      <w:rFonts w:ascii="仿宋_GB2312" w:hAnsi="仿宋_GB2312" w:cs="仿宋_GB2312" w:eastAsia="仿宋_GB2312"/>
                      <w:sz w:val="21"/>
                      <w:color w:val="000000"/>
                    </w:rPr>
                    <w:t>配送的食材包装变形、渗漏的</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1</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10</w:t>
                  </w:r>
                </w:p>
              </w:tc>
              <w:tc>
                <w:tcPr>
                  <w:tcW w:type="dxa" w:w="3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20"/>
                    <w:jc w:val="left"/>
                  </w:pPr>
                  <w:r>
                    <w:rPr>
                      <w:rFonts w:ascii="仿宋_GB2312" w:hAnsi="仿宋_GB2312" w:cs="仿宋_GB2312" w:eastAsia="仿宋_GB2312"/>
                      <w:sz w:val="21"/>
                      <w:color w:val="000000"/>
                    </w:rPr>
                    <w:t>配送的食材无正当理由私自调换外包装的</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3</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11</w:t>
                  </w:r>
                </w:p>
              </w:tc>
              <w:tc>
                <w:tcPr>
                  <w:tcW w:type="dxa" w:w="3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20"/>
                    <w:jc w:val="left"/>
                  </w:pPr>
                  <w:r>
                    <w:rPr>
                      <w:rFonts w:ascii="仿宋_GB2312" w:hAnsi="仿宋_GB2312" w:cs="仿宋_GB2312" w:eastAsia="仿宋_GB2312"/>
                      <w:sz w:val="21"/>
                      <w:color w:val="000000"/>
                    </w:rPr>
                    <w:t>配送的食材外包装污染未造成内装食材受污损的</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1</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12</w:t>
                  </w:r>
                </w:p>
              </w:tc>
              <w:tc>
                <w:tcPr>
                  <w:tcW w:type="dxa" w:w="3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20"/>
                    <w:jc w:val="left"/>
                  </w:pPr>
                  <w:r>
                    <w:rPr>
                      <w:rFonts w:ascii="仿宋_GB2312" w:hAnsi="仿宋_GB2312" w:cs="仿宋_GB2312" w:eastAsia="仿宋_GB2312"/>
                      <w:sz w:val="21"/>
                      <w:color w:val="000000"/>
                    </w:rPr>
                    <w:t>配送的食材未达到要求拒不退换的</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5</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13</w:t>
                  </w:r>
                </w:p>
              </w:tc>
              <w:tc>
                <w:tcPr>
                  <w:tcW w:type="dxa" w:w="3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20"/>
                    <w:jc w:val="left"/>
                  </w:pPr>
                  <w:r>
                    <w:rPr>
                      <w:rFonts w:ascii="仿宋_GB2312" w:hAnsi="仿宋_GB2312" w:cs="仿宋_GB2312" w:eastAsia="仿宋_GB2312"/>
                      <w:sz w:val="21"/>
                      <w:color w:val="000000"/>
                    </w:rPr>
                    <w:t>配送人员证件不齐全、未按要求着工作服、佩戴胸牌的</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5</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14</w:t>
                  </w:r>
                </w:p>
              </w:tc>
              <w:tc>
                <w:tcPr>
                  <w:tcW w:type="dxa" w:w="3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20"/>
                    <w:jc w:val="left"/>
                  </w:pPr>
                  <w:r>
                    <w:rPr>
                      <w:rFonts w:ascii="仿宋_GB2312" w:hAnsi="仿宋_GB2312" w:cs="仿宋_GB2312" w:eastAsia="仿宋_GB2312"/>
                      <w:sz w:val="21"/>
                      <w:color w:val="000000"/>
                    </w:rPr>
                    <w:t>配送人员服务态度恶劣的</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2</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15</w:t>
                  </w:r>
                </w:p>
              </w:tc>
              <w:tc>
                <w:tcPr>
                  <w:tcW w:type="dxa" w:w="3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20"/>
                    <w:jc w:val="left"/>
                  </w:pPr>
                  <w:r>
                    <w:rPr>
                      <w:rFonts w:ascii="仿宋_GB2312" w:hAnsi="仿宋_GB2312" w:cs="仿宋_GB2312" w:eastAsia="仿宋_GB2312"/>
                      <w:sz w:val="21"/>
                      <w:color w:val="000000"/>
                    </w:rPr>
                    <w:t>配送车辆未达到招标要求的</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2</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16</w:t>
                  </w:r>
                </w:p>
              </w:tc>
              <w:tc>
                <w:tcPr>
                  <w:tcW w:type="dxa" w:w="3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20"/>
                    <w:jc w:val="left"/>
                  </w:pPr>
                  <w:r>
                    <w:rPr>
                      <w:rFonts w:ascii="仿宋_GB2312" w:hAnsi="仿宋_GB2312" w:cs="仿宋_GB2312" w:eastAsia="仿宋_GB2312"/>
                      <w:sz w:val="21"/>
                      <w:color w:val="000000"/>
                    </w:rPr>
                    <w:t>配送食材清单与配送的食材有误差的</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2</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17</w:t>
                  </w:r>
                </w:p>
              </w:tc>
              <w:tc>
                <w:tcPr>
                  <w:tcW w:type="dxa" w:w="3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20"/>
                    <w:jc w:val="left"/>
                  </w:pPr>
                  <w:r>
                    <w:rPr>
                      <w:rFonts w:ascii="仿宋_GB2312" w:hAnsi="仿宋_GB2312" w:cs="仿宋_GB2312" w:eastAsia="仿宋_GB2312"/>
                      <w:sz w:val="21"/>
                      <w:color w:val="000000"/>
                    </w:rPr>
                    <w:t>日常配送未按采购人规定时间配送到指定地点的</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2</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18</w:t>
                  </w:r>
                </w:p>
              </w:tc>
              <w:tc>
                <w:tcPr>
                  <w:tcW w:type="dxa" w:w="3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20"/>
                    <w:jc w:val="left"/>
                  </w:pPr>
                  <w:r>
                    <w:rPr>
                      <w:rFonts w:ascii="仿宋_GB2312" w:hAnsi="仿宋_GB2312" w:cs="仿宋_GB2312" w:eastAsia="仿宋_GB2312"/>
                      <w:sz w:val="21"/>
                      <w:color w:val="000000"/>
                    </w:rPr>
                    <w:t>单据食材价格与当期食材执行价不符的</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3</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19</w:t>
                  </w:r>
                </w:p>
              </w:tc>
              <w:tc>
                <w:tcPr>
                  <w:tcW w:type="dxa" w:w="3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20"/>
                    <w:jc w:val="left"/>
                  </w:pPr>
                  <w:r>
                    <w:rPr>
                      <w:rFonts w:ascii="仿宋_GB2312" w:hAnsi="仿宋_GB2312" w:cs="仿宋_GB2312" w:eastAsia="仿宋_GB2312"/>
                      <w:sz w:val="21"/>
                      <w:color w:val="000000"/>
                    </w:rPr>
                    <w:t>对采购人的意见、建议不虚心接受，运作过程中出现的新情况、新问题不及时主动沟通的</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right="120"/>
                    <w:jc w:val="center"/>
                  </w:pPr>
                  <w:r>
                    <w:rPr>
                      <w:rFonts w:ascii="仿宋_GB2312" w:hAnsi="仿宋_GB2312" w:cs="仿宋_GB2312" w:eastAsia="仿宋_GB2312"/>
                      <w:sz w:val="21"/>
                      <w:color w:val="000000"/>
                    </w:rPr>
                    <w:t>2</w:t>
                  </w:r>
                </w:p>
              </w:tc>
            </w:tr>
          </w:tbl>
          <w:p>
            <w:pPr>
              <w:pStyle w:val="null3"/>
              <w:jc w:val="left"/>
            </w:pPr>
            <w:r>
              <w:rPr>
                <w:rFonts w:ascii="仿宋_GB2312" w:hAnsi="仿宋_GB2312" w:cs="仿宋_GB2312" w:eastAsia="仿宋_GB2312"/>
                <w:sz w:val="24"/>
              </w:rPr>
              <w:t>注：★项为本项目实质性要求，不允许负偏离，否则作无效投标处理。</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365日</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旺苍县社会福利院、白水中心敬老院、黄洋中心敬老院、普济中心敬老院、木门中心敬老院、三江中心敬老院、英萃中心敬老院、国华中心敬老院、旺苍县失能照护院。</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每月对账结算后，采购人支付货款，投标人需在每次申请付款前开具正规增值税专用发票/增值税普通发票，采购人收到发票后在10个工作日内（遇法定节假日、周末休息日顺延）支付货款。，达到付款条件起10日内，据实结算说明为双方一个月结算一次货款，每月5号之前，双方凭签字确认的送货单对上个月供货数量进行对账结算，形成对账单，经双方确认无误由合同指定人员签字确认。若投标人形成对账单后，采购人在收到投标人对账请求的10日内（遇法定节假日、周末休息日顺延）不予对账，则视为采购人认可投标人单方制作的对账单的结算金额。</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（1）验收标准：采购人应严格按照《财政部关于进一步加强政府采购需求和履约验收管理的报导意见》（财库【2016】205 号）文件规定进行验收。 （2）验收办法：供应商将食品运至指定地点后，由旺苍县养老指导服务中心组织相关敬老院进行验收工作，不得无故拖延。 （3）验收内容：每批次食品验收应对运输车辆、包装、保质期、食材的外观进行详细检查，不合格的，采购人有权拒收。食品验收合格后，双方在入库三联单上签字确认（不得少于3人），作为食品款支付依据。</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（1）产品在送达指定地点时剩余质保期不得少于包装上注明质保期的三分 之二。 （2）遇到产品质量、安全等相关问题，电话咨询不能解决的，成交供应商应在3小时内到达现场，并采取有效措施，确保问题得到及时处置。 ★（3）中标人严格产品的检验、留样、放行程序，对每批次配送的产品须向敬老院提供产品质量检验报告复印件并对其真实性负责，采购人在合同期内有权随机抽检中标人所提供的货物至少一次，如中标人的货物检测不合格，采购人有权终止合同，所造成的一切后果由中标人负责，检测所产生的费用由中标人承担。（投标人投标时须提供承诺函原件并电子签章，格式自拟）； (4)遇到产品质量、安全等相关问题，电话咨询不能解决的，中标人应在3小时内到达现场，并采取有效措施，确保问题得到及时处置。</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1.采购人与投标人双方必须遵守合同并执行合同中的各项规定，保证合同的正常履行，如有违约，将赔偿因违约给对方造成的直接经济损失。 2.如因投标人工作人员在履行职务过程中的的疏忽、失职、过错等故意或者过失原因给采购人造成损失或侵害，包括但不限于采购方本身的财产损失、由此而导致的采购方对任何第三方的法律责任等，投标人对此均应承担全部的赔偿等责任。 3.合同履行期间,若双方发生争议，可协商或由有关部门调解解决，协商或调解不成的，由当事人依法维护其合法权益。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本国产品价格扣除：本次采购供应商提供的产品符合《国务院办公厅关于在政府采购中实施本国产品标准及相关政策的通知》国办发〔2025〕34号规定情形的，在评审时对满足本国产品标准的产品给与20%的价格扣除，用扣除后的价格参与评审。供应商需提供《关于符合本国产品标准的声明函》（格式详见磋商文件“第六章 响应文件格式”）并进行供应商电子章。未提供的视为放弃享受本国产品价格扣除优惠政策。因落实政府采购政策进行价格调整的，以调整后的价格计算基准价，本次采购项目享受本国产品价格扣除优惠政策的货物为大米、面粉、面条、菜籽油。 2、本项目统一采用百分比报价，不得采用下浮比例报价。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投标人需在项目电子化交易系统中按要求填写《投标（响应）函》完成承诺,并提供法人或者其他组织的营业执照等证明文件原件扫描件并进行电子签章。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本采购包属于专门面向小微企业采购。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小微企业制造；如投标人合同分包的，分包意向协议中分包意向供应商提供的货物由小微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供应商为食材生产商：须提供有效期内的《食品生产许可证》、《食品经营许可证》或《食品经营许可电子证书》或所在地县级以上地方市场监督管理部门备案证明（预包装）； 供应商为食材配送商：须提供有效期内的《食品经营许可证》或《食品经营备案登记》或《食品经营许可电子证书》或所在地县级以上地方市场监督管理部门备案证明（预包装）</w:t>
            </w:r>
          </w:p>
        </w:tc>
        <w:tc>
          <w:tcPr>
            <w:tcW w:type="dxa" w:w="3322"/>
          </w:tcPr>
          <w:p>
            <w:pPr>
              <w:pStyle w:val="null3"/>
              <w:jc w:val="left"/>
            </w:pPr>
            <w:r>
              <w:rPr>
                <w:rFonts w:ascii="仿宋_GB2312" w:hAnsi="仿宋_GB2312" w:cs="仿宋_GB2312" w:eastAsia="仿宋_GB2312"/>
              </w:rPr>
              <w:t>供应商为食材生产商：须提供有效期内的《食品生产许可证》复印件、《食品经营许可证》复印件或《食品经营许可电子证书》复印件或所在地县级以上地方市场监督管理部门备案证明（预包装）复印件；供应商为食材配送商：须提供有效期内的《食品经营许可证》复印件或《食品经营备案登记》复印件或《食品经营许可电子证书》复印件或所在地县级以上地方市场监督管理部门备案证明（预包装）复印件。</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技术、服务应答内容没有完全响应招标文件的实质性要求的</w:t>
            </w:r>
          </w:p>
        </w:tc>
        <w:tc>
          <w:tcPr>
            <w:tcW w:type="dxa" w:w="3322"/>
          </w:tcPr>
          <w:p>
            <w:pPr>
              <w:pStyle w:val="null3"/>
              <w:jc w:val="left"/>
            </w:pPr>
            <w:r>
              <w:rPr>
                <w:rFonts w:ascii="仿宋_GB2312" w:hAnsi="仿宋_GB2312" w:cs="仿宋_GB2312" w:eastAsia="仿宋_GB2312"/>
              </w:rPr>
              <w:t>技术、服务应答内容没有完全响应招标文件的实质性要求的则该供应商的符合性审查不通过，反之则通过。</w:t>
            </w:r>
          </w:p>
        </w:tc>
        <w:tc>
          <w:tcPr>
            <w:tcW w:type="dxa" w:w="1661"/>
          </w:tcPr>
          <w:p>
            <w:pPr>
              <w:pStyle w:val="null3"/>
              <w:jc w:val="left"/>
            </w:pPr>
            <w:r>
              <w:rPr>
                <w:rFonts w:ascii="仿宋_GB2312" w:hAnsi="仿宋_GB2312" w:cs="仿宋_GB2312" w:eastAsia="仿宋_GB2312"/>
              </w:rPr>
              <w:t>产品技术参数响应表,商务要求应答表.docx,服务应答表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投标报价不符合招标文件规定的价格标底和其他报价规定的</w:t>
            </w:r>
          </w:p>
        </w:tc>
        <w:tc>
          <w:tcPr>
            <w:tcW w:type="dxa" w:w="3322"/>
          </w:tcPr>
          <w:p>
            <w:pPr>
              <w:pStyle w:val="null3"/>
              <w:jc w:val="left"/>
            </w:pPr>
            <w:r>
              <w:rPr>
                <w:rFonts w:ascii="仿宋_GB2312" w:hAnsi="仿宋_GB2312" w:cs="仿宋_GB2312" w:eastAsia="仿宋_GB2312"/>
              </w:rPr>
              <w:t>投标报价没有完全响应招标文件的实质性要求的则该供应商的符合性审查不通过，反之则通过。</w:t>
            </w:r>
          </w:p>
        </w:tc>
        <w:tc>
          <w:tcPr>
            <w:tcW w:type="dxa" w:w="1661"/>
          </w:tcPr>
          <w:p>
            <w:pPr>
              <w:pStyle w:val="null3"/>
              <w:jc w:val="left"/>
            </w:pPr>
            <w:r>
              <w:rPr>
                <w:rFonts w:ascii="仿宋_GB2312" w:hAnsi="仿宋_GB2312" w:cs="仿宋_GB2312" w:eastAsia="仿宋_GB2312"/>
              </w:rPr>
              <w:t>关于符合本国产品标准的声明函,报价表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其他不满足招标文件实质性要求的情形</w:t>
            </w:r>
          </w:p>
        </w:tc>
        <w:tc>
          <w:tcPr>
            <w:tcW w:type="dxa" w:w="3322"/>
          </w:tcPr>
          <w:p>
            <w:pPr>
              <w:pStyle w:val="null3"/>
              <w:jc w:val="left"/>
            </w:pPr>
            <w:r>
              <w:rPr>
                <w:rFonts w:ascii="仿宋_GB2312" w:hAnsi="仿宋_GB2312" w:cs="仿宋_GB2312" w:eastAsia="仿宋_GB2312"/>
              </w:rPr>
              <w:t>响应文件存在其他不满足招标文件实质性要求情形的，则该供应商符合性审查不通过，反之则通过。</w:t>
            </w:r>
          </w:p>
        </w:tc>
        <w:tc>
          <w:tcPr>
            <w:tcW w:type="dxa" w:w="1661"/>
          </w:tcPr>
          <w:p>
            <w:pPr>
              <w:pStyle w:val="null3"/>
              <w:jc w:val="left"/>
            </w:pPr>
            <w:r>
              <w:rPr>
                <w:rFonts w:ascii="仿宋_GB2312" w:hAnsi="仿宋_GB2312" w:cs="仿宋_GB2312" w:eastAsia="仿宋_GB2312"/>
              </w:rPr>
              <w:t>投标人应提交的相关证明材料,产品技术参数响应表,商务要求应答表.docx,服务应答表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企业实力</w:t>
            </w:r>
          </w:p>
        </w:tc>
        <w:tc>
          <w:tcPr>
            <w:tcW w:type="dxa" w:w="2575"/>
          </w:tcPr>
          <w:p>
            <w:pPr>
              <w:pStyle w:val="null3"/>
              <w:jc w:val="left"/>
            </w:pPr>
            <w:r>
              <w:rPr>
                <w:rFonts w:ascii="仿宋_GB2312" w:hAnsi="仿宋_GB2312" w:cs="仿宋_GB2312" w:eastAsia="仿宋_GB2312"/>
              </w:rPr>
              <w:t>1、投标人为本项目配备的配送车辆中有1辆得1分，本项最多得2分； 注：车辆属于租赁的提供车辆租赁合同和有效期内的行驶证复印件，车辆属于自购的提供购买发票和有效期内的行驶证复印件。 2、投标人的配送仓库面积在300㎡以下的得1分；面积在300-600㎡（含300）的得2分；面积在600-1000㎡（含600）的得3分，面积在1000㎡以上（含1000）的得4分。 注：自有仓库的提供配送仓库场所照片、房产证；租赁仓库的提供送仓库场所照片、租赁合同，以上均提供复印件加盖单位公章。</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食材配送方案</w:t>
            </w:r>
          </w:p>
        </w:tc>
        <w:tc>
          <w:tcPr>
            <w:tcW w:type="dxa" w:w="2575"/>
          </w:tcPr>
          <w:p>
            <w:pPr>
              <w:pStyle w:val="null3"/>
              <w:jc w:val="left"/>
            </w:pPr>
            <w:r>
              <w:rPr>
                <w:rFonts w:ascii="仿宋_GB2312" w:hAnsi="仿宋_GB2312" w:cs="仿宋_GB2312" w:eastAsia="仿宋_GB2312"/>
              </w:rPr>
              <w:t>投标人对本项目编制食材配送方案，包含：①配送服务方案和流程；②配送时间节点；③配送过程中重点难点分析应对；④食材配送人员安排；⑤配送人员管理制度；⑥配送车辆安排；⑦配送保障措施；⑧配送过程中突发情况应急措施。方案内容齐全且无缺陷得48分；每缺少一项内容扣6分；每项内容中存在一处缺陷扣2分，扣完为止。 缺陷是指：内容与本项目无关、内容套用其他项目方案、涉及相关标准及规范引用错误、内容与项目实际情况不符、涉及的规范与标准错误、内容不满足采购需求等情形中的任一种。</w:t>
            </w:r>
          </w:p>
        </w:tc>
        <w:tc>
          <w:tcPr>
            <w:tcW w:type="dxa" w:w="831"/>
          </w:tcPr>
          <w:p>
            <w:pPr>
              <w:pStyle w:val="null3"/>
              <w:jc w:val="center"/>
            </w:pPr>
            <w:r>
              <w:rPr>
                <w:rFonts w:ascii="仿宋_GB2312" w:hAnsi="仿宋_GB2312" w:cs="仿宋_GB2312" w:eastAsia="仿宋_GB2312"/>
              </w:rPr>
              <w:t>48.0000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投标人对本项目编制售后服务方案，包含：①售后服务主要措施；②售后服务保障方案；③售后服务人员安排。方案内容齐全且无缺陷得12分；每缺少一项内容扣4分；每项内容中存在一处缺陷扣2分，扣完为止。 缺陷是指：内容与本项目无关、内容套用其他项目方案、涉及相关标准及规范引用错误、内容与项目实际情况不符、涉及的规范与标准错误、内容不满足采购需求等情形中的任一种。</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食品安全责任保险</w:t>
            </w:r>
          </w:p>
        </w:tc>
        <w:tc>
          <w:tcPr>
            <w:tcW w:type="dxa" w:w="2575"/>
          </w:tcPr>
          <w:p>
            <w:pPr>
              <w:pStyle w:val="null3"/>
              <w:jc w:val="left"/>
            </w:pPr>
            <w:r>
              <w:rPr>
                <w:rFonts w:ascii="仿宋_GB2312" w:hAnsi="仿宋_GB2312" w:cs="仿宋_GB2312" w:eastAsia="仿宋_GB2312"/>
              </w:rPr>
              <w:t>投标人具有有效期内的食品安全责任保险或承诺中标后提供食品安全责任保险，200万≤保单累计赔偿总额≤ 400万 的得 1分，400万＜保单累计赔偿总额≤600 万的得 2分，600万＜保单累计赔偿总额≤800万的得 3分，保单累计赔偿总额＞800万的得4分。 注：投标人提供购买食品安全责任保险的相关证明材料或承诺函并加盖供应商电子签章。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大米、面粉、面条、菜籽油</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