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381B512">
      <w:pPr>
        <w:pStyle w:val="7"/>
        <w:bidi w:val="0"/>
        <w:jc w:val="center"/>
        <w:rPr>
          <w:b/>
          <w:bCs/>
          <w:color w:val="auto"/>
          <w:sz w:val="44"/>
          <w:szCs w:val="44"/>
          <w:highlight w:val="none"/>
        </w:rPr>
      </w:pPr>
      <w:r>
        <w:rPr>
          <w:rFonts w:hint="eastAsia"/>
          <w:b/>
          <w:bCs/>
          <w:color w:val="auto"/>
          <w:sz w:val="44"/>
          <w:szCs w:val="44"/>
          <w:highlight w:val="none"/>
        </w:rPr>
        <w:t>小区安全管理服务合同</w:t>
      </w:r>
    </w:p>
    <w:p w14:paraId="7B40116A">
      <w:pPr>
        <w:pStyle w:val="7"/>
        <w:bidi w:val="0"/>
        <w:spacing w:line="560" w:lineRule="exact"/>
        <w:rPr>
          <w:rFonts w:hint="eastAsia"/>
          <w:b/>
          <w:bCs/>
          <w:color w:val="auto"/>
          <w:highlight w:val="none"/>
        </w:rPr>
      </w:pPr>
      <w:r>
        <w:rPr>
          <w:rFonts w:hint="eastAsia"/>
          <w:b/>
          <w:bCs/>
          <w:color w:val="auto"/>
          <w:highlight w:val="none"/>
        </w:rPr>
        <w:t>甲方：厦门市住房保障中心</w:t>
      </w:r>
    </w:p>
    <w:p w14:paraId="57752070">
      <w:pPr>
        <w:pStyle w:val="7"/>
        <w:bidi w:val="0"/>
        <w:spacing w:line="240" w:lineRule="auto"/>
        <w:rPr>
          <w:rFonts w:hint="eastAsia"/>
          <w:b/>
          <w:bCs/>
          <w:color w:val="auto"/>
          <w:highlight w:val="none"/>
          <w:lang w:val="en-US" w:eastAsia="zh-CN"/>
        </w:rPr>
      </w:pPr>
      <w:r>
        <w:rPr>
          <w:rFonts w:hint="eastAsia"/>
          <w:b/>
          <w:bCs/>
          <w:color w:val="auto"/>
          <w:highlight w:val="none"/>
        </w:rPr>
        <w:t>乙方：</w:t>
      </w:r>
      <w:r>
        <w:rPr>
          <w:rFonts w:hint="eastAsia"/>
          <w:b/>
          <w:bCs/>
          <w:color w:val="auto"/>
          <w:highlight w:val="none"/>
          <w:lang w:val="en-US" w:eastAsia="zh-CN"/>
        </w:rPr>
        <w:t xml:space="preserve"> </w:t>
      </w:r>
    </w:p>
    <w:p w14:paraId="35F56DD5">
      <w:pPr>
        <w:pStyle w:val="7"/>
        <w:bidi w:val="0"/>
        <w:spacing w:line="240" w:lineRule="auto"/>
        <w:rPr>
          <w:rFonts w:hint="default"/>
          <w:b/>
          <w:bCs/>
          <w:color w:val="auto"/>
          <w:highlight w:val="none"/>
          <w:lang w:val="en-US" w:eastAsia="zh-CN"/>
        </w:rPr>
      </w:pPr>
    </w:p>
    <w:p w14:paraId="0DE9BB16">
      <w:pPr>
        <w:pStyle w:val="7"/>
        <w:bidi w:val="0"/>
        <w:spacing w:line="360" w:lineRule="auto"/>
        <w:ind w:firstLine="480" w:firstLineChars="200"/>
        <w:jc w:val="both"/>
        <w:rPr>
          <w:rFonts w:hint="eastAsia"/>
          <w:color w:val="auto"/>
          <w:highlight w:val="none"/>
        </w:rPr>
      </w:pPr>
      <w:r>
        <w:rPr>
          <w:rFonts w:hint="eastAsia"/>
          <w:color w:val="auto"/>
          <w:highlight w:val="none"/>
        </w:rPr>
        <w:t>为全面落实保障房小区消防</w:t>
      </w:r>
      <w:r>
        <w:rPr>
          <w:rFonts w:hint="eastAsia"/>
          <w:color w:val="auto"/>
          <w:highlight w:val="none"/>
          <w:lang w:eastAsia="zh-CN"/>
        </w:rPr>
        <w:t>等综合</w:t>
      </w:r>
      <w:r>
        <w:rPr>
          <w:rFonts w:hint="eastAsia"/>
          <w:color w:val="auto"/>
          <w:highlight w:val="none"/>
        </w:rPr>
        <w:t>安全管理工作，根据甲方公开招标的结果，由乙方向甲方提供小区安全管理服务等有偿服务，甲、乙双方本着公平公正的原则，共同遵守</w:t>
      </w:r>
      <w:r>
        <w:rPr>
          <w:rFonts w:hint="eastAsia"/>
          <w:color w:val="auto"/>
          <w:highlight w:val="none"/>
          <w:lang w:eastAsia="zh-CN"/>
        </w:rPr>
        <w:t>《</w:t>
      </w:r>
      <w:r>
        <w:rPr>
          <w:rFonts w:hint="eastAsia"/>
          <w:color w:val="auto"/>
          <w:highlight w:val="none"/>
        </w:rPr>
        <w:t>中华人民共和国民法典》及相关法律法规，并明确双方的权利和义务，经双方自愿协商就甲方所管理的保障性住房小区委托乙方开展安全管理服务事宜，甲、乙双方授权各自的代表按照下述条款签署本合同。</w:t>
      </w:r>
    </w:p>
    <w:p w14:paraId="163DA831">
      <w:pPr>
        <w:pStyle w:val="7"/>
        <w:bidi w:val="0"/>
        <w:spacing w:line="360" w:lineRule="auto"/>
        <w:outlineLvl w:val="0"/>
        <w:rPr>
          <w:rFonts w:hint="eastAsia"/>
          <w:b/>
          <w:bCs/>
          <w:color w:val="auto"/>
          <w:highlight w:val="none"/>
        </w:rPr>
      </w:pPr>
      <w:r>
        <w:rPr>
          <w:rFonts w:hint="eastAsia"/>
          <w:b/>
          <w:bCs/>
          <w:color w:val="auto"/>
          <w:highlight w:val="none"/>
        </w:rPr>
        <w:t>第一条</w:t>
      </w:r>
      <w:r>
        <w:rPr>
          <w:rFonts w:hint="eastAsia"/>
          <w:b/>
          <w:bCs/>
          <w:color w:val="auto"/>
          <w:highlight w:val="none"/>
          <w:lang w:val="en-US" w:eastAsia="zh-CN"/>
        </w:rPr>
        <w:t xml:space="preserve"> </w:t>
      </w:r>
      <w:r>
        <w:rPr>
          <w:rFonts w:hint="eastAsia"/>
          <w:b/>
          <w:bCs/>
          <w:color w:val="auto"/>
          <w:highlight w:val="none"/>
        </w:rPr>
        <w:t>合同签订依据</w:t>
      </w:r>
    </w:p>
    <w:p w14:paraId="70D39DDC">
      <w:pPr>
        <w:pStyle w:val="7"/>
        <w:bidi w:val="0"/>
        <w:spacing w:line="360" w:lineRule="auto"/>
        <w:ind w:firstLine="480" w:firstLineChars="200"/>
        <w:jc w:val="both"/>
        <w:rPr>
          <w:rFonts w:hint="eastAsia"/>
          <w:color w:val="auto"/>
          <w:highlight w:val="none"/>
        </w:rPr>
      </w:pPr>
      <w:r>
        <w:rPr>
          <w:rFonts w:hint="eastAsia"/>
          <w:color w:val="auto"/>
          <w:highlight w:val="none"/>
        </w:rPr>
        <w:t>甲方委托</w:t>
      </w:r>
      <w:r>
        <w:rPr>
          <w:rFonts w:hint="eastAsia"/>
          <w:color w:val="auto"/>
          <w:highlight w:val="none"/>
          <w:lang w:eastAsia="zh-CN"/>
        </w:rPr>
        <w:t>招标代理公司</w:t>
      </w:r>
      <w:r>
        <w:rPr>
          <w:rFonts w:hint="eastAsia"/>
          <w:color w:val="auto"/>
          <w:highlight w:val="none"/>
        </w:rPr>
        <w:t>对</w:t>
      </w:r>
      <w:r>
        <w:rPr>
          <w:rFonts w:hint="eastAsia" w:ascii="仿宋_GB2312" w:hAnsi="仿宋_GB2312" w:eastAsia="仿宋_GB2312" w:cs="仿宋_GB2312"/>
          <w:color w:val="auto"/>
          <w:sz w:val="24"/>
          <w:highlight w:val="none"/>
          <w:u w:val="single"/>
        </w:rPr>
        <w:t>消防等第三方综合安全管理</w:t>
      </w:r>
      <w:r>
        <w:rPr>
          <w:rFonts w:hint="eastAsia"/>
          <w:color w:val="auto"/>
          <w:highlight w:val="none"/>
        </w:rPr>
        <w:t>进行招标采购（招标编号：</w:t>
      </w:r>
      <w:r>
        <w:rPr>
          <w:rFonts w:hint="eastAsia"/>
          <w:color w:val="auto"/>
          <w:highlight w:val="none"/>
          <w:lang w:val="en-US" w:eastAsia="zh-CN"/>
        </w:rPr>
        <w:t xml:space="preserve"> </w:t>
      </w:r>
      <w:r>
        <w:rPr>
          <w:rFonts w:hint="eastAsia"/>
          <w:color w:val="auto"/>
          <w:highlight w:val="none"/>
        </w:rPr>
        <w:t>）的招标结果，以及本采购项目的招标文件和</w:t>
      </w:r>
      <w:r>
        <w:rPr>
          <w:rFonts w:hint="eastAsia"/>
          <w:color w:val="auto"/>
          <w:highlight w:val="none"/>
          <w:lang w:eastAsia="zh-CN"/>
        </w:rPr>
        <w:t>乙方</w:t>
      </w:r>
      <w:r>
        <w:rPr>
          <w:rFonts w:hint="eastAsia"/>
          <w:color w:val="auto"/>
          <w:highlight w:val="none"/>
        </w:rPr>
        <w:t>投标文件。</w:t>
      </w:r>
    </w:p>
    <w:p w14:paraId="154DD66B">
      <w:pPr>
        <w:pStyle w:val="7"/>
        <w:bidi w:val="0"/>
        <w:spacing w:line="360" w:lineRule="auto"/>
        <w:outlineLvl w:val="0"/>
        <w:rPr>
          <w:rFonts w:hint="eastAsia"/>
          <w:b/>
          <w:bCs/>
          <w:color w:val="auto"/>
          <w:highlight w:val="none"/>
        </w:rPr>
      </w:pPr>
      <w:r>
        <w:rPr>
          <w:rFonts w:hint="eastAsia"/>
          <w:b/>
          <w:bCs/>
          <w:color w:val="auto"/>
          <w:highlight w:val="none"/>
        </w:rPr>
        <w:t>第二条</w:t>
      </w:r>
      <w:r>
        <w:rPr>
          <w:rFonts w:hint="eastAsia"/>
          <w:b/>
          <w:bCs/>
          <w:color w:val="auto"/>
          <w:highlight w:val="none"/>
          <w:lang w:val="en-US" w:eastAsia="zh-CN"/>
        </w:rPr>
        <w:t xml:space="preserve"> </w:t>
      </w:r>
      <w:r>
        <w:rPr>
          <w:rFonts w:hint="eastAsia"/>
          <w:b/>
          <w:bCs/>
          <w:color w:val="auto"/>
          <w:highlight w:val="none"/>
        </w:rPr>
        <w:t>服务范围</w:t>
      </w:r>
    </w:p>
    <w:p w14:paraId="43BAC404">
      <w:pPr>
        <w:pStyle w:val="7"/>
        <w:bidi w:val="0"/>
        <w:spacing w:line="360" w:lineRule="auto"/>
        <w:rPr>
          <w:rFonts w:hint="eastAsia"/>
          <w:color w:val="auto"/>
          <w:highlight w:val="none"/>
        </w:rPr>
      </w:pPr>
      <w:r>
        <w:rPr>
          <w:rFonts w:hint="eastAsia"/>
          <w:color w:val="auto"/>
          <w:highlight w:val="none"/>
        </w:rPr>
        <w:t>2.1项目名称：</w:t>
      </w:r>
      <w:r>
        <w:rPr>
          <w:rFonts w:hint="eastAsia" w:ascii="仿宋_GB2312" w:hAnsi="仿宋_GB2312" w:eastAsia="仿宋_GB2312" w:cs="仿宋_GB2312"/>
          <w:color w:val="auto"/>
          <w:sz w:val="24"/>
          <w:highlight w:val="none"/>
          <w:u w:val="single"/>
        </w:rPr>
        <w:t>消防等第三方综合安全管理</w:t>
      </w:r>
    </w:p>
    <w:p w14:paraId="0E20EC87">
      <w:pPr>
        <w:pStyle w:val="7"/>
        <w:bidi w:val="0"/>
        <w:spacing w:line="360" w:lineRule="auto"/>
        <w:rPr>
          <w:rFonts w:hint="eastAsia"/>
          <w:color w:val="auto"/>
          <w:highlight w:val="none"/>
        </w:rPr>
      </w:pPr>
      <w:r>
        <w:rPr>
          <w:rFonts w:hint="eastAsia"/>
          <w:color w:val="auto"/>
          <w:highlight w:val="none"/>
        </w:rPr>
        <w:t>2.2所在地址：</w:t>
      </w:r>
      <w:r>
        <w:rPr>
          <w:rFonts w:hint="eastAsia"/>
          <w:color w:val="auto"/>
          <w:highlight w:val="none"/>
          <w:lang w:eastAsia="zh-CN"/>
        </w:rPr>
        <w:t>招标文件</w:t>
      </w:r>
      <w:r>
        <w:rPr>
          <w:rFonts w:hint="eastAsia"/>
          <w:color w:val="auto"/>
          <w:highlight w:val="none"/>
        </w:rPr>
        <w:t>约定的小区范围</w:t>
      </w:r>
    </w:p>
    <w:p w14:paraId="1A42C750">
      <w:pPr>
        <w:pStyle w:val="7"/>
        <w:bidi w:val="0"/>
        <w:spacing w:line="360" w:lineRule="auto"/>
        <w:outlineLvl w:val="0"/>
        <w:rPr>
          <w:rFonts w:hint="eastAsia"/>
          <w:b/>
          <w:bCs/>
          <w:color w:val="auto"/>
          <w:highlight w:val="none"/>
        </w:rPr>
      </w:pPr>
      <w:r>
        <w:rPr>
          <w:rFonts w:hint="eastAsia"/>
          <w:b/>
          <w:bCs/>
          <w:color w:val="auto"/>
          <w:highlight w:val="none"/>
        </w:rPr>
        <w:t>第三条</w:t>
      </w:r>
      <w:r>
        <w:rPr>
          <w:rFonts w:hint="eastAsia"/>
          <w:b/>
          <w:bCs/>
          <w:color w:val="auto"/>
          <w:highlight w:val="none"/>
          <w:lang w:val="en-US" w:eastAsia="zh-CN"/>
        </w:rPr>
        <w:t xml:space="preserve"> </w:t>
      </w:r>
      <w:r>
        <w:rPr>
          <w:rFonts w:hint="eastAsia"/>
          <w:b/>
          <w:bCs/>
          <w:color w:val="auto"/>
          <w:highlight w:val="none"/>
        </w:rPr>
        <w:t>小区安全管理服务费用</w:t>
      </w:r>
    </w:p>
    <w:p w14:paraId="23480CD7">
      <w:pPr>
        <w:pStyle w:val="7"/>
        <w:bidi w:val="0"/>
        <w:spacing w:line="360" w:lineRule="auto"/>
        <w:jc w:val="both"/>
        <w:rPr>
          <w:rFonts w:hint="eastAsia"/>
          <w:color w:val="auto"/>
          <w:highlight w:val="none"/>
        </w:rPr>
      </w:pPr>
      <w:r>
        <w:rPr>
          <w:rFonts w:hint="eastAsia"/>
          <w:color w:val="auto"/>
          <w:highlight w:val="none"/>
        </w:rPr>
        <w:t>3.1本合同每年度服务费总价</w:t>
      </w:r>
      <w:r>
        <w:rPr>
          <w:rFonts w:hint="eastAsia"/>
          <w:color w:val="auto"/>
          <w:highlight w:val="none"/>
          <w:lang w:eastAsia="zh-CN"/>
        </w:rPr>
        <w:t>（</w:t>
      </w:r>
      <w:r>
        <w:rPr>
          <w:rFonts w:hint="eastAsia"/>
          <w:color w:val="auto"/>
          <w:highlight w:val="none"/>
          <w:lang w:val="en-US" w:eastAsia="zh-CN"/>
        </w:rPr>
        <w:t>含税）</w:t>
      </w:r>
      <w:r>
        <w:rPr>
          <w:rFonts w:hint="eastAsia"/>
          <w:color w:val="auto"/>
          <w:highlight w:val="none"/>
        </w:rPr>
        <w:t>为人民币</w:t>
      </w:r>
      <w:r>
        <w:rPr>
          <w:rFonts w:hint="eastAsia"/>
          <w:color w:val="auto"/>
          <w:highlight w:val="none"/>
          <w:lang w:val="en-US" w:eastAsia="zh-CN"/>
        </w:rPr>
        <w:t>大写：</w:t>
      </w:r>
      <w:r>
        <w:rPr>
          <w:rFonts w:hint="eastAsia"/>
          <w:color w:val="auto"/>
          <w:highlight w:val="none"/>
          <w:u w:val="single"/>
          <w:lang w:val="en-US" w:eastAsia="zh-CN"/>
        </w:rPr>
        <w:t xml:space="preserve">                   </w:t>
      </w:r>
      <w:r>
        <w:rPr>
          <w:rFonts w:hint="eastAsia"/>
          <w:color w:val="auto"/>
          <w:highlight w:val="none"/>
        </w:rPr>
        <w:t>。</w:t>
      </w:r>
    </w:p>
    <w:p w14:paraId="3F95EB51">
      <w:pPr>
        <w:pStyle w:val="7"/>
        <w:bidi w:val="0"/>
        <w:spacing w:line="360" w:lineRule="auto"/>
        <w:jc w:val="both"/>
        <w:rPr>
          <w:rFonts w:hint="eastAsia"/>
          <w:color w:val="auto"/>
          <w:highlight w:val="none"/>
        </w:rPr>
      </w:pPr>
      <w:r>
        <w:rPr>
          <w:rFonts w:hint="eastAsia"/>
          <w:color w:val="auto"/>
          <w:highlight w:val="none"/>
        </w:rPr>
        <w:t>3.2</w:t>
      </w:r>
      <w:r>
        <w:rPr>
          <w:rFonts w:hint="eastAsia"/>
          <w:color w:val="auto"/>
          <w:highlight w:val="none"/>
          <w:lang w:eastAsia="zh-CN"/>
        </w:rPr>
        <w:t>乙方</w:t>
      </w:r>
      <w:r>
        <w:rPr>
          <w:rFonts w:hint="eastAsia"/>
          <w:color w:val="auto"/>
          <w:highlight w:val="none"/>
        </w:rPr>
        <w:t>不得以任何理由要求</w:t>
      </w:r>
      <w:r>
        <w:rPr>
          <w:rFonts w:hint="eastAsia"/>
          <w:color w:val="auto"/>
          <w:highlight w:val="none"/>
          <w:lang w:val="en-US" w:eastAsia="zh-CN"/>
        </w:rPr>
        <w:t>甲方支付除上述之外的任何</w:t>
      </w:r>
      <w:r>
        <w:rPr>
          <w:rFonts w:hint="eastAsia"/>
          <w:color w:val="auto"/>
          <w:highlight w:val="none"/>
        </w:rPr>
        <w:t>费用，投标总报价为承包期限内所有可能发生的费用，包括</w:t>
      </w:r>
      <w:r>
        <w:rPr>
          <w:rFonts w:hint="eastAsia" w:asciiTheme="minorHAnsi" w:hAnsiTheme="minorHAnsi" w:eastAsiaTheme="minorEastAsia" w:cstheme="minorBidi"/>
          <w:color w:val="auto"/>
          <w:sz w:val="24"/>
          <w:highlight w:val="none"/>
        </w:rPr>
        <w:t>人工费、设备投入使用费、劳保费、税金、采购代理服务费、材料费、资料收集费、安全生产措施费用、组织评审费、验收费、咨询费、管理费</w:t>
      </w:r>
      <w:r>
        <w:rPr>
          <w:rFonts w:hint="eastAsia" w:asciiTheme="minorHAnsi" w:hAnsiTheme="minorHAnsi" w:eastAsiaTheme="minorEastAsia" w:cstheme="minorBidi"/>
          <w:color w:val="auto"/>
          <w:sz w:val="24"/>
          <w:highlight w:val="none"/>
          <w:lang w:eastAsia="zh-CN"/>
        </w:rPr>
        <w:t>等相关</w:t>
      </w:r>
      <w:r>
        <w:rPr>
          <w:rFonts w:hint="eastAsia" w:asciiTheme="minorHAnsi" w:hAnsiTheme="minorHAnsi" w:eastAsiaTheme="minorEastAsia" w:cstheme="minorBidi"/>
          <w:color w:val="auto"/>
          <w:sz w:val="24"/>
          <w:highlight w:val="none"/>
        </w:rPr>
        <w:t>伴随服务等服务期间</w:t>
      </w:r>
      <w:r>
        <w:rPr>
          <w:rFonts w:hint="eastAsia"/>
          <w:color w:val="auto"/>
          <w:highlight w:val="none"/>
        </w:rPr>
        <w:t>所有费用。</w:t>
      </w:r>
    </w:p>
    <w:p w14:paraId="307A1B18">
      <w:pPr>
        <w:pStyle w:val="7"/>
        <w:bidi w:val="0"/>
        <w:spacing w:line="360" w:lineRule="auto"/>
        <w:jc w:val="both"/>
        <w:rPr>
          <w:rFonts w:hint="eastAsia"/>
          <w:color w:val="auto"/>
          <w:highlight w:val="none"/>
        </w:rPr>
      </w:pPr>
      <w:r>
        <w:rPr>
          <w:rFonts w:hint="eastAsia"/>
          <w:color w:val="auto"/>
          <w:highlight w:val="none"/>
        </w:rPr>
        <w:t>3.3</w:t>
      </w:r>
      <w:r>
        <w:rPr>
          <w:rFonts w:hint="eastAsia"/>
          <w:color w:val="auto"/>
          <w:highlight w:val="none"/>
          <w:lang w:val="en-US" w:eastAsia="zh-CN"/>
        </w:rPr>
        <w:t>为切实保障小区安全管理服务质量，甲方有权结合小区实际情况要求</w:t>
      </w:r>
      <w:r>
        <w:rPr>
          <w:rFonts w:hint="eastAsia"/>
          <w:color w:val="auto"/>
          <w:highlight w:val="none"/>
        </w:rPr>
        <w:t>乙方增加小区安全管理人员数量，乙方不得拒绝甲方的增派要求，且需确保增派人员的资质符合本合同约定的服务人员标准。</w:t>
      </w:r>
      <w:r>
        <w:rPr>
          <w:rFonts w:hint="eastAsia"/>
          <w:color w:val="auto"/>
          <w:highlight w:val="none"/>
          <w:lang w:val="en-US" w:eastAsia="zh-CN"/>
        </w:rPr>
        <w:t>但</w:t>
      </w:r>
      <w:r>
        <w:rPr>
          <w:rFonts w:hint="eastAsia"/>
          <w:color w:val="auto"/>
          <w:highlight w:val="none"/>
        </w:rPr>
        <w:t>小区安全管理服务费保持不变。</w:t>
      </w:r>
    </w:p>
    <w:p w14:paraId="24FEEB8B">
      <w:pPr>
        <w:pStyle w:val="7"/>
        <w:bidi w:val="0"/>
        <w:spacing w:line="360" w:lineRule="auto"/>
        <w:jc w:val="both"/>
        <w:rPr>
          <w:rFonts w:hint="eastAsia"/>
          <w:color w:val="auto"/>
          <w:highlight w:val="none"/>
        </w:rPr>
      </w:pPr>
      <w:r>
        <w:rPr>
          <w:rFonts w:hint="eastAsia"/>
          <w:color w:val="auto"/>
          <w:highlight w:val="none"/>
        </w:rPr>
        <w:t>3.4本合同项下的货币币种为人民币。</w:t>
      </w:r>
    </w:p>
    <w:p w14:paraId="08B7C741">
      <w:pPr>
        <w:pStyle w:val="7"/>
        <w:bidi w:val="0"/>
        <w:spacing w:line="360" w:lineRule="auto"/>
        <w:outlineLvl w:val="0"/>
        <w:rPr>
          <w:rFonts w:hint="eastAsia"/>
          <w:b/>
          <w:bCs/>
          <w:color w:val="auto"/>
          <w:highlight w:val="none"/>
        </w:rPr>
      </w:pPr>
      <w:r>
        <w:rPr>
          <w:rFonts w:hint="eastAsia"/>
          <w:b/>
          <w:bCs/>
          <w:color w:val="auto"/>
          <w:highlight w:val="none"/>
        </w:rPr>
        <w:t>第四条</w:t>
      </w:r>
      <w:r>
        <w:rPr>
          <w:rFonts w:hint="eastAsia"/>
          <w:b/>
          <w:bCs/>
          <w:color w:val="auto"/>
          <w:highlight w:val="none"/>
          <w:lang w:val="en-US" w:eastAsia="zh-CN"/>
        </w:rPr>
        <w:t xml:space="preserve"> </w:t>
      </w:r>
      <w:r>
        <w:rPr>
          <w:rFonts w:hint="eastAsia"/>
          <w:b/>
          <w:bCs/>
          <w:color w:val="auto"/>
          <w:highlight w:val="none"/>
        </w:rPr>
        <w:t>小区安全管理服务期限</w:t>
      </w:r>
    </w:p>
    <w:p w14:paraId="1C5A79D3">
      <w:pPr>
        <w:pStyle w:val="7"/>
        <w:bidi w:val="0"/>
        <w:spacing w:line="360" w:lineRule="auto"/>
        <w:jc w:val="both"/>
        <w:rPr>
          <w:rFonts w:hint="eastAsia"/>
          <w:color w:val="auto"/>
          <w:highlight w:val="none"/>
        </w:rPr>
      </w:pPr>
      <w:r>
        <w:rPr>
          <w:rFonts w:hint="eastAsia"/>
          <w:color w:val="auto"/>
          <w:highlight w:val="none"/>
        </w:rPr>
        <w:t>4.1小区安全管理服务期限计</w:t>
      </w:r>
      <w:r>
        <w:rPr>
          <w:rFonts w:hint="eastAsia"/>
          <w:color w:val="auto"/>
          <w:highlight w:val="none"/>
          <w:lang w:val="en-US" w:eastAsia="zh-CN"/>
        </w:rPr>
        <w:t>24</w:t>
      </w:r>
      <w:r>
        <w:rPr>
          <w:rFonts w:hint="eastAsia"/>
          <w:color w:val="auto"/>
          <w:highlight w:val="none"/>
        </w:rPr>
        <w:t>个月，</w:t>
      </w:r>
      <w:r>
        <w:rPr>
          <w:rFonts w:hint="eastAsia"/>
          <w:color w:val="auto"/>
          <w:highlight w:val="none"/>
          <w:lang w:val="en-US" w:eastAsia="zh-CN"/>
        </w:rPr>
        <w:t>自</w:t>
      </w:r>
      <w:r>
        <w:rPr>
          <w:rFonts w:hint="eastAsia"/>
          <w:color w:val="auto"/>
          <w:highlight w:val="none"/>
          <w:u w:val="single"/>
          <w:lang w:val="en-US" w:eastAsia="zh-CN"/>
        </w:rPr>
        <w:t xml:space="preserve">           起至                止</w:t>
      </w:r>
      <w:r>
        <w:rPr>
          <w:rFonts w:hint="eastAsia"/>
          <w:color w:val="auto"/>
          <w:highlight w:val="none"/>
        </w:rPr>
        <w:t>。</w:t>
      </w:r>
    </w:p>
    <w:p w14:paraId="3DD30649">
      <w:pPr>
        <w:pStyle w:val="7"/>
        <w:bidi w:val="0"/>
        <w:spacing w:line="360" w:lineRule="auto"/>
        <w:jc w:val="both"/>
        <w:rPr>
          <w:rFonts w:hint="eastAsia"/>
          <w:color w:val="auto"/>
          <w:highlight w:val="none"/>
        </w:rPr>
      </w:pPr>
      <w:r>
        <w:rPr>
          <w:rFonts w:hint="eastAsia"/>
          <w:color w:val="auto"/>
          <w:highlight w:val="none"/>
        </w:rPr>
        <w:t>4.2合同期满后经甲方</w:t>
      </w:r>
      <w:r>
        <w:rPr>
          <w:rFonts w:hint="eastAsia"/>
          <w:color w:val="auto"/>
          <w:highlight w:val="none"/>
          <w:lang w:val="en-US" w:eastAsia="zh-CN"/>
        </w:rPr>
        <w:t>考核</w:t>
      </w:r>
      <w:r>
        <w:rPr>
          <w:rFonts w:hint="eastAsia"/>
          <w:color w:val="auto"/>
          <w:highlight w:val="none"/>
          <w:lang w:eastAsia="zh-CN"/>
        </w:rPr>
        <w:t>，</w:t>
      </w:r>
      <w:r>
        <w:rPr>
          <w:rFonts w:hint="eastAsia"/>
          <w:color w:val="auto"/>
          <w:highlight w:val="none"/>
          <w:lang w:val="en-US" w:eastAsia="zh-CN"/>
        </w:rPr>
        <w:t>乙方的</w:t>
      </w:r>
      <w:r>
        <w:rPr>
          <w:rFonts w:hint="eastAsia"/>
          <w:color w:val="auto"/>
          <w:highlight w:val="none"/>
        </w:rPr>
        <w:t>年度考核成绩为</w:t>
      </w:r>
      <w:r>
        <w:rPr>
          <w:rFonts w:hint="eastAsia"/>
          <w:color w:val="auto"/>
          <w:highlight w:val="none"/>
          <w:lang w:eastAsia="zh-CN"/>
        </w:rPr>
        <w:t>8</w:t>
      </w:r>
      <w:r>
        <w:rPr>
          <w:rFonts w:hint="eastAsia"/>
          <w:color w:val="auto"/>
          <w:highlight w:val="none"/>
          <w:lang w:val="en-US" w:eastAsia="zh-CN"/>
        </w:rPr>
        <w:t>0分以上</w:t>
      </w:r>
      <w:r>
        <w:rPr>
          <w:rFonts w:hint="eastAsia"/>
          <w:color w:val="auto"/>
          <w:highlight w:val="none"/>
        </w:rPr>
        <w:t>的</w:t>
      </w:r>
      <w:r>
        <w:rPr>
          <w:rFonts w:hint="eastAsia"/>
          <w:color w:val="auto"/>
          <w:highlight w:val="none"/>
          <w:lang w:eastAsia="zh-CN"/>
        </w:rPr>
        <w:t>（</w:t>
      </w:r>
      <w:r>
        <w:rPr>
          <w:rFonts w:hint="eastAsia"/>
          <w:color w:val="auto"/>
          <w:highlight w:val="none"/>
          <w:lang w:val="en-US" w:eastAsia="zh-CN"/>
        </w:rPr>
        <w:t>含80分</w:t>
      </w:r>
      <w:r>
        <w:rPr>
          <w:rFonts w:hint="eastAsia"/>
          <w:color w:val="auto"/>
          <w:highlight w:val="none"/>
          <w:lang w:eastAsia="zh-CN"/>
        </w:rPr>
        <w:t>）</w:t>
      </w:r>
      <w:r>
        <w:rPr>
          <w:rFonts w:hint="eastAsia"/>
          <w:color w:val="auto"/>
          <w:highlight w:val="none"/>
        </w:rPr>
        <w:t>，</w:t>
      </w:r>
      <w:r>
        <w:rPr>
          <w:rFonts w:hint="eastAsia"/>
          <w:color w:val="auto"/>
          <w:highlight w:val="none"/>
          <w:lang w:val="en-US" w:eastAsia="zh-CN"/>
        </w:rPr>
        <w:t>甲方有权选择将本</w:t>
      </w:r>
      <w:r>
        <w:rPr>
          <w:rFonts w:hint="default"/>
          <w:color w:val="auto"/>
          <w:highlight w:val="none"/>
          <w:lang w:val="en-US"/>
        </w:rPr>
        <w:t>合同自动顺延</w:t>
      </w:r>
      <w:r>
        <w:rPr>
          <w:rFonts w:hint="eastAsia"/>
          <w:color w:val="auto"/>
          <w:highlight w:val="none"/>
        </w:rPr>
        <w:t>一年，</w:t>
      </w:r>
      <w:r>
        <w:rPr>
          <w:rFonts w:hint="eastAsia"/>
          <w:color w:val="auto"/>
          <w:highlight w:val="none"/>
          <w:lang w:val="en-US" w:eastAsia="zh-CN"/>
        </w:rPr>
        <w:t>但</w:t>
      </w:r>
      <w:r>
        <w:rPr>
          <w:rFonts w:hint="eastAsia"/>
          <w:color w:val="auto"/>
          <w:highlight w:val="none"/>
        </w:rPr>
        <w:t>最长</w:t>
      </w:r>
      <w:r>
        <w:rPr>
          <w:rFonts w:hint="eastAsia"/>
          <w:color w:val="auto"/>
          <w:highlight w:val="none"/>
          <w:lang w:val="en-US" w:eastAsia="zh-CN"/>
        </w:rPr>
        <w:t>服务</w:t>
      </w:r>
      <w:r>
        <w:rPr>
          <w:rFonts w:hint="eastAsia"/>
          <w:color w:val="auto"/>
          <w:highlight w:val="none"/>
        </w:rPr>
        <w:t>周期不</w:t>
      </w:r>
      <w:r>
        <w:rPr>
          <w:rFonts w:hint="eastAsia"/>
          <w:color w:val="auto"/>
          <w:highlight w:val="none"/>
          <w:lang w:val="en-US" w:eastAsia="zh-CN"/>
        </w:rPr>
        <w:t>得</w:t>
      </w:r>
      <w:r>
        <w:rPr>
          <w:rFonts w:hint="eastAsia"/>
          <w:color w:val="auto"/>
          <w:highlight w:val="none"/>
        </w:rPr>
        <w:t>超过三年，考核标准见附件1《保障房小区安全管理服务</w:t>
      </w:r>
      <w:r>
        <w:rPr>
          <w:rFonts w:hint="eastAsia"/>
          <w:color w:val="auto"/>
          <w:highlight w:val="none"/>
          <w:lang w:eastAsia="zh-CN"/>
        </w:rPr>
        <w:t>季度考核标准</w:t>
      </w:r>
      <w:r>
        <w:rPr>
          <w:rFonts w:hint="eastAsia"/>
          <w:color w:val="auto"/>
          <w:highlight w:val="none"/>
        </w:rPr>
        <w:t>》。</w:t>
      </w:r>
    </w:p>
    <w:p w14:paraId="452666DF">
      <w:pPr>
        <w:pStyle w:val="7"/>
        <w:bidi w:val="0"/>
        <w:spacing w:line="360" w:lineRule="auto"/>
        <w:outlineLvl w:val="0"/>
        <w:rPr>
          <w:rFonts w:hint="eastAsia"/>
          <w:b/>
          <w:bCs/>
          <w:color w:val="auto"/>
          <w:highlight w:val="none"/>
        </w:rPr>
      </w:pPr>
      <w:r>
        <w:rPr>
          <w:rFonts w:hint="eastAsia"/>
          <w:b/>
          <w:bCs/>
          <w:color w:val="auto"/>
          <w:highlight w:val="none"/>
        </w:rPr>
        <w:t>第五条</w:t>
      </w:r>
      <w:r>
        <w:rPr>
          <w:rFonts w:hint="eastAsia"/>
          <w:b/>
          <w:bCs/>
          <w:color w:val="auto"/>
          <w:highlight w:val="none"/>
          <w:lang w:val="en-US" w:eastAsia="zh-CN"/>
        </w:rPr>
        <w:t xml:space="preserve"> </w:t>
      </w:r>
      <w:r>
        <w:rPr>
          <w:rFonts w:hint="eastAsia"/>
          <w:b/>
          <w:bCs/>
          <w:color w:val="auto"/>
          <w:highlight w:val="none"/>
        </w:rPr>
        <w:t>小区安全管理服务内容</w:t>
      </w:r>
    </w:p>
    <w:p w14:paraId="405984B6">
      <w:pPr>
        <w:pStyle w:val="7"/>
        <w:bidi w:val="0"/>
        <w:spacing w:line="360" w:lineRule="auto"/>
        <w:jc w:val="both"/>
        <w:rPr>
          <w:rFonts w:hint="default" w:eastAsiaTheme="minorEastAsia"/>
          <w:color w:val="auto"/>
          <w:highlight w:val="none"/>
          <w:lang w:val="en-US" w:eastAsia="zh-CN"/>
        </w:rPr>
      </w:pPr>
      <w:r>
        <w:rPr>
          <w:rFonts w:hint="eastAsia"/>
          <w:color w:val="auto"/>
          <w:highlight w:val="none"/>
        </w:rPr>
        <w:t>5.1乙方已充分了解甲方及本合同约定的小区安全管理项目的现有环境</w:t>
      </w:r>
      <w:r>
        <w:rPr>
          <w:rFonts w:hint="eastAsia"/>
          <w:color w:val="auto"/>
          <w:highlight w:val="none"/>
          <w:lang w:eastAsia="zh-CN"/>
        </w:rPr>
        <w:t>（</w:t>
      </w:r>
      <w:r>
        <w:rPr>
          <w:rFonts w:hint="eastAsia"/>
          <w:color w:val="auto"/>
          <w:highlight w:val="none"/>
          <w:lang w:val="en-US" w:eastAsia="zh-CN"/>
        </w:rPr>
        <w:t>包括但不限于空间分布、建筑结构、设施现状等</w:t>
      </w:r>
      <w:r>
        <w:rPr>
          <w:rFonts w:hint="eastAsia"/>
          <w:color w:val="auto"/>
          <w:highlight w:val="none"/>
          <w:lang w:eastAsia="zh-CN"/>
        </w:rPr>
        <w:t>）</w:t>
      </w:r>
      <w:r>
        <w:rPr>
          <w:rFonts w:hint="eastAsia"/>
          <w:color w:val="auto"/>
          <w:highlight w:val="none"/>
        </w:rPr>
        <w:t>，承诺在小区安全管理服务期限内提供规范化、高质量的服务。</w:t>
      </w:r>
    </w:p>
    <w:p w14:paraId="6B495323">
      <w:pPr>
        <w:pStyle w:val="7"/>
        <w:bidi w:val="0"/>
        <w:spacing w:line="360" w:lineRule="auto"/>
        <w:jc w:val="both"/>
        <w:outlineLvl w:val="1"/>
        <w:rPr>
          <w:rFonts w:hint="eastAsia"/>
          <w:color w:val="auto"/>
          <w:highlight w:val="none"/>
        </w:rPr>
      </w:pPr>
      <w:r>
        <w:rPr>
          <w:rFonts w:hint="eastAsia"/>
          <w:color w:val="auto"/>
          <w:highlight w:val="none"/>
        </w:rPr>
        <w:t>5.2小区安全管理服务内容包括：</w:t>
      </w:r>
    </w:p>
    <w:p w14:paraId="119EC45C">
      <w:pPr>
        <w:spacing w:before="320" w:after="120" w:line="288" w:lineRule="auto"/>
        <w:ind w:left="0" w:leftChars="0" w:firstLine="422" w:firstLineChars="175"/>
        <w:jc w:val="left"/>
        <w:outlineLvl w:val="2"/>
        <w:rPr>
          <w:rFonts w:hint="eastAsia" w:ascii="宋体" w:hAnsi="宋体" w:eastAsia="宋体" w:cs="宋体"/>
          <w:color w:val="auto"/>
          <w:sz w:val="24"/>
          <w:szCs w:val="24"/>
          <w:highlight w:val="none"/>
          <w:lang w:val="en-US" w:eastAsia="zh-CN"/>
        </w:rPr>
      </w:pPr>
      <w:bookmarkStart w:id="0" w:name="heading_5"/>
      <w:r>
        <w:rPr>
          <w:rFonts w:hint="eastAsia" w:ascii="宋体" w:hAnsi="宋体" w:eastAsia="宋体" w:cs="宋体"/>
          <w:b/>
          <w:color w:val="auto"/>
          <w:sz w:val="24"/>
          <w:szCs w:val="24"/>
          <w:highlight w:val="none"/>
          <w:lang w:val="en-US" w:eastAsia="zh-CN"/>
        </w:rPr>
        <w:t>（1）</w:t>
      </w:r>
      <w:r>
        <w:rPr>
          <w:rFonts w:hint="eastAsia" w:ascii="宋体" w:hAnsi="宋体" w:eastAsia="宋体" w:cs="宋体"/>
          <w:b/>
          <w:color w:val="auto"/>
          <w:sz w:val="24"/>
          <w:szCs w:val="24"/>
          <w:highlight w:val="none"/>
        </w:rPr>
        <w:t>安全防控</w:t>
      </w:r>
      <w:r>
        <w:rPr>
          <w:rFonts w:hint="eastAsia" w:ascii="宋体" w:hAnsi="宋体" w:eastAsia="宋体" w:cs="宋体"/>
          <w:b/>
          <w:color w:val="auto"/>
          <w:sz w:val="24"/>
          <w:szCs w:val="24"/>
          <w:highlight w:val="none"/>
          <w:lang w:val="en-US" w:eastAsia="zh-CN"/>
        </w:rPr>
        <w:t>标准化</w:t>
      </w:r>
      <w:r>
        <w:rPr>
          <w:rFonts w:hint="eastAsia" w:ascii="宋体" w:hAnsi="宋体" w:eastAsia="宋体" w:cs="宋体"/>
          <w:b/>
          <w:color w:val="auto"/>
          <w:sz w:val="24"/>
          <w:szCs w:val="24"/>
          <w:highlight w:val="none"/>
        </w:rPr>
        <w:t>体系</w:t>
      </w:r>
      <w:bookmarkEnd w:id="0"/>
      <w:r>
        <w:rPr>
          <w:rFonts w:hint="eastAsia" w:ascii="宋体" w:hAnsi="宋体" w:eastAsia="宋体" w:cs="宋体"/>
          <w:b/>
          <w:color w:val="auto"/>
          <w:sz w:val="24"/>
          <w:szCs w:val="24"/>
          <w:highlight w:val="none"/>
          <w:lang w:val="en-US" w:eastAsia="zh-CN"/>
        </w:rPr>
        <w:t>建设</w:t>
      </w:r>
    </w:p>
    <w:p w14:paraId="21C07270">
      <w:pPr>
        <w:numPr>
          <w:ilvl w:val="0"/>
          <w:numId w:val="0"/>
        </w:numPr>
        <w:spacing w:before="120" w:after="120" w:line="288" w:lineRule="auto"/>
        <w:ind w:left="0" w:leftChars="0" w:firstLine="420" w:firstLineChars="175"/>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①</w:t>
      </w:r>
      <w:r>
        <w:rPr>
          <w:rFonts w:hint="eastAsia" w:ascii="宋体" w:hAnsi="宋体" w:eastAsia="宋体" w:cs="宋体"/>
          <w:color w:val="auto"/>
          <w:sz w:val="24"/>
          <w:szCs w:val="24"/>
          <w:highlight w:val="none"/>
        </w:rPr>
        <w:t>指导物业服务企业建立并规范运行安全防范标准化体系，结合保障房小区安全管理特点，完善各项安全管理制度、操作规程及岗位职责，督促物业服务企业完成年度安全管理自评工作并形成完整的自评报告，确保该体系符合国家、福建省及厦门市相关规范要求，做到合规、可落地、可追溯，切实契合保障性住房安全管理的特殊性需求。</w:t>
      </w:r>
    </w:p>
    <w:p w14:paraId="07FDD468">
      <w:pPr>
        <w:numPr>
          <w:ilvl w:val="0"/>
          <w:numId w:val="0"/>
        </w:numPr>
        <w:spacing w:before="120" w:after="120" w:line="288" w:lineRule="auto"/>
        <w:ind w:left="0" w:leftChars="0" w:firstLine="420" w:firstLineChars="175"/>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②</w:t>
      </w:r>
      <w:r>
        <w:rPr>
          <w:rFonts w:hint="eastAsia" w:ascii="宋体" w:hAnsi="宋体" w:eastAsia="宋体" w:cs="宋体"/>
          <w:color w:val="auto"/>
          <w:sz w:val="24"/>
          <w:szCs w:val="24"/>
          <w:highlight w:val="none"/>
        </w:rPr>
        <w:t>引导物业服务企业建立健全消防设施设备、有限空间、易涝及地质灾害点等各类安全管理台账，明确台账建立标准、更新流程及保管要求，实现台账的规范化、动态化管理；每半年开展一次台账梳理与完善指导工作，对台账缺失、填写不规范、更新不及时等问题进行现场指导整改，确保台账完整、准确、清晰，符合安全管理归档及监管要求。</w:t>
      </w:r>
    </w:p>
    <w:p w14:paraId="22B9FEF0">
      <w:pPr>
        <w:spacing w:before="320" w:after="120" w:line="288" w:lineRule="auto"/>
        <w:ind w:left="0" w:leftChars="0" w:firstLine="422" w:firstLineChars="175"/>
        <w:jc w:val="left"/>
        <w:outlineLvl w:val="2"/>
        <w:rPr>
          <w:rFonts w:hint="eastAsia" w:ascii="宋体" w:hAnsi="宋体" w:eastAsia="宋体" w:cs="宋体"/>
          <w:color w:val="auto"/>
          <w:sz w:val="24"/>
          <w:szCs w:val="24"/>
          <w:highlight w:val="none"/>
        </w:rPr>
      </w:pPr>
      <w:bookmarkStart w:id="1" w:name="heading_6"/>
      <w:r>
        <w:rPr>
          <w:rFonts w:hint="eastAsia" w:ascii="宋体" w:hAnsi="宋体" w:eastAsia="宋体" w:cs="宋体"/>
          <w:b/>
          <w:color w:val="auto"/>
          <w:sz w:val="24"/>
          <w:szCs w:val="24"/>
          <w:highlight w:val="none"/>
          <w:lang w:val="en-US" w:eastAsia="zh-CN"/>
        </w:rPr>
        <w:t>（2）</w:t>
      </w:r>
      <w:r>
        <w:rPr>
          <w:rFonts w:hint="eastAsia" w:ascii="宋体" w:hAnsi="宋体" w:eastAsia="宋体" w:cs="宋体"/>
          <w:b/>
          <w:color w:val="auto"/>
          <w:sz w:val="24"/>
          <w:szCs w:val="24"/>
          <w:highlight w:val="none"/>
        </w:rPr>
        <w:t>安全培训与宣传宣讲</w:t>
      </w:r>
      <w:bookmarkEnd w:id="1"/>
    </w:p>
    <w:p w14:paraId="2C7AFC14">
      <w:pPr>
        <w:numPr>
          <w:ilvl w:val="0"/>
          <w:numId w:val="0"/>
        </w:numPr>
        <w:spacing w:before="120" w:after="120" w:line="288" w:lineRule="auto"/>
        <w:ind w:left="0" w:leftChars="0" w:firstLine="422" w:firstLineChars="175"/>
        <w:jc w:val="left"/>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lang w:val="en-US" w:eastAsia="zh-CN"/>
        </w:rPr>
        <w:t>①</w:t>
      </w:r>
      <w:r>
        <w:rPr>
          <w:rFonts w:hint="eastAsia" w:ascii="宋体" w:hAnsi="宋体" w:eastAsia="宋体" w:cs="宋体"/>
          <w:b/>
          <w:bCs/>
          <w:color w:val="auto"/>
          <w:sz w:val="24"/>
          <w:szCs w:val="24"/>
          <w:highlight w:val="none"/>
        </w:rPr>
        <w:t>安全培训教育：</w:t>
      </w:r>
      <w:r>
        <w:rPr>
          <w:rFonts w:hint="eastAsia" w:ascii="宋体" w:hAnsi="宋体" w:eastAsia="宋体" w:cs="宋体"/>
          <w:color w:val="auto"/>
          <w:sz w:val="24"/>
          <w:szCs w:val="24"/>
          <w:highlight w:val="none"/>
        </w:rPr>
        <w:t>每季度在各保障房小区至少开展一次消防安全专项培训、一次综合安全管理培训，培训内容需涵盖消防安全、用电用气安全、有限空间作业安全、电梯安全、动火作业安全等各类相关知识，并结合保障房小区实际案例进行讲解，确保培训覆盖物业服务企业全体工作人员及小区住户；培训结束后，需留存完整的培训记录、签到表、影像资料及考核成绩，确保培训取得实效。</w:t>
      </w:r>
    </w:p>
    <w:p w14:paraId="585FDB71">
      <w:pPr>
        <w:numPr>
          <w:ilvl w:val="0"/>
          <w:numId w:val="0"/>
        </w:numPr>
        <w:spacing w:before="120" w:after="120" w:line="288" w:lineRule="auto"/>
        <w:ind w:left="0" w:leftChars="0" w:firstLine="422" w:firstLineChars="175"/>
        <w:jc w:val="left"/>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lang w:val="en-US" w:eastAsia="zh-CN"/>
        </w:rPr>
        <w:t>②</w:t>
      </w:r>
      <w:r>
        <w:rPr>
          <w:rFonts w:hint="eastAsia" w:ascii="宋体" w:hAnsi="宋体" w:eastAsia="宋体" w:cs="宋体"/>
          <w:b/>
          <w:bCs/>
          <w:color w:val="auto"/>
          <w:sz w:val="24"/>
          <w:szCs w:val="24"/>
          <w:highlight w:val="none"/>
        </w:rPr>
        <w:t>安全生产宣讲：</w:t>
      </w:r>
      <w:r>
        <w:rPr>
          <w:rFonts w:hint="eastAsia" w:ascii="宋体" w:hAnsi="宋体" w:eastAsia="宋体" w:cs="宋体"/>
          <w:color w:val="auto"/>
          <w:sz w:val="24"/>
          <w:szCs w:val="24"/>
          <w:highlight w:val="none"/>
        </w:rPr>
        <w:t>结合6月全国安全生产月、11月消防宣传月主题，在各保障房小区开展针对性的安全宣讲活动，通过现场讲解、案例分析、互动问答等形式，普及消防、用电、用气、防汛防台、电动自行车安全等相关知识，提升住户及物业服务工作人员的安全防范意识和自救互救能力；每半年至少开展一次宣讲活动，并留存宣讲方案、影像资料、签到表等相关资料。</w:t>
      </w:r>
    </w:p>
    <w:p w14:paraId="1281D48B">
      <w:pPr>
        <w:numPr>
          <w:ilvl w:val="0"/>
          <w:numId w:val="0"/>
        </w:numPr>
        <w:spacing w:before="120" w:after="120" w:line="288" w:lineRule="auto"/>
        <w:ind w:left="0" w:leftChars="0" w:firstLine="422" w:firstLineChars="175"/>
        <w:jc w:val="left"/>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lang w:val="en-US" w:eastAsia="zh-CN"/>
        </w:rPr>
        <w:t>③</w:t>
      </w:r>
      <w:r>
        <w:rPr>
          <w:rFonts w:hint="eastAsia" w:ascii="宋体" w:hAnsi="宋体" w:eastAsia="宋体" w:cs="宋体"/>
          <w:b/>
          <w:bCs/>
          <w:color w:val="auto"/>
          <w:sz w:val="24"/>
          <w:szCs w:val="24"/>
          <w:highlight w:val="none"/>
        </w:rPr>
        <w:t>多形式宣传：</w:t>
      </w:r>
      <w:r>
        <w:rPr>
          <w:rFonts w:hint="eastAsia" w:ascii="宋体" w:hAnsi="宋体" w:eastAsia="宋体" w:cs="宋体"/>
          <w:color w:val="auto"/>
          <w:sz w:val="24"/>
          <w:szCs w:val="24"/>
          <w:highlight w:val="none"/>
        </w:rPr>
        <w:t>通过在小区公告栏张贴海报、向住户发放宣传手册、在小区公共区域播放宣传视频、开展现场讲解咨询等多种形式，在小区内常态化开展消防、用电、用气等安全宣传教育，每月至少更新一次宣传内容，营造全员关注安全、重视安全、参与安全的良好氛围。</w:t>
      </w:r>
    </w:p>
    <w:p w14:paraId="6D60C15E">
      <w:pPr>
        <w:spacing w:before="320" w:after="120" w:line="288" w:lineRule="auto"/>
        <w:ind w:left="0" w:leftChars="0" w:firstLine="422" w:firstLineChars="175"/>
        <w:jc w:val="left"/>
        <w:outlineLvl w:val="2"/>
        <w:rPr>
          <w:rFonts w:hint="eastAsia" w:ascii="宋体" w:hAnsi="宋体" w:eastAsia="宋体" w:cs="宋体"/>
          <w:color w:val="auto"/>
          <w:sz w:val="24"/>
          <w:szCs w:val="24"/>
          <w:highlight w:val="none"/>
        </w:rPr>
      </w:pPr>
      <w:bookmarkStart w:id="2" w:name="heading_7"/>
      <w:r>
        <w:rPr>
          <w:rFonts w:hint="eastAsia" w:ascii="宋体" w:hAnsi="宋体" w:eastAsia="宋体" w:cs="宋体"/>
          <w:b/>
          <w:color w:val="auto"/>
          <w:sz w:val="24"/>
          <w:szCs w:val="24"/>
          <w:highlight w:val="none"/>
          <w:lang w:val="en-US" w:eastAsia="zh-CN"/>
        </w:rPr>
        <w:t>（3）</w:t>
      </w:r>
      <w:r>
        <w:rPr>
          <w:rFonts w:hint="eastAsia" w:ascii="宋体" w:hAnsi="宋体" w:eastAsia="宋体" w:cs="宋体"/>
          <w:b/>
          <w:color w:val="auto"/>
          <w:sz w:val="24"/>
          <w:szCs w:val="24"/>
          <w:highlight w:val="none"/>
        </w:rPr>
        <w:t>应急演练组织</w:t>
      </w:r>
      <w:bookmarkEnd w:id="2"/>
    </w:p>
    <w:p w14:paraId="2B2BAFB0">
      <w:pPr>
        <w:numPr>
          <w:ilvl w:val="0"/>
          <w:numId w:val="0"/>
        </w:numPr>
        <w:spacing w:before="120" w:after="120" w:line="288" w:lineRule="auto"/>
        <w:ind w:left="0" w:leftChars="0" w:firstLine="422" w:firstLineChars="175"/>
        <w:jc w:val="left"/>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lang w:val="en-US" w:eastAsia="zh-CN"/>
        </w:rPr>
        <w:t>①应急预案</w:t>
      </w:r>
      <w:r>
        <w:rPr>
          <w:rFonts w:hint="eastAsia" w:ascii="宋体" w:hAnsi="宋体" w:eastAsia="宋体" w:cs="宋体"/>
          <w:b/>
          <w:bCs/>
          <w:color w:val="auto"/>
          <w:sz w:val="24"/>
          <w:szCs w:val="24"/>
          <w:highlight w:val="none"/>
        </w:rPr>
        <w:t>：</w:t>
      </w:r>
      <w:r>
        <w:rPr>
          <w:rFonts w:hint="eastAsia" w:ascii="宋体" w:hAnsi="宋体" w:eastAsia="宋体" w:cs="宋体"/>
          <w:color w:val="auto"/>
          <w:sz w:val="24"/>
          <w:szCs w:val="24"/>
          <w:highlight w:val="none"/>
        </w:rPr>
        <w:t>指导并协助物业服务企业结合各保障房小区的建筑结构、住户分布、设施设备情况等实际，完善</w:t>
      </w:r>
      <w:r>
        <w:rPr>
          <w:rFonts w:hint="eastAsia" w:ascii="宋体" w:hAnsi="宋体" w:eastAsia="宋体" w:cs="宋体"/>
          <w:color w:val="auto"/>
          <w:sz w:val="24"/>
          <w:szCs w:val="24"/>
          <w:highlight w:val="none"/>
          <w:lang w:val="en-US" w:eastAsia="zh-CN"/>
        </w:rPr>
        <w:t>消防</w:t>
      </w:r>
      <w:r>
        <w:rPr>
          <w:rFonts w:hint="eastAsia" w:ascii="宋体" w:hAnsi="宋体" w:eastAsia="宋体" w:cs="宋体"/>
          <w:color w:val="auto"/>
          <w:sz w:val="24"/>
          <w:szCs w:val="24"/>
          <w:highlight w:val="none"/>
        </w:rPr>
        <w:t>灭火、</w:t>
      </w:r>
      <w:r>
        <w:rPr>
          <w:rFonts w:hint="eastAsia" w:ascii="宋体" w:hAnsi="宋体" w:eastAsia="宋体" w:cs="宋体"/>
          <w:color w:val="auto"/>
          <w:sz w:val="24"/>
          <w:szCs w:val="24"/>
          <w:highlight w:val="none"/>
          <w:lang w:val="en-US" w:eastAsia="zh-CN"/>
        </w:rPr>
        <w:t>紧急</w:t>
      </w:r>
      <w:r>
        <w:rPr>
          <w:rFonts w:hint="eastAsia" w:ascii="宋体" w:hAnsi="宋体" w:eastAsia="宋体" w:cs="宋体"/>
          <w:color w:val="auto"/>
          <w:sz w:val="24"/>
          <w:szCs w:val="24"/>
          <w:highlight w:val="none"/>
        </w:rPr>
        <w:t>疏散、电梯困人以及有限空间作业事故等各类应急预案，明确应急组织机构、职责分工、应急响应流程、处置措施等内容，确保预案贴合小区实际、具备较强的可操作性，符合应急管理相关规范及保障房小区安全应急处置需求。</w:t>
      </w:r>
    </w:p>
    <w:p w14:paraId="59CE9C74">
      <w:pPr>
        <w:numPr>
          <w:ilvl w:val="0"/>
          <w:numId w:val="0"/>
        </w:numPr>
        <w:spacing w:before="120" w:after="120" w:line="288" w:lineRule="auto"/>
        <w:ind w:left="0" w:leftChars="0" w:firstLine="422" w:firstLineChars="175"/>
        <w:jc w:val="left"/>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lang w:val="en-US" w:eastAsia="zh-CN"/>
        </w:rPr>
        <w:t>②</w:t>
      </w:r>
      <w:r>
        <w:rPr>
          <w:rFonts w:hint="eastAsia" w:ascii="宋体" w:hAnsi="宋体" w:eastAsia="宋体" w:cs="宋体"/>
          <w:b/>
          <w:bCs/>
          <w:color w:val="auto"/>
          <w:sz w:val="24"/>
          <w:szCs w:val="24"/>
          <w:highlight w:val="none"/>
        </w:rPr>
        <w:t>应急演练：</w:t>
      </w:r>
      <w:r>
        <w:rPr>
          <w:rFonts w:hint="eastAsia" w:ascii="宋体" w:hAnsi="宋体" w:eastAsia="宋体" w:cs="宋体"/>
          <w:color w:val="auto"/>
          <w:sz w:val="24"/>
          <w:szCs w:val="24"/>
          <w:highlight w:val="none"/>
        </w:rPr>
        <w:t>在各保障房小区开展有针对性的消防、有限空间作业事故应急演练，每半年至少开展一次；演练前需制定详细的演练方案，明确演练流程、参与人员、注意事项等，确保演练过程规范有序；演练结束后，需及时进行总结评估，分析存在的问题并提出整改措施，留存演练方案、影像资料、总结报告等相关资料，持续提升物业服务企业及住户的应急处置能力。</w:t>
      </w:r>
    </w:p>
    <w:p w14:paraId="49734D1C">
      <w:pPr>
        <w:spacing w:before="320" w:after="120" w:line="288" w:lineRule="auto"/>
        <w:ind w:left="0" w:leftChars="0" w:firstLine="422" w:firstLineChars="175"/>
        <w:jc w:val="left"/>
        <w:outlineLvl w:val="2"/>
        <w:rPr>
          <w:rFonts w:hint="eastAsia" w:ascii="宋体" w:hAnsi="宋体" w:eastAsia="宋体" w:cs="宋体"/>
          <w:color w:val="auto"/>
          <w:sz w:val="24"/>
          <w:szCs w:val="24"/>
          <w:highlight w:val="none"/>
        </w:rPr>
      </w:pPr>
      <w:bookmarkStart w:id="3" w:name="heading_8"/>
      <w:r>
        <w:rPr>
          <w:rFonts w:hint="eastAsia" w:ascii="宋体" w:hAnsi="宋体" w:eastAsia="宋体" w:cs="宋体"/>
          <w:b/>
          <w:color w:val="auto"/>
          <w:sz w:val="24"/>
          <w:szCs w:val="24"/>
          <w:highlight w:val="none"/>
          <w:lang w:val="en-US" w:eastAsia="zh-CN"/>
        </w:rPr>
        <w:t>（4）</w:t>
      </w:r>
      <w:r>
        <w:rPr>
          <w:rFonts w:hint="eastAsia" w:ascii="宋体" w:hAnsi="宋体" w:eastAsia="宋体" w:cs="宋体"/>
          <w:b/>
          <w:color w:val="auto"/>
          <w:sz w:val="24"/>
          <w:szCs w:val="24"/>
          <w:highlight w:val="none"/>
        </w:rPr>
        <w:t>隐患排查、检查评估与整改闭环管理</w:t>
      </w:r>
      <w:bookmarkEnd w:id="3"/>
    </w:p>
    <w:p w14:paraId="7C749180">
      <w:pPr>
        <w:numPr>
          <w:ilvl w:val="0"/>
          <w:numId w:val="0"/>
        </w:numPr>
        <w:spacing w:before="120" w:after="120" w:line="288" w:lineRule="auto"/>
        <w:ind w:left="0" w:leftChars="0" w:firstLine="422" w:firstLineChars="175"/>
        <w:jc w:val="left"/>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lang w:val="en-US" w:eastAsia="zh-CN"/>
        </w:rPr>
        <w:t>①</w:t>
      </w:r>
      <w:r>
        <w:rPr>
          <w:rFonts w:hint="eastAsia" w:ascii="宋体" w:hAnsi="宋体" w:eastAsia="宋体" w:cs="宋体"/>
          <w:b/>
          <w:bCs/>
          <w:color w:val="auto"/>
          <w:sz w:val="24"/>
          <w:szCs w:val="24"/>
          <w:highlight w:val="none"/>
        </w:rPr>
        <w:t>隐患排查：</w:t>
      </w:r>
      <w:r>
        <w:rPr>
          <w:rFonts w:hint="eastAsia" w:ascii="宋体" w:hAnsi="宋体" w:eastAsia="宋体" w:cs="宋体"/>
          <w:color w:val="auto"/>
          <w:sz w:val="24"/>
          <w:szCs w:val="24"/>
          <w:highlight w:val="none"/>
        </w:rPr>
        <w:t>每季度至少开展一次全面隐患排查工作，组织专业技术人员对物业服务企业各项安全工作落实情况进行全面检查及考核，重点检查小区消防管理制度执行情况、消防设施设备台账和运行台账完善情况，现场指导物业服务企业完善相关资料；对排查发现的安全隐患进行分类登记、分级管控，将检查及考核结果以书面形式正式反馈给</w:t>
      </w:r>
      <w:r>
        <w:rPr>
          <w:rFonts w:hint="eastAsia" w:ascii="宋体" w:hAnsi="宋体" w:eastAsia="宋体" w:cs="宋体"/>
          <w:color w:val="auto"/>
          <w:sz w:val="24"/>
          <w:szCs w:val="24"/>
          <w:highlight w:val="none"/>
          <w:lang w:eastAsia="zh-CN"/>
        </w:rPr>
        <w:t>甲方</w:t>
      </w:r>
      <w:r>
        <w:rPr>
          <w:rFonts w:hint="eastAsia" w:ascii="宋体" w:hAnsi="宋体" w:eastAsia="宋体" w:cs="宋体"/>
          <w:color w:val="auto"/>
          <w:sz w:val="24"/>
          <w:szCs w:val="24"/>
          <w:highlight w:val="none"/>
        </w:rPr>
        <w:t>；根据现场检测结果，对小区整体消防安全情况进行全面分析，提出科学合理的改进建议，督促物业服务企业制定整改方案、明确整改时限、落实整改责任，形成“检查</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反馈</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整改</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复查”的闭环管理机制，确保隐患及时消除。</w:t>
      </w:r>
    </w:p>
    <w:p w14:paraId="326293CC">
      <w:pPr>
        <w:numPr>
          <w:ilvl w:val="0"/>
          <w:numId w:val="0"/>
        </w:numPr>
        <w:spacing w:before="120" w:after="120" w:line="288" w:lineRule="auto"/>
        <w:ind w:left="0" w:leftChars="0" w:firstLine="422" w:firstLineChars="175"/>
        <w:jc w:val="left"/>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lang w:val="en-US" w:eastAsia="zh-CN"/>
        </w:rPr>
        <w:t>②</w:t>
      </w:r>
      <w:r>
        <w:rPr>
          <w:rFonts w:hint="eastAsia" w:ascii="宋体" w:hAnsi="宋体" w:eastAsia="宋体" w:cs="宋体"/>
          <w:b/>
          <w:bCs/>
          <w:color w:val="auto"/>
          <w:sz w:val="24"/>
          <w:szCs w:val="24"/>
          <w:highlight w:val="none"/>
        </w:rPr>
        <w:t>安全检查评估：</w:t>
      </w:r>
      <w:r>
        <w:rPr>
          <w:rFonts w:hint="eastAsia" w:ascii="宋体" w:hAnsi="宋体" w:eastAsia="宋体" w:cs="宋体"/>
          <w:color w:val="auto"/>
          <w:sz w:val="24"/>
          <w:szCs w:val="24"/>
          <w:highlight w:val="none"/>
        </w:rPr>
        <w:t>每季度开展一次全面安全检查评估工作，评估内容与隐患排查保持一致，重点评估安全管理工作落实成效、安全隐患整改闭环情况、物业服务企业安全管理能力提升情况等，形成详细的评估报告，明确评估结论、存在问题及改进措施，助力</w:t>
      </w:r>
      <w:r>
        <w:rPr>
          <w:rFonts w:hint="eastAsia" w:ascii="宋体" w:hAnsi="宋体" w:eastAsia="宋体" w:cs="宋体"/>
          <w:color w:val="auto"/>
          <w:sz w:val="24"/>
          <w:szCs w:val="24"/>
          <w:highlight w:val="none"/>
          <w:lang w:eastAsia="zh-CN"/>
        </w:rPr>
        <w:t>甲方</w:t>
      </w:r>
      <w:r>
        <w:rPr>
          <w:rFonts w:hint="eastAsia" w:ascii="宋体" w:hAnsi="宋体" w:eastAsia="宋体" w:cs="宋体"/>
          <w:color w:val="auto"/>
          <w:sz w:val="24"/>
          <w:szCs w:val="24"/>
          <w:highlight w:val="none"/>
        </w:rPr>
        <w:t>全面掌握保障房小区安全管理现状，提升安全管理水平，切实落实保障性住房安全监管重点要求。</w:t>
      </w:r>
    </w:p>
    <w:p w14:paraId="3C2AE408">
      <w:pPr>
        <w:spacing w:before="320" w:after="120" w:line="288" w:lineRule="auto"/>
        <w:ind w:left="0" w:leftChars="0" w:firstLine="422" w:firstLineChars="175"/>
        <w:jc w:val="left"/>
        <w:outlineLvl w:val="2"/>
        <w:rPr>
          <w:rFonts w:hint="eastAsia" w:ascii="宋体" w:hAnsi="宋体" w:eastAsia="宋体" w:cs="宋体"/>
          <w:color w:val="auto"/>
          <w:sz w:val="24"/>
          <w:szCs w:val="24"/>
          <w:highlight w:val="none"/>
        </w:rPr>
      </w:pPr>
      <w:bookmarkStart w:id="4" w:name="heading_9"/>
      <w:r>
        <w:rPr>
          <w:rFonts w:hint="eastAsia" w:ascii="宋体" w:hAnsi="宋体" w:eastAsia="宋体" w:cs="宋体"/>
          <w:b/>
          <w:color w:val="auto"/>
          <w:sz w:val="24"/>
          <w:szCs w:val="24"/>
          <w:highlight w:val="none"/>
          <w:lang w:val="en-US" w:eastAsia="zh-CN"/>
        </w:rPr>
        <w:t>（5）</w:t>
      </w:r>
      <w:r>
        <w:rPr>
          <w:rFonts w:hint="eastAsia" w:ascii="宋体" w:hAnsi="宋体" w:eastAsia="宋体" w:cs="宋体"/>
          <w:b/>
          <w:color w:val="auto"/>
          <w:sz w:val="24"/>
          <w:szCs w:val="24"/>
          <w:highlight w:val="none"/>
        </w:rPr>
        <w:t>各类专项安全管理</w:t>
      </w:r>
      <w:bookmarkEnd w:id="4"/>
    </w:p>
    <w:p w14:paraId="47A15A00">
      <w:pPr>
        <w:numPr>
          <w:ilvl w:val="0"/>
          <w:numId w:val="0"/>
        </w:numPr>
        <w:spacing w:before="120" w:after="120" w:line="288" w:lineRule="auto"/>
        <w:ind w:left="0" w:leftChars="0" w:firstLine="422" w:firstLineChars="175"/>
        <w:jc w:val="left"/>
        <w:outlineLvl w:val="3"/>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lang w:val="en-US" w:eastAsia="zh-CN"/>
        </w:rPr>
        <w:t>①</w:t>
      </w:r>
      <w:r>
        <w:rPr>
          <w:rFonts w:hint="eastAsia" w:ascii="宋体" w:hAnsi="宋体" w:eastAsia="宋体" w:cs="宋体"/>
          <w:b/>
          <w:bCs/>
          <w:color w:val="auto"/>
          <w:sz w:val="24"/>
          <w:szCs w:val="24"/>
          <w:highlight w:val="none"/>
        </w:rPr>
        <w:t>房屋安全管理</w:t>
      </w:r>
    </w:p>
    <w:p w14:paraId="47787BFE">
      <w:pPr>
        <w:numPr>
          <w:ilvl w:val="0"/>
          <w:numId w:val="0"/>
        </w:numPr>
        <w:spacing w:before="120" w:after="120" w:line="288" w:lineRule="auto"/>
        <w:ind w:left="0" w:leftChars="0" w:firstLine="420" w:firstLineChars="175"/>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指导物业服务企业建立完善的房屋安全档案，明确档案包含的内容、更新频率及保管要求；每季度开展一次房屋安全专项检查及安全宣传培训，重点排查房屋主体结构、墙体、屋面、门窗等部位的安全隐患，对发现的隐患及时提醒物业服务企业及相关责任方整改，并跟踪整改落实情况，确保房屋使用安全，契合保障性住房建设质量监管要求。</w:t>
      </w:r>
    </w:p>
    <w:p w14:paraId="0FD03914">
      <w:pPr>
        <w:numPr>
          <w:ilvl w:val="0"/>
          <w:numId w:val="0"/>
        </w:numPr>
        <w:spacing w:before="120" w:after="120" w:line="288" w:lineRule="auto"/>
        <w:ind w:left="0" w:leftChars="0" w:firstLine="422" w:firstLineChars="175"/>
        <w:jc w:val="left"/>
        <w:outlineLvl w:val="3"/>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②消防安全管理</w:t>
      </w:r>
    </w:p>
    <w:p w14:paraId="12C753FD">
      <w:pPr>
        <w:numPr>
          <w:ilvl w:val="0"/>
          <w:numId w:val="0"/>
        </w:numPr>
        <w:spacing w:before="120" w:after="120" w:line="288" w:lineRule="auto"/>
        <w:ind w:left="0" w:leftChars="0" w:firstLine="420" w:firstLineChars="175"/>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指导物业服务企业建立健全小区消防档案，明确档案管理责任及更新流程；常态化开展消防设施设备和建筑电气消防检测工作，定期对消防设施设备、消防通道、安全出口等进行安全检查，常态化开展消防安全宣传培训，每半年开展一次消防演练，及时发现并督促整改消防安全隐患，确保消防设施设备完好有效、消防通道畅通无阻，杜绝消防安全事故发生。</w:t>
      </w:r>
    </w:p>
    <w:p w14:paraId="69C4E7B6">
      <w:pPr>
        <w:numPr>
          <w:ilvl w:val="0"/>
          <w:numId w:val="0"/>
        </w:numPr>
        <w:spacing w:before="120" w:after="120" w:line="288" w:lineRule="auto"/>
        <w:ind w:left="0" w:leftChars="0" w:firstLine="367" w:firstLineChars="175"/>
        <w:jc w:val="left"/>
        <w:rPr>
          <w:rFonts w:hint="eastAsia" w:ascii="宋体" w:hAnsi="宋体" w:eastAsia="宋体" w:cs="宋体"/>
          <w:color w:val="auto"/>
          <w:sz w:val="24"/>
          <w:szCs w:val="24"/>
          <w:highlight w:val="none"/>
          <w:lang w:val="en-US" w:eastAsia="zh-CN"/>
        </w:rPr>
      </w:pPr>
      <w:r>
        <w:rPr>
          <w:rFonts w:ascii="仿宋_GB2312" w:hAnsi="仿宋_GB2312" w:eastAsia="仿宋_GB2312" w:cs="仿宋_GB2312"/>
          <w:color w:val="auto"/>
          <w:highlight w:val="none"/>
        </w:rPr>
        <w:t>★</w:t>
      </w:r>
      <w:r>
        <w:rPr>
          <w:rFonts w:hint="eastAsia" w:ascii="宋体" w:hAnsi="宋体" w:eastAsia="宋体" w:cs="宋体"/>
          <w:color w:val="auto"/>
          <w:sz w:val="24"/>
          <w:szCs w:val="24"/>
          <w:highlight w:val="none"/>
          <w:lang w:val="en-US" w:eastAsia="zh-CN"/>
        </w:rPr>
        <w:t>消防检测、消防安全评估工作按照</w:t>
      </w:r>
      <w:r>
        <w:rPr>
          <w:rFonts w:hint="eastAsia" w:ascii="宋体" w:hAnsi="宋体" w:eastAsia="宋体" w:cs="宋体"/>
          <w:color w:val="auto"/>
          <w:sz w:val="24"/>
          <w:szCs w:val="24"/>
          <w:highlight w:val="none"/>
        </w:rPr>
        <w:t>《中华人民共和国消防法</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福建省消防条例</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福建省建筑消防设施检测技术规程</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社会消防技术服务管理规定</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福建省消防设施管理办法</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建筑消防设施的维护管理</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建筑消防设施检测技术规</w:t>
      </w:r>
      <w:r>
        <w:rPr>
          <w:rFonts w:hint="eastAsia" w:ascii="宋体" w:hAnsi="宋体" w:eastAsia="宋体" w:cs="宋体"/>
          <w:color w:val="auto"/>
          <w:sz w:val="24"/>
          <w:szCs w:val="24"/>
          <w:highlight w:val="none"/>
          <w:lang w:val="en-US" w:eastAsia="zh-CN"/>
        </w:rPr>
        <w:t>范</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等法律法规和技术规范</w:t>
      </w:r>
      <w:r>
        <w:rPr>
          <w:rFonts w:hint="eastAsia" w:ascii="宋体" w:hAnsi="宋体" w:eastAsia="宋体" w:cs="宋体"/>
          <w:color w:val="auto"/>
          <w:sz w:val="24"/>
          <w:szCs w:val="24"/>
          <w:highlight w:val="none"/>
          <w:lang w:val="en-US" w:eastAsia="zh-CN"/>
        </w:rPr>
        <w:t>进行，出具检测报告（评估报告）。承担消防检测、消防安全评估工作的单位应具有相应资质并已在“</w:t>
      </w:r>
      <w:r>
        <w:rPr>
          <w:rFonts w:hint="eastAsia" w:ascii="宋体" w:hAnsi="宋体" w:eastAsia="宋体" w:cs="宋体"/>
          <w:i w:val="0"/>
          <w:iCs w:val="0"/>
          <w:caps w:val="0"/>
          <w:color w:val="auto"/>
          <w:spacing w:val="0"/>
          <w:sz w:val="24"/>
          <w:szCs w:val="24"/>
          <w:highlight w:val="none"/>
          <w:shd w:val="clear" w:fill="FFFFFF"/>
        </w:rPr>
        <w:t>福建省消防技术服务信息平台</w:t>
      </w:r>
      <w:r>
        <w:rPr>
          <w:rFonts w:hint="eastAsia" w:ascii="宋体" w:hAnsi="宋体" w:eastAsia="宋体" w:cs="宋体"/>
          <w:color w:val="auto"/>
          <w:sz w:val="24"/>
          <w:szCs w:val="24"/>
          <w:highlight w:val="none"/>
          <w:lang w:val="en-US" w:eastAsia="zh-CN"/>
        </w:rPr>
        <w:t>”上完成备案，如乙方未完成备案的，则应委托符合要求的机构承担消防检测、消防安全评估工作，相关费用包含在合同总价中，甲方无需另行支付。乙方委托第三方机构的，应对第三方出具的检测报告（评估报告）结果承担连带责任。</w:t>
      </w:r>
    </w:p>
    <w:p w14:paraId="1621CF61">
      <w:pPr>
        <w:pStyle w:val="2"/>
        <w:ind w:firstLine="420" w:firstLineChars="200"/>
        <w:rPr>
          <w:rFonts w:hint="default"/>
          <w:color w:val="auto"/>
          <w:highlight w:val="none"/>
          <w:lang w:val="en-US" w:eastAsia="zh-CN"/>
        </w:rPr>
      </w:pPr>
    </w:p>
    <w:p w14:paraId="37F856D5">
      <w:pPr>
        <w:numPr>
          <w:ilvl w:val="0"/>
          <w:numId w:val="0"/>
        </w:numPr>
        <w:spacing w:before="120" w:after="120" w:line="288" w:lineRule="auto"/>
        <w:ind w:left="0" w:leftChars="0" w:firstLine="422" w:firstLineChars="175"/>
        <w:jc w:val="left"/>
        <w:outlineLvl w:val="3"/>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③用电用水用气安全管理</w:t>
      </w:r>
    </w:p>
    <w:p w14:paraId="7589ACA5">
      <w:pPr>
        <w:numPr>
          <w:ilvl w:val="0"/>
          <w:numId w:val="0"/>
        </w:numPr>
        <w:spacing w:before="120" w:after="120" w:line="288" w:lineRule="auto"/>
        <w:ind w:left="0" w:leftChars="0" w:firstLine="420" w:firstLineChars="175"/>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每季度组织专业技术人员开展公共区域、居民入户端及其他用电场景的安全排查检测，重点排查线路老化、违规用电、漏电保护装置失效等隐患；每半年开展一次防雷检测，确保小区防雷设施完好有效；定期开展供水设施设备安全排查，重点检查二次供水设备、管网等部位，防范供水安全隐患；定期开展公共燃气管道设施设备排查，重点排查管道泄漏、阀门损坏等隐患，及时发现并督促整改用电用水用气安全隐患，防范各类安全事故发生。</w:t>
      </w:r>
    </w:p>
    <w:p w14:paraId="3460E2B9">
      <w:pPr>
        <w:numPr>
          <w:ilvl w:val="0"/>
          <w:numId w:val="0"/>
        </w:numPr>
        <w:spacing w:before="120" w:after="120" w:line="288" w:lineRule="auto"/>
        <w:ind w:left="0" w:leftChars="0" w:firstLine="422" w:firstLineChars="175"/>
        <w:jc w:val="left"/>
        <w:outlineLvl w:val="3"/>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④电梯安全管理</w:t>
      </w:r>
    </w:p>
    <w:p w14:paraId="068AACB6">
      <w:pPr>
        <w:numPr>
          <w:ilvl w:val="0"/>
          <w:numId w:val="0"/>
        </w:numPr>
        <w:spacing w:before="120" w:after="120" w:line="288" w:lineRule="auto"/>
        <w:ind w:left="0" w:leftChars="0" w:firstLine="420" w:firstLineChars="175"/>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指导小区电梯维保工作规范开展，督促维保单位严格按照维保规程开展维保工作；每季度开展一次电梯安全专项检查，重点检查电梯运行状态、安全标识张贴情况、应急报警装置有效性等，对检查发现的问题及时督促维保单位及物业服务企业整改，督促维保单位落实维保责任，确保电梯安全运行，保障住户出行安全。</w:t>
      </w:r>
    </w:p>
    <w:p w14:paraId="7BBE2E80">
      <w:pPr>
        <w:numPr>
          <w:ilvl w:val="0"/>
          <w:numId w:val="0"/>
        </w:numPr>
        <w:spacing w:before="120" w:after="120" w:line="288" w:lineRule="auto"/>
        <w:ind w:left="0" w:leftChars="0" w:firstLine="422" w:firstLineChars="175"/>
        <w:jc w:val="left"/>
        <w:outlineLvl w:val="3"/>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⑤动火作业安全管理</w:t>
      </w:r>
    </w:p>
    <w:p w14:paraId="52B65AC6">
      <w:pPr>
        <w:numPr>
          <w:ilvl w:val="0"/>
          <w:numId w:val="0"/>
        </w:numPr>
        <w:spacing w:before="120" w:after="120" w:line="288" w:lineRule="auto"/>
        <w:ind w:left="0" w:leftChars="0" w:firstLine="420" w:firstLineChars="175"/>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指导物业服务企业规范开展动火作业安全管理，建立动火作业审批制度、现场监护制度等；常态化开展动火作业安全检查与宣传培训，重点检查动火作业审批手续、现场安全防护措施、动火作业人员资质等，督促落实动火作业安全防范措施，杜绝动火作业安全隐患。</w:t>
      </w:r>
    </w:p>
    <w:p w14:paraId="720D49ED">
      <w:pPr>
        <w:numPr>
          <w:ilvl w:val="0"/>
          <w:numId w:val="0"/>
        </w:numPr>
        <w:spacing w:before="120" w:after="120" w:line="288" w:lineRule="auto"/>
        <w:ind w:left="0" w:leftChars="0" w:firstLine="422" w:firstLineChars="175"/>
        <w:jc w:val="left"/>
        <w:outlineLvl w:val="3"/>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⑥有限空间作业安全管理</w:t>
      </w:r>
    </w:p>
    <w:p w14:paraId="19218EC1">
      <w:pPr>
        <w:numPr>
          <w:ilvl w:val="0"/>
          <w:numId w:val="0"/>
        </w:numPr>
        <w:spacing w:before="120" w:after="120" w:line="288" w:lineRule="auto"/>
        <w:ind w:left="0" w:leftChars="0" w:firstLine="420" w:firstLineChars="175"/>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指导物业服务企业规范开展有限空间作业安全管理，建立有限空间辨识、审批、监护、应急处置等管理制度；常态化开展有限空间作业安全检查与宣传培训，重点检查有限空间作业审批手续、防护装备配备、现场监护情况等，督促落实有限空间作业审批、防护等安全措施，防范有限空间作业安全事故。</w:t>
      </w:r>
    </w:p>
    <w:p w14:paraId="5DC6CB2B">
      <w:pPr>
        <w:numPr>
          <w:ilvl w:val="0"/>
          <w:numId w:val="0"/>
        </w:numPr>
        <w:spacing w:before="120" w:after="120" w:line="288" w:lineRule="auto"/>
        <w:ind w:left="0" w:leftChars="0" w:firstLine="422" w:firstLineChars="175"/>
        <w:jc w:val="left"/>
        <w:outlineLvl w:val="3"/>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⑦电动自行车安全管理</w:t>
      </w:r>
    </w:p>
    <w:p w14:paraId="20407247">
      <w:pPr>
        <w:numPr>
          <w:ilvl w:val="0"/>
          <w:numId w:val="0"/>
        </w:numPr>
        <w:spacing w:before="120" w:after="120" w:line="288" w:lineRule="auto"/>
        <w:ind w:left="0" w:leftChars="0" w:firstLine="420" w:firstLineChars="175"/>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指导物业服务企业规范开展电动自行车安全管理，建立电动自行车停放、充电管理制度；每季度开展一次电动自行车安全专项检查与宣传培训，重点排查电动自行车违规停放、私拉乱接电线充电等隐患，严禁电动自行车违规进入楼道、电梯等区域，消除电动自行车安全隐患。</w:t>
      </w:r>
    </w:p>
    <w:p w14:paraId="61376D39">
      <w:pPr>
        <w:numPr>
          <w:ilvl w:val="0"/>
          <w:numId w:val="0"/>
        </w:numPr>
        <w:spacing w:before="120" w:after="120" w:line="288" w:lineRule="auto"/>
        <w:ind w:left="0" w:leftChars="0" w:firstLine="422" w:firstLineChars="175"/>
        <w:jc w:val="left"/>
        <w:outlineLvl w:val="3"/>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⑧防汛防台专项检查</w:t>
      </w:r>
    </w:p>
    <w:p w14:paraId="048BD836">
      <w:pPr>
        <w:numPr>
          <w:ilvl w:val="0"/>
          <w:numId w:val="0"/>
        </w:numPr>
        <w:spacing w:before="120" w:after="120" w:line="288" w:lineRule="auto"/>
        <w:ind w:left="0" w:leftChars="0" w:firstLine="420" w:firstLineChars="175"/>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结合汛期、台风季的特点，常态化开展防汛防台专项检查与宣传培训，重点排查小区排水设施、防汛物资、广告牌、树木等部位的安全隐患；指导物业服务企业完善防汛防台应急预案，落实防汛防台防控措施，备足防汛防台物资，做好应急防范准备，确保小区安全度汛。</w:t>
      </w:r>
    </w:p>
    <w:p w14:paraId="0E7F5ACA">
      <w:pPr>
        <w:numPr>
          <w:ilvl w:val="0"/>
          <w:numId w:val="0"/>
        </w:numPr>
        <w:spacing w:before="120" w:after="120" w:line="288" w:lineRule="auto"/>
        <w:ind w:left="0" w:leftChars="0" w:firstLine="422" w:firstLineChars="175"/>
        <w:jc w:val="left"/>
        <w:outlineLvl w:val="3"/>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⑨小散工程安全管理</w:t>
      </w:r>
    </w:p>
    <w:p w14:paraId="2A73059F">
      <w:pPr>
        <w:numPr>
          <w:ilvl w:val="0"/>
          <w:numId w:val="0"/>
        </w:numPr>
        <w:spacing w:before="120" w:after="120" w:line="288" w:lineRule="auto"/>
        <w:ind w:left="0" w:leftChars="0" w:firstLine="420" w:firstLineChars="175"/>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指导物业服务企业规范开展小散工程安全管理，建立小散工程备案、审批、现场监管等管理制度；每季度开展一次小散工程安全专项检查与宣传培训，重点检查小散工程施工资质、施工安全措施、施工现场安全管理等情况，督促落实小散工程施工安全措施，防范施工安全事故。</w:t>
      </w:r>
    </w:p>
    <w:p w14:paraId="40D62EBF">
      <w:pPr>
        <w:spacing w:before="320" w:after="120" w:line="288" w:lineRule="auto"/>
        <w:ind w:left="0" w:leftChars="0" w:firstLine="422" w:firstLineChars="175"/>
        <w:jc w:val="left"/>
        <w:outlineLvl w:val="2"/>
        <w:rPr>
          <w:rFonts w:hint="eastAsia" w:ascii="宋体" w:hAnsi="宋体" w:eastAsia="宋体" w:cs="宋体"/>
          <w:color w:val="auto"/>
          <w:sz w:val="24"/>
          <w:szCs w:val="24"/>
          <w:highlight w:val="none"/>
        </w:rPr>
      </w:pPr>
      <w:bookmarkStart w:id="5" w:name="heading_10"/>
      <w:r>
        <w:rPr>
          <w:rFonts w:hint="eastAsia" w:ascii="宋体" w:hAnsi="宋体" w:eastAsia="宋体" w:cs="宋体"/>
          <w:b/>
          <w:color w:val="auto"/>
          <w:sz w:val="24"/>
          <w:szCs w:val="24"/>
          <w:highlight w:val="none"/>
          <w:lang w:val="en-US" w:eastAsia="zh-CN"/>
        </w:rPr>
        <w:t>（6）</w:t>
      </w:r>
      <w:r>
        <w:rPr>
          <w:rFonts w:hint="eastAsia" w:ascii="宋体" w:hAnsi="宋体" w:eastAsia="宋体" w:cs="宋体"/>
          <w:b/>
          <w:color w:val="auto"/>
          <w:sz w:val="24"/>
          <w:szCs w:val="24"/>
          <w:highlight w:val="none"/>
        </w:rPr>
        <w:t>驻点服务与现场巡查</w:t>
      </w:r>
      <w:bookmarkEnd w:id="5"/>
    </w:p>
    <w:p w14:paraId="4719B06B">
      <w:pPr>
        <w:numPr>
          <w:ilvl w:val="0"/>
          <w:numId w:val="0"/>
        </w:numPr>
        <w:spacing w:before="120" w:after="120" w:line="288" w:lineRule="auto"/>
        <w:ind w:left="0" w:leftChars="0" w:firstLine="422" w:firstLineChars="175"/>
        <w:jc w:val="left"/>
        <w:outlineLvl w:val="9"/>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①驻点服务</w:t>
      </w:r>
    </w:p>
    <w:p w14:paraId="65DFE20F">
      <w:pPr>
        <w:numPr>
          <w:ilvl w:val="0"/>
          <w:numId w:val="0"/>
        </w:numPr>
        <w:spacing w:before="120" w:after="120" w:line="288" w:lineRule="auto"/>
        <w:ind w:left="0" w:leftChars="0" w:firstLine="420" w:firstLineChars="175"/>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根据保障房小区安全管理服务工作实际需求，选派足额具备相应专业资质</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资格证书复印件应在加盖乙方公章后报甲方备案</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、丰富从业经验的专业技术人员到</w:t>
      </w:r>
      <w:r>
        <w:rPr>
          <w:rFonts w:hint="eastAsia" w:ascii="宋体" w:hAnsi="宋体" w:eastAsia="宋体" w:cs="宋体"/>
          <w:color w:val="auto"/>
          <w:sz w:val="24"/>
          <w:szCs w:val="24"/>
          <w:highlight w:val="none"/>
          <w:lang w:eastAsia="zh-CN"/>
        </w:rPr>
        <w:t>甲方</w:t>
      </w:r>
      <w:r>
        <w:rPr>
          <w:rFonts w:hint="eastAsia" w:ascii="宋体" w:hAnsi="宋体" w:eastAsia="宋体" w:cs="宋体"/>
          <w:color w:val="auto"/>
          <w:sz w:val="24"/>
          <w:szCs w:val="24"/>
          <w:highlight w:val="none"/>
        </w:rPr>
        <w:t>提供常驻驻点服务，其中需明确配备1名专职驻点对接人，负责日常安全管理工作的上传下达，对接</w:t>
      </w:r>
      <w:r>
        <w:rPr>
          <w:rFonts w:hint="eastAsia" w:ascii="宋体" w:hAnsi="宋体" w:eastAsia="宋体" w:cs="宋体"/>
          <w:color w:val="auto"/>
          <w:sz w:val="24"/>
          <w:szCs w:val="24"/>
          <w:highlight w:val="none"/>
          <w:lang w:eastAsia="zh-CN"/>
        </w:rPr>
        <w:t>甲方</w:t>
      </w:r>
      <w:r>
        <w:rPr>
          <w:rFonts w:hint="eastAsia" w:ascii="宋体" w:hAnsi="宋体" w:eastAsia="宋体" w:cs="宋体"/>
          <w:color w:val="auto"/>
          <w:sz w:val="24"/>
          <w:szCs w:val="24"/>
          <w:highlight w:val="none"/>
        </w:rPr>
        <w:t>、物业服务企业及小区相关安全管理事宜，确保各项工作指令传达及时、信息反馈畅通；驻点人员需熟悉保障房安全管理相关法律法规及本采购需求，负责整理上报各类安全管理资料、配合</w:t>
      </w:r>
      <w:r>
        <w:rPr>
          <w:rFonts w:hint="eastAsia" w:ascii="宋体" w:hAnsi="宋体" w:eastAsia="宋体" w:cs="宋体"/>
          <w:color w:val="auto"/>
          <w:sz w:val="24"/>
          <w:szCs w:val="24"/>
          <w:highlight w:val="none"/>
          <w:lang w:eastAsia="zh-CN"/>
        </w:rPr>
        <w:t>甲方</w:t>
      </w:r>
      <w:r>
        <w:rPr>
          <w:rFonts w:hint="eastAsia" w:ascii="宋体" w:hAnsi="宋体" w:eastAsia="宋体" w:cs="宋体"/>
          <w:color w:val="auto"/>
          <w:sz w:val="24"/>
          <w:szCs w:val="24"/>
          <w:highlight w:val="none"/>
        </w:rPr>
        <w:t>开展各类安全检查、考核等工作，确保各项安全管理工作有序推进。</w:t>
      </w:r>
    </w:p>
    <w:p w14:paraId="1FF08E9C">
      <w:pPr>
        <w:numPr>
          <w:ilvl w:val="0"/>
          <w:numId w:val="0"/>
        </w:numPr>
        <w:spacing w:before="120" w:after="120" w:line="288" w:lineRule="auto"/>
        <w:ind w:left="0" w:leftChars="0" w:firstLine="422" w:firstLineChars="175"/>
        <w:jc w:val="left"/>
        <w:outlineLvl w:val="9"/>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②现场巡查</w:t>
      </w:r>
    </w:p>
    <w:p w14:paraId="67DA77B8">
      <w:pPr>
        <w:numPr>
          <w:ilvl w:val="0"/>
          <w:numId w:val="0"/>
        </w:numPr>
        <w:spacing w:before="120" w:after="120" w:line="288" w:lineRule="auto"/>
        <w:ind w:left="0" w:leftChars="0" w:firstLine="420" w:firstLineChars="175"/>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现场巡查工作以</w:t>
      </w:r>
      <w:r>
        <w:rPr>
          <w:rFonts w:hint="eastAsia" w:ascii="宋体" w:hAnsi="宋体" w:eastAsia="宋体" w:cs="宋体"/>
          <w:color w:val="auto"/>
          <w:sz w:val="24"/>
          <w:szCs w:val="24"/>
          <w:highlight w:val="none"/>
          <w:lang w:val="en-US" w:eastAsia="zh-CN"/>
        </w:rPr>
        <w:t>乙方</w:t>
      </w:r>
      <w:r>
        <w:rPr>
          <w:rFonts w:hint="eastAsia" w:ascii="宋体" w:hAnsi="宋体" w:eastAsia="宋体" w:cs="宋体"/>
          <w:color w:val="auto"/>
          <w:sz w:val="24"/>
          <w:szCs w:val="24"/>
          <w:highlight w:val="none"/>
        </w:rPr>
        <w:t>为主导，采用定期与不定期相结合的方式，到各保障房小区开展常态化巡查；需制定详细的巡查计划，明确巡查频次、巡查内容、巡查责任，重点排查各类安全隐患、检查安全措施落实情况，对巡查发现的问题及时记录、反馈，督促物业服务企业整改，并跟踪整改落实情况，确保安全管理工作常态化、全覆盖，及时防范各类安全风险。为保障巡查时效性，确保能够高效覆盖全市各保障房小区，要求</w:t>
      </w:r>
      <w:r>
        <w:rPr>
          <w:rFonts w:hint="eastAsia" w:ascii="宋体" w:hAnsi="宋体" w:eastAsia="宋体" w:cs="宋体"/>
          <w:color w:val="auto"/>
          <w:sz w:val="24"/>
          <w:szCs w:val="24"/>
          <w:highlight w:val="none"/>
          <w:lang w:eastAsia="zh-CN"/>
        </w:rPr>
        <w:t>乙方</w:t>
      </w:r>
      <w:r>
        <w:rPr>
          <w:rFonts w:hint="eastAsia" w:ascii="宋体" w:hAnsi="宋体" w:eastAsia="宋体" w:cs="宋体"/>
          <w:color w:val="auto"/>
          <w:sz w:val="24"/>
          <w:szCs w:val="24"/>
          <w:highlight w:val="none"/>
        </w:rPr>
        <w:t>自备车辆</w:t>
      </w:r>
      <w:r>
        <w:rPr>
          <w:rFonts w:hint="eastAsia" w:ascii="宋体" w:hAnsi="宋体" w:eastAsia="宋体" w:cs="宋体"/>
          <w:color w:val="auto"/>
          <w:sz w:val="24"/>
          <w:szCs w:val="24"/>
          <w:highlight w:val="none"/>
          <w:lang w:val="en-US" w:eastAsia="zh-CN"/>
        </w:rPr>
        <w:t>不少于4辆</w:t>
      </w:r>
      <w:r>
        <w:rPr>
          <w:rFonts w:hint="eastAsia" w:ascii="宋体" w:hAnsi="宋体" w:eastAsia="宋体" w:cs="宋体"/>
          <w:color w:val="auto"/>
          <w:sz w:val="24"/>
          <w:szCs w:val="24"/>
          <w:highlight w:val="none"/>
        </w:rPr>
        <w:t>，车辆需符合安全行驶标准，满足日常巡查出行需求，相关车辆使用、维护等费用由</w:t>
      </w:r>
      <w:r>
        <w:rPr>
          <w:rFonts w:hint="eastAsia" w:ascii="宋体" w:hAnsi="宋体" w:eastAsia="宋体" w:cs="宋体"/>
          <w:color w:val="auto"/>
          <w:sz w:val="24"/>
          <w:szCs w:val="24"/>
          <w:highlight w:val="none"/>
          <w:lang w:eastAsia="zh-CN"/>
        </w:rPr>
        <w:t>乙方</w:t>
      </w:r>
      <w:r>
        <w:rPr>
          <w:rFonts w:hint="eastAsia" w:ascii="宋体" w:hAnsi="宋体" w:eastAsia="宋体" w:cs="宋体"/>
          <w:color w:val="auto"/>
          <w:sz w:val="24"/>
          <w:szCs w:val="24"/>
          <w:highlight w:val="none"/>
        </w:rPr>
        <w:t>自行承担。</w:t>
      </w:r>
      <w:r>
        <w:rPr>
          <w:rFonts w:hint="eastAsia" w:ascii="宋体" w:hAnsi="宋体" w:eastAsia="宋体" w:cs="宋体"/>
          <w:color w:val="auto"/>
          <w:sz w:val="24"/>
          <w:szCs w:val="24"/>
          <w:highlight w:val="none"/>
          <w:lang w:eastAsia="zh-CN"/>
        </w:rPr>
        <w:t>甲方</w:t>
      </w:r>
      <w:r>
        <w:rPr>
          <w:rFonts w:hint="eastAsia" w:ascii="宋体" w:hAnsi="宋体" w:eastAsia="宋体" w:cs="宋体"/>
          <w:color w:val="auto"/>
          <w:sz w:val="24"/>
          <w:szCs w:val="24"/>
          <w:highlight w:val="none"/>
        </w:rPr>
        <w:t>将定期对现场巡查记录及隐患整改情况进行检查核实，督促第三方服务单位规范开展巡查工作、落实隐患整改闭环要求。</w:t>
      </w:r>
    </w:p>
    <w:p w14:paraId="037A4E36">
      <w:pPr>
        <w:pStyle w:val="7"/>
        <w:spacing w:line="360" w:lineRule="auto"/>
        <w:ind w:firstLine="422" w:firstLineChars="175"/>
        <w:jc w:val="both"/>
        <w:rPr>
          <w:rFonts w:hint="eastAsia" w:ascii="宋体" w:hAnsi="宋体" w:eastAsia="宋体" w:cs="宋体"/>
          <w:b/>
          <w:bCs/>
          <w:color w:val="auto"/>
          <w:highlight w:val="none"/>
          <w:lang w:val="en-US" w:eastAsia="zh-CN"/>
        </w:rPr>
      </w:pPr>
      <w:r>
        <w:rPr>
          <w:rFonts w:hint="eastAsia" w:ascii="宋体" w:hAnsi="宋体" w:eastAsia="宋体" w:cs="宋体"/>
          <w:b/>
          <w:bCs/>
          <w:color w:val="auto"/>
          <w:sz w:val="24"/>
          <w:szCs w:val="24"/>
          <w:highlight w:val="none"/>
          <w:lang w:val="en-US" w:eastAsia="zh-CN"/>
        </w:rPr>
        <w:t>（7）甲方认为的与本合同项下小区安全管理相关的其他事项，乙方需按甲方要求及合同约定提供服务。</w:t>
      </w:r>
    </w:p>
    <w:p w14:paraId="02268C3E">
      <w:pPr>
        <w:pStyle w:val="7"/>
        <w:bidi w:val="0"/>
        <w:spacing w:line="360" w:lineRule="auto"/>
        <w:jc w:val="both"/>
        <w:rPr>
          <w:rFonts w:hint="eastAsia"/>
          <w:color w:val="auto"/>
          <w:highlight w:val="none"/>
        </w:rPr>
      </w:pPr>
      <w:r>
        <w:rPr>
          <w:rFonts w:hint="eastAsia"/>
          <w:color w:val="auto"/>
          <w:highlight w:val="none"/>
        </w:rPr>
        <w:t>5.3乙方小区安全管理服务不得低于下述任一个标准/要求：</w:t>
      </w:r>
    </w:p>
    <w:p w14:paraId="0951AB7A">
      <w:pPr>
        <w:pStyle w:val="7"/>
        <w:bidi w:val="0"/>
        <w:spacing w:line="360" w:lineRule="auto"/>
        <w:jc w:val="both"/>
        <w:rPr>
          <w:rFonts w:hint="eastAsia"/>
          <w:color w:val="auto"/>
          <w:highlight w:val="none"/>
        </w:rPr>
      </w:pPr>
      <w:r>
        <w:rPr>
          <w:rFonts w:hint="eastAsia"/>
          <w:color w:val="auto"/>
          <w:highlight w:val="none"/>
        </w:rPr>
        <w:t>（1）法律、法规、政府/政府部门及行业的标准/要求；</w:t>
      </w:r>
    </w:p>
    <w:p w14:paraId="7D911A27">
      <w:pPr>
        <w:pStyle w:val="7"/>
        <w:bidi w:val="0"/>
        <w:spacing w:line="360" w:lineRule="auto"/>
        <w:jc w:val="both"/>
        <w:rPr>
          <w:rFonts w:hint="eastAsia"/>
          <w:color w:val="auto"/>
          <w:highlight w:val="none"/>
        </w:rPr>
      </w:pPr>
      <w:r>
        <w:rPr>
          <w:rFonts w:hint="eastAsia"/>
          <w:color w:val="auto"/>
          <w:highlight w:val="none"/>
        </w:rPr>
        <w:t>（2）</w:t>
      </w:r>
      <w:r>
        <w:rPr>
          <w:rFonts w:hint="eastAsia"/>
          <w:color w:val="auto"/>
          <w:highlight w:val="none"/>
          <w:u w:val="single"/>
          <w:lang w:val="en-US" w:eastAsia="zh-CN"/>
        </w:rPr>
        <w:t xml:space="preserve">         </w:t>
      </w:r>
      <w:r>
        <w:rPr>
          <w:rFonts w:hint="eastAsia"/>
          <w:color w:val="auto"/>
          <w:highlight w:val="none"/>
          <w:u w:val="single"/>
        </w:rPr>
        <w:t xml:space="preserve">/ </w:t>
      </w:r>
      <w:r>
        <w:rPr>
          <w:rFonts w:hint="eastAsia"/>
          <w:color w:val="auto"/>
          <w:highlight w:val="none"/>
          <w:u w:val="single"/>
          <w:lang w:val="en-US" w:eastAsia="zh-CN"/>
        </w:rPr>
        <w:t xml:space="preserve">       </w:t>
      </w:r>
      <w:r>
        <w:rPr>
          <w:rFonts w:hint="eastAsia"/>
          <w:color w:val="auto"/>
          <w:highlight w:val="none"/>
        </w:rPr>
        <w:t>。</w:t>
      </w:r>
    </w:p>
    <w:p w14:paraId="17E4BDD3">
      <w:pPr>
        <w:pStyle w:val="7"/>
        <w:bidi w:val="0"/>
        <w:spacing w:line="360" w:lineRule="auto"/>
        <w:jc w:val="both"/>
        <w:rPr>
          <w:rFonts w:hint="eastAsia"/>
          <w:color w:val="auto"/>
          <w:highlight w:val="none"/>
        </w:rPr>
      </w:pPr>
      <w:r>
        <w:rPr>
          <w:rFonts w:hint="eastAsia"/>
          <w:color w:val="auto"/>
          <w:highlight w:val="none"/>
        </w:rPr>
        <w:t>5.4乙方按照本合同第5.2款</w:t>
      </w:r>
      <w:r>
        <w:rPr>
          <w:rFonts w:hint="eastAsia"/>
          <w:color w:val="auto"/>
          <w:highlight w:val="none"/>
          <w:lang w:eastAsia="zh-CN"/>
        </w:rPr>
        <w:t>、第</w:t>
      </w:r>
      <w:r>
        <w:rPr>
          <w:rFonts w:hint="eastAsia"/>
          <w:color w:val="auto"/>
          <w:highlight w:val="none"/>
        </w:rPr>
        <w:t>5.3款以及第六条的约定，制定详细的《小区安全管理服务方案》。但是，当本合同5.3款约定的标准/要求发生变化时，乙方应当按照最新的标准/要求执行。</w:t>
      </w:r>
    </w:p>
    <w:p w14:paraId="00AF61B3">
      <w:pPr>
        <w:pStyle w:val="7"/>
        <w:bidi w:val="0"/>
        <w:spacing w:line="360" w:lineRule="auto"/>
        <w:outlineLvl w:val="1"/>
        <w:rPr>
          <w:rFonts w:hint="eastAsia"/>
          <w:b/>
          <w:bCs/>
          <w:color w:val="auto"/>
          <w:highlight w:val="none"/>
        </w:rPr>
      </w:pPr>
      <w:r>
        <w:rPr>
          <w:rFonts w:hint="eastAsia"/>
          <w:b/>
          <w:bCs/>
          <w:color w:val="auto"/>
          <w:highlight w:val="none"/>
        </w:rPr>
        <w:t>第六条</w:t>
      </w:r>
      <w:r>
        <w:rPr>
          <w:rFonts w:hint="eastAsia"/>
          <w:b/>
          <w:bCs/>
          <w:color w:val="auto"/>
          <w:highlight w:val="none"/>
          <w:lang w:val="en-US" w:eastAsia="zh-CN"/>
        </w:rPr>
        <w:t xml:space="preserve"> </w:t>
      </w:r>
      <w:r>
        <w:rPr>
          <w:rFonts w:hint="eastAsia"/>
          <w:b/>
          <w:bCs/>
          <w:color w:val="auto"/>
          <w:highlight w:val="none"/>
        </w:rPr>
        <w:t>小区安全管理服务要求</w:t>
      </w:r>
    </w:p>
    <w:p w14:paraId="185994E5">
      <w:pPr>
        <w:pStyle w:val="7"/>
        <w:bidi w:val="0"/>
        <w:spacing w:line="360" w:lineRule="auto"/>
        <w:jc w:val="both"/>
        <w:rPr>
          <w:rFonts w:hint="eastAsia"/>
          <w:color w:val="auto"/>
          <w:highlight w:val="none"/>
        </w:rPr>
      </w:pPr>
      <w:r>
        <w:rPr>
          <w:rFonts w:hint="eastAsia"/>
          <w:color w:val="auto"/>
          <w:highlight w:val="none"/>
        </w:rPr>
        <w:t>6.1乙方工作人员在甲方工作场所必须严格遵守甲方各项规章制度，不得带与工作无关的人员进入服务区</w:t>
      </w:r>
      <w:r>
        <w:rPr>
          <w:rFonts w:hint="eastAsia"/>
          <w:color w:val="auto"/>
          <w:highlight w:val="none"/>
          <w:lang w:eastAsia="zh-CN"/>
        </w:rPr>
        <w:t>，</w:t>
      </w:r>
      <w:r>
        <w:rPr>
          <w:rFonts w:hint="eastAsia"/>
          <w:color w:val="auto"/>
          <w:highlight w:val="none"/>
        </w:rPr>
        <w:t>否则由此</w:t>
      </w:r>
      <w:r>
        <w:rPr>
          <w:rFonts w:hint="eastAsia"/>
          <w:color w:val="auto"/>
          <w:highlight w:val="none"/>
          <w:lang w:val="en-US" w:eastAsia="zh-CN"/>
        </w:rPr>
        <w:t>产生</w:t>
      </w:r>
      <w:r>
        <w:rPr>
          <w:rFonts w:hint="eastAsia"/>
          <w:color w:val="auto"/>
          <w:highlight w:val="none"/>
        </w:rPr>
        <w:t>的</w:t>
      </w:r>
      <w:r>
        <w:rPr>
          <w:rFonts w:hint="eastAsia"/>
          <w:color w:val="auto"/>
          <w:highlight w:val="none"/>
          <w:lang w:val="en-US" w:eastAsia="zh-CN"/>
        </w:rPr>
        <w:t>后果均</w:t>
      </w:r>
      <w:r>
        <w:rPr>
          <w:rFonts w:hint="eastAsia"/>
          <w:color w:val="auto"/>
          <w:highlight w:val="none"/>
        </w:rPr>
        <w:t>由乙方承担全部责任</w:t>
      </w:r>
      <w:r>
        <w:rPr>
          <w:rFonts w:hint="eastAsia"/>
          <w:color w:val="auto"/>
          <w:highlight w:val="none"/>
          <w:lang w:eastAsia="zh-CN"/>
        </w:rPr>
        <w:t>。</w:t>
      </w:r>
    </w:p>
    <w:p w14:paraId="2F0F87D0">
      <w:pPr>
        <w:pStyle w:val="7"/>
        <w:bidi w:val="0"/>
        <w:spacing w:line="360" w:lineRule="auto"/>
        <w:jc w:val="both"/>
        <w:rPr>
          <w:rFonts w:hint="eastAsia"/>
          <w:color w:val="auto"/>
          <w:highlight w:val="none"/>
        </w:rPr>
      </w:pPr>
      <w:r>
        <w:rPr>
          <w:rFonts w:hint="eastAsia"/>
          <w:color w:val="auto"/>
          <w:highlight w:val="none"/>
        </w:rPr>
        <w:t>6.2乙方每次检查、培训及演练应提前联系甲方以确认具体的小区安全管理时间</w:t>
      </w:r>
      <w:r>
        <w:rPr>
          <w:rFonts w:hint="eastAsia"/>
          <w:color w:val="auto"/>
          <w:highlight w:val="none"/>
          <w:lang w:eastAsia="zh-CN"/>
        </w:rPr>
        <w:t>，</w:t>
      </w:r>
      <w:r>
        <w:rPr>
          <w:rFonts w:hint="eastAsia"/>
          <w:color w:val="auto"/>
          <w:highlight w:val="none"/>
          <w:lang w:val="en-US" w:eastAsia="zh-CN"/>
        </w:rPr>
        <w:t>否则由此产生的后果均由乙方承担全部责任</w:t>
      </w:r>
      <w:r>
        <w:rPr>
          <w:rFonts w:hint="eastAsia"/>
          <w:color w:val="auto"/>
          <w:highlight w:val="none"/>
        </w:rPr>
        <w:t>。</w:t>
      </w:r>
    </w:p>
    <w:p w14:paraId="38F348AC">
      <w:pPr>
        <w:pStyle w:val="7"/>
        <w:bidi w:val="0"/>
        <w:spacing w:line="360" w:lineRule="auto"/>
        <w:jc w:val="both"/>
        <w:rPr>
          <w:rFonts w:hint="eastAsia"/>
          <w:color w:val="auto"/>
          <w:highlight w:val="none"/>
        </w:rPr>
      </w:pPr>
      <w:r>
        <w:rPr>
          <w:rFonts w:hint="eastAsia"/>
          <w:color w:val="auto"/>
          <w:highlight w:val="none"/>
        </w:rPr>
        <w:t>6.3乙方为甲方提供服务时，如发</w:t>
      </w:r>
      <w:r>
        <w:rPr>
          <w:rFonts w:hint="eastAsia"/>
          <w:color w:val="auto"/>
          <w:highlight w:val="none"/>
          <w:lang w:val="en-US" w:eastAsia="zh-CN"/>
        </w:rPr>
        <w:t>现</w:t>
      </w:r>
      <w:r>
        <w:rPr>
          <w:rFonts w:hint="eastAsia"/>
          <w:color w:val="auto"/>
          <w:highlight w:val="none"/>
        </w:rPr>
        <w:t>现场存在隐患及相关问题，应</w:t>
      </w:r>
      <w:r>
        <w:rPr>
          <w:rFonts w:hint="eastAsia"/>
          <w:color w:val="auto"/>
          <w:highlight w:val="none"/>
          <w:lang w:val="en-US" w:eastAsia="zh-CN"/>
        </w:rPr>
        <w:t>立即</w:t>
      </w:r>
      <w:r>
        <w:rPr>
          <w:rFonts w:hint="eastAsia"/>
          <w:color w:val="auto"/>
          <w:highlight w:val="none"/>
        </w:rPr>
        <w:t>书面告知甲方，并提出</w:t>
      </w:r>
      <w:r>
        <w:rPr>
          <w:rFonts w:hint="eastAsia"/>
          <w:color w:val="auto"/>
          <w:highlight w:val="none"/>
          <w:lang w:val="en-US" w:eastAsia="zh-CN"/>
        </w:rPr>
        <w:t>具体</w:t>
      </w:r>
      <w:r>
        <w:rPr>
          <w:rFonts w:hint="eastAsia"/>
          <w:color w:val="auto"/>
          <w:highlight w:val="none"/>
        </w:rPr>
        <w:t>建议协助甲方解决问题。</w:t>
      </w:r>
    </w:p>
    <w:p w14:paraId="35AD36D2">
      <w:pPr>
        <w:pStyle w:val="7"/>
        <w:bidi w:val="0"/>
        <w:spacing w:line="360" w:lineRule="auto"/>
        <w:jc w:val="both"/>
        <w:rPr>
          <w:rFonts w:hint="eastAsia"/>
          <w:color w:val="auto"/>
          <w:highlight w:val="none"/>
        </w:rPr>
      </w:pPr>
      <w:r>
        <w:rPr>
          <w:rFonts w:hint="eastAsia"/>
          <w:color w:val="auto"/>
          <w:highlight w:val="none"/>
        </w:rPr>
        <w:t>6.4在甲方需要技术支持时，乙方应在接到甲方要求</w:t>
      </w:r>
      <w:r>
        <w:rPr>
          <w:rFonts w:hint="eastAsia"/>
          <w:color w:val="auto"/>
          <w:highlight w:val="none"/>
          <w:lang w:val="en-US" w:eastAsia="zh-CN"/>
        </w:rPr>
        <w:t>后</w:t>
      </w:r>
      <w:r>
        <w:rPr>
          <w:rFonts w:hint="eastAsia"/>
          <w:color w:val="auto"/>
          <w:highlight w:val="none"/>
          <w:u w:val="single"/>
          <w:lang w:val="en-US" w:eastAsia="zh-CN"/>
        </w:rPr>
        <w:t xml:space="preserve"> 2 </w:t>
      </w:r>
      <w:r>
        <w:rPr>
          <w:rFonts w:hint="eastAsia"/>
          <w:color w:val="auto"/>
          <w:highlight w:val="none"/>
        </w:rPr>
        <w:t>小时内到达现场提供技术支持。</w:t>
      </w:r>
    </w:p>
    <w:p w14:paraId="24CFE9B8">
      <w:pPr>
        <w:pStyle w:val="7"/>
        <w:bidi w:val="0"/>
        <w:spacing w:line="360" w:lineRule="auto"/>
        <w:jc w:val="both"/>
        <w:rPr>
          <w:rFonts w:hint="eastAsia"/>
          <w:color w:val="auto"/>
          <w:highlight w:val="none"/>
        </w:rPr>
      </w:pPr>
      <w:r>
        <w:rPr>
          <w:rFonts w:hint="eastAsia"/>
          <w:color w:val="auto"/>
          <w:highlight w:val="none"/>
        </w:rPr>
        <w:t>6.5本合同项下的小区安全管理服务，未经甲方书面同意，乙方不得转委托第三人。</w:t>
      </w:r>
    </w:p>
    <w:p w14:paraId="73793B6E">
      <w:pPr>
        <w:pStyle w:val="7"/>
        <w:bidi w:val="0"/>
        <w:spacing w:line="360" w:lineRule="auto"/>
        <w:jc w:val="both"/>
        <w:rPr>
          <w:rFonts w:hint="eastAsia"/>
          <w:color w:val="auto"/>
          <w:highlight w:val="none"/>
        </w:rPr>
      </w:pPr>
      <w:r>
        <w:rPr>
          <w:rFonts w:hint="eastAsia"/>
          <w:color w:val="auto"/>
          <w:highlight w:val="none"/>
        </w:rPr>
        <w:t>6.6乙方应当制定小区安全管理相关的流程及方案，并严格执行，以确保服务达到本合同的目的。乙方的方案应当</w:t>
      </w:r>
      <w:r>
        <w:rPr>
          <w:rFonts w:hint="eastAsia"/>
          <w:color w:val="auto"/>
          <w:highlight w:val="none"/>
          <w:lang w:val="en-US" w:eastAsia="zh-CN"/>
        </w:rPr>
        <w:t>书面呈报</w:t>
      </w:r>
      <w:r>
        <w:rPr>
          <w:rFonts w:hint="eastAsia"/>
          <w:color w:val="auto"/>
          <w:highlight w:val="none"/>
        </w:rPr>
        <w:t>甲方</w:t>
      </w:r>
      <w:r>
        <w:rPr>
          <w:rFonts w:hint="eastAsia"/>
          <w:color w:val="auto"/>
          <w:highlight w:val="none"/>
          <w:lang w:val="en-US" w:eastAsia="zh-CN"/>
        </w:rPr>
        <w:t>同意并</w:t>
      </w:r>
      <w:r>
        <w:rPr>
          <w:rFonts w:hint="eastAsia"/>
          <w:color w:val="auto"/>
          <w:highlight w:val="none"/>
        </w:rPr>
        <w:t>备案</w:t>
      </w:r>
      <w:r>
        <w:rPr>
          <w:rFonts w:hint="eastAsia"/>
          <w:color w:val="auto"/>
          <w:highlight w:val="none"/>
          <w:lang w:eastAsia="zh-CN"/>
        </w:rPr>
        <w:t>，</w:t>
      </w:r>
      <w:r>
        <w:rPr>
          <w:rFonts w:hint="eastAsia"/>
          <w:color w:val="auto"/>
          <w:highlight w:val="none"/>
          <w:lang w:val="en-US" w:eastAsia="zh-CN"/>
        </w:rPr>
        <w:t>未经甲方同意不可变更方案内容</w:t>
      </w:r>
      <w:r>
        <w:rPr>
          <w:rFonts w:hint="eastAsia"/>
          <w:color w:val="auto"/>
          <w:highlight w:val="none"/>
        </w:rPr>
        <w:t>。</w:t>
      </w:r>
    </w:p>
    <w:p w14:paraId="6C5EE2F6">
      <w:pPr>
        <w:pStyle w:val="7"/>
        <w:bidi w:val="0"/>
        <w:spacing w:line="360" w:lineRule="auto"/>
        <w:jc w:val="both"/>
        <w:rPr>
          <w:rFonts w:hint="eastAsia"/>
          <w:color w:val="auto"/>
          <w:highlight w:val="none"/>
        </w:rPr>
      </w:pPr>
      <w:r>
        <w:rPr>
          <w:rFonts w:hint="eastAsia"/>
          <w:color w:val="auto"/>
          <w:highlight w:val="none"/>
        </w:rPr>
        <w:t>6.7乙方在小区安全管理期内发生的一切事故均由乙方负责</w:t>
      </w:r>
      <w:r>
        <w:rPr>
          <w:rFonts w:hint="eastAsia"/>
          <w:color w:val="auto"/>
          <w:highlight w:val="none"/>
          <w:lang w:eastAsia="zh-CN"/>
        </w:rPr>
        <w:t>，</w:t>
      </w:r>
      <w:r>
        <w:rPr>
          <w:rFonts w:hint="eastAsia"/>
          <w:color w:val="auto"/>
          <w:highlight w:val="none"/>
          <w:lang w:val="en-US" w:eastAsia="zh-CN"/>
        </w:rPr>
        <w:t>由此给甲方或第三方造成损害的，乙方应予全部赔偿。如甲方先行垫付的，甲方有权向乙方全额追偿</w:t>
      </w:r>
      <w:r>
        <w:rPr>
          <w:rFonts w:hint="eastAsia"/>
          <w:color w:val="auto"/>
          <w:highlight w:val="none"/>
        </w:rPr>
        <w:t>。乙方不得以不可抗力、</w:t>
      </w:r>
      <w:r>
        <w:rPr>
          <w:rFonts w:hint="eastAsia"/>
          <w:color w:val="auto"/>
          <w:highlight w:val="none"/>
          <w:lang w:val="en-US" w:eastAsia="zh-CN"/>
        </w:rPr>
        <w:t>意外事件、</w:t>
      </w:r>
      <w:r>
        <w:rPr>
          <w:rFonts w:hint="eastAsia"/>
          <w:color w:val="auto"/>
          <w:highlight w:val="none"/>
        </w:rPr>
        <w:t>第三方原因、住户过错等为由，减轻或免除其应承担的责任。</w:t>
      </w:r>
    </w:p>
    <w:p w14:paraId="7AB75ED2">
      <w:pPr>
        <w:pStyle w:val="7"/>
        <w:bidi w:val="0"/>
        <w:spacing w:line="360" w:lineRule="auto"/>
        <w:jc w:val="both"/>
        <w:rPr>
          <w:rFonts w:hint="eastAsia"/>
          <w:color w:val="auto"/>
          <w:highlight w:val="none"/>
        </w:rPr>
      </w:pPr>
      <w:r>
        <w:rPr>
          <w:rFonts w:hint="eastAsia"/>
          <w:color w:val="auto"/>
          <w:highlight w:val="none"/>
        </w:rPr>
        <w:t>6.8乙方应当认真收集并妥善保管履约过程中所使用的和产生的一切资料，</w:t>
      </w:r>
      <w:r>
        <w:rPr>
          <w:rFonts w:hint="eastAsia"/>
          <w:color w:val="auto"/>
          <w:highlight w:val="none"/>
          <w:lang w:val="en-US" w:eastAsia="zh-CN"/>
        </w:rPr>
        <w:t>未经甲方书面同意，不得向第三方披露。</w:t>
      </w:r>
      <w:r>
        <w:rPr>
          <w:rFonts w:hint="eastAsia"/>
          <w:color w:val="auto"/>
          <w:highlight w:val="none"/>
        </w:rPr>
        <w:t>在甲方</w:t>
      </w:r>
      <w:r>
        <w:rPr>
          <w:rFonts w:hint="eastAsia"/>
          <w:color w:val="auto"/>
          <w:highlight w:val="none"/>
          <w:lang w:val="en-US" w:eastAsia="zh-CN"/>
        </w:rPr>
        <w:t>需要时</w:t>
      </w:r>
      <w:r>
        <w:rPr>
          <w:rFonts w:hint="eastAsia"/>
          <w:color w:val="auto"/>
          <w:highlight w:val="none"/>
        </w:rPr>
        <w:t>或者本合同解除、终止后</w:t>
      </w:r>
      <w:r>
        <w:rPr>
          <w:rFonts w:hint="eastAsia"/>
          <w:color w:val="auto"/>
          <w:highlight w:val="none"/>
          <w:lang w:eastAsia="zh-CN"/>
        </w:rPr>
        <w:t>，</w:t>
      </w:r>
      <w:r>
        <w:rPr>
          <w:rFonts w:hint="eastAsia"/>
          <w:color w:val="auto"/>
          <w:highlight w:val="none"/>
          <w:lang w:val="en-US" w:eastAsia="zh-CN"/>
        </w:rPr>
        <w:t>乙方需在甲方规定的时间</w:t>
      </w:r>
      <w:r>
        <w:rPr>
          <w:rFonts w:hint="eastAsia"/>
          <w:color w:val="auto"/>
          <w:highlight w:val="none"/>
        </w:rPr>
        <w:t>内向甲方</w:t>
      </w:r>
      <w:r>
        <w:rPr>
          <w:rFonts w:hint="eastAsia"/>
          <w:color w:val="auto"/>
          <w:highlight w:val="none"/>
          <w:lang w:val="en-US" w:eastAsia="zh-CN"/>
        </w:rPr>
        <w:t>归还</w:t>
      </w:r>
      <w:r>
        <w:rPr>
          <w:rFonts w:hint="eastAsia"/>
          <w:color w:val="auto"/>
          <w:highlight w:val="none"/>
        </w:rPr>
        <w:t>所使用</w:t>
      </w:r>
      <w:r>
        <w:rPr>
          <w:rFonts w:hint="eastAsia"/>
          <w:color w:val="auto"/>
          <w:highlight w:val="none"/>
          <w:lang w:eastAsia="zh-CN"/>
        </w:rPr>
        <w:t>的</w:t>
      </w:r>
      <w:r>
        <w:rPr>
          <w:rFonts w:hint="eastAsia"/>
          <w:color w:val="auto"/>
          <w:highlight w:val="none"/>
        </w:rPr>
        <w:t>一切资料。</w:t>
      </w:r>
    </w:p>
    <w:p w14:paraId="15290102">
      <w:pPr>
        <w:pStyle w:val="7"/>
        <w:bidi w:val="0"/>
        <w:spacing w:line="360" w:lineRule="auto"/>
        <w:jc w:val="both"/>
        <w:rPr>
          <w:rFonts w:hint="eastAsia"/>
          <w:color w:val="auto"/>
          <w:highlight w:val="none"/>
        </w:rPr>
      </w:pPr>
      <w:r>
        <w:rPr>
          <w:rFonts w:hint="eastAsia"/>
          <w:color w:val="auto"/>
          <w:highlight w:val="none"/>
        </w:rPr>
        <w:t>6.9其他要求：</w:t>
      </w:r>
      <w:r>
        <w:rPr>
          <w:rFonts w:hint="eastAsia"/>
          <w:color w:val="auto"/>
          <w:highlight w:val="none"/>
          <w:u w:val="single"/>
          <w:lang w:val="en-US" w:eastAsia="zh-CN"/>
        </w:rPr>
        <w:t xml:space="preserve">               /                   </w:t>
      </w:r>
    </w:p>
    <w:p w14:paraId="7601BE70">
      <w:pPr>
        <w:pStyle w:val="7"/>
        <w:bidi w:val="0"/>
        <w:spacing w:line="360" w:lineRule="auto"/>
        <w:outlineLvl w:val="1"/>
        <w:rPr>
          <w:rFonts w:hint="eastAsia"/>
          <w:b/>
          <w:bCs/>
          <w:color w:val="auto"/>
          <w:highlight w:val="none"/>
        </w:rPr>
      </w:pPr>
      <w:r>
        <w:rPr>
          <w:rFonts w:hint="eastAsia"/>
          <w:b/>
          <w:bCs/>
          <w:color w:val="auto"/>
          <w:highlight w:val="none"/>
        </w:rPr>
        <w:t>第七条</w:t>
      </w:r>
      <w:r>
        <w:rPr>
          <w:rFonts w:hint="eastAsia"/>
          <w:b/>
          <w:bCs/>
          <w:color w:val="auto"/>
          <w:highlight w:val="none"/>
          <w:lang w:val="en-US" w:eastAsia="zh-CN"/>
        </w:rPr>
        <w:t xml:space="preserve"> </w:t>
      </w:r>
      <w:r>
        <w:rPr>
          <w:rFonts w:hint="eastAsia"/>
          <w:b/>
          <w:bCs/>
          <w:color w:val="auto"/>
          <w:highlight w:val="none"/>
        </w:rPr>
        <w:t>小区安全管理服务人员</w:t>
      </w:r>
    </w:p>
    <w:p w14:paraId="32BC6EE1">
      <w:pPr>
        <w:pStyle w:val="7"/>
        <w:bidi w:val="0"/>
        <w:spacing w:line="360" w:lineRule="auto"/>
        <w:jc w:val="both"/>
        <w:rPr>
          <w:rFonts w:hint="eastAsia"/>
          <w:color w:val="auto"/>
          <w:highlight w:val="none"/>
        </w:rPr>
      </w:pPr>
      <w:r>
        <w:rPr>
          <w:rFonts w:hint="eastAsia"/>
          <w:color w:val="auto"/>
          <w:highlight w:val="none"/>
        </w:rPr>
        <w:t>7.1乙方应按照附件2《保障房小区安全管理服务项目人员名单》派出专业服务人员到现场提供服务，并对派出的服务人员进行监督、指导和管理；甲方有权要求</w:t>
      </w:r>
      <w:r>
        <w:rPr>
          <w:rFonts w:hint="eastAsia"/>
          <w:color w:val="auto"/>
          <w:highlight w:val="none"/>
          <w:lang w:val="en-US" w:eastAsia="zh-CN"/>
        </w:rPr>
        <w:t>乙方</w:t>
      </w:r>
      <w:r>
        <w:rPr>
          <w:rFonts w:hint="eastAsia"/>
          <w:color w:val="auto"/>
          <w:highlight w:val="none"/>
        </w:rPr>
        <w:t>撤换不合格的服务人员。</w:t>
      </w:r>
      <w:r>
        <w:rPr>
          <w:rFonts w:hint="eastAsia"/>
          <w:color w:val="auto"/>
          <w:highlight w:val="none"/>
          <w:lang w:val="en-US" w:eastAsia="zh-CN"/>
        </w:rPr>
        <w:t>乙方需在收到甲方通知后完成人员更换，替换人员的资质不得低于被撤换人员的资质标准。</w:t>
      </w:r>
    </w:p>
    <w:p w14:paraId="4AF949D4">
      <w:pPr>
        <w:pStyle w:val="7"/>
        <w:bidi w:val="0"/>
        <w:spacing w:line="360" w:lineRule="auto"/>
        <w:jc w:val="both"/>
        <w:rPr>
          <w:rFonts w:hint="eastAsia"/>
          <w:color w:val="auto"/>
          <w:highlight w:val="none"/>
        </w:rPr>
      </w:pPr>
      <w:r>
        <w:rPr>
          <w:rFonts w:hint="eastAsia"/>
          <w:color w:val="auto"/>
          <w:highlight w:val="none"/>
        </w:rPr>
        <w:t>7.2未经甲方书面同意，乙方不得擅自更换服务人员，否则甲方有权解除合同，另行选择小区安全管理服务商，由此造成的损失</w:t>
      </w:r>
      <w:r>
        <w:rPr>
          <w:rFonts w:hint="eastAsia"/>
          <w:color w:val="auto"/>
          <w:highlight w:val="none"/>
          <w:lang w:val="en-US" w:eastAsia="zh-CN"/>
        </w:rPr>
        <w:t>均</w:t>
      </w:r>
      <w:r>
        <w:rPr>
          <w:rFonts w:hint="eastAsia"/>
          <w:color w:val="auto"/>
          <w:highlight w:val="none"/>
        </w:rPr>
        <w:t>由乙方承担。</w:t>
      </w:r>
    </w:p>
    <w:p w14:paraId="363BD29F">
      <w:pPr>
        <w:pStyle w:val="7"/>
        <w:bidi w:val="0"/>
        <w:spacing w:line="360" w:lineRule="auto"/>
        <w:outlineLvl w:val="1"/>
        <w:rPr>
          <w:rFonts w:hint="eastAsia"/>
          <w:b/>
          <w:bCs/>
          <w:color w:val="auto"/>
          <w:highlight w:val="none"/>
        </w:rPr>
      </w:pPr>
      <w:r>
        <w:rPr>
          <w:rFonts w:hint="eastAsia"/>
          <w:b/>
          <w:bCs/>
          <w:color w:val="auto"/>
          <w:highlight w:val="none"/>
        </w:rPr>
        <w:t>第八条</w:t>
      </w:r>
      <w:r>
        <w:rPr>
          <w:rFonts w:hint="eastAsia"/>
          <w:b/>
          <w:bCs/>
          <w:color w:val="auto"/>
          <w:highlight w:val="none"/>
          <w:lang w:val="en-US" w:eastAsia="zh-CN"/>
        </w:rPr>
        <w:t xml:space="preserve"> </w:t>
      </w:r>
      <w:r>
        <w:rPr>
          <w:rFonts w:hint="eastAsia"/>
          <w:b/>
          <w:bCs/>
          <w:color w:val="auto"/>
          <w:highlight w:val="none"/>
        </w:rPr>
        <w:t>小区安全管理费用支付</w:t>
      </w:r>
    </w:p>
    <w:p w14:paraId="4526C2DC">
      <w:pPr>
        <w:pStyle w:val="7"/>
        <w:bidi w:val="0"/>
        <w:spacing w:line="360" w:lineRule="auto"/>
        <w:jc w:val="both"/>
        <w:rPr>
          <w:rFonts w:hint="eastAsia"/>
          <w:color w:val="auto"/>
          <w:highlight w:val="none"/>
        </w:rPr>
      </w:pPr>
      <w:r>
        <w:rPr>
          <w:rFonts w:hint="eastAsia"/>
          <w:color w:val="auto"/>
          <w:highlight w:val="none"/>
        </w:rPr>
        <w:t>8.1合同包付款进度</w:t>
      </w:r>
    </w:p>
    <w:p w14:paraId="44ABE69B">
      <w:pPr>
        <w:pStyle w:val="7"/>
        <w:bidi w:val="0"/>
        <w:spacing w:line="360" w:lineRule="auto"/>
        <w:jc w:val="both"/>
        <w:rPr>
          <w:rFonts w:hint="eastAsia" w:eastAsiaTheme="minorEastAsia"/>
          <w:color w:val="auto"/>
          <w:highlight w:val="none"/>
          <w:lang w:val="en-US" w:eastAsia="zh-CN"/>
        </w:rPr>
      </w:pPr>
      <w:r>
        <w:rPr>
          <w:rFonts w:hint="eastAsia"/>
          <w:color w:val="auto"/>
          <w:highlight w:val="none"/>
        </w:rPr>
        <w:t>（1）合同签订后</w:t>
      </w:r>
      <w:r>
        <w:rPr>
          <w:rFonts w:hint="eastAsia"/>
          <w:color w:val="auto"/>
          <w:highlight w:val="none"/>
          <w:lang w:val="en-US" w:eastAsia="zh-CN"/>
        </w:rPr>
        <w:t>十五个工作日内</w:t>
      </w:r>
      <w:r>
        <w:rPr>
          <w:rFonts w:hint="eastAsia"/>
          <w:color w:val="auto"/>
          <w:highlight w:val="none"/>
        </w:rPr>
        <w:t>甲方支付</w:t>
      </w:r>
      <w:r>
        <w:rPr>
          <w:rFonts w:hint="eastAsia"/>
          <w:color w:val="auto"/>
          <w:highlight w:val="none"/>
          <w:lang w:eastAsia="zh-CN"/>
        </w:rPr>
        <w:t>一季度服务费</w:t>
      </w:r>
      <w:r>
        <w:rPr>
          <w:rFonts w:hint="eastAsia"/>
          <w:color w:val="auto"/>
          <w:highlight w:val="none"/>
        </w:rPr>
        <w:t>的50%作为预付款</w:t>
      </w:r>
      <w:r>
        <w:rPr>
          <w:rFonts w:hint="eastAsia"/>
          <w:color w:val="auto"/>
          <w:highlight w:val="none"/>
          <w:lang w:eastAsia="zh-CN"/>
        </w:rPr>
        <w:t>，</w:t>
      </w:r>
      <w:r>
        <w:rPr>
          <w:rFonts w:hint="eastAsia"/>
          <w:color w:val="auto"/>
          <w:highlight w:val="none"/>
          <w:lang w:val="en-US" w:eastAsia="zh-CN"/>
        </w:rPr>
        <w:t>即人民币</w:t>
      </w:r>
      <w:r>
        <w:rPr>
          <w:rFonts w:hint="eastAsia"/>
          <w:color w:val="auto"/>
          <w:highlight w:val="none"/>
          <w:u w:val="single"/>
          <w:lang w:val="en-US" w:eastAsia="zh-CN"/>
        </w:rPr>
        <w:t xml:space="preserve">            </w:t>
      </w:r>
      <w:r>
        <w:rPr>
          <w:rFonts w:hint="eastAsia"/>
          <w:color w:val="auto"/>
          <w:highlight w:val="none"/>
          <w:lang w:val="en-US" w:eastAsia="zh-CN"/>
        </w:rPr>
        <w:t>元</w:t>
      </w:r>
      <w:r>
        <w:rPr>
          <w:rFonts w:hint="eastAsia"/>
          <w:color w:val="auto"/>
          <w:highlight w:val="none"/>
        </w:rPr>
        <w:t>。</w:t>
      </w:r>
    </w:p>
    <w:p w14:paraId="7780DB32">
      <w:pPr>
        <w:pStyle w:val="7"/>
        <w:bidi w:val="0"/>
        <w:spacing w:line="360" w:lineRule="auto"/>
        <w:jc w:val="both"/>
        <w:rPr>
          <w:rFonts w:hint="default" w:eastAsiaTheme="minorEastAsia"/>
          <w:color w:val="auto"/>
          <w:highlight w:val="none"/>
          <w:lang w:val="en-US" w:eastAsia="zh-CN"/>
        </w:rPr>
      </w:pPr>
      <w:r>
        <w:rPr>
          <w:rFonts w:hint="eastAsia"/>
          <w:color w:val="auto"/>
          <w:highlight w:val="none"/>
        </w:rPr>
        <w:t>（２）甲方</w:t>
      </w:r>
      <w:r>
        <w:rPr>
          <w:rFonts w:hint="eastAsia"/>
          <w:color w:val="auto"/>
          <w:highlight w:val="none"/>
          <w:lang w:eastAsia="zh-CN"/>
        </w:rPr>
        <w:t>于每季度的最后一个月</w:t>
      </w:r>
      <w:r>
        <w:rPr>
          <w:rFonts w:hint="eastAsia"/>
          <w:color w:val="auto"/>
          <w:highlight w:val="none"/>
        </w:rPr>
        <w:t>组织对乙方进行考核，考核标准见附件1《保障房小区安全管理服务</w:t>
      </w:r>
      <w:r>
        <w:rPr>
          <w:rFonts w:hint="eastAsia"/>
          <w:color w:val="auto"/>
          <w:highlight w:val="none"/>
          <w:lang w:eastAsia="zh-CN"/>
        </w:rPr>
        <w:t>季度考核标准</w:t>
      </w:r>
      <w:r>
        <w:rPr>
          <w:rFonts w:hint="eastAsia"/>
          <w:color w:val="auto"/>
          <w:highlight w:val="none"/>
        </w:rPr>
        <w:t>》，根据</w:t>
      </w:r>
      <w:r>
        <w:rPr>
          <w:rFonts w:hint="eastAsia"/>
          <w:color w:val="auto"/>
          <w:highlight w:val="none"/>
          <w:lang w:eastAsia="zh-CN"/>
        </w:rPr>
        <w:t>季度</w:t>
      </w:r>
      <w:r>
        <w:rPr>
          <w:rFonts w:hint="eastAsia"/>
          <w:color w:val="auto"/>
          <w:highlight w:val="none"/>
        </w:rPr>
        <w:t>最终考核结果支付相应安全管理服务费。支付方式如下：</w:t>
      </w:r>
      <w:r>
        <w:rPr>
          <w:rFonts w:hint="eastAsia" w:asciiTheme="minorHAnsi" w:hAnsiTheme="minorHAnsi" w:eastAsiaTheme="minorEastAsia" w:cstheme="minorBidi"/>
          <w:color w:val="auto"/>
          <w:highlight w:val="none"/>
          <w:lang w:eastAsia="zh-CN"/>
        </w:rPr>
        <w:t>（</w:t>
      </w:r>
      <w:r>
        <w:rPr>
          <w:rFonts w:hint="eastAsia" w:asciiTheme="minorHAnsi" w:hAnsiTheme="minorHAnsi" w:eastAsiaTheme="minorEastAsia" w:cstheme="minorBidi"/>
          <w:color w:val="auto"/>
          <w:highlight w:val="none"/>
          <w:lang w:val="en-US" w:eastAsia="zh-CN"/>
        </w:rPr>
        <w:t>1</w:t>
      </w:r>
      <w:r>
        <w:rPr>
          <w:rFonts w:hint="eastAsia" w:asciiTheme="minorHAnsi" w:hAnsiTheme="minorHAnsi" w:eastAsiaTheme="minorEastAsia" w:cstheme="minorBidi"/>
          <w:color w:val="auto"/>
          <w:highlight w:val="none"/>
          <w:lang w:eastAsia="zh-CN"/>
        </w:rPr>
        <w:t>）</w:t>
      </w:r>
      <w:r>
        <w:rPr>
          <w:rFonts w:hint="eastAsia" w:asciiTheme="minorHAnsi" w:hAnsiTheme="minorHAnsi" w:eastAsiaTheme="minorEastAsia" w:cstheme="minorBidi"/>
          <w:color w:val="auto"/>
          <w:highlight w:val="none"/>
          <w:lang w:val="en-US" w:eastAsia="zh-CN"/>
        </w:rPr>
        <w:t>季度</w:t>
      </w:r>
      <w:r>
        <w:rPr>
          <w:rFonts w:hint="eastAsia" w:asciiTheme="minorHAnsi" w:hAnsiTheme="minorHAnsi" w:eastAsiaTheme="minorEastAsia" w:cstheme="minorBidi"/>
          <w:color w:val="auto"/>
          <w:highlight w:val="none"/>
        </w:rPr>
        <w:t>考核分数90分（含）以上的支付</w:t>
      </w:r>
      <w:r>
        <w:rPr>
          <w:rFonts w:hint="eastAsia" w:asciiTheme="minorHAnsi" w:hAnsiTheme="minorHAnsi" w:eastAsiaTheme="minorEastAsia" w:cstheme="minorBidi"/>
          <w:color w:val="auto"/>
          <w:highlight w:val="none"/>
          <w:lang w:val="en-US" w:eastAsia="zh-CN"/>
        </w:rPr>
        <w:t>当季度</w:t>
      </w:r>
      <w:r>
        <w:rPr>
          <w:rFonts w:hint="eastAsia" w:asciiTheme="minorHAnsi" w:hAnsiTheme="minorHAnsi" w:eastAsiaTheme="minorEastAsia" w:cstheme="minorBidi"/>
          <w:color w:val="auto"/>
          <w:highlight w:val="none"/>
        </w:rPr>
        <w:t>安全管理服务费</w:t>
      </w:r>
      <w:r>
        <w:rPr>
          <w:rFonts w:hint="eastAsia" w:asciiTheme="minorHAnsi" w:hAnsiTheme="minorHAnsi" w:eastAsiaTheme="minorEastAsia" w:cstheme="minorBidi"/>
          <w:color w:val="auto"/>
          <w:highlight w:val="none"/>
          <w:lang w:val="en-US" w:eastAsia="zh-CN"/>
        </w:rPr>
        <w:t>的</w:t>
      </w:r>
      <w:r>
        <w:rPr>
          <w:rFonts w:hint="eastAsia" w:asciiTheme="minorHAnsi" w:hAnsiTheme="minorHAnsi" w:eastAsiaTheme="minorEastAsia" w:cstheme="minorBidi"/>
          <w:color w:val="auto"/>
          <w:highlight w:val="none"/>
        </w:rPr>
        <w:t>全额</w:t>
      </w:r>
      <w:r>
        <w:rPr>
          <w:rFonts w:hint="eastAsia" w:cstheme="minorBidi"/>
          <w:color w:val="auto"/>
          <w:highlight w:val="none"/>
          <w:lang w:eastAsia="zh-CN"/>
        </w:rPr>
        <w:t>，</w:t>
      </w:r>
      <w:r>
        <w:rPr>
          <w:rFonts w:hint="eastAsia"/>
          <w:color w:val="auto"/>
          <w:highlight w:val="none"/>
        </w:rPr>
        <w:t>即人民币</w:t>
      </w:r>
      <w:r>
        <w:rPr>
          <w:rFonts w:hint="eastAsia"/>
          <w:color w:val="auto"/>
          <w:highlight w:val="none"/>
          <w:u w:val="single"/>
          <w:lang w:val="en-US" w:eastAsia="zh-CN"/>
        </w:rPr>
        <w:t xml:space="preserve">              </w:t>
      </w:r>
      <w:r>
        <w:rPr>
          <w:rFonts w:hint="eastAsia"/>
          <w:color w:val="auto"/>
          <w:highlight w:val="none"/>
        </w:rPr>
        <w:t>元</w:t>
      </w:r>
      <w:r>
        <w:rPr>
          <w:rFonts w:hint="eastAsia" w:asciiTheme="minorHAnsi" w:hAnsiTheme="minorHAnsi" w:eastAsiaTheme="minorEastAsia" w:cstheme="minorBidi"/>
          <w:color w:val="auto"/>
          <w:highlight w:val="none"/>
        </w:rPr>
        <w:t>；</w:t>
      </w:r>
      <w:r>
        <w:rPr>
          <w:rFonts w:hint="eastAsia" w:asciiTheme="minorHAnsi" w:hAnsiTheme="minorHAnsi" w:eastAsiaTheme="minorEastAsia" w:cstheme="minorBidi"/>
          <w:color w:val="auto"/>
          <w:highlight w:val="none"/>
          <w:lang w:val="en-US" w:eastAsia="zh-CN"/>
        </w:rPr>
        <w:t>季度</w:t>
      </w:r>
      <w:r>
        <w:rPr>
          <w:rFonts w:hint="eastAsia" w:asciiTheme="minorHAnsi" w:hAnsiTheme="minorHAnsi" w:eastAsiaTheme="minorEastAsia" w:cstheme="minorBidi"/>
          <w:color w:val="auto"/>
          <w:highlight w:val="none"/>
        </w:rPr>
        <w:t>考核分数8</w:t>
      </w:r>
      <w:r>
        <w:rPr>
          <w:rFonts w:hint="eastAsia" w:asciiTheme="minorHAnsi" w:hAnsiTheme="minorHAnsi" w:eastAsiaTheme="minorEastAsia" w:cstheme="minorBidi"/>
          <w:color w:val="auto"/>
          <w:highlight w:val="none"/>
          <w:lang w:val="en-US" w:eastAsia="zh-CN"/>
        </w:rPr>
        <w:t>5</w:t>
      </w:r>
      <w:r>
        <w:rPr>
          <w:rFonts w:hint="eastAsia" w:asciiTheme="minorHAnsi" w:hAnsiTheme="minorHAnsi" w:eastAsiaTheme="minorEastAsia" w:cstheme="minorBidi"/>
          <w:color w:val="auto"/>
          <w:highlight w:val="none"/>
        </w:rPr>
        <w:t>（含</w:t>
      </w:r>
      <w:r>
        <w:rPr>
          <w:rFonts w:hint="eastAsia" w:asciiTheme="minorHAnsi" w:hAnsiTheme="minorHAnsi" w:eastAsiaTheme="minorEastAsia" w:cstheme="minorBidi"/>
          <w:color w:val="auto"/>
          <w:highlight w:val="none"/>
          <w:lang w:eastAsia="zh-CN"/>
        </w:rPr>
        <w:t>）</w:t>
      </w:r>
      <w:r>
        <w:rPr>
          <w:rFonts w:hint="eastAsia" w:asciiTheme="minorHAnsi" w:hAnsiTheme="minorHAnsi" w:eastAsiaTheme="minorEastAsia" w:cstheme="minorBidi"/>
          <w:color w:val="auto"/>
          <w:highlight w:val="none"/>
          <w:lang w:val="en-US" w:eastAsia="zh-CN"/>
        </w:rPr>
        <w:t>-</w:t>
      </w:r>
      <w:r>
        <w:rPr>
          <w:rFonts w:hint="eastAsia" w:asciiTheme="minorHAnsi" w:hAnsiTheme="minorHAnsi" w:eastAsiaTheme="minorEastAsia" w:cstheme="minorBidi"/>
          <w:color w:val="auto"/>
          <w:highlight w:val="none"/>
        </w:rPr>
        <w:t>90（不含）分支付</w:t>
      </w:r>
      <w:r>
        <w:rPr>
          <w:rFonts w:hint="eastAsia" w:asciiTheme="minorHAnsi" w:hAnsiTheme="minorHAnsi" w:eastAsiaTheme="minorEastAsia" w:cstheme="minorBidi"/>
          <w:color w:val="auto"/>
          <w:highlight w:val="none"/>
          <w:lang w:val="en-US" w:eastAsia="zh-CN"/>
        </w:rPr>
        <w:t>当季度</w:t>
      </w:r>
      <w:r>
        <w:rPr>
          <w:rFonts w:hint="eastAsia" w:asciiTheme="minorHAnsi" w:hAnsiTheme="minorHAnsi" w:eastAsiaTheme="minorEastAsia" w:cstheme="minorBidi"/>
          <w:color w:val="auto"/>
          <w:highlight w:val="none"/>
        </w:rPr>
        <w:t>安全管理服务费</w:t>
      </w:r>
      <w:r>
        <w:rPr>
          <w:rFonts w:hint="eastAsia" w:asciiTheme="minorHAnsi" w:hAnsiTheme="minorHAnsi" w:eastAsiaTheme="minorEastAsia" w:cstheme="minorBidi"/>
          <w:color w:val="auto"/>
          <w:highlight w:val="none"/>
          <w:lang w:val="en-US" w:eastAsia="zh-CN"/>
        </w:rPr>
        <w:t>的</w:t>
      </w:r>
      <w:r>
        <w:rPr>
          <w:rFonts w:hint="eastAsia" w:asciiTheme="minorHAnsi" w:hAnsiTheme="minorHAnsi" w:eastAsiaTheme="minorEastAsia" w:cstheme="minorBidi"/>
          <w:color w:val="auto"/>
          <w:highlight w:val="none"/>
        </w:rPr>
        <w:t>80%，</w:t>
      </w:r>
      <w:r>
        <w:rPr>
          <w:rFonts w:hint="eastAsia"/>
          <w:color w:val="auto"/>
          <w:highlight w:val="none"/>
        </w:rPr>
        <w:t>即人民币</w:t>
      </w:r>
      <w:r>
        <w:rPr>
          <w:rFonts w:hint="eastAsia"/>
          <w:color w:val="auto"/>
          <w:highlight w:val="none"/>
          <w:u w:val="single"/>
          <w:lang w:val="en-US" w:eastAsia="zh-CN"/>
        </w:rPr>
        <w:t xml:space="preserve">              </w:t>
      </w:r>
      <w:r>
        <w:rPr>
          <w:rFonts w:hint="eastAsia"/>
          <w:color w:val="auto"/>
          <w:highlight w:val="none"/>
        </w:rPr>
        <w:t>元</w:t>
      </w:r>
      <w:r>
        <w:rPr>
          <w:rFonts w:hint="eastAsia"/>
          <w:color w:val="auto"/>
          <w:highlight w:val="none"/>
          <w:lang w:eastAsia="zh-CN"/>
        </w:rPr>
        <w:t>，</w:t>
      </w:r>
      <w:r>
        <w:rPr>
          <w:rFonts w:hint="eastAsia" w:asciiTheme="minorHAnsi" w:hAnsiTheme="minorHAnsi" w:eastAsiaTheme="minorEastAsia" w:cstheme="minorBidi"/>
          <w:color w:val="auto"/>
          <w:highlight w:val="none"/>
        </w:rPr>
        <w:t>扣减部分安全管理服务费不再支付；</w:t>
      </w:r>
      <w:r>
        <w:rPr>
          <w:rFonts w:hint="eastAsia" w:asciiTheme="minorHAnsi" w:hAnsiTheme="minorHAnsi" w:eastAsiaTheme="minorEastAsia" w:cstheme="minorBidi"/>
          <w:color w:val="auto"/>
          <w:highlight w:val="none"/>
          <w:lang w:val="en-US" w:eastAsia="zh-CN"/>
        </w:rPr>
        <w:t>季度</w:t>
      </w:r>
      <w:r>
        <w:rPr>
          <w:rFonts w:hint="eastAsia" w:asciiTheme="minorHAnsi" w:hAnsiTheme="minorHAnsi" w:eastAsiaTheme="minorEastAsia" w:cstheme="minorBidi"/>
          <w:color w:val="auto"/>
          <w:highlight w:val="none"/>
        </w:rPr>
        <w:t>考核分数</w:t>
      </w:r>
      <w:r>
        <w:rPr>
          <w:rFonts w:hint="eastAsia" w:asciiTheme="minorHAnsi" w:hAnsiTheme="minorHAnsi" w:eastAsiaTheme="minorEastAsia" w:cstheme="minorBidi"/>
          <w:color w:val="auto"/>
          <w:highlight w:val="none"/>
          <w:lang w:val="en-US" w:eastAsia="zh-CN"/>
        </w:rPr>
        <w:t>8</w:t>
      </w:r>
      <w:r>
        <w:rPr>
          <w:rFonts w:hint="eastAsia" w:asciiTheme="minorHAnsi" w:hAnsiTheme="minorHAnsi" w:eastAsiaTheme="minorEastAsia" w:cstheme="minorBidi"/>
          <w:color w:val="auto"/>
          <w:highlight w:val="none"/>
        </w:rPr>
        <w:t>0（含）-8</w:t>
      </w:r>
      <w:r>
        <w:rPr>
          <w:rFonts w:hint="eastAsia" w:asciiTheme="minorHAnsi" w:hAnsiTheme="minorHAnsi" w:eastAsiaTheme="minorEastAsia" w:cstheme="minorBidi"/>
          <w:color w:val="auto"/>
          <w:highlight w:val="none"/>
          <w:lang w:val="en-US" w:eastAsia="zh-CN"/>
        </w:rPr>
        <w:t>5</w:t>
      </w:r>
      <w:r>
        <w:rPr>
          <w:rFonts w:hint="eastAsia" w:asciiTheme="minorHAnsi" w:hAnsiTheme="minorHAnsi" w:eastAsiaTheme="minorEastAsia" w:cstheme="minorBidi"/>
          <w:color w:val="auto"/>
          <w:highlight w:val="none"/>
        </w:rPr>
        <w:t>（不含）分</w:t>
      </w:r>
      <w:r>
        <w:rPr>
          <w:rFonts w:hint="eastAsia" w:asciiTheme="minorHAnsi" w:hAnsiTheme="minorHAnsi" w:eastAsiaTheme="minorEastAsia" w:cstheme="minorBidi"/>
          <w:color w:val="auto"/>
          <w:highlight w:val="none"/>
          <w:lang w:val="en-US" w:eastAsia="zh-CN"/>
        </w:rPr>
        <w:t>支付当季度</w:t>
      </w:r>
      <w:r>
        <w:rPr>
          <w:rFonts w:hint="eastAsia" w:asciiTheme="minorHAnsi" w:hAnsiTheme="minorHAnsi" w:eastAsiaTheme="minorEastAsia" w:cstheme="minorBidi"/>
          <w:color w:val="auto"/>
          <w:highlight w:val="none"/>
        </w:rPr>
        <w:t>安全管理服务费</w:t>
      </w:r>
      <w:r>
        <w:rPr>
          <w:rFonts w:hint="eastAsia" w:asciiTheme="minorHAnsi" w:hAnsiTheme="minorHAnsi" w:eastAsiaTheme="minorEastAsia" w:cstheme="minorBidi"/>
          <w:color w:val="auto"/>
          <w:highlight w:val="none"/>
          <w:lang w:val="en-US" w:eastAsia="zh-CN"/>
        </w:rPr>
        <w:t>的</w:t>
      </w:r>
      <w:r>
        <w:rPr>
          <w:rFonts w:hint="eastAsia" w:asciiTheme="minorHAnsi" w:hAnsiTheme="minorHAnsi" w:eastAsiaTheme="minorEastAsia" w:cstheme="minorBidi"/>
          <w:color w:val="auto"/>
          <w:highlight w:val="none"/>
        </w:rPr>
        <w:t>60%，</w:t>
      </w:r>
      <w:r>
        <w:rPr>
          <w:rFonts w:hint="eastAsia"/>
          <w:color w:val="auto"/>
          <w:highlight w:val="none"/>
        </w:rPr>
        <w:t>即人民币</w:t>
      </w:r>
      <w:r>
        <w:rPr>
          <w:rFonts w:hint="eastAsia"/>
          <w:color w:val="auto"/>
          <w:highlight w:val="none"/>
          <w:u w:val="single"/>
          <w:lang w:val="en-US" w:eastAsia="zh-CN"/>
        </w:rPr>
        <w:t xml:space="preserve">              </w:t>
      </w:r>
      <w:r>
        <w:rPr>
          <w:rFonts w:hint="eastAsia"/>
          <w:color w:val="auto"/>
          <w:highlight w:val="none"/>
        </w:rPr>
        <w:t>元</w:t>
      </w:r>
      <w:r>
        <w:rPr>
          <w:rFonts w:hint="eastAsia"/>
          <w:color w:val="auto"/>
          <w:highlight w:val="none"/>
          <w:lang w:eastAsia="zh-CN"/>
        </w:rPr>
        <w:t>，</w:t>
      </w:r>
      <w:r>
        <w:rPr>
          <w:rFonts w:hint="eastAsia" w:asciiTheme="minorHAnsi" w:hAnsiTheme="minorHAnsi" w:eastAsiaTheme="minorEastAsia" w:cstheme="minorBidi"/>
          <w:color w:val="auto"/>
          <w:highlight w:val="none"/>
        </w:rPr>
        <w:t>扣减部分安全管理服务费不再支付；</w:t>
      </w:r>
      <w:r>
        <w:rPr>
          <w:rFonts w:hint="eastAsia" w:asciiTheme="minorHAnsi" w:hAnsiTheme="minorHAnsi" w:eastAsiaTheme="minorEastAsia" w:cstheme="minorBidi"/>
          <w:color w:val="auto"/>
          <w:highlight w:val="none"/>
          <w:lang w:val="en-US" w:eastAsia="zh-CN"/>
        </w:rPr>
        <w:t>8</w:t>
      </w:r>
      <w:r>
        <w:rPr>
          <w:rFonts w:hint="eastAsia" w:asciiTheme="minorHAnsi" w:hAnsiTheme="minorHAnsi" w:eastAsiaTheme="minorEastAsia" w:cstheme="minorBidi"/>
          <w:color w:val="auto"/>
          <w:highlight w:val="none"/>
        </w:rPr>
        <w:t>0分（不含）以下不支付安全管理服务费。</w:t>
      </w:r>
      <w:r>
        <w:rPr>
          <w:rFonts w:hint="eastAsia" w:asciiTheme="minorHAnsi" w:hAnsiTheme="minorHAnsi" w:eastAsiaTheme="minorEastAsia" w:cstheme="minorBidi"/>
          <w:color w:val="auto"/>
          <w:highlight w:val="none"/>
          <w:lang w:eastAsia="zh-CN"/>
        </w:rPr>
        <w:t>（</w:t>
      </w:r>
      <w:r>
        <w:rPr>
          <w:rFonts w:hint="eastAsia" w:asciiTheme="minorHAnsi" w:hAnsiTheme="minorHAnsi" w:eastAsiaTheme="minorEastAsia" w:cstheme="minorBidi"/>
          <w:color w:val="auto"/>
          <w:highlight w:val="none"/>
          <w:lang w:val="en-US" w:eastAsia="zh-CN"/>
        </w:rPr>
        <w:t>2</w:t>
      </w:r>
      <w:r>
        <w:rPr>
          <w:rFonts w:hint="eastAsia" w:asciiTheme="minorHAnsi" w:hAnsiTheme="minorHAnsi" w:eastAsiaTheme="minorEastAsia" w:cstheme="minorBidi"/>
          <w:color w:val="auto"/>
          <w:highlight w:val="none"/>
          <w:lang w:eastAsia="zh-CN"/>
        </w:rPr>
        <w:t>）</w:t>
      </w:r>
      <w:r>
        <w:rPr>
          <w:rFonts w:hint="eastAsia" w:asciiTheme="minorHAnsi" w:hAnsiTheme="minorHAnsi" w:eastAsiaTheme="minorEastAsia" w:cstheme="minorBidi"/>
          <w:color w:val="auto"/>
          <w:highlight w:val="none"/>
          <w:lang w:val="en-US" w:eastAsia="zh-CN"/>
        </w:rPr>
        <w:t>第一季度的款项在支付时须扣除预付款。</w:t>
      </w:r>
    </w:p>
    <w:p w14:paraId="0C9060EA">
      <w:pPr>
        <w:pStyle w:val="7"/>
        <w:bidi w:val="0"/>
        <w:spacing w:line="360" w:lineRule="auto"/>
        <w:jc w:val="both"/>
        <w:rPr>
          <w:rFonts w:hint="eastAsia"/>
          <w:color w:val="auto"/>
          <w:highlight w:val="none"/>
        </w:rPr>
      </w:pPr>
      <w:r>
        <w:rPr>
          <w:rFonts w:hint="eastAsia"/>
          <w:color w:val="auto"/>
          <w:highlight w:val="none"/>
        </w:rPr>
        <w:t>8.2乙方指定如下账户为小区安全管理服务费的收款账户</w:t>
      </w:r>
    </w:p>
    <w:p w14:paraId="44D5C51F">
      <w:pPr>
        <w:pStyle w:val="7"/>
        <w:bidi w:val="0"/>
        <w:spacing w:line="360" w:lineRule="auto"/>
        <w:jc w:val="both"/>
        <w:rPr>
          <w:rFonts w:hint="default" w:eastAsiaTheme="minorEastAsia"/>
          <w:color w:val="auto"/>
          <w:highlight w:val="none"/>
          <w:u w:val="single"/>
          <w:lang w:val="en-US" w:eastAsia="zh-CN"/>
        </w:rPr>
      </w:pPr>
      <w:r>
        <w:rPr>
          <w:rFonts w:hint="eastAsia"/>
          <w:color w:val="auto"/>
          <w:highlight w:val="none"/>
          <w:lang w:val="en-US" w:eastAsia="zh-CN"/>
        </w:rPr>
        <w:t>开户银</w:t>
      </w:r>
      <w:r>
        <w:rPr>
          <w:rFonts w:hint="eastAsia"/>
          <w:color w:val="auto"/>
          <w:highlight w:val="none"/>
        </w:rPr>
        <w:t>行：</w:t>
      </w:r>
      <w:r>
        <w:rPr>
          <w:rFonts w:hint="eastAsia"/>
          <w:color w:val="auto"/>
          <w:highlight w:val="none"/>
          <w:u w:val="single"/>
          <w:lang w:val="en-US" w:eastAsia="zh-CN"/>
        </w:rPr>
        <w:t xml:space="preserve">                        </w:t>
      </w:r>
    </w:p>
    <w:p w14:paraId="793A3C59">
      <w:pPr>
        <w:pStyle w:val="7"/>
        <w:bidi w:val="0"/>
        <w:spacing w:line="360" w:lineRule="auto"/>
        <w:jc w:val="both"/>
        <w:rPr>
          <w:rFonts w:hint="default" w:eastAsiaTheme="minorEastAsia"/>
          <w:color w:val="auto"/>
          <w:highlight w:val="none"/>
          <w:u w:val="single"/>
          <w:lang w:val="en-US" w:eastAsia="zh-CN"/>
        </w:rPr>
      </w:pPr>
      <w:r>
        <w:rPr>
          <w:rFonts w:hint="eastAsia"/>
          <w:color w:val="auto"/>
          <w:highlight w:val="none"/>
          <w:lang w:val="en-US" w:eastAsia="zh-CN"/>
        </w:rPr>
        <w:t>户</w:t>
      </w:r>
      <w:r>
        <w:rPr>
          <w:rFonts w:hint="eastAsia"/>
          <w:color w:val="auto"/>
          <w:highlight w:val="none"/>
        </w:rPr>
        <w:t>名：</w:t>
      </w:r>
      <w:r>
        <w:rPr>
          <w:rFonts w:hint="eastAsia"/>
          <w:color w:val="auto"/>
          <w:highlight w:val="none"/>
          <w:u w:val="single"/>
          <w:lang w:val="en-US" w:eastAsia="zh-CN"/>
        </w:rPr>
        <w:t xml:space="preserve">                        </w:t>
      </w:r>
    </w:p>
    <w:p w14:paraId="092D8C40">
      <w:pPr>
        <w:pStyle w:val="7"/>
        <w:bidi w:val="0"/>
        <w:spacing w:line="360" w:lineRule="auto"/>
        <w:jc w:val="both"/>
        <w:rPr>
          <w:rFonts w:hint="default" w:eastAsiaTheme="minorEastAsia"/>
          <w:color w:val="auto"/>
          <w:highlight w:val="none"/>
          <w:u w:val="single"/>
          <w:lang w:val="en-US" w:eastAsia="zh-CN"/>
        </w:rPr>
      </w:pPr>
      <w:r>
        <w:rPr>
          <w:rFonts w:hint="eastAsia"/>
          <w:color w:val="auto"/>
          <w:highlight w:val="none"/>
          <w:lang w:val="en-US" w:eastAsia="zh-CN"/>
        </w:rPr>
        <w:t>账</w:t>
      </w:r>
      <w:r>
        <w:rPr>
          <w:rFonts w:hint="eastAsia"/>
          <w:color w:val="auto"/>
          <w:highlight w:val="none"/>
        </w:rPr>
        <w:t>号：</w:t>
      </w:r>
      <w:r>
        <w:rPr>
          <w:rFonts w:hint="eastAsia"/>
          <w:color w:val="auto"/>
          <w:highlight w:val="none"/>
          <w:u w:val="single"/>
          <w:lang w:val="en-US" w:eastAsia="zh-CN"/>
        </w:rPr>
        <w:t xml:space="preserve">                        </w:t>
      </w:r>
    </w:p>
    <w:p w14:paraId="1D5F3978">
      <w:pPr>
        <w:pStyle w:val="7"/>
        <w:bidi w:val="0"/>
        <w:spacing w:line="360" w:lineRule="auto"/>
        <w:jc w:val="both"/>
        <w:rPr>
          <w:rFonts w:hint="eastAsia"/>
          <w:color w:val="auto"/>
          <w:highlight w:val="none"/>
        </w:rPr>
      </w:pPr>
      <w:r>
        <w:rPr>
          <w:rFonts w:hint="eastAsia"/>
          <w:color w:val="auto"/>
          <w:highlight w:val="none"/>
        </w:rPr>
        <w:t>8.3甲方</w:t>
      </w:r>
      <w:r>
        <w:rPr>
          <w:rFonts w:hint="eastAsia"/>
          <w:color w:val="auto"/>
          <w:highlight w:val="none"/>
          <w:lang w:val="en-US" w:eastAsia="zh-CN"/>
        </w:rPr>
        <w:t>根据</w:t>
      </w:r>
      <w:r>
        <w:rPr>
          <w:rFonts w:hint="eastAsia"/>
          <w:color w:val="auto"/>
          <w:highlight w:val="none"/>
        </w:rPr>
        <w:t>乙方向甲方提供</w:t>
      </w:r>
      <w:r>
        <w:rPr>
          <w:rFonts w:hint="eastAsia"/>
          <w:color w:val="auto"/>
          <w:highlight w:val="none"/>
          <w:lang w:val="en-US" w:eastAsia="zh-CN"/>
        </w:rPr>
        <w:t>的</w:t>
      </w:r>
      <w:r>
        <w:rPr>
          <w:rFonts w:hint="eastAsia"/>
          <w:color w:val="auto"/>
          <w:highlight w:val="none"/>
        </w:rPr>
        <w:t>以下材料支付小区</w:t>
      </w:r>
      <w:r>
        <w:rPr>
          <w:rFonts w:hint="eastAsia"/>
          <w:color w:val="auto"/>
          <w:highlight w:val="none"/>
          <w:lang w:val="en-US" w:eastAsia="zh-CN"/>
        </w:rPr>
        <w:t>每季度</w:t>
      </w:r>
      <w:r>
        <w:rPr>
          <w:rFonts w:hint="eastAsia"/>
          <w:color w:val="auto"/>
          <w:highlight w:val="none"/>
        </w:rPr>
        <w:t>安全管理服务费</w:t>
      </w:r>
    </w:p>
    <w:p w14:paraId="445E6A34">
      <w:pPr>
        <w:pStyle w:val="7"/>
        <w:bidi w:val="0"/>
        <w:spacing w:line="360" w:lineRule="auto"/>
        <w:jc w:val="both"/>
        <w:rPr>
          <w:rFonts w:hint="eastAsia"/>
          <w:color w:val="auto"/>
          <w:highlight w:val="none"/>
        </w:rPr>
      </w:pPr>
      <w:r>
        <w:rPr>
          <w:rFonts w:hint="eastAsia"/>
          <w:color w:val="auto"/>
          <w:highlight w:val="none"/>
        </w:rPr>
        <w:t>（1）发票原件一份；</w:t>
      </w:r>
    </w:p>
    <w:p w14:paraId="189CF57A">
      <w:pPr>
        <w:pStyle w:val="7"/>
        <w:bidi w:val="0"/>
        <w:spacing w:line="360" w:lineRule="auto"/>
        <w:jc w:val="both"/>
        <w:rPr>
          <w:rFonts w:hint="eastAsia"/>
          <w:color w:val="auto"/>
          <w:highlight w:val="none"/>
        </w:rPr>
      </w:pPr>
      <w:r>
        <w:rPr>
          <w:rFonts w:hint="eastAsia"/>
          <w:color w:val="auto"/>
          <w:highlight w:val="none"/>
        </w:rPr>
        <w:t>（2）付款申请书，应当说明应付款总额及计算方法；</w:t>
      </w:r>
    </w:p>
    <w:p w14:paraId="23C002C5">
      <w:pPr>
        <w:pStyle w:val="7"/>
        <w:bidi w:val="0"/>
        <w:spacing w:line="360" w:lineRule="auto"/>
        <w:jc w:val="both"/>
        <w:rPr>
          <w:rFonts w:hint="eastAsia"/>
          <w:color w:val="auto"/>
          <w:highlight w:val="none"/>
        </w:rPr>
      </w:pPr>
      <w:r>
        <w:rPr>
          <w:rFonts w:hint="eastAsia"/>
          <w:color w:val="auto"/>
          <w:highlight w:val="none"/>
        </w:rPr>
        <w:t>（3）乙方已完成</w:t>
      </w:r>
      <w:r>
        <w:rPr>
          <w:rFonts w:hint="eastAsia"/>
          <w:color w:val="auto"/>
          <w:highlight w:val="none"/>
          <w:lang w:val="en-US" w:eastAsia="zh-CN"/>
        </w:rPr>
        <w:t>当季度</w:t>
      </w:r>
      <w:r>
        <w:rPr>
          <w:rFonts w:hint="eastAsia"/>
          <w:color w:val="auto"/>
          <w:highlight w:val="none"/>
        </w:rPr>
        <w:t>合同约定义务</w:t>
      </w:r>
      <w:r>
        <w:rPr>
          <w:rFonts w:hint="eastAsia"/>
          <w:color w:val="auto"/>
          <w:highlight w:val="none"/>
          <w:lang w:val="en-US" w:eastAsia="zh-CN"/>
        </w:rPr>
        <w:t>且经甲方加盖公章确认</w:t>
      </w:r>
      <w:r>
        <w:rPr>
          <w:rFonts w:hint="eastAsia"/>
          <w:color w:val="auto"/>
          <w:highlight w:val="none"/>
        </w:rPr>
        <w:t>的</w:t>
      </w:r>
      <w:r>
        <w:rPr>
          <w:rFonts w:hint="eastAsia"/>
          <w:color w:val="auto"/>
          <w:highlight w:val="none"/>
          <w:lang w:val="en-US" w:eastAsia="zh-CN"/>
        </w:rPr>
        <w:t>相关</w:t>
      </w:r>
      <w:r>
        <w:rPr>
          <w:rFonts w:hint="eastAsia"/>
          <w:color w:val="auto"/>
          <w:highlight w:val="none"/>
        </w:rPr>
        <w:t>支持文件。</w:t>
      </w:r>
    </w:p>
    <w:p w14:paraId="3A6D72C4">
      <w:pPr>
        <w:pStyle w:val="7"/>
        <w:bidi w:val="0"/>
        <w:spacing w:line="360" w:lineRule="auto"/>
        <w:outlineLvl w:val="1"/>
        <w:rPr>
          <w:rFonts w:hint="eastAsia"/>
          <w:b/>
          <w:bCs/>
          <w:color w:val="auto"/>
          <w:highlight w:val="none"/>
        </w:rPr>
      </w:pPr>
      <w:r>
        <w:rPr>
          <w:rFonts w:hint="eastAsia"/>
          <w:b/>
          <w:bCs/>
          <w:color w:val="auto"/>
          <w:highlight w:val="none"/>
        </w:rPr>
        <w:t>第九条</w:t>
      </w:r>
      <w:r>
        <w:rPr>
          <w:rFonts w:hint="eastAsia"/>
          <w:b/>
          <w:bCs/>
          <w:color w:val="auto"/>
          <w:highlight w:val="none"/>
          <w:lang w:val="en-US" w:eastAsia="zh-CN"/>
        </w:rPr>
        <w:t xml:space="preserve"> </w:t>
      </w:r>
      <w:r>
        <w:rPr>
          <w:rFonts w:hint="eastAsia"/>
          <w:b/>
          <w:bCs/>
          <w:color w:val="auto"/>
          <w:highlight w:val="none"/>
        </w:rPr>
        <w:t>违约责任</w:t>
      </w:r>
    </w:p>
    <w:p w14:paraId="5A33174D">
      <w:pPr>
        <w:pStyle w:val="7"/>
        <w:bidi w:val="0"/>
        <w:spacing w:line="360" w:lineRule="auto"/>
        <w:rPr>
          <w:rFonts w:hint="eastAsia" w:asciiTheme="minorHAnsi" w:hAnsiTheme="minorHAnsi"/>
          <w:color w:val="auto"/>
          <w:highlight w:val="none"/>
        </w:rPr>
      </w:pPr>
      <w:r>
        <w:rPr>
          <w:rFonts w:hint="eastAsia"/>
          <w:color w:val="auto"/>
          <w:highlight w:val="none"/>
        </w:rPr>
        <w:t>9.1出现以下情形时，甲方有权解除合同</w:t>
      </w:r>
      <w:r>
        <w:rPr>
          <w:rFonts w:hint="eastAsia"/>
          <w:color w:val="auto"/>
          <w:highlight w:val="none"/>
          <w:lang w:eastAsia="zh-CN"/>
        </w:rPr>
        <w:t>，</w:t>
      </w:r>
      <w:r>
        <w:rPr>
          <w:rFonts w:hint="eastAsia" w:asciiTheme="minorHAnsi" w:hAnsiTheme="minorHAnsi"/>
          <w:color w:val="auto"/>
          <w:highlight w:val="none"/>
        </w:rPr>
        <w:t>有权要求</w:t>
      </w:r>
      <w:r>
        <w:rPr>
          <w:rFonts w:hint="eastAsia"/>
          <w:color w:val="auto"/>
          <w:highlight w:val="none"/>
          <w:lang w:val="en-US" w:eastAsia="zh-CN"/>
        </w:rPr>
        <w:t>乙方</w:t>
      </w:r>
      <w:r>
        <w:rPr>
          <w:rFonts w:hint="eastAsia" w:asciiTheme="minorHAnsi" w:hAnsiTheme="minorHAnsi"/>
          <w:color w:val="auto"/>
          <w:highlight w:val="none"/>
        </w:rPr>
        <w:t>按照</w:t>
      </w:r>
      <w:r>
        <w:rPr>
          <w:rFonts w:hint="eastAsia"/>
          <w:color w:val="auto"/>
          <w:highlight w:val="none"/>
          <w:lang w:val="en-US" w:eastAsia="zh-CN"/>
        </w:rPr>
        <w:t>合同</w:t>
      </w:r>
      <w:r>
        <w:rPr>
          <w:rFonts w:hint="eastAsia" w:asciiTheme="minorHAnsi" w:hAnsiTheme="minorHAnsi"/>
          <w:color w:val="auto"/>
          <w:highlight w:val="none"/>
        </w:rPr>
        <w:t>总金额20%支付违约金，并在尾款中直接扣除。</w:t>
      </w:r>
    </w:p>
    <w:p w14:paraId="1D02B94C">
      <w:pPr>
        <w:pStyle w:val="7"/>
        <w:bidi w:val="0"/>
        <w:spacing w:line="360" w:lineRule="auto"/>
        <w:rPr>
          <w:rFonts w:hint="eastAsia"/>
          <w:color w:val="auto"/>
          <w:highlight w:val="none"/>
        </w:rPr>
      </w:pPr>
      <w:r>
        <w:rPr>
          <w:rFonts w:hint="eastAsia"/>
          <w:color w:val="auto"/>
          <w:highlight w:val="none"/>
        </w:rPr>
        <w:t>（1）乙方服务标准未能达到合同要求，经甲方</w:t>
      </w:r>
      <w:r>
        <w:rPr>
          <w:rFonts w:hint="eastAsia"/>
          <w:color w:val="auto"/>
          <w:highlight w:val="none"/>
          <w:lang w:val="en-US" w:eastAsia="zh-CN"/>
        </w:rPr>
        <w:t>书面通知限期</w:t>
      </w:r>
      <w:r>
        <w:rPr>
          <w:rFonts w:hint="eastAsia"/>
          <w:color w:val="auto"/>
          <w:highlight w:val="none"/>
        </w:rPr>
        <w:t>整改后仍未达到合同要求</w:t>
      </w:r>
      <w:r>
        <w:rPr>
          <w:rFonts w:hint="eastAsia"/>
          <w:color w:val="auto"/>
          <w:highlight w:val="none"/>
          <w:lang w:val="en-US" w:eastAsia="zh-CN"/>
        </w:rPr>
        <w:t>或拒不整改</w:t>
      </w:r>
      <w:r>
        <w:rPr>
          <w:rFonts w:hint="eastAsia"/>
          <w:color w:val="auto"/>
          <w:highlight w:val="none"/>
        </w:rPr>
        <w:t>的；</w:t>
      </w:r>
    </w:p>
    <w:p w14:paraId="60FBB409">
      <w:pPr>
        <w:pStyle w:val="7"/>
        <w:bidi w:val="0"/>
        <w:spacing w:line="360" w:lineRule="auto"/>
        <w:jc w:val="both"/>
        <w:rPr>
          <w:rFonts w:hint="eastAsia"/>
          <w:color w:val="auto"/>
          <w:highlight w:val="none"/>
        </w:rPr>
      </w:pPr>
      <w:r>
        <w:rPr>
          <w:rFonts w:hint="eastAsia"/>
          <w:color w:val="auto"/>
          <w:highlight w:val="none"/>
        </w:rPr>
        <w:t>（2）乙方将本合同的服务内容转委托他人的；</w:t>
      </w:r>
    </w:p>
    <w:p w14:paraId="4E34227B">
      <w:pPr>
        <w:pStyle w:val="7"/>
        <w:bidi w:val="0"/>
        <w:spacing w:line="360" w:lineRule="auto"/>
        <w:jc w:val="both"/>
        <w:rPr>
          <w:rFonts w:hint="default" w:eastAsiaTheme="minorEastAsia"/>
          <w:color w:val="auto"/>
          <w:highlight w:val="none"/>
          <w:lang w:val="en-US" w:eastAsia="zh-CN"/>
        </w:rPr>
      </w:pPr>
      <w:r>
        <w:rPr>
          <w:rFonts w:hint="eastAsia"/>
          <w:color w:val="auto"/>
          <w:highlight w:val="none"/>
        </w:rPr>
        <w:t>（3）小区</w:t>
      </w:r>
      <w:r>
        <w:rPr>
          <w:rFonts w:hint="eastAsia"/>
          <w:color w:val="auto"/>
          <w:highlight w:val="none"/>
          <w:lang w:val="en-US" w:eastAsia="zh-CN"/>
        </w:rPr>
        <w:t>在乙方</w:t>
      </w:r>
      <w:r>
        <w:rPr>
          <w:rFonts w:hint="eastAsia"/>
          <w:color w:val="auto"/>
          <w:highlight w:val="none"/>
        </w:rPr>
        <w:t>安全管理期内发生</w:t>
      </w:r>
      <w:r>
        <w:rPr>
          <w:rFonts w:hint="eastAsia"/>
          <w:color w:val="auto"/>
          <w:highlight w:val="none"/>
          <w:lang w:val="en-US" w:eastAsia="zh-CN"/>
        </w:rPr>
        <w:t>安全</w:t>
      </w:r>
      <w:r>
        <w:rPr>
          <w:rFonts w:hint="eastAsia"/>
          <w:color w:val="auto"/>
          <w:highlight w:val="none"/>
        </w:rPr>
        <w:t>事故</w:t>
      </w:r>
      <w:r>
        <w:rPr>
          <w:rFonts w:hint="eastAsia"/>
          <w:color w:val="auto"/>
          <w:highlight w:val="none"/>
          <w:lang w:val="en-US" w:eastAsia="zh-CN"/>
        </w:rPr>
        <w:t>的；</w:t>
      </w:r>
    </w:p>
    <w:p w14:paraId="664ACC6A">
      <w:pPr>
        <w:pStyle w:val="7"/>
        <w:bidi w:val="0"/>
        <w:spacing w:line="360" w:lineRule="auto"/>
        <w:jc w:val="both"/>
        <w:rPr>
          <w:rFonts w:hint="eastAsia"/>
          <w:color w:val="auto"/>
          <w:highlight w:val="none"/>
        </w:rPr>
      </w:pPr>
      <w:r>
        <w:rPr>
          <w:rFonts w:hint="eastAsia"/>
          <w:color w:val="auto"/>
          <w:highlight w:val="none"/>
          <w:lang w:eastAsia="zh-CN"/>
        </w:rPr>
        <w:t>（</w:t>
      </w:r>
      <w:r>
        <w:rPr>
          <w:rFonts w:hint="eastAsia"/>
          <w:color w:val="auto"/>
          <w:highlight w:val="none"/>
          <w:lang w:val="en-US" w:eastAsia="zh-CN"/>
        </w:rPr>
        <w:t>4</w:t>
      </w:r>
      <w:r>
        <w:rPr>
          <w:rFonts w:hint="eastAsia"/>
          <w:color w:val="auto"/>
          <w:highlight w:val="none"/>
          <w:lang w:eastAsia="zh-CN"/>
        </w:rPr>
        <w:t>）</w:t>
      </w:r>
      <w:r>
        <w:rPr>
          <w:rFonts w:hint="eastAsia"/>
          <w:color w:val="auto"/>
          <w:highlight w:val="none"/>
        </w:rPr>
        <w:t>其他情形：</w:t>
      </w:r>
      <w:r>
        <w:rPr>
          <w:rFonts w:hint="eastAsia"/>
          <w:color w:val="auto"/>
          <w:highlight w:val="none"/>
          <w:u w:val="single"/>
          <w:lang w:val="en-US" w:eastAsia="zh-CN"/>
        </w:rPr>
        <w:t xml:space="preserve">               /                   </w:t>
      </w:r>
    </w:p>
    <w:p w14:paraId="13601351">
      <w:pPr>
        <w:pStyle w:val="7"/>
        <w:bidi w:val="0"/>
        <w:spacing w:line="360" w:lineRule="auto"/>
        <w:jc w:val="both"/>
        <w:rPr>
          <w:rFonts w:hint="eastAsia"/>
          <w:color w:val="auto"/>
          <w:highlight w:val="none"/>
        </w:rPr>
      </w:pPr>
      <w:r>
        <w:rPr>
          <w:rFonts w:hint="eastAsia"/>
          <w:color w:val="auto"/>
          <w:highlight w:val="none"/>
        </w:rPr>
        <w:t>9.2小区安全管理期内根据甲方年度考核成绩</w:t>
      </w:r>
      <w:r>
        <w:rPr>
          <w:rFonts w:hint="eastAsia"/>
          <w:color w:val="auto"/>
          <w:highlight w:val="none"/>
          <w:lang w:val="en-US" w:eastAsia="zh-CN"/>
        </w:rPr>
        <w:t>未达</w:t>
      </w:r>
      <w:r>
        <w:rPr>
          <w:rFonts w:hint="eastAsia"/>
          <w:color w:val="auto"/>
          <w:highlight w:val="none"/>
          <w:lang w:eastAsia="zh-CN"/>
        </w:rPr>
        <w:t>8</w:t>
      </w:r>
      <w:r>
        <w:rPr>
          <w:rFonts w:hint="eastAsia"/>
          <w:color w:val="auto"/>
          <w:highlight w:val="none"/>
          <w:lang w:val="en-US" w:eastAsia="zh-CN"/>
        </w:rPr>
        <w:t>0分</w:t>
      </w:r>
      <w:r>
        <w:rPr>
          <w:rFonts w:hint="eastAsia"/>
          <w:color w:val="auto"/>
          <w:highlight w:val="none"/>
        </w:rPr>
        <w:t>的，视为乙方</w:t>
      </w:r>
      <w:r>
        <w:rPr>
          <w:rFonts w:hint="eastAsia"/>
          <w:color w:val="auto"/>
          <w:highlight w:val="none"/>
          <w:lang w:val="en-US" w:eastAsia="zh-CN"/>
        </w:rPr>
        <w:t>违反</w:t>
      </w:r>
      <w:r>
        <w:rPr>
          <w:rFonts w:hint="eastAsia"/>
          <w:color w:val="auto"/>
          <w:highlight w:val="none"/>
        </w:rPr>
        <w:t>合同</w:t>
      </w:r>
      <w:r>
        <w:rPr>
          <w:rFonts w:hint="eastAsia"/>
          <w:color w:val="auto"/>
          <w:highlight w:val="none"/>
          <w:lang w:val="en-US" w:eastAsia="zh-CN"/>
        </w:rPr>
        <w:t>约定</w:t>
      </w:r>
      <w:r>
        <w:rPr>
          <w:rFonts w:hint="eastAsia"/>
          <w:color w:val="auto"/>
          <w:highlight w:val="none"/>
        </w:rPr>
        <w:t>，甲方有权解除合同</w:t>
      </w:r>
      <w:r>
        <w:rPr>
          <w:rFonts w:hint="eastAsia"/>
          <w:color w:val="auto"/>
          <w:highlight w:val="none"/>
          <w:lang w:val="en-US" w:eastAsia="zh-CN"/>
        </w:rPr>
        <w:t>并要求乙方按照第9.1条支付违约金</w:t>
      </w:r>
      <w:r>
        <w:rPr>
          <w:rFonts w:hint="eastAsia"/>
          <w:color w:val="auto"/>
          <w:highlight w:val="none"/>
        </w:rPr>
        <w:t>，由此造成的费用和损失</w:t>
      </w:r>
      <w:r>
        <w:rPr>
          <w:rFonts w:hint="eastAsia"/>
          <w:color w:val="auto"/>
          <w:highlight w:val="none"/>
          <w:lang w:val="en-US" w:eastAsia="zh-CN"/>
        </w:rPr>
        <w:t>均</w:t>
      </w:r>
      <w:r>
        <w:rPr>
          <w:rFonts w:hint="eastAsia"/>
          <w:color w:val="auto"/>
          <w:highlight w:val="none"/>
        </w:rPr>
        <w:t>由乙方承担。</w:t>
      </w:r>
    </w:p>
    <w:p w14:paraId="21E43EAA">
      <w:pPr>
        <w:pStyle w:val="7"/>
        <w:bidi w:val="0"/>
        <w:spacing w:line="360" w:lineRule="auto"/>
        <w:outlineLvl w:val="1"/>
        <w:rPr>
          <w:rFonts w:hint="eastAsia"/>
          <w:b/>
          <w:bCs/>
          <w:color w:val="auto"/>
          <w:highlight w:val="none"/>
        </w:rPr>
      </w:pPr>
      <w:r>
        <w:rPr>
          <w:rFonts w:hint="eastAsia"/>
          <w:b/>
          <w:bCs/>
          <w:color w:val="auto"/>
          <w:highlight w:val="none"/>
        </w:rPr>
        <w:t>第十条</w:t>
      </w:r>
      <w:r>
        <w:rPr>
          <w:rFonts w:hint="eastAsia"/>
          <w:b/>
          <w:bCs/>
          <w:color w:val="auto"/>
          <w:highlight w:val="none"/>
          <w:lang w:val="en-US" w:eastAsia="zh-CN"/>
        </w:rPr>
        <w:t xml:space="preserve"> </w:t>
      </w:r>
      <w:r>
        <w:rPr>
          <w:rFonts w:hint="eastAsia"/>
          <w:b/>
          <w:bCs/>
          <w:color w:val="auto"/>
          <w:highlight w:val="none"/>
        </w:rPr>
        <w:t>保密</w:t>
      </w:r>
    </w:p>
    <w:p w14:paraId="28C2F538">
      <w:pPr>
        <w:pStyle w:val="7"/>
        <w:bidi w:val="0"/>
        <w:spacing w:line="360" w:lineRule="auto"/>
        <w:rPr>
          <w:rFonts w:hint="eastAsia" w:asciiTheme="minorHAnsi" w:hAnsiTheme="minorHAnsi" w:eastAsiaTheme="minorEastAsia"/>
          <w:color w:val="auto"/>
          <w:highlight w:val="none"/>
          <w:lang w:eastAsia="zh-CN"/>
        </w:rPr>
      </w:pPr>
      <w:r>
        <w:rPr>
          <w:rFonts w:hint="eastAsia"/>
          <w:color w:val="auto"/>
          <w:highlight w:val="none"/>
        </w:rPr>
        <w:t>10.1任何一方在履约过程中获得的对方的商业秘密，均负有保密义务</w:t>
      </w:r>
      <w:r>
        <w:rPr>
          <w:rFonts w:hint="eastAsia"/>
          <w:color w:val="auto"/>
          <w:highlight w:val="none"/>
          <w:lang w:eastAsia="zh-CN"/>
        </w:rPr>
        <w:t>，</w:t>
      </w:r>
      <w:r>
        <w:rPr>
          <w:rFonts w:hint="eastAsia"/>
          <w:color w:val="auto"/>
          <w:highlight w:val="none"/>
          <w:lang w:val="en-US" w:eastAsia="zh-CN"/>
        </w:rPr>
        <w:t>不得向任何第三方泄露或用作本合同以外的用途，否则守约方可以有权解除本合同，同时，守约方</w:t>
      </w:r>
      <w:r>
        <w:rPr>
          <w:rFonts w:hint="eastAsia" w:asciiTheme="minorHAnsi" w:hAnsiTheme="minorHAnsi"/>
          <w:color w:val="auto"/>
          <w:highlight w:val="none"/>
        </w:rPr>
        <w:t>有权要求</w:t>
      </w:r>
      <w:r>
        <w:rPr>
          <w:rFonts w:hint="eastAsia"/>
          <w:color w:val="auto"/>
          <w:highlight w:val="none"/>
          <w:lang w:val="en-US" w:eastAsia="zh-CN"/>
        </w:rPr>
        <w:t>违约方</w:t>
      </w:r>
      <w:r>
        <w:rPr>
          <w:rFonts w:hint="eastAsia" w:asciiTheme="minorHAnsi" w:hAnsiTheme="minorHAnsi"/>
          <w:color w:val="auto"/>
          <w:highlight w:val="none"/>
        </w:rPr>
        <w:t>按照</w:t>
      </w:r>
      <w:r>
        <w:rPr>
          <w:rFonts w:hint="eastAsia"/>
          <w:color w:val="auto"/>
          <w:highlight w:val="none"/>
          <w:lang w:val="en-US" w:eastAsia="zh-CN"/>
        </w:rPr>
        <w:t>合同</w:t>
      </w:r>
      <w:r>
        <w:rPr>
          <w:rFonts w:hint="eastAsia" w:asciiTheme="minorHAnsi" w:hAnsiTheme="minorHAnsi"/>
          <w:color w:val="auto"/>
          <w:highlight w:val="none"/>
        </w:rPr>
        <w:t>总金额20%</w:t>
      </w:r>
      <w:bookmarkStart w:id="6" w:name="_GoBack"/>
      <w:bookmarkEnd w:id="6"/>
      <w:r>
        <w:rPr>
          <w:rFonts w:hint="eastAsia" w:asciiTheme="minorHAnsi" w:hAnsiTheme="minorHAnsi"/>
          <w:color w:val="auto"/>
          <w:highlight w:val="none"/>
        </w:rPr>
        <w:t>支付违约金。违约金不足以覆盖守约方实际损失的，违约方还应赔偿超出部分的损失。前述违约金及赔偿款，守约方有权在未支付的服务费尾款中直接扣除</w:t>
      </w:r>
      <w:r>
        <w:rPr>
          <w:rFonts w:hint="eastAsia"/>
          <w:color w:val="auto"/>
          <w:highlight w:val="none"/>
          <w:lang w:eastAsia="zh-CN"/>
        </w:rPr>
        <w:t>。</w:t>
      </w:r>
    </w:p>
    <w:p w14:paraId="3DD6E07A">
      <w:pPr>
        <w:pStyle w:val="7"/>
        <w:bidi w:val="0"/>
        <w:spacing w:line="360" w:lineRule="auto"/>
        <w:jc w:val="both"/>
        <w:rPr>
          <w:rFonts w:hint="eastAsia"/>
          <w:color w:val="auto"/>
          <w:highlight w:val="none"/>
        </w:rPr>
      </w:pPr>
      <w:r>
        <w:rPr>
          <w:rFonts w:hint="eastAsia"/>
          <w:color w:val="auto"/>
          <w:highlight w:val="none"/>
        </w:rPr>
        <w:t>10.2乙方履约过程中获得的甲方的信息包括但不限于项目信息、资料、经营信息、人力资源信息等所有未公开之信息均为甲方之商业秘密。</w:t>
      </w:r>
    </w:p>
    <w:p w14:paraId="712D9F44">
      <w:pPr>
        <w:pStyle w:val="7"/>
        <w:bidi w:val="0"/>
        <w:spacing w:line="360" w:lineRule="auto"/>
        <w:jc w:val="both"/>
        <w:rPr>
          <w:rFonts w:hint="default" w:eastAsiaTheme="minorEastAsia"/>
          <w:color w:val="auto"/>
          <w:highlight w:val="none"/>
          <w:lang w:val="en-US" w:eastAsia="zh-CN"/>
        </w:rPr>
      </w:pPr>
      <w:r>
        <w:rPr>
          <w:rFonts w:hint="eastAsia"/>
          <w:color w:val="auto"/>
          <w:highlight w:val="none"/>
          <w:lang w:val="en-US" w:eastAsia="zh-CN"/>
        </w:rPr>
        <w:t>10.3双方</w:t>
      </w:r>
      <w:r>
        <w:rPr>
          <w:rFonts w:hint="eastAsia"/>
          <w:color w:val="auto"/>
          <w:highlight w:val="none"/>
        </w:rPr>
        <w:t>有关本</w:t>
      </w:r>
      <w:r>
        <w:rPr>
          <w:rFonts w:hint="eastAsia"/>
          <w:color w:val="auto"/>
          <w:highlight w:val="none"/>
          <w:lang w:val="en-US" w:eastAsia="zh-CN"/>
        </w:rPr>
        <w:t>合同</w:t>
      </w:r>
      <w:r>
        <w:rPr>
          <w:rFonts w:hint="eastAsia"/>
          <w:color w:val="auto"/>
          <w:highlight w:val="none"/>
        </w:rPr>
        <w:t>的保密义务不因本合同的无效、终止或被解除而终止。</w:t>
      </w:r>
    </w:p>
    <w:p w14:paraId="26A22662">
      <w:pPr>
        <w:pStyle w:val="7"/>
        <w:bidi w:val="0"/>
        <w:spacing w:line="360" w:lineRule="auto"/>
        <w:outlineLvl w:val="1"/>
        <w:rPr>
          <w:rFonts w:hint="eastAsia"/>
          <w:b/>
          <w:bCs/>
          <w:color w:val="auto"/>
          <w:highlight w:val="none"/>
        </w:rPr>
      </w:pPr>
      <w:r>
        <w:rPr>
          <w:rFonts w:hint="eastAsia"/>
          <w:b/>
          <w:bCs/>
          <w:color w:val="auto"/>
          <w:highlight w:val="none"/>
        </w:rPr>
        <w:t>第十一条</w:t>
      </w:r>
      <w:r>
        <w:rPr>
          <w:rFonts w:hint="eastAsia"/>
          <w:b/>
          <w:bCs/>
          <w:color w:val="auto"/>
          <w:highlight w:val="none"/>
          <w:lang w:val="en-US" w:eastAsia="zh-CN"/>
        </w:rPr>
        <w:t xml:space="preserve"> </w:t>
      </w:r>
      <w:r>
        <w:rPr>
          <w:rFonts w:hint="eastAsia"/>
          <w:b/>
          <w:bCs/>
          <w:color w:val="auto"/>
          <w:highlight w:val="none"/>
        </w:rPr>
        <w:t>承诺与保证</w:t>
      </w:r>
    </w:p>
    <w:p w14:paraId="58C47991">
      <w:pPr>
        <w:pStyle w:val="7"/>
        <w:bidi w:val="0"/>
        <w:spacing w:line="360" w:lineRule="auto"/>
        <w:jc w:val="both"/>
        <w:rPr>
          <w:rFonts w:hint="eastAsia"/>
          <w:color w:val="auto"/>
          <w:highlight w:val="none"/>
        </w:rPr>
      </w:pPr>
      <w:r>
        <w:rPr>
          <w:rFonts w:hint="eastAsia"/>
          <w:color w:val="auto"/>
          <w:highlight w:val="none"/>
        </w:rPr>
        <w:t>11.1乙方承诺乙方及其派出的服务人员具备国家规定的小区安全管理服务资格，依法能够承担本合同约定的小区安全管理服务。</w:t>
      </w:r>
    </w:p>
    <w:p w14:paraId="286935FF">
      <w:pPr>
        <w:pStyle w:val="7"/>
        <w:bidi w:val="0"/>
        <w:spacing w:line="360" w:lineRule="auto"/>
        <w:jc w:val="both"/>
        <w:rPr>
          <w:rFonts w:hint="eastAsia"/>
          <w:color w:val="auto"/>
          <w:highlight w:val="none"/>
        </w:rPr>
      </w:pPr>
      <w:r>
        <w:rPr>
          <w:rFonts w:hint="eastAsia"/>
          <w:color w:val="auto"/>
          <w:highlight w:val="none"/>
        </w:rPr>
        <w:t>11.2乙方承诺在本合同签订前已查看了本合同约定环境，</w:t>
      </w:r>
      <w:r>
        <w:rPr>
          <w:rFonts w:hint="eastAsia"/>
          <w:color w:val="auto"/>
          <w:highlight w:val="none"/>
          <w:lang w:val="en-US" w:eastAsia="zh-CN"/>
        </w:rPr>
        <w:t>签订</w:t>
      </w:r>
      <w:r>
        <w:rPr>
          <w:rFonts w:hint="eastAsia"/>
          <w:color w:val="auto"/>
          <w:highlight w:val="none"/>
        </w:rPr>
        <w:t>本合同视为乙方已经认可。</w:t>
      </w:r>
    </w:p>
    <w:p w14:paraId="07C878DA">
      <w:pPr>
        <w:pStyle w:val="7"/>
        <w:bidi w:val="0"/>
        <w:spacing w:line="360" w:lineRule="auto"/>
        <w:outlineLvl w:val="1"/>
        <w:rPr>
          <w:rFonts w:hint="eastAsia"/>
          <w:b/>
          <w:bCs/>
          <w:color w:val="auto"/>
          <w:highlight w:val="none"/>
        </w:rPr>
      </w:pPr>
      <w:r>
        <w:rPr>
          <w:rFonts w:hint="eastAsia"/>
          <w:b/>
          <w:bCs/>
          <w:color w:val="auto"/>
          <w:highlight w:val="none"/>
        </w:rPr>
        <w:t>第十二条</w:t>
      </w:r>
      <w:r>
        <w:rPr>
          <w:rFonts w:hint="eastAsia"/>
          <w:b/>
          <w:bCs/>
          <w:color w:val="auto"/>
          <w:highlight w:val="none"/>
          <w:lang w:val="en-US" w:eastAsia="zh-CN"/>
        </w:rPr>
        <w:t xml:space="preserve"> </w:t>
      </w:r>
      <w:r>
        <w:rPr>
          <w:rFonts w:hint="eastAsia"/>
          <w:b/>
          <w:bCs/>
          <w:color w:val="auto"/>
          <w:highlight w:val="none"/>
        </w:rPr>
        <w:t>不可抗力</w:t>
      </w:r>
    </w:p>
    <w:p w14:paraId="3197F9D8">
      <w:pPr>
        <w:pStyle w:val="7"/>
        <w:bidi w:val="0"/>
        <w:spacing w:line="360" w:lineRule="auto"/>
        <w:jc w:val="both"/>
        <w:rPr>
          <w:rFonts w:hint="eastAsia"/>
          <w:color w:val="auto"/>
          <w:highlight w:val="none"/>
        </w:rPr>
      </w:pPr>
      <w:r>
        <w:rPr>
          <w:rFonts w:hint="eastAsia"/>
          <w:color w:val="auto"/>
          <w:highlight w:val="none"/>
        </w:rPr>
        <w:t>12.1如果甲、乙双方任</w:t>
      </w:r>
      <w:r>
        <w:rPr>
          <w:rFonts w:hint="eastAsia"/>
          <w:color w:val="auto"/>
          <w:highlight w:val="none"/>
          <w:lang w:val="en-US" w:eastAsia="zh-CN"/>
        </w:rPr>
        <w:t>何</w:t>
      </w:r>
      <w:r>
        <w:rPr>
          <w:rFonts w:hint="eastAsia"/>
          <w:color w:val="auto"/>
          <w:highlight w:val="none"/>
        </w:rPr>
        <w:t>一方由于受诸如战争、火灾、洪水、台风、地震等甲、乙双方在缔结合同时所不能预见的，并且它的发生及其后果是无法避免和无法克服的不可抗力的影响而不能全部或部分履行合同时，互不承担违约责任。</w:t>
      </w:r>
    </w:p>
    <w:p w14:paraId="7A9B3B17">
      <w:pPr>
        <w:pStyle w:val="7"/>
        <w:bidi w:val="0"/>
        <w:spacing w:line="360" w:lineRule="auto"/>
        <w:jc w:val="both"/>
        <w:rPr>
          <w:rFonts w:hint="eastAsia"/>
          <w:color w:val="auto"/>
          <w:highlight w:val="none"/>
        </w:rPr>
      </w:pPr>
      <w:r>
        <w:rPr>
          <w:rFonts w:hint="eastAsia"/>
          <w:color w:val="auto"/>
          <w:highlight w:val="none"/>
        </w:rPr>
        <w:t>12.2受到不可抗力影响的一方应在不可抗力事件发生后应尽快通知对方，并于不可抗力发生</w:t>
      </w:r>
      <w:r>
        <w:rPr>
          <w:rFonts w:hint="eastAsia"/>
          <w:color w:val="auto"/>
          <w:highlight w:val="none"/>
          <w:lang w:val="en-US" w:eastAsia="zh-CN"/>
        </w:rPr>
        <w:t>后</w:t>
      </w:r>
      <w:r>
        <w:rPr>
          <w:rFonts w:hint="eastAsia"/>
          <w:color w:val="auto"/>
          <w:highlight w:val="none"/>
          <w:u w:val="single"/>
          <w:lang w:val="en-US" w:eastAsia="zh-CN"/>
        </w:rPr>
        <w:t xml:space="preserve"> 7 个日历日</w:t>
      </w:r>
      <w:r>
        <w:rPr>
          <w:rFonts w:hint="eastAsia"/>
          <w:color w:val="auto"/>
          <w:highlight w:val="none"/>
        </w:rPr>
        <w:t>内将有关当局出具的证明文件用特快专递或挂号信寄给对方审阅确认。一旦不可抗力事件的影响持续</w:t>
      </w:r>
      <w:r>
        <w:rPr>
          <w:rFonts w:hint="eastAsia"/>
          <w:color w:val="auto"/>
          <w:highlight w:val="none"/>
          <w:u w:val="single"/>
          <w:lang w:val="en-US" w:eastAsia="zh-CN"/>
        </w:rPr>
        <w:t xml:space="preserve"> 120 个日历</w:t>
      </w:r>
      <w:r>
        <w:rPr>
          <w:rFonts w:hint="eastAsia"/>
          <w:color w:val="auto"/>
          <w:highlight w:val="none"/>
        </w:rPr>
        <w:t>日以上，双方应通过友好协商在合理的时间内达成解决合同履行问题的协议。</w:t>
      </w:r>
    </w:p>
    <w:p w14:paraId="6EAE5F22">
      <w:pPr>
        <w:pStyle w:val="7"/>
        <w:bidi w:val="0"/>
        <w:spacing w:line="360" w:lineRule="auto"/>
        <w:jc w:val="both"/>
        <w:rPr>
          <w:rFonts w:hint="eastAsia"/>
          <w:color w:val="auto"/>
          <w:highlight w:val="none"/>
        </w:rPr>
      </w:pPr>
      <w:r>
        <w:rPr>
          <w:rFonts w:hint="eastAsia"/>
          <w:color w:val="auto"/>
          <w:highlight w:val="none"/>
        </w:rPr>
        <w:t>12.3受到不可抗力影响的一方在合理的期限内提供有关证明后，根据不可抗力的影响，部分或全部的免除其违约责任</w:t>
      </w:r>
      <w:r>
        <w:rPr>
          <w:rFonts w:hint="eastAsia"/>
          <w:color w:val="auto"/>
          <w:highlight w:val="none"/>
          <w:lang w:eastAsia="zh-CN"/>
        </w:rPr>
        <w:t>，</w:t>
      </w:r>
      <w:r>
        <w:rPr>
          <w:rFonts w:hint="eastAsia"/>
          <w:color w:val="auto"/>
          <w:highlight w:val="none"/>
        </w:rPr>
        <w:t>但本合同另有约定或双方另有约定的除外。</w:t>
      </w:r>
    </w:p>
    <w:p w14:paraId="6568F4CB">
      <w:pPr>
        <w:pStyle w:val="7"/>
        <w:bidi w:val="0"/>
        <w:spacing w:line="360" w:lineRule="auto"/>
        <w:jc w:val="both"/>
        <w:rPr>
          <w:rFonts w:hint="eastAsia"/>
          <w:color w:val="auto"/>
          <w:highlight w:val="none"/>
        </w:rPr>
      </w:pPr>
      <w:r>
        <w:rPr>
          <w:rFonts w:hint="eastAsia"/>
          <w:color w:val="auto"/>
          <w:highlight w:val="none"/>
        </w:rPr>
        <w:t>12.4受到不可抗力影响的一方应在不可抗力终止或被排除后</w:t>
      </w:r>
      <w:r>
        <w:rPr>
          <w:rFonts w:hint="eastAsia"/>
          <w:color w:val="auto"/>
          <w:highlight w:val="none"/>
          <w:u w:val="single"/>
          <w:lang w:val="en-US" w:eastAsia="zh-CN"/>
        </w:rPr>
        <w:t xml:space="preserve"> 3 </w:t>
      </w:r>
      <w:r>
        <w:rPr>
          <w:rFonts w:hint="eastAsia" w:ascii="宋体" w:hAnsi="宋体" w:eastAsia="宋体" w:cs="宋体"/>
          <w:color w:val="auto"/>
          <w:sz w:val="24"/>
          <w:szCs w:val="24"/>
          <w:highlight w:val="none"/>
          <w:u w:val="none"/>
          <w:lang w:val="en-US" w:eastAsia="zh-CN"/>
        </w:rPr>
        <w:t>个日历</w:t>
      </w:r>
      <w:r>
        <w:rPr>
          <w:rFonts w:hint="eastAsia"/>
          <w:color w:val="auto"/>
          <w:highlight w:val="none"/>
          <w:u w:val="none"/>
        </w:rPr>
        <w:t>日内</w:t>
      </w:r>
      <w:r>
        <w:rPr>
          <w:rFonts w:hint="eastAsia"/>
          <w:color w:val="auto"/>
          <w:highlight w:val="none"/>
        </w:rPr>
        <w:t>通过传真、电子邮件等快捷方式</w:t>
      </w:r>
      <w:r>
        <w:rPr>
          <w:rFonts w:hint="eastAsia"/>
          <w:color w:val="auto"/>
          <w:highlight w:val="none"/>
          <w:lang w:val="en-US" w:eastAsia="zh-CN"/>
        </w:rPr>
        <w:t>通知</w:t>
      </w:r>
      <w:r>
        <w:rPr>
          <w:rFonts w:hint="eastAsia"/>
          <w:color w:val="auto"/>
          <w:highlight w:val="none"/>
        </w:rPr>
        <w:t>另一方，并尽快恢复本合同的履行。但本合同另有约定或双方另有约定的除外。</w:t>
      </w:r>
    </w:p>
    <w:p w14:paraId="4FDA33ED">
      <w:pPr>
        <w:pStyle w:val="7"/>
        <w:bidi w:val="0"/>
        <w:spacing w:line="360" w:lineRule="auto"/>
        <w:outlineLvl w:val="1"/>
        <w:rPr>
          <w:rFonts w:hint="eastAsia"/>
          <w:b/>
          <w:bCs/>
          <w:color w:val="auto"/>
          <w:highlight w:val="none"/>
        </w:rPr>
      </w:pPr>
      <w:r>
        <w:rPr>
          <w:rFonts w:hint="eastAsia"/>
          <w:b/>
          <w:bCs/>
          <w:color w:val="auto"/>
          <w:highlight w:val="none"/>
        </w:rPr>
        <w:t>第十三条</w:t>
      </w:r>
      <w:r>
        <w:rPr>
          <w:rFonts w:hint="eastAsia"/>
          <w:b/>
          <w:bCs/>
          <w:color w:val="auto"/>
          <w:highlight w:val="none"/>
          <w:lang w:val="en-US" w:eastAsia="zh-CN"/>
        </w:rPr>
        <w:t xml:space="preserve"> </w:t>
      </w:r>
      <w:r>
        <w:rPr>
          <w:rFonts w:hint="eastAsia"/>
          <w:b/>
          <w:bCs/>
          <w:color w:val="auto"/>
          <w:highlight w:val="none"/>
        </w:rPr>
        <w:t>争议解决</w:t>
      </w:r>
    </w:p>
    <w:p w14:paraId="756FD1F4">
      <w:pPr>
        <w:pStyle w:val="7"/>
        <w:bidi w:val="0"/>
        <w:spacing w:line="360" w:lineRule="auto"/>
        <w:jc w:val="both"/>
        <w:rPr>
          <w:rFonts w:hint="default" w:eastAsiaTheme="minorEastAsia"/>
          <w:color w:val="auto"/>
          <w:highlight w:val="none"/>
          <w:lang w:val="en-US" w:eastAsia="zh-CN"/>
        </w:rPr>
      </w:pPr>
      <w:r>
        <w:rPr>
          <w:rFonts w:hint="eastAsia"/>
          <w:color w:val="auto"/>
          <w:highlight w:val="none"/>
        </w:rPr>
        <w:t>13.</w:t>
      </w:r>
      <w:r>
        <w:rPr>
          <w:rFonts w:hint="eastAsia"/>
          <w:color w:val="auto"/>
          <w:highlight w:val="none"/>
          <w:lang w:val="en-US" w:eastAsia="zh-CN"/>
        </w:rPr>
        <w:t>1</w:t>
      </w:r>
      <w:r>
        <w:rPr>
          <w:rFonts w:hint="eastAsia"/>
          <w:color w:val="auto"/>
          <w:highlight w:val="none"/>
        </w:rPr>
        <w:t>因本合同及其补充协议（如有）而产生的一切争议，由甲、乙双方协商解决，协商不成的，</w:t>
      </w:r>
      <w:r>
        <w:rPr>
          <w:rFonts w:hint="eastAsia"/>
          <w:color w:val="auto"/>
          <w:highlight w:val="none"/>
          <w:lang w:val="en-US" w:eastAsia="zh-CN"/>
        </w:rPr>
        <w:t>双方同意向甲方所在地有管辖权的人民</w:t>
      </w:r>
      <w:r>
        <w:rPr>
          <w:rFonts w:hint="eastAsia"/>
          <w:color w:val="auto"/>
          <w:highlight w:val="none"/>
        </w:rPr>
        <w:t>法院</w:t>
      </w:r>
      <w:r>
        <w:rPr>
          <w:rFonts w:hint="eastAsia"/>
          <w:color w:val="auto"/>
          <w:highlight w:val="none"/>
          <w:lang w:val="en-US" w:eastAsia="zh-CN"/>
        </w:rPr>
        <w:t>提起</w:t>
      </w:r>
      <w:r>
        <w:rPr>
          <w:rFonts w:hint="eastAsia"/>
          <w:color w:val="auto"/>
          <w:highlight w:val="none"/>
        </w:rPr>
        <w:t>诉讼。</w:t>
      </w:r>
    </w:p>
    <w:p w14:paraId="70B68F2D">
      <w:pPr>
        <w:pStyle w:val="7"/>
        <w:spacing w:line="360" w:lineRule="auto"/>
        <w:ind w:firstLine="0" w:firstLineChars="0"/>
        <w:rPr>
          <w:rFonts w:hint="eastAsia"/>
          <w:color w:val="auto"/>
          <w:highlight w:val="none"/>
        </w:rPr>
      </w:pPr>
      <w:r>
        <w:rPr>
          <w:rFonts w:hint="eastAsia"/>
          <w:color w:val="auto"/>
          <w:highlight w:val="none"/>
        </w:rPr>
        <w:t>13.</w:t>
      </w:r>
      <w:r>
        <w:rPr>
          <w:rFonts w:hint="eastAsia"/>
          <w:color w:val="auto"/>
          <w:highlight w:val="none"/>
          <w:lang w:val="en-US" w:eastAsia="zh-CN"/>
        </w:rPr>
        <w:t>2</w:t>
      </w:r>
      <w:r>
        <w:rPr>
          <w:rFonts w:hint="eastAsia"/>
          <w:color w:val="auto"/>
          <w:highlight w:val="none"/>
        </w:rPr>
        <w:t>因小区安全管理服务质量等技术问题而发生争议的，甲方有权委托第三方进行鉴定，鉴定安全管理服务质量等技术问题</w:t>
      </w:r>
      <w:r>
        <w:rPr>
          <w:rFonts w:hint="eastAsia"/>
          <w:color w:val="auto"/>
          <w:highlight w:val="none"/>
          <w:lang w:val="en-US" w:eastAsia="zh-CN"/>
        </w:rPr>
        <w:t>若</w:t>
      </w:r>
      <w:r>
        <w:rPr>
          <w:rFonts w:hint="eastAsia"/>
          <w:color w:val="auto"/>
          <w:highlight w:val="none"/>
        </w:rPr>
        <w:t>为乙方导致的，</w:t>
      </w:r>
      <w:r>
        <w:rPr>
          <w:rFonts w:hint="eastAsia"/>
          <w:color w:val="auto"/>
          <w:highlight w:val="none"/>
          <w:lang w:val="en-US" w:eastAsia="zh-CN"/>
        </w:rPr>
        <w:t>则</w:t>
      </w:r>
      <w:r>
        <w:rPr>
          <w:rFonts w:hint="eastAsia"/>
          <w:color w:val="auto"/>
          <w:highlight w:val="none"/>
        </w:rPr>
        <w:t>鉴定费用</w:t>
      </w:r>
      <w:r>
        <w:rPr>
          <w:rFonts w:hint="eastAsia"/>
          <w:color w:val="auto"/>
          <w:highlight w:val="none"/>
          <w:lang w:val="en-US" w:eastAsia="zh-CN"/>
        </w:rPr>
        <w:t>均</w:t>
      </w:r>
      <w:r>
        <w:rPr>
          <w:rFonts w:hint="eastAsia"/>
          <w:color w:val="auto"/>
          <w:highlight w:val="none"/>
        </w:rPr>
        <w:t>由乙方承担。</w:t>
      </w:r>
    </w:p>
    <w:p w14:paraId="57F8544D">
      <w:pPr>
        <w:pStyle w:val="7"/>
        <w:bidi w:val="0"/>
        <w:spacing w:line="360" w:lineRule="auto"/>
        <w:rPr>
          <w:rFonts w:hint="default" w:eastAsiaTheme="minorEastAsia"/>
          <w:color w:val="auto"/>
          <w:highlight w:val="none"/>
          <w:lang w:val="en-US" w:eastAsia="zh-CN"/>
        </w:rPr>
      </w:pPr>
      <w:r>
        <w:rPr>
          <w:rFonts w:hint="eastAsia"/>
          <w:color w:val="auto"/>
          <w:highlight w:val="none"/>
          <w:lang w:val="en-US" w:eastAsia="zh-CN"/>
        </w:rPr>
        <w:t>13.</w:t>
      </w:r>
      <w:r>
        <w:rPr>
          <w:rFonts w:hint="eastAsia"/>
          <w:color w:val="auto"/>
          <w:kern w:val="0"/>
          <w:sz w:val="24"/>
          <w:highlight w:val="none"/>
          <w:lang w:val="en-US" w:eastAsia="zh-CN" w:bidi="ar"/>
        </w:rPr>
        <w:t>3</w:t>
      </w:r>
      <w:r>
        <w:rPr>
          <w:rFonts w:hint="eastAsia" w:asciiTheme="minorHAnsi" w:hAnsiTheme="minorHAnsi"/>
          <w:color w:val="auto"/>
          <w:sz w:val="24"/>
          <w:highlight w:val="none"/>
          <w:lang w:val="en-US" w:eastAsia="zh-CN"/>
        </w:rPr>
        <w:t>本合同因一方违约而导致守约方启动司法程序维权的，守约方因追索债权而产生的所有资金成本，包括但不限于诉讼费、律师代理费、公告费、执行费、差旅费、财产保全费、财产保全保险费、评估费等均由违约方承担。</w:t>
      </w:r>
    </w:p>
    <w:p w14:paraId="4420D21C">
      <w:pPr>
        <w:pStyle w:val="7"/>
        <w:bidi w:val="0"/>
        <w:spacing w:line="360" w:lineRule="auto"/>
        <w:outlineLvl w:val="1"/>
        <w:rPr>
          <w:rFonts w:hint="eastAsia"/>
          <w:b/>
          <w:bCs/>
          <w:color w:val="auto"/>
          <w:highlight w:val="none"/>
        </w:rPr>
      </w:pPr>
      <w:r>
        <w:rPr>
          <w:rFonts w:hint="eastAsia"/>
          <w:b/>
          <w:bCs/>
          <w:color w:val="auto"/>
          <w:highlight w:val="none"/>
        </w:rPr>
        <w:t>第十四条</w:t>
      </w:r>
      <w:r>
        <w:rPr>
          <w:rFonts w:hint="eastAsia"/>
          <w:b/>
          <w:bCs/>
          <w:color w:val="auto"/>
          <w:highlight w:val="none"/>
          <w:lang w:val="en-US" w:eastAsia="zh-CN"/>
        </w:rPr>
        <w:t xml:space="preserve"> </w:t>
      </w:r>
      <w:r>
        <w:rPr>
          <w:rFonts w:hint="eastAsia"/>
          <w:b/>
          <w:bCs/>
          <w:color w:val="auto"/>
          <w:highlight w:val="none"/>
        </w:rPr>
        <w:t>通知与联系方式</w:t>
      </w:r>
    </w:p>
    <w:p w14:paraId="7EA74392">
      <w:pPr>
        <w:pStyle w:val="7"/>
        <w:bidi w:val="0"/>
        <w:spacing w:line="360" w:lineRule="auto"/>
        <w:jc w:val="both"/>
        <w:rPr>
          <w:rFonts w:hint="eastAsia"/>
          <w:color w:val="auto"/>
          <w:highlight w:val="none"/>
        </w:rPr>
      </w:pPr>
      <w:r>
        <w:rPr>
          <w:rFonts w:hint="eastAsia"/>
          <w:color w:val="auto"/>
          <w:highlight w:val="none"/>
        </w:rPr>
        <w:t>14.1除非本合同另有规定，任何一方为履行本合同或与本合同有关的一切通知、要求均应采用书面形式，并直接送交或按第14.3约定的联系方式</w:t>
      </w:r>
      <w:r>
        <w:rPr>
          <w:rFonts w:hint="eastAsia"/>
          <w:color w:val="auto"/>
          <w:highlight w:val="none"/>
          <w:lang w:val="en-US" w:eastAsia="zh-CN"/>
        </w:rPr>
        <w:t>或</w:t>
      </w:r>
      <w:r>
        <w:rPr>
          <w:rFonts w:hint="eastAsia"/>
          <w:color w:val="auto"/>
          <w:highlight w:val="none"/>
        </w:rPr>
        <w:t>地址通知对方法定代表人或项目联系人。</w:t>
      </w:r>
    </w:p>
    <w:p w14:paraId="6DE4F367">
      <w:pPr>
        <w:pStyle w:val="7"/>
        <w:bidi w:val="0"/>
        <w:spacing w:line="360" w:lineRule="auto"/>
        <w:jc w:val="both"/>
        <w:rPr>
          <w:rFonts w:hint="default" w:eastAsiaTheme="minorEastAsia"/>
          <w:color w:val="auto"/>
          <w:highlight w:val="none"/>
          <w:lang w:val="en-US" w:eastAsia="zh-CN"/>
        </w:rPr>
      </w:pPr>
      <w:r>
        <w:rPr>
          <w:rFonts w:hint="eastAsia"/>
          <w:color w:val="auto"/>
          <w:highlight w:val="none"/>
        </w:rPr>
        <w:t>14.2在本合同有效期内，</w:t>
      </w:r>
      <w:r>
        <w:rPr>
          <w:rFonts w:hint="eastAsia"/>
          <w:color w:val="auto"/>
          <w:highlight w:val="none"/>
          <w:lang w:val="en-US" w:eastAsia="zh-CN"/>
        </w:rPr>
        <w:t>甲乙双方确认以下为有效送达信息：</w:t>
      </w:r>
    </w:p>
    <w:p w14:paraId="1FBE2BAA">
      <w:pPr>
        <w:pStyle w:val="7"/>
        <w:bidi w:val="0"/>
        <w:spacing w:line="360" w:lineRule="auto"/>
        <w:jc w:val="both"/>
        <w:rPr>
          <w:rFonts w:hint="eastAsia"/>
          <w:color w:val="auto"/>
          <w:highlight w:val="none"/>
          <w:lang w:val="en-US" w:eastAsia="zh-CN"/>
        </w:rPr>
      </w:pPr>
      <w:r>
        <w:rPr>
          <w:rFonts w:hint="eastAsia"/>
          <w:color w:val="auto"/>
          <w:highlight w:val="none"/>
        </w:rPr>
        <w:t>甲方</w:t>
      </w:r>
      <w:r>
        <w:rPr>
          <w:rFonts w:hint="eastAsia"/>
          <w:color w:val="auto"/>
          <w:highlight w:val="none"/>
          <w:lang w:val="en-US" w:eastAsia="zh-CN"/>
        </w:rPr>
        <w:t>;</w:t>
      </w:r>
    </w:p>
    <w:p w14:paraId="5F044F70">
      <w:pPr>
        <w:pStyle w:val="7"/>
        <w:bidi w:val="0"/>
        <w:spacing w:line="360" w:lineRule="auto"/>
        <w:jc w:val="both"/>
        <w:rPr>
          <w:rFonts w:hint="eastAsia"/>
          <w:color w:val="auto"/>
          <w:highlight w:val="none"/>
          <w:lang w:eastAsia="zh-CN"/>
        </w:rPr>
      </w:pPr>
      <w:r>
        <w:rPr>
          <w:rFonts w:hint="eastAsia"/>
          <w:color w:val="auto"/>
          <w:highlight w:val="none"/>
        </w:rPr>
        <w:t>项目联系人</w:t>
      </w:r>
      <w:r>
        <w:rPr>
          <w:rFonts w:hint="eastAsia"/>
          <w:color w:val="auto"/>
          <w:highlight w:val="none"/>
          <w:lang w:eastAsia="zh-CN"/>
        </w:rPr>
        <w:t>：</w:t>
      </w:r>
      <w:r>
        <w:rPr>
          <w:rFonts w:hint="eastAsia"/>
          <w:color w:val="auto"/>
          <w:highlight w:val="none"/>
          <w:u w:val="single"/>
          <w:lang w:val="en-US" w:eastAsia="zh-CN"/>
        </w:rPr>
        <w:t xml:space="preserve">          </w:t>
      </w:r>
    </w:p>
    <w:p w14:paraId="47C0ED53">
      <w:pPr>
        <w:pStyle w:val="7"/>
        <w:bidi w:val="0"/>
        <w:spacing w:line="360" w:lineRule="auto"/>
        <w:jc w:val="both"/>
        <w:rPr>
          <w:rFonts w:hint="eastAsia"/>
          <w:color w:val="auto"/>
          <w:highlight w:val="none"/>
        </w:rPr>
      </w:pPr>
      <w:r>
        <w:rPr>
          <w:rFonts w:hint="eastAsia"/>
          <w:color w:val="auto"/>
          <w:highlight w:val="none"/>
        </w:rPr>
        <w:t>联系方式：</w:t>
      </w:r>
      <w:r>
        <w:rPr>
          <w:rFonts w:hint="eastAsia"/>
          <w:color w:val="auto"/>
          <w:highlight w:val="none"/>
          <w:u w:val="single"/>
          <w:lang w:val="en-US" w:eastAsia="zh-CN"/>
        </w:rPr>
        <w:t xml:space="preserve">          </w:t>
      </w:r>
      <w:r>
        <w:rPr>
          <w:rFonts w:hint="eastAsia"/>
          <w:color w:val="auto"/>
          <w:highlight w:val="none"/>
        </w:rPr>
        <w:t> </w:t>
      </w:r>
    </w:p>
    <w:p w14:paraId="255595C3">
      <w:pPr>
        <w:pStyle w:val="7"/>
        <w:bidi w:val="0"/>
        <w:spacing w:line="360" w:lineRule="auto"/>
        <w:jc w:val="both"/>
        <w:rPr>
          <w:rFonts w:hint="eastAsia"/>
          <w:color w:val="auto"/>
          <w:highlight w:val="none"/>
        </w:rPr>
      </w:pPr>
      <w:r>
        <w:rPr>
          <w:rFonts w:hint="eastAsia"/>
          <w:color w:val="auto"/>
          <w:highlight w:val="none"/>
          <w:lang w:val="en-US" w:eastAsia="zh-CN"/>
        </w:rPr>
        <w:t>地址：</w:t>
      </w:r>
    </w:p>
    <w:p w14:paraId="65A4F031">
      <w:pPr>
        <w:pStyle w:val="7"/>
        <w:bidi w:val="0"/>
        <w:spacing w:line="360" w:lineRule="auto"/>
        <w:jc w:val="both"/>
        <w:rPr>
          <w:rFonts w:hint="eastAsia" w:eastAsiaTheme="minorEastAsia"/>
          <w:color w:val="auto"/>
          <w:highlight w:val="none"/>
          <w:lang w:eastAsia="zh-CN"/>
        </w:rPr>
      </w:pPr>
      <w:r>
        <w:rPr>
          <w:rFonts w:hint="eastAsia"/>
          <w:color w:val="auto"/>
          <w:highlight w:val="none"/>
        </w:rPr>
        <w:t>乙方</w:t>
      </w:r>
      <w:r>
        <w:rPr>
          <w:rFonts w:hint="eastAsia"/>
          <w:color w:val="auto"/>
          <w:highlight w:val="none"/>
          <w:lang w:eastAsia="zh-CN"/>
        </w:rPr>
        <w:t>：</w:t>
      </w:r>
    </w:p>
    <w:p w14:paraId="5918DE8E">
      <w:pPr>
        <w:pStyle w:val="7"/>
        <w:bidi w:val="0"/>
        <w:spacing w:line="360" w:lineRule="auto"/>
        <w:jc w:val="both"/>
        <w:rPr>
          <w:rFonts w:hint="eastAsia"/>
          <w:color w:val="auto"/>
          <w:highlight w:val="none"/>
          <w:lang w:eastAsia="zh-CN"/>
        </w:rPr>
      </w:pPr>
      <w:r>
        <w:rPr>
          <w:rFonts w:hint="eastAsia"/>
          <w:color w:val="auto"/>
          <w:highlight w:val="none"/>
        </w:rPr>
        <w:t>项目联系人</w:t>
      </w:r>
      <w:r>
        <w:rPr>
          <w:rFonts w:hint="eastAsia"/>
          <w:color w:val="auto"/>
          <w:highlight w:val="none"/>
          <w:lang w:eastAsia="zh-CN"/>
        </w:rPr>
        <w:t>：</w:t>
      </w:r>
      <w:r>
        <w:rPr>
          <w:rFonts w:hint="eastAsia"/>
          <w:color w:val="auto"/>
          <w:highlight w:val="none"/>
          <w:u w:val="single"/>
          <w:lang w:val="en-US" w:eastAsia="zh-CN"/>
        </w:rPr>
        <w:t xml:space="preserve">            </w:t>
      </w:r>
    </w:p>
    <w:p w14:paraId="7C5436CF">
      <w:pPr>
        <w:pStyle w:val="7"/>
        <w:bidi w:val="0"/>
        <w:spacing w:line="360" w:lineRule="auto"/>
        <w:jc w:val="both"/>
        <w:rPr>
          <w:rFonts w:hint="eastAsia"/>
          <w:color w:val="auto"/>
          <w:highlight w:val="none"/>
        </w:rPr>
      </w:pPr>
      <w:r>
        <w:rPr>
          <w:rFonts w:hint="eastAsia"/>
          <w:color w:val="auto"/>
          <w:highlight w:val="none"/>
        </w:rPr>
        <w:t>联系方式：</w:t>
      </w:r>
      <w:r>
        <w:rPr>
          <w:rFonts w:hint="eastAsia"/>
          <w:color w:val="auto"/>
          <w:highlight w:val="none"/>
          <w:u w:val="single"/>
          <w:lang w:val="en-US" w:eastAsia="zh-CN"/>
        </w:rPr>
        <w:t xml:space="preserve">          </w:t>
      </w:r>
    </w:p>
    <w:p w14:paraId="12D0300F">
      <w:pPr>
        <w:pStyle w:val="7"/>
        <w:tabs>
          <w:tab w:val="left" w:pos="1331"/>
        </w:tabs>
        <w:bidi w:val="0"/>
        <w:spacing w:line="360" w:lineRule="auto"/>
        <w:jc w:val="both"/>
        <w:rPr>
          <w:rFonts w:hint="default" w:eastAsiaTheme="minorEastAsia"/>
          <w:color w:val="auto"/>
          <w:highlight w:val="none"/>
          <w:lang w:val="en-US" w:eastAsia="zh-CN"/>
        </w:rPr>
      </w:pPr>
      <w:r>
        <w:rPr>
          <w:rFonts w:hint="eastAsia"/>
          <w:color w:val="auto"/>
          <w:highlight w:val="none"/>
          <w:lang w:val="en-US" w:eastAsia="zh-CN"/>
        </w:rPr>
        <w:t>地址：</w:t>
      </w:r>
    </w:p>
    <w:p w14:paraId="3AAFF2B3">
      <w:pPr>
        <w:pStyle w:val="7"/>
        <w:bidi w:val="0"/>
        <w:spacing w:line="360" w:lineRule="auto"/>
        <w:jc w:val="both"/>
        <w:rPr>
          <w:rFonts w:hint="eastAsia"/>
          <w:color w:val="auto"/>
          <w:highlight w:val="none"/>
        </w:rPr>
      </w:pPr>
      <w:r>
        <w:rPr>
          <w:rFonts w:hint="eastAsia"/>
          <w:color w:val="auto"/>
          <w:highlight w:val="none"/>
        </w:rPr>
        <w:t>14.3本合同项下发出的通知、要求，在下述情况应被视为已经有效送达：</w:t>
      </w:r>
    </w:p>
    <w:p w14:paraId="2A77F9D3">
      <w:pPr>
        <w:pStyle w:val="7"/>
        <w:bidi w:val="0"/>
        <w:spacing w:line="360" w:lineRule="auto"/>
        <w:jc w:val="both"/>
        <w:rPr>
          <w:rFonts w:hint="eastAsia"/>
          <w:color w:val="auto"/>
          <w:highlight w:val="none"/>
        </w:rPr>
      </w:pPr>
      <w:r>
        <w:rPr>
          <w:rFonts w:hint="eastAsia"/>
          <w:color w:val="auto"/>
          <w:highlight w:val="none"/>
        </w:rPr>
        <w:t>（1）若由专人递交，在递交法定代表人及项目联系人时即为送达；</w:t>
      </w:r>
    </w:p>
    <w:p w14:paraId="3CEB35FF">
      <w:pPr>
        <w:pStyle w:val="7"/>
        <w:bidi w:val="0"/>
        <w:spacing w:line="360" w:lineRule="auto"/>
        <w:jc w:val="both"/>
        <w:rPr>
          <w:rFonts w:hint="eastAsia"/>
          <w:color w:val="auto"/>
          <w:highlight w:val="none"/>
        </w:rPr>
      </w:pPr>
      <w:r>
        <w:rPr>
          <w:rFonts w:hint="eastAsia"/>
          <w:color w:val="auto"/>
          <w:highlight w:val="none"/>
        </w:rPr>
        <w:t>（2）若</w:t>
      </w:r>
      <w:r>
        <w:rPr>
          <w:rFonts w:hint="eastAsia"/>
          <w:color w:val="auto"/>
          <w:highlight w:val="none"/>
          <w:lang w:val="en-US" w:eastAsia="zh-CN"/>
        </w:rPr>
        <w:t>邮寄送达</w:t>
      </w:r>
      <w:r>
        <w:rPr>
          <w:rFonts w:hint="eastAsia"/>
          <w:color w:val="auto"/>
          <w:highlight w:val="none"/>
        </w:rPr>
        <w:t>，合同一方法定代表人、项目联系人或办公室、收发室的工作人员在挂号回执或签收凭证上签字即为送达；</w:t>
      </w:r>
    </w:p>
    <w:p w14:paraId="46454F54">
      <w:pPr>
        <w:pStyle w:val="7"/>
        <w:bidi w:val="0"/>
        <w:spacing w:line="360" w:lineRule="auto"/>
        <w:jc w:val="both"/>
        <w:rPr>
          <w:rFonts w:hint="eastAsia" w:eastAsiaTheme="minorEastAsia"/>
          <w:color w:val="auto"/>
          <w:highlight w:val="none"/>
          <w:lang w:eastAsia="zh-CN"/>
        </w:rPr>
      </w:pPr>
      <w:r>
        <w:rPr>
          <w:rFonts w:hint="eastAsia"/>
          <w:color w:val="auto"/>
          <w:highlight w:val="none"/>
          <w:lang w:eastAsia="zh-CN"/>
        </w:rPr>
        <w:t>（</w:t>
      </w:r>
      <w:r>
        <w:rPr>
          <w:rFonts w:hint="eastAsia"/>
          <w:color w:val="auto"/>
          <w:highlight w:val="none"/>
          <w:lang w:val="en-US" w:eastAsia="zh-CN"/>
        </w:rPr>
        <w:t>3</w:t>
      </w:r>
      <w:r>
        <w:rPr>
          <w:rFonts w:hint="eastAsia"/>
          <w:color w:val="auto"/>
          <w:highlight w:val="none"/>
          <w:lang w:eastAsia="zh-CN"/>
        </w:rPr>
        <w:t>）若采用电子邮件、短信等电子方式送达，发送至本合同约定的联系方式即视为有效送达。</w:t>
      </w:r>
    </w:p>
    <w:p w14:paraId="42774CFB">
      <w:pPr>
        <w:pStyle w:val="7"/>
        <w:bidi w:val="0"/>
        <w:spacing w:line="360" w:lineRule="auto"/>
        <w:jc w:val="both"/>
        <w:rPr>
          <w:rFonts w:hint="eastAsia"/>
          <w:color w:val="auto"/>
          <w:highlight w:val="none"/>
        </w:rPr>
      </w:pPr>
      <w:r>
        <w:rPr>
          <w:rFonts w:hint="eastAsia"/>
          <w:color w:val="auto"/>
          <w:highlight w:val="none"/>
        </w:rPr>
        <w:t>14.4任何一方的</w:t>
      </w:r>
      <w:r>
        <w:rPr>
          <w:rFonts w:hint="eastAsia"/>
          <w:color w:val="auto"/>
          <w:highlight w:val="none"/>
          <w:lang w:val="en-US" w:eastAsia="zh-CN"/>
        </w:rPr>
        <w:t>送达信息</w:t>
      </w:r>
      <w:r>
        <w:rPr>
          <w:rFonts w:hint="eastAsia"/>
          <w:color w:val="auto"/>
          <w:highlight w:val="none"/>
        </w:rPr>
        <w:t>有变更的，应</w:t>
      </w:r>
      <w:r>
        <w:rPr>
          <w:rFonts w:hint="eastAsia"/>
          <w:color w:val="auto"/>
          <w:highlight w:val="none"/>
          <w:lang w:val="en-US" w:eastAsia="zh-CN"/>
        </w:rPr>
        <w:t>在三个工作日内</w:t>
      </w:r>
      <w:r>
        <w:rPr>
          <w:rFonts w:hint="eastAsia"/>
          <w:color w:val="auto"/>
          <w:highlight w:val="none"/>
        </w:rPr>
        <w:t>书面通知合同对方，否则一方按原联系方式向其他方发出的书面文件仍视为送达。未尽通知义务的，导致影响本合同履行或造成损失的，应承担相应责任。</w:t>
      </w:r>
    </w:p>
    <w:p w14:paraId="46858374">
      <w:pPr>
        <w:pStyle w:val="7"/>
        <w:bidi w:val="0"/>
        <w:spacing w:line="360" w:lineRule="auto"/>
        <w:outlineLvl w:val="1"/>
        <w:rPr>
          <w:rFonts w:hint="eastAsia"/>
          <w:b/>
          <w:bCs/>
          <w:color w:val="auto"/>
          <w:highlight w:val="none"/>
        </w:rPr>
      </w:pPr>
      <w:r>
        <w:rPr>
          <w:rFonts w:hint="eastAsia"/>
          <w:b/>
          <w:bCs/>
          <w:color w:val="auto"/>
          <w:highlight w:val="none"/>
        </w:rPr>
        <w:t>第十五条</w:t>
      </w:r>
      <w:r>
        <w:rPr>
          <w:rFonts w:hint="eastAsia"/>
          <w:b/>
          <w:bCs/>
          <w:color w:val="auto"/>
          <w:highlight w:val="none"/>
          <w:lang w:val="en-US" w:eastAsia="zh-CN"/>
        </w:rPr>
        <w:t xml:space="preserve"> </w:t>
      </w:r>
      <w:r>
        <w:rPr>
          <w:rFonts w:hint="eastAsia"/>
          <w:b/>
          <w:bCs/>
          <w:color w:val="auto"/>
          <w:highlight w:val="none"/>
        </w:rPr>
        <w:t>特别约定条款</w:t>
      </w:r>
    </w:p>
    <w:p w14:paraId="3124A208">
      <w:pPr>
        <w:pStyle w:val="7"/>
        <w:bidi w:val="0"/>
        <w:spacing w:line="360" w:lineRule="auto"/>
        <w:jc w:val="both"/>
        <w:rPr>
          <w:rFonts w:hint="eastAsia"/>
          <w:color w:val="auto"/>
          <w:highlight w:val="none"/>
        </w:rPr>
      </w:pPr>
      <w:r>
        <w:rPr>
          <w:rFonts w:hint="eastAsia"/>
          <w:color w:val="auto"/>
          <w:highlight w:val="none"/>
        </w:rPr>
        <w:t>15.1双方特别约定其他相关事项：</w:t>
      </w:r>
      <w:r>
        <w:rPr>
          <w:rFonts w:hint="eastAsia"/>
          <w:color w:val="auto"/>
          <w:highlight w:val="none"/>
          <w:u w:val="single"/>
        </w:rPr>
        <w:t>因政策调整，包括且不限于管理模式或主体变更、资金预算调整等客观因素，可不执行合同续签条款</w:t>
      </w:r>
      <w:r>
        <w:rPr>
          <w:rFonts w:hint="eastAsia"/>
          <w:color w:val="auto"/>
          <w:highlight w:val="none"/>
          <w:u w:val="single"/>
          <w:lang w:eastAsia="zh-CN"/>
        </w:rPr>
        <w:t>，</w:t>
      </w:r>
      <w:r>
        <w:rPr>
          <w:rFonts w:hint="eastAsia"/>
          <w:color w:val="auto"/>
          <w:highlight w:val="none"/>
          <w:u w:val="single"/>
          <w:lang w:val="en-US" w:eastAsia="zh-CN"/>
        </w:rPr>
        <w:t>并且不承担违约责任</w:t>
      </w:r>
      <w:r>
        <w:rPr>
          <w:rFonts w:hint="eastAsia"/>
          <w:color w:val="auto"/>
          <w:highlight w:val="none"/>
        </w:rPr>
        <w:t>。</w:t>
      </w:r>
    </w:p>
    <w:p w14:paraId="3D47CF68">
      <w:pPr>
        <w:pStyle w:val="7"/>
        <w:bidi w:val="0"/>
        <w:spacing w:line="360" w:lineRule="auto"/>
        <w:jc w:val="both"/>
        <w:rPr>
          <w:rFonts w:hint="eastAsia"/>
          <w:color w:val="auto"/>
          <w:highlight w:val="none"/>
        </w:rPr>
      </w:pPr>
      <w:r>
        <w:rPr>
          <w:rFonts w:hint="eastAsia"/>
          <w:color w:val="auto"/>
          <w:highlight w:val="none"/>
        </w:rPr>
        <w:t>15.2当特别约定条款与其他条款不一致时，特别条款效力优于其他条款。</w:t>
      </w:r>
    </w:p>
    <w:p w14:paraId="7D5ED345">
      <w:pPr>
        <w:pStyle w:val="7"/>
        <w:bidi w:val="0"/>
        <w:spacing w:line="360" w:lineRule="auto"/>
        <w:outlineLvl w:val="1"/>
        <w:rPr>
          <w:rFonts w:hint="eastAsia"/>
          <w:b/>
          <w:bCs/>
          <w:color w:val="auto"/>
          <w:highlight w:val="none"/>
        </w:rPr>
      </w:pPr>
      <w:r>
        <w:rPr>
          <w:rFonts w:hint="eastAsia"/>
          <w:b/>
          <w:bCs/>
          <w:color w:val="auto"/>
          <w:highlight w:val="none"/>
        </w:rPr>
        <w:t>第十六条</w:t>
      </w:r>
      <w:r>
        <w:rPr>
          <w:rFonts w:hint="eastAsia"/>
          <w:b/>
          <w:bCs/>
          <w:color w:val="auto"/>
          <w:highlight w:val="none"/>
          <w:lang w:val="en-US" w:eastAsia="zh-CN"/>
        </w:rPr>
        <w:t xml:space="preserve"> </w:t>
      </w:r>
      <w:r>
        <w:rPr>
          <w:rFonts w:hint="eastAsia"/>
          <w:b/>
          <w:bCs/>
          <w:color w:val="auto"/>
          <w:highlight w:val="none"/>
        </w:rPr>
        <w:t>合同效力</w:t>
      </w:r>
    </w:p>
    <w:p w14:paraId="00EB05D7">
      <w:pPr>
        <w:pStyle w:val="7"/>
        <w:bidi w:val="0"/>
        <w:spacing w:line="240" w:lineRule="auto"/>
        <w:jc w:val="both"/>
        <w:rPr>
          <w:rFonts w:hint="eastAsia"/>
          <w:color w:val="auto"/>
          <w:highlight w:val="none"/>
        </w:rPr>
      </w:pPr>
      <w:r>
        <w:rPr>
          <w:rFonts w:hint="eastAsia"/>
          <w:color w:val="auto"/>
          <w:highlight w:val="none"/>
        </w:rPr>
        <w:t>16.1本合同自甲、乙双方签字</w:t>
      </w:r>
      <w:r>
        <w:rPr>
          <w:rFonts w:hint="eastAsia"/>
          <w:color w:val="auto"/>
          <w:highlight w:val="none"/>
          <w:lang w:val="en-US" w:eastAsia="zh-CN"/>
        </w:rPr>
        <w:t>并</w:t>
      </w:r>
      <w:r>
        <w:rPr>
          <w:rFonts w:hint="eastAsia"/>
          <w:color w:val="auto"/>
          <w:highlight w:val="none"/>
        </w:rPr>
        <w:t>盖章之日起生效，本合同生效后，先前的谈判内容、陈述以及双方签订的意向书、备忘录及其他相关文件如与本合同不符的，均以本合同为准。</w:t>
      </w:r>
    </w:p>
    <w:p w14:paraId="521F4546">
      <w:pPr>
        <w:pStyle w:val="7"/>
        <w:bidi w:val="0"/>
        <w:spacing w:line="240" w:lineRule="auto"/>
        <w:jc w:val="both"/>
        <w:rPr>
          <w:rFonts w:hint="eastAsia"/>
          <w:color w:val="auto"/>
          <w:highlight w:val="none"/>
        </w:rPr>
      </w:pPr>
      <w:r>
        <w:rPr>
          <w:rFonts w:hint="eastAsia"/>
          <w:color w:val="auto"/>
          <w:highlight w:val="none"/>
        </w:rPr>
        <w:t>16.2本合同空格部分填写的文字与印刷文字具有同等效力。本合同如有遗漏或需要解释时，依照《中华人民共和国</w:t>
      </w:r>
      <w:r>
        <w:rPr>
          <w:rFonts w:hint="eastAsia"/>
          <w:color w:val="auto"/>
          <w:highlight w:val="none"/>
          <w:lang w:val="en-US" w:eastAsia="zh-CN"/>
        </w:rPr>
        <w:t>民法典》</w:t>
      </w:r>
      <w:r>
        <w:rPr>
          <w:rFonts w:hint="eastAsia"/>
          <w:color w:val="auto"/>
          <w:highlight w:val="none"/>
        </w:rPr>
        <w:t>的</w:t>
      </w:r>
      <w:r>
        <w:rPr>
          <w:rFonts w:hint="eastAsia"/>
          <w:color w:val="auto"/>
          <w:highlight w:val="none"/>
          <w:lang w:val="en-US" w:eastAsia="zh-CN"/>
        </w:rPr>
        <w:t>相关</w:t>
      </w:r>
      <w:r>
        <w:rPr>
          <w:rFonts w:hint="eastAsia"/>
          <w:color w:val="auto"/>
          <w:highlight w:val="none"/>
        </w:rPr>
        <w:t>规定进行补充或解释。</w:t>
      </w:r>
    </w:p>
    <w:p w14:paraId="09CEA9B6">
      <w:pPr>
        <w:pStyle w:val="7"/>
        <w:bidi w:val="0"/>
        <w:spacing w:line="240" w:lineRule="auto"/>
        <w:jc w:val="both"/>
        <w:rPr>
          <w:rFonts w:hint="eastAsia"/>
          <w:color w:val="auto"/>
          <w:highlight w:val="none"/>
        </w:rPr>
      </w:pPr>
      <w:r>
        <w:rPr>
          <w:rFonts w:hint="eastAsia"/>
          <w:color w:val="auto"/>
          <w:highlight w:val="none"/>
        </w:rPr>
        <w:t>16.3本合同书包含以下附件：</w:t>
      </w:r>
    </w:p>
    <w:p w14:paraId="02A842D5">
      <w:pPr>
        <w:pStyle w:val="7"/>
        <w:bidi w:val="0"/>
        <w:spacing w:line="240" w:lineRule="auto"/>
        <w:jc w:val="both"/>
        <w:rPr>
          <w:rFonts w:hint="eastAsia" w:eastAsiaTheme="minorEastAsia"/>
          <w:color w:val="auto"/>
          <w:highlight w:val="none"/>
          <w:lang w:eastAsia="zh-CN"/>
        </w:rPr>
      </w:pPr>
      <w:r>
        <w:rPr>
          <w:rFonts w:hint="eastAsia"/>
          <w:color w:val="auto"/>
          <w:highlight w:val="none"/>
        </w:rPr>
        <w:t>附件1：</w:t>
      </w:r>
      <w:r>
        <w:rPr>
          <w:rFonts w:hint="eastAsia"/>
          <w:color w:val="auto"/>
          <w:highlight w:val="none"/>
          <w:u w:val="single"/>
          <w:lang w:eastAsia="zh-CN"/>
        </w:rPr>
        <w:t>保障房小区安全管理服务季度考核标准</w:t>
      </w:r>
      <w:r>
        <w:rPr>
          <w:rFonts w:hint="eastAsia"/>
          <w:color w:val="auto"/>
          <w:highlight w:val="none"/>
          <w:lang w:eastAsia="zh-CN"/>
        </w:rPr>
        <w:t>。</w:t>
      </w:r>
    </w:p>
    <w:p w14:paraId="70BAABF3">
      <w:pPr>
        <w:pStyle w:val="7"/>
        <w:bidi w:val="0"/>
        <w:spacing w:line="240" w:lineRule="auto"/>
        <w:jc w:val="both"/>
        <w:rPr>
          <w:rFonts w:hint="eastAsia"/>
          <w:color w:val="auto"/>
          <w:highlight w:val="none"/>
        </w:rPr>
      </w:pPr>
      <w:r>
        <w:rPr>
          <w:rFonts w:hint="eastAsia"/>
          <w:color w:val="auto"/>
          <w:highlight w:val="none"/>
        </w:rPr>
        <w:t>附件2：</w:t>
      </w:r>
      <w:r>
        <w:rPr>
          <w:rFonts w:hint="eastAsia"/>
          <w:color w:val="auto"/>
          <w:highlight w:val="none"/>
          <w:u w:val="none"/>
        </w:rPr>
        <w:t>保障房小区安全管理服务项目人员名单</w:t>
      </w:r>
      <w:r>
        <w:rPr>
          <w:rFonts w:hint="eastAsia"/>
          <w:color w:val="auto"/>
          <w:highlight w:val="none"/>
        </w:rPr>
        <w:t>。</w:t>
      </w:r>
    </w:p>
    <w:p w14:paraId="2AD9FE6C">
      <w:pPr>
        <w:pStyle w:val="7"/>
        <w:bidi w:val="0"/>
        <w:spacing w:line="240" w:lineRule="auto"/>
        <w:jc w:val="both"/>
        <w:rPr>
          <w:rFonts w:hint="default" w:eastAsiaTheme="minorEastAsia"/>
          <w:color w:val="auto"/>
          <w:highlight w:val="none"/>
          <w:u w:val="single"/>
          <w:lang w:val="en-US" w:eastAsia="zh-CN"/>
        </w:rPr>
      </w:pPr>
      <w:r>
        <w:rPr>
          <w:rFonts w:hint="eastAsia"/>
          <w:color w:val="auto"/>
          <w:highlight w:val="none"/>
          <w:lang w:val="en-US" w:eastAsia="zh-CN"/>
        </w:rPr>
        <w:t>其</w:t>
      </w:r>
      <w:r>
        <w:rPr>
          <w:rFonts w:hint="eastAsia"/>
          <w:color w:val="auto"/>
          <w:highlight w:val="none"/>
        </w:rPr>
        <w:t>他</w:t>
      </w:r>
      <w:r>
        <w:rPr>
          <w:rFonts w:hint="eastAsia"/>
          <w:color w:val="auto"/>
          <w:highlight w:val="none"/>
          <w:lang w:eastAsia="zh-CN"/>
        </w:rPr>
        <w:t>：</w:t>
      </w:r>
      <w:r>
        <w:rPr>
          <w:rFonts w:hint="eastAsia"/>
          <w:color w:val="auto"/>
          <w:highlight w:val="none"/>
          <w:u w:val="single"/>
          <w:lang w:val="en-US" w:eastAsia="zh-CN"/>
        </w:rPr>
        <w:t xml:space="preserve">        /       </w:t>
      </w:r>
    </w:p>
    <w:p w14:paraId="429D4045">
      <w:pPr>
        <w:pStyle w:val="7"/>
        <w:bidi w:val="0"/>
        <w:spacing w:line="360" w:lineRule="auto"/>
        <w:jc w:val="both"/>
        <w:rPr>
          <w:rFonts w:hint="eastAsia"/>
          <w:color w:val="auto"/>
          <w:highlight w:val="none"/>
        </w:rPr>
      </w:pPr>
      <w:r>
        <w:rPr>
          <w:rFonts w:hint="eastAsia"/>
          <w:color w:val="auto"/>
          <w:highlight w:val="none"/>
        </w:rPr>
        <w:t>16.4甲、乙双方同意所有附件是合同不可分割的一部分，与合同正文具有同等效力。若附件与合同正文有任何不一致，以合同正文为准。</w:t>
      </w:r>
    </w:p>
    <w:p w14:paraId="5DF975BA">
      <w:pPr>
        <w:pStyle w:val="7"/>
        <w:bidi w:val="0"/>
        <w:spacing w:line="360" w:lineRule="auto"/>
        <w:jc w:val="both"/>
        <w:rPr>
          <w:rFonts w:hint="eastAsia"/>
          <w:color w:val="auto"/>
          <w:highlight w:val="none"/>
        </w:rPr>
      </w:pPr>
      <w:r>
        <w:rPr>
          <w:rFonts w:hint="eastAsia"/>
          <w:color w:val="auto"/>
          <w:highlight w:val="none"/>
        </w:rPr>
        <w:t>16.5如需对合同内容做出任何修改和补充，应为书面形式</w:t>
      </w:r>
      <w:r>
        <w:rPr>
          <w:rFonts w:hint="eastAsia"/>
          <w:color w:val="auto"/>
          <w:highlight w:val="none"/>
          <w:lang w:val="en-US" w:eastAsia="zh-CN"/>
        </w:rPr>
        <w:t>且</w:t>
      </w:r>
      <w:r>
        <w:rPr>
          <w:rFonts w:hint="eastAsia"/>
          <w:color w:val="auto"/>
          <w:highlight w:val="none"/>
        </w:rPr>
        <w:t>由甲、乙双方另行签署。另行签署书面文件为本合同不可分割的组成部分，与本合同具有同等效力。</w:t>
      </w:r>
    </w:p>
    <w:p w14:paraId="20EB0950">
      <w:pPr>
        <w:pStyle w:val="7"/>
        <w:bidi w:val="0"/>
        <w:spacing w:line="240" w:lineRule="auto"/>
        <w:jc w:val="both"/>
        <w:rPr>
          <w:rFonts w:hint="eastAsia"/>
          <w:color w:val="auto"/>
          <w:highlight w:val="none"/>
        </w:rPr>
      </w:pPr>
      <w:r>
        <w:rPr>
          <w:rFonts w:hint="eastAsia"/>
          <w:color w:val="auto"/>
          <w:highlight w:val="none"/>
        </w:rPr>
        <w:t>16.6下列文件均视为本合同不可分割的组成部分，如果合同文件存在歧义或不一致，则根据如下优先次序来判断：</w:t>
      </w:r>
    </w:p>
    <w:p w14:paraId="48E95471">
      <w:pPr>
        <w:pStyle w:val="7"/>
        <w:bidi w:val="0"/>
        <w:spacing w:line="240" w:lineRule="auto"/>
        <w:jc w:val="both"/>
        <w:rPr>
          <w:rFonts w:hint="default" w:eastAsiaTheme="minorEastAsia"/>
          <w:color w:val="auto"/>
          <w:highlight w:val="none"/>
          <w:lang w:val="en-US" w:eastAsia="zh-CN"/>
        </w:rPr>
      </w:pPr>
      <w:r>
        <w:rPr>
          <w:rFonts w:hint="eastAsia"/>
          <w:color w:val="auto"/>
          <w:highlight w:val="none"/>
        </w:rPr>
        <w:t>（1）本合同</w:t>
      </w:r>
      <w:r>
        <w:rPr>
          <w:rFonts w:hint="eastAsia"/>
          <w:color w:val="auto"/>
          <w:highlight w:val="none"/>
          <w:lang w:val="en-US" w:eastAsia="zh-CN"/>
        </w:rPr>
        <w:t>补充合同</w:t>
      </w:r>
    </w:p>
    <w:p w14:paraId="2E6C9207">
      <w:pPr>
        <w:pStyle w:val="7"/>
        <w:bidi w:val="0"/>
        <w:spacing w:line="240" w:lineRule="auto"/>
        <w:jc w:val="both"/>
        <w:rPr>
          <w:rFonts w:hint="eastAsia"/>
          <w:color w:val="auto"/>
          <w:highlight w:val="none"/>
        </w:rPr>
      </w:pPr>
      <w:r>
        <w:rPr>
          <w:rFonts w:hint="eastAsia"/>
          <w:color w:val="auto"/>
          <w:highlight w:val="none"/>
        </w:rPr>
        <w:t>（2）</w:t>
      </w:r>
      <w:r>
        <w:rPr>
          <w:rFonts w:hint="eastAsia"/>
          <w:color w:val="auto"/>
          <w:highlight w:val="none"/>
          <w:lang w:val="en-US" w:eastAsia="zh-CN"/>
        </w:rPr>
        <w:t>本合同特别约定条款</w:t>
      </w:r>
    </w:p>
    <w:p w14:paraId="2EDA2136">
      <w:pPr>
        <w:pStyle w:val="7"/>
        <w:bidi w:val="0"/>
        <w:spacing w:line="240" w:lineRule="auto"/>
        <w:jc w:val="both"/>
        <w:rPr>
          <w:rFonts w:hint="eastAsia"/>
          <w:color w:val="auto"/>
          <w:highlight w:val="none"/>
          <w:lang w:val="en-US" w:eastAsia="zh-CN"/>
        </w:rPr>
      </w:pPr>
      <w:r>
        <w:rPr>
          <w:rFonts w:hint="eastAsia"/>
          <w:color w:val="auto"/>
          <w:highlight w:val="none"/>
          <w:lang w:eastAsia="zh-CN"/>
        </w:rPr>
        <w:t>（</w:t>
      </w:r>
      <w:r>
        <w:rPr>
          <w:rFonts w:hint="eastAsia"/>
          <w:color w:val="auto"/>
          <w:highlight w:val="none"/>
          <w:lang w:val="en-US" w:eastAsia="zh-CN"/>
        </w:rPr>
        <w:t>3</w:t>
      </w:r>
      <w:r>
        <w:rPr>
          <w:rFonts w:hint="eastAsia"/>
          <w:color w:val="auto"/>
          <w:highlight w:val="none"/>
          <w:lang w:eastAsia="zh-CN"/>
        </w:rPr>
        <w:t>）</w:t>
      </w:r>
      <w:r>
        <w:rPr>
          <w:rFonts w:hint="eastAsia"/>
          <w:color w:val="auto"/>
          <w:highlight w:val="none"/>
          <w:lang w:val="en-US" w:eastAsia="zh-CN"/>
        </w:rPr>
        <w:t>本合同其他正文条款</w:t>
      </w:r>
    </w:p>
    <w:p w14:paraId="46ED1D62">
      <w:pPr>
        <w:pStyle w:val="7"/>
        <w:bidi w:val="0"/>
        <w:spacing w:line="240" w:lineRule="auto"/>
        <w:jc w:val="both"/>
        <w:rPr>
          <w:rFonts w:hint="default"/>
          <w:color w:val="auto"/>
          <w:highlight w:val="none"/>
          <w:lang w:val="en-US" w:eastAsia="zh-CN"/>
        </w:rPr>
      </w:pPr>
      <w:r>
        <w:rPr>
          <w:rFonts w:hint="eastAsia"/>
          <w:color w:val="auto"/>
          <w:highlight w:val="none"/>
          <w:lang w:val="en-US" w:eastAsia="zh-CN"/>
        </w:rPr>
        <w:t>（4）合同附件</w:t>
      </w:r>
    </w:p>
    <w:p w14:paraId="006A57A2">
      <w:pPr>
        <w:pStyle w:val="7"/>
        <w:bidi w:val="0"/>
        <w:spacing w:line="240" w:lineRule="auto"/>
        <w:jc w:val="both"/>
        <w:rPr>
          <w:rFonts w:hint="default"/>
          <w:color w:val="auto"/>
          <w:highlight w:val="none"/>
          <w:lang w:val="en-US" w:eastAsia="zh-CN"/>
        </w:rPr>
      </w:pPr>
      <w:r>
        <w:rPr>
          <w:rFonts w:hint="eastAsia"/>
          <w:color w:val="auto"/>
          <w:highlight w:val="none"/>
          <w:lang w:val="en-US" w:eastAsia="zh-CN"/>
        </w:rPr>
        <w:t>（5）</w:t>
      </w:r>
      <w:r>
        <w:rPr>
          <w:rFonts w:hint="eastAsia"/>
          <w:color w:val="auto"/>
          <w:highlight w:val="none"/>
        </w:rPr>
        <w:t>中标通知书</w:t>
      </w:r>
    </w:p>
    <w:p w14:paraId="3E0EA62A">
      <w:pPr>
        <w:pStyle w:val="7"/>
        <w:bidi w:val="0"/>
        <w:spacing w:line="240" w:lineRule="auto"/>
        <w:jc w:val="both"/>
        <w:rPr>
          <w:rFonts w:hint="eastAsia"/>
          <w:color w:val="auto"/>
          <w:highlight w:val="none"/>
        </w:rPr>
      </w:pPr>
      <w:r>
        <w:rPr>
          <w:rFonts w:hint="eastAsia"/>
          <w:color w:val="auto"/>
          <w:highlight w:val="none"/>
          <w:lang w:eastAsia="zh-CN"/>
        </w:rPr>
        <w:t>（</w:t>
      </w:r>
      <w:r>
        <w:rPr>
          <w:rFonts w:hint="eastAsia"/>
          <w:color w:val="auto"/>
          <w:highlight w:val="none"/>
          <w:lang w:val="en-US" w:eastAsia="zh-CN"/>
        </w:rPr>
        <w:t>6</w:t>
      </w:r>
      <w:r>
        <w:rPr>
          <w:rFonts w:hint="eastAsia"/>
          <w:color w:val="auto"/>
          <w:highlight w:val="none"/>
          <w:lang w:eastAsia="zh-CN"/>
        </w:rPr>
        <w:t>）</w:t>
      </w:r>
      <w:r>
        <w:rPr>
          <w:rFonts w:hint="eastAsia"/>
          <w:color w:val="auto"/>
          <w:highlight w:val="none"/>
        </w:rPr>
        <w:t>投标文件</w:t>
      </w:r>
    </w:p>
    <w:p w14:paraId="2E80B72B">
      <w:pPr>
        <w:pStyle w:val="7"/>
        <w:bidi w:val="0"/>
        <w:spacing w:line="240" w:lineRule="auto"/>
        <w:jc w:val="both"/>
        <w:rPr>
          <w:rFonts w:hint="eastAsia"/>
          <w:color w:val="auto"/>
          <w:highlight w:val="none"/>
        </w:rPr>
      </w:pPr>
      <w:r>
        <w:rPr>
          <w:rFonts w:hint="eastAsia"/>
          <w:color w:val="auto"/>
          <w:highlight w:val="none"/>
        </w:rPr>
        <w:t>（</w:t>
      </w:r>
      <w:r>
        <w:rPr>
          <w:rFonts w:hint="eastAsia"/>
          <w:color w:val="auto"/>
          <w:highlight w:val="none"/>
          <w:lang w:val="en-US" w:eastAsia="zh-CN"/>
        </w:rPr>
        <w:t>7</w:t>
      </w:r>
      <w:r>
        <w:rPr>
          <w:rFonts w:hint="eastAsia"/>
          <w:color w:val="auto"/>
          <w:highlight w:val="none"/>
        </w:rPr>
        <w:t>）招标文件</w:t>
      </w:r>
    </w:p>
    <w:p w14:paraId="22FD3552">
      <w:pPr>
        <w:pStyle w:val="7"/>
        <w:bidi w:val="0"/>
        <w:spacing w:line="240" w:lineRule="auto"/>
        <w:jc w:val="both"/>
        <w:rPr>
          <w:rFonts w:hint="eastAsia"/>
          <w:color w:val="auto"/>
          <w:highlight w:val="none"/>
        </w:rPr>
      </w:pPr>
      <w:r>
        <w:rPr>
          <w:rFonts w:hint="eastAsia"/>
          <w:color w:val="auto"/>
          <w:highlight w:val="none"/>
        </w:rPr>
        <w:t>（</w:t>
      </w:r>
      <w:r>
        <w:rPr>
          <w:rFonts w:hint="eastAsia"/>
          <w:color w:val="auto"/>
          <w:highlight w:val="none"/>
          <w:lang w:val="en-US" w:eastAsia="zh-CN"/>
        </w:rPr>
        <w:t>8</w:t>
      </w:r>
      <w:r>
        <w:rPr>
          <w:rFonts w:hint="eastAsia"/>
          <w:color w:val="auto"/>
          <w:highlight w:val="none"/>
        </w:rPr>
        <w:t>）</w:t>
      </w:r>
      <w:r>
        <w:rPr>
          <w:rFonts w:hint="eastAsia"/>
          <w:color w:val="auto"/>
          <w:highlight w:val="none"/>
          <w:lang w:val="en-US" w:eastAsia="zh-CN"/>
        </w:rPr>
        <w:t>其</w:t>
      </w:r>
      <w:r>
        <w:rPr>
          <w:rFonts w:hint="eastAsia"/>
          <w:color w:val="auto"/>
          <w:highlight w:val="none"/>
        </w:rPr>
        <w:t>他：</w:t>
      </w:r>
      <w:r>
        <w:rPr>
          <w:rFonts w:hint="eastAsia"/>
          <w:color w:val="auto"/>
          <w:highlight w:val="none"/>
          <w:u w:val="single"/>
          <w:lang w:val="en-US" w:eastAsia="zh-CN"/>
        </w:rPr>
        <w:t xml:space="preserve">         </w:t>
      </w:r>
      <w:r>
        <w:rPr>
          <w:rFonts w:hint="eastAsia"/>
          <w:color w:val="auto"/>
          <w:highlight w:val="none"/>
          <w:u w:val="single"/>
        </w:rPr>
        <w:t>\</w:t>
      </w:r>
      <w:r>
        <w:rPr>
          <w:rFonts w:hint="eastAsia"/>
          <w:color w:val="auto"/>
          <w:highlight w:val="none"/>
          <w:u w:val="none"/>
          <w:lang w:val="en-US" w:eastAsia="zh-CN"/>
        </w:rPr>
        <w:t xml:space="preserve">      </w:t>
      </w:r>
    </w:p>
    <w:p w14:paraId="2E323375">
      <w:pPr>
        <w:pStyle w:val="6"/>
        <w:kinsoku w:val="0"/>
        <w:overflowPunct w:val="0"/>
        <w:spacing w:before="120" w:beforeLines="50" w:after="120" w:afterLines="50" w:line="360" w:lineRule="auto"/>
        <w:ind w:left="0" w:firstLine="0" w:firstLineChars="0"/>
        <w:jc w:val="both"/>
        <w:rPr>
          <w:rFonts w:hint="eastAsia" w:asciiTheme="minorHAnsi" w:eastAsiaTheme="minorEastAsia" w:cstheme="minorBidi"/>
          <w:color w:val="auto"/>
          <w:kern w:val="0"/>
          <w:sz w:val="24"/>
          <w:szCs w:val="24"/>
          <w:highlight w:val="none"/>
          <w:lang w:bidi="ar"/>
        </w:rPr>
      </w:pPr>
      <w:r>
        <w:rPr>
          <w:rFonts w:hint="eastAsia" w:asciiTheme="minorHAnsi" w:eastAsiaTheme="minorEastAsia" w:cstheme="minorBidi"/>
          <w:color w:val="auto"/>
          <w:kern w:val="0"/>
          <w:sz w:val="24"/>
          <w:szCs w:val="24"/>
          <w:highlight w:val="none"/>
          <w:lang w:bidi="ar"/>
        </w:rPr>
        <w:t>16.7本合同及其附件为中文本，共有</w:t>
      </w:r>
      <w:r>
        <w:rPr>
          <w:rFonts w:hint="eastAsia" w:asciiTheme="minorHAnsi" w:eastAsiaTheme="minorEastAsia" w:cstheme="minorBidi"/>
          <w:color w:val="auto"/>
          <w:kern w:val="0"/>
          <w:sz w:val="24"/>
          <w:szCs w:val="24"/>
          <w:highlight w:val="none"/>
          <w:u w:val="single"/>
          <w:lang w:val="en-US" w:eastAsia="zh-CN" w:bidi="ar"/>
        </w:rPr>
        <w:t xml:space="preserve"> 肆 </w:t>
      </w:r>
      <w:r>
        <w:rPr>
          <w:rFonts w:hint="eastAsia" w:asciiTheme="minorHAnsi" w:eastAsiaTheme="minorEastAsia" w:cstheme="minorBidi"/>
          <w:color w:val="auto"/>
          <w:kern w:val="0"/>
          <w:sz w:val="24"/>
          <w:szCs w:val="24"/>
          <w:highlight w:val="none"/>
          <w:lang w:bidi="ar"/>
        </w:rPr>
        <w:t>份原件，甲乙双方各持</w:t>
      </w:r>
      <w:r>
        <w:rPr>
          <w:rFonts w:hint="eastAsia" w:asciiTheme="minorHAnsi" w:eastAsiaTheme="minorEastAsia" w:cstheme="minorBidi"/>
          <w:color w:val="auto"/>
          <w:kern w:val="0"/>
          <w:sz w:val="24"/>
          <w:szCs w:val="24"/>
          <w:highlight w:val="none"/>
          <w:u w:val="single"/>
          <w:lang w:val="en-US" w:eastAsia="zh-CN" w:bidi="ar"/>
        </w:rPr>
        <w:t xml:space="preserve"> 贰 </w:t>
      </w:r>
      <w:r>
        <w:rPr>
          <w:rFonts w:hint="eastAsia" w:asciiTheme="minorHAnsi" w:eastAsiaTheme="minorEastAsia" w:cstheme="minorBidi"/>
          <w:color w:val="auto"/>
          <w:kern w:val="0"/>
          <w:sz w:val="24"/>
          <w:szCs w:val="24"/>
          <w:highlight w:val="none"/>
          <w:lang w:bidi="ar"/>
        </w:rPr>
        <w:t>份，</w:t>
      </w:r>
      <w:r>
        <w:rPr>
          <w:rFonts w:hint="eastAsia" w:asciiTheme="minorHAnsi" w:eastAsiaTheme="minorEastAsia" w:cstheme="minorBidi"/>
          <w:color w:val="auto"/>
          <w:kern w:val="0"/>
          <w:sz w:val="24"/>
          <w:szCs w:val="24"/>
          <w:highlight w:val="none"/>
          <w:lang w:val="en-US" w:eastAsia="zh-CN" w:bidi="ar"/>
        </w:rPr>
        <w:t>均</w:t>
      </w:r>
      <w:r>
        <w:rPr>
          <w:rFonts w:hint="eastAsia" w:asciiTheme="minorHAnsi" w:eastAsiaTheme="minorEastAsia" w:cstheme="minorBidi"/>
          <w:color w:val="auto"/>
          <w:kern w:val="0"/>
          <w:sz w:val="24"/>
          <w:szCs w:val="24"/>
          <w:highlight w:val="none"/>
          <w:lang w:bidi="ar"/>
        </w:rPr>
        <w:t>具有同等法律效力。未尽事宜，双方可另行协商签订补充</w:t>
      </w:r>
      <w:r>
        <w:rPr>
          <w:rFonts w:hint="eastAsia" w:asciiTheme="minorHAnsi" w:eastAsiaTheme="minorEastAsia" w:cstheme="minorBidi"/>
          <w:color w:val="auto"/>
          <w:kern w:val="0"/>
          <w:sz w:val="24"/>
          <w:szCs w:val="24"/>
          <w:highlight w:val="none"/>
          <w:lang w:val="en-US" w:eastAsia="zh-CN" w:bidi="ar"/>
        </w:rPr>
        <w:t>合同</w:t>
      </w:r>
      <w:r>
        <w:rPr>
          <w:rFonts w:hint="eastAsia" w:asciiTheme="minorHAnsi" w:eastAsiaTheme="minorEastAsia" w:cstheme="minorBidi"/>
          <w:color w:val="auto"/>
          <w:kern w:val="0"/>
          <w:sz w:val="24"/>
          <w:szCs w:val="24"/>
          <w:highlight w:val="none"/>
          <w:lang w:bidi="ar"/>
        </w:rPr>
        <w:t>。补充</w:t>
      </w:r>
      <w:r>
        <w:rPr>
          <w:rFonts w:hint="eastAsia" w:asciiTheme="minorHAnsi" w:eastAsiaTheme="minorEastAsia" w:cstheme="minorBidi"/>
          <w:color w:val="auto"/>
          <w:kern w:val="0"/>
          <w:sz w:val="24"/>
          <w:szCs w:val="24"/>
          <w:highlight w:val="none"/>
          <w:lang w:val="en-US" w:eastAsia="zh-CN" w:bidi="ar"/>
        </w:rPr>
        <w:t>合同</w:t>
      </w:r>
      <w:r>
        <w:rPr>
          <w:rFonts w:hint="eastAsia" w:asciiTheme="minorHAnsi" w:eastAsiaTheme="minorEastAsia" w:cstheme="minorBidi"/>
          <w:color w:val="auto"/>
          <w:kern w:val="0"/>
          <w:sz w:val="24"/>
          <w:szCs w:val="24"/>
          <w:highlight w:val="none"/>
          <w:lang w:bidi="ar"/>
        </w:rPr>
        <w:t>是本</w:t>
      </w:r>
      <w:r>
        <w:rPr>
          <w:rFonts w:hint="eastAsia" w:asciiTheme="minorHAnsi" w:eastAsiaTheme="minorEastAsia" w:cstheme="minorBidi"/>
          <w:color w:val="auto"/>
          <w:kern w:val="0"/>
          <w:sz w:val="24"/>
          <w:szCs w:val="24"/>
          <w:highlight w:val="none"/>
          <w:lang w:val="en-US" w:eastAsia="zh-CN" w:bidi="ar"/>
        </w:rPr>
        <w:t>合同</w:t>
      </w:r>
      <w:r>
        <w:rPr>
          <w:rFonts w:hint="eastAsia" w:asciiTheme="minorHAnsi" w:eastAsiaTheme="minorEastAsia" w:cstheme="minorBidi"/>
          <w:color w:val="auto"/>
          <w:kern w:val="0"/>
          <w:sz w:val="24"/>
          <w:szCs w:val="24"/>
          <w:highlight w:val="none"/>
          <w:lang w:bidi="ar"/>
        </w:rPr>
        <w:t>不可分割部分，具有同等效力。补充</w:t>
      </w:r>
      <w:r>
        <w:rPr>
          <w:rFonts w:hint="eastAsia" w:asciiTheme="minorHAnsi" w:eastAsiaTheme="minorEastAsia" w:cstheme="minorBidi"/>
          <w:color w:val="auto"/>
          <w:kern w:val="0"/>
          <w:sz w:val="24"/>
          <w:szCs w:val="24"/>
          <w:highlight w:val="none"/>
          <w:lang w:val="en-US" w:eastAsia="zh-CN" w:bidi="ar"/>
        </w:rPr>
        <w:t>合同</w:t>
      </w:r>
      <w:r>
        <w:rPr>
          <w:rFonts w:hint="eastAsia" w:asciiTheme="minorHAnsi" w:eastAsiaTheme="minorEastAsia" w:cstheme="minorBidi"/>
          <w:color w:val="auto"/>
          <w:kern w:val="0"/>
          <w:sz w:val="24"/>
          <w:szCs w:val="24"/>
          <w:highlight w:val="none"/>
          <w:lang w:bidi="ar"/>
        </w:rPr>
        <w:t>与本</w:t>
      </w:r>
      <w:r>
        <w:rPr>
          <w:rFonts w:hint="eastAsia" w:asciiTheme="minorHAnsi" w:eastAsiaTheme="minorEastAsia" w:cstheme="minorBidi"/>
          <w:color w:val="auto"/>
          <w:kern w:val="0"/>
          <w:sz w:val="24"/>
          <w:szCs w:val="24"/>
          <w:highlight w:val="none"/>
          <w:lang w:val="en-US" w:eastAsia="zh-CN" w:bidi="ar"/>
        </w:rPr>
        <w:t>合同</w:t>
      </w:r>
      <w:r>
        <w:rPr>
          <w:rFonts w:hint="eastAsia" w:asciiTheme="minorHAnsi" w:eastAsiaTheme="minorEastAsia" w:cstheme="minorBidi"/>
          <w:color w:val="auto"/>
          <w:kern w:val="0"/>
          <w:sz w:val="24"/>
          <w:szCs w:val="24"/>
          <w:highlight w:val="none"/>
          <w:lang w:bidi="ar"/>
        </w:rPr>
        <w:t>冲突的，视同本</w:t>
      </w:r>
      <w:r>
        <w:rPr>
          <w:rFonts w:hint="eastAsia" w:asciiTheme="minorHAnsi" w:eastAsiaTheme="minorEastAsia" w:cstheme="minorBidi"/>
          <w:color w:val="auto"/>
          <w:kern w:val="0"/>
          <w:sz w:val="24"/>
          <w:szCs w:val="24"/>
          <w:highlight w:val="none"/>
          <w:lang w:val="en-US" w:eastAsia="zh-CN" w:bidi="ar"/>
        </w:rPr>
        <w:t>合同</w:t>
      </w:r>
      <w:r>
        <w:rPr>
          <w:rFonts w:hint="eastAsia" w:asciiTheme="minorHAnsi" w:eastAsiaTheme="minorEastAsia" w:cstheme="minorBidi"/>
          <w:color w:val="auto"/>
          <w:kern w:val="0"/>
          <w:sz w:val="24"/>
          <w:szCs w:val="24"/>
          <w:highlight w:val="none"/>
          <w:lang w:bidi="ar"/>
        </w:rPr>
        <w:t>变更，以补充</w:t>
      </w:r>
      <w:r>
        <w:rPr>
          <w:rFonts w:hint="eastAsia" w:asciiTheme="minorHAnsi" w:eastAsiaTheme="minorEastAsia" w:cstheme="minorBidi"/>
          <w:color w:val="auto"/>
          <w:kern w:val="0"/>
          <w:sz w:val="24"/>
          <w:szCs w:val="24"/>
          <w:highlight w:val="none"/>
          <w:lang w:val="en-US" w:eastAsia="zh-CN" w:bidi="ar"/>
        </w:rPr>
        <w:t>合同</w:t>
      </w:r>
      <w:r>
        <w:rPr>
          <w:rFonts w:hint="eastAsia" w:asciiTheme="minorHAnsi" w:eastAsiaTheme="minorEastAsia" w:cstheme="minorBidi"/>
          <w:color w:val="auto"/>
          <w:kern w:val="0"/>
          <w:sz w:val="24"/>
          <w:szCs w:val="24"/>
          <w:highlight w:val="none"/>
          <w:lang w:bidi="ar"/>
        </w:rPr>
        <w:t>为准。</w:t>
      </w:r>
    </w:p>
    <w:p w14:paraId="6B16C4D9">
      <w:pPr>
        <w:pStyle w:val="7"/>
        <w:bidi w:val="0"/>
        <w:spacing w:line="560" w:lineRule="exact"/>
        <w:ind w:left="6240" w:hanging="6240" w:hangingChars="2600"/>
        <w:rPr>
          <w:rFonts w:hint="default"/>
          <w:color w:val="auto"/>
          <w:highlight w:val="none"/>
          <w:lang w:val="en-US" w:eastAsia="zh-CN"/>
        </w:rPr>
      </w:pPr>
      <w:r>
        <w:rPr>
          <w:rFonts w:hint="eastAsia"/>
          <w:color w:val="auto"/>
          <w:highlight w:val="none"/>
        </w:rPr>
        <w:t>甲方（盖章）：</w:t>
      </w:r>
      <w:r>
        <w:rPr>
          <w:rFonts w:hint="eastAsia"/>
          <w:color w:val="auto"/>
          <w:highlight w:val="none"/>
          <w:lang w:val="en-US" w:eastAsia="zh-CN"/>
        </w:rPr>
        <w:t xml:space="preserve">厦门市住房保障中心     </w:t>
      </w:r>
      <w:r>
        <w:rPr>
          <w:rFonts w:hint="eastAsia"/>
          <w:color w:val="auto"/>
          <w:highlight w:val="none"/>
        </w:rPr>
        <w:t>乙方（盖章）：</w:t>
      </w:r>
    </w:p>
    <w:p w14:paraId="61F3D3FB">
      <w:pPr>
        <w:pStyle w:val="7"/>
        <w:bidi w:val="0"/>
        <w:spacing w:line="560" w:lineRule="exact"/>
        <w:rPr>
          <w:rFonts w:hint="eastAsia"/>
          <w:color w:val="auto"/>
          <w:highlight w:val="none"/>
        </w:rPr>
      </w:pPr>
      <w:r>
        <w:rPr>
          <w:rFonts w:hint="eastAsia"/>
          <w:color w:val="auto"/>
          <w:highlight w:val="none"/>
        </w:rPr>
        <w:t>法定代表人（签字）：</w:t>
      </w:r>
      <w:r>
        <w:rPr>
          <w:rFonts w:hint="eastAsia"/>
          <w:color w:val="auto"/>
          <w:highlight w:val="none"/>
          <w:lang w:val="en-US" w:eastAsia="zh-CN"/>
        </w:rPr>
        <w:t xml:space="preserve">                 </w:t>
      </w:r>
      <w:r>
        <w:rPr>
          <w:rFonts w:hint="eastAsia"/>
          <w:color w:val="auto"/>
          <w:highlight w:val="none"/>
        </w:rPr>
        <w:t>法定代表人（签字）：</w:t>
      </w:r>
    </w:p>
    <w:p w14:paraId="054A0540">
      <w:pPr>
        <w:pStyle w:val="7"/>
        <w:bidi w:val="0"/>
        <w:spacing w:line="560" w:lineRule="exact"/>
        <w:rPr>
          <w:rFonts w:hint="eastAsia"/>
          <w:color w:val="auto"/>
          <w:highlight w:val="none"/>
        </w:rPr>
      </w:pPr>
      <w:r>
        <w:rPr>
          <w:rFonts w:hint="eastAsia"/>
          <w:color w:val="auto"/>
          <w:highlight w:val="none"/>
        </w:rPr>
        <w:t>（或授权代 理人）：</w:t>
      </w:r>
      <w:r>
        <w:rPr>
          <w:rFonts w:hint="eastAsia"/>
          <w:color w:val="auto"/>
          <w:highlight w:val="none"/>
          <w:lang w:val="en-US" w:eastAsia="zh-CN"/>
        </w:rPr>
        <w:t xml:space="preserve">                  </w:t>
      </w:r>
      <w:r>
        <w:rPr>
          <w:rFonts w:hint="eastAsia"/>
          <w:color w:val="auto"/>
          <w:highlight w:val="none"/>
        </w:rPr>
        <w:t>（或授权代 理人）：</w:t>
      </w:r>
    </w:p>
    <w:p w14:paraId="437572EF">
      <w:pPr>
        <w:pStyle w:val="7"/>
        <w:bidi w:val="0"/>
        <w:spacing w:line="560" w:lineRule="exact"/>
        <w:jc w:val="both"/>
        <w:rPr>
          <w:rFonts w:hint="eastAsia"/>
          <w:color w:val="auto"/>
          <w:highlight w:val="none"/>
          <w:lang w:val="en-US" w:eastAsia="zh-CN"/>
        </w:rPr>
      </w:pPr>
      <w:r>
        <w:rPr>
          <w:rFonts w:hint="eastAsia"/>
          <w:color w:val="auto"/>
          <w:highlight w:val="none"/>
        </w:rPr>
        <w:t>合同签订时间：</w:t>
      </w:r>
      <w:r>
        <w:rPr>
          <w:rFonts w:hint="eastAsia"/>
          <w:color w:val="auto"/>
          <w:highlight w:val="none"/>
          <w:lang w:val="en-US" w:eastAsia="zh-CN"/>
        </w:rPr>
        <w:t xml:space="preserve">                        </w:t>
      </w:r>
      <w:r>
        <w:rPr>
          <w:rFonts w:hint="eastAsia"/>
          <w:color w:val="auto"/>
          <w:highlight w:val="none"/>
        </w:rPr>
        <w:t>合同签订时间：</w:t>
      </w:r>
      <w:r>
        <w:rPr>
          <w:rFonts w:hint="eastAsia"/>
          <w:color w:val="auto"/>
          <w:highlight w:val="none"/>
          <w:lang w:val="en-US" w:eastAsia="zh-CN"/>
        </w:rPr>
        <w:t xml:space="preserve"> </w:t>
      </w:r>
    </w:p>
    <w:p w14:paraId="6CE8FFBB">
      <w:pPr>
        <w:pStyle w:val="7"/>
        <w:bidi w:val="0"/>
        <w:spacing w:line="560" w:lineRule="exact"/>
        <w:jc w:val="both"/>
        <w:rPr>
          <w:rFonts w:hint="eastAsia"/>
          <w:color w:val="auto"/>
          <w:highlight w:val="none"/>
          <w:lang w:val="en-US" w:eastAsia="zh-CN"/>
        </w:rPr>
      </w:pPr>
    </w:p>
    <w:p w14:paraId="25FDBD67">
      <w:pPr>
        <w:pStyle w:val="7"/>
        <w:bidi w:val="0"/>
        <w:spacing w:line="560" w:lineRule="exact"/>
        <w:jc w:val="both"/>
        <w:rPr>
          <w:rFonts w:hint="eastAsia"/>
          <w:color w:val="auto"/>
          <w:highlight w:val="none"/>
          <w:lang w:val="en-US" w:eastAsia="zh-CN"/>
        </w:rPr>
      </w:pPr>
    </w:p>
    <w:p w14:paraId="4292A69A">
      <w:pPr>
        <w:pStyle w:val="7"/>
        <w:bidi w:val="0"/>
        <w:spacing w:line="560" w:lineRule="exact"/>
        <w:jc w:val="both"/>
        <w:rPr>
          <w:rFonts w:hint="eastAsia"/>
          <w:color w:val="auto"/>
          <w:highlight w:val="none"/>
          <w:lang w:val="en-US" w:eastAsia="zh-CN"/>
        </w:rPr>
      </w:pPr>
    </w:p>
    <w:p w14:paraId="51DD55E1">
      <w:pPr>
        <w:bidi w:val="0"/>
        <w:jc w:val="both"/>
        <w:rPr>
          <w:rStyle w:val="10"/>
          <w:rFonts w:hint="eastAsia" w:ascii="宋体" w:hAnsi="宋体" w:eastAsia="宋体" w:cs="宋体"/>
          <w:i w:val="0"/>
          <w:iCs w:val="0"/>
          <w:caps w:val="0"/>
          <w:color w:val="auto"/>
          <w:spacing w:val="0"/>
          <w:sz w:val="24"/>
          <w:szCs w:val="24"/>
          <w:highlight w:val="none"/>
          <w:lang w:eastAsia="zh-CN"/>
        </w:rPr>
      </w:pPr>
      <w:r>
        <w:rPr>
          <w:rStyle w:val="10"/>
          <w:rFonts w:hint="eastAsia" w:ascii="宋体" w:hAnsi="宋体" w:eastAsia="宋体" w:cs="宋体"/>
          <w:i w:val="0"/>
          <w:iCs w:val="0"/>
          <w:caps w:val="0"/>
          <w:color w:val="auto"/>
          <w:spacing w:val="0"/>
          <w:sz w:val="24"/>
          <w:szCs w:val="24"/>
          <w:highlight w:val="none"/>
          <w:lang w:eastAsia="zh-CN"/>
        </w:rPr>
        <w:br w:type="page"/>
      </w:r>
    </w:p>
    <w:p w14:paraId="23842175">
      <w:pPr>
        <w:pStyle w:val="7"/>
        <w:bidi w:val="0"/>
        <w:spacing w:line="560" w:lineRule="exact"/>
        <w:jc w:val="both"/>
        <w:outlineLvl w:val="1"/>
        <w:rPr>
          <w:rFonts w:hint="eastAsia"/>
          <w:color w:val="auto"/>
          <w:highlight w:val="none"/>
          <w:lang w:val="en-US" w:eastAsia="zh-CN"/>
        </w:rPr>
      </w:pPr>
      <w:r>
        <w:rPr>
          <w:rStyle w:val="10"/>
          <w:rFonts w:hint="eastAsia" w:ascii="宋体" w:hAnsi="宋体" w:eastAsia="宋体" w:cs="宋体"/>
          <w:i w:val="0"/>
          <w:iCs w:val="0"/>
          <w:caps w:val="0"/>
          <w:color w:val="auto"/>
          <w:spacing w:val="0"/>
          <w:sz w:val="24"/>
          <w:szCs w:val="24"/>
          <w:highlight w:val="none"/>
          <w:lang w:eastAsia="zh-CN"/>
        </w:rPr>
        <w:t>附件</w:t>
      </w:r>
      <w:r>
        <w:rPr>
          <w:rStyle w:val="10"/>
          <w:rFonts w:hint="eastAsia" w:ascii="宋体" w:hAnsi="宋体" w:eastAsia="宋体" w:cs="宋体"/>
          <w:i w:val="0"/>
          <w:iCs w:val="0"/>
          <w:caps w:val="0"/>
          <w:color w:val="auto"/>
          <w:spacing w:val="0"/>
          <w:sz w:val="24"/>
          <w:szCs w:val="24"/>
          <w:highlight w:val="none"/>
          <w:lang w:val="en-US" w:eastAsia="zh-CN"/>
        </w:rPr>
        <w:t>1：</w:t>
      </w:r>
      <w:r>
        <w:rPr>
          <w:rStyle w:val="10"/>
          <w:rFonts w:hint="eastAsia" w:ascii="宋体" w:hAnsi="宋体" w:eastAsia="宋体" w:cs="宋体"/>
          <w:i w:val="0"/>
          <w:iCs w:val="0"/>
          <w:caps w:val="0"/>
          <w:color w:val="auto"/>
          <w:spacing w:val="0"/>
          <w:sz w:val="24"/>
          <w:szCs w:val="24"/>
          <w:highlight w:val="none"/>
        </w:rPr>
        <w:t>保障房小区安全管理服务</w:t>
      </w:r>
      <w:r>
        <w:rPr>
          <w:rStyle w:val="10"/>
          <w:rFonts w:hint="eastAsia" w:ascii="宋体" w:hAnsi="宋体" w:eastAsia="宋体" w:cs="宋体"/>
          <w:i w:val="0"/>
          <w:iCs w:val="0"/>
          <w:caps w:val="0"/>
          <w:color w:val="auto"/>
          <w:spacing w:val="0"/>
          <w:sz w:val="24"/>
          <w:szCs w:val="24"/>
          <w:highlight w:val="none"/>
          <w:lang w:eastAsia="zh-CN"/>
        </w:rPr>
        <w:t>季度考核标准</w:t>
      </w:r>
    </w:p>
    <w:tbl>
      <w:tblPr>
        <w:tblStyle w:val="8"/>
        <w:tblW w:w="8519" w:type="dxa"/>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Layout w:type="fixed"/>
        <w:tblCellMar>
          <w:top w:w="0" w:type="dxa"/>
          <w:left w:w="108" w:type="dxa"/>
          <w:bottom w:w="0" w:type="dxa"/>
          <w:right w:w="108" w:type="dxa"/>
        </w:tblCellMar>
      </w:tblPr>
      <w:tblGrid>
        <w:gridCol w:w="2332"/>
        <w:gridCol w:w="934"/>
        <w:gridCol w:w="1549"/>
        <w:gridCol w:w="985"/>
        <w:gridCol w:w="653"/>
        <w:gridCol w:w="647"/>
        <w:gridCol w:w="1419"/>
      </w:tblGrid>
      <w:tr w14:paraId="3ED7D0F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303" w:hRule="atLeast"/>
        </w:trPr>
        <w:tc>
          <w:tcPr>
            <w:tcW w:w="8519" w:type="dxa"/>
            <w:gridSpan w:val="7"/>
            <w:tcBorders>
              <w:tl2br w:val="nil"/>
              <w:tr2bl w:val="nil"/>
            </w:tcBorders>
            <w:shd w:val="clear" w:color="auto" w:fill="auto"/>
            <w:vAlign w:val="top"/>
          </w:tcPr>
          <w:p w14:paraId="194ABD51">
            <w:pPr>
              <w:keepNext w:val="0"/>
              <w:keepLines w:val="0"/>
              <w:widowControl/>
              <w:suppressLineNumbers w:val="0"/>
              <w:spacing w:before="0" w:beforeAutospacing="0" w:after="0" w:afterAutospacing="0"/>
              <w:ind w:left="0" w:right="0"/>
              <w:jc w:val="center"/>
              <w:textAlignment w:val="top"/>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保障房小区安全管理服务季度考核标准</w:t>
            </w:r>
          </w:p>
        </w:tc>
      </w:tr>
      <w:tr w14:paraId="1A9B9D7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303" w:hRule="atLeast"/>
        </w:trPr>
        <w:tc>
          <w:tcPr>
            <w:tcW w:w="2332" w:type="dxa"/>
            <w:tcBorders>
              <w:tl2br w:val="nil"/>
              <w:tr2bl w:val="nil"/>
            </w:tcBorders>
            <w:shd w:val="clear" w:color="auto" w:fill="auto"/>
            <w:vAlign w:val="top"/>
          </w:tcPr>
          <w:p w14:paraId="31A7E6A9">
            <w:pPr>
              <w:keepNext w:val="0"/>
              <w:keepLines w:val="0"/>
              <w:widowControl/>
              <w:suppressLineNumbers w:val="0"/>
              <w:spacing w:before="0" w:beforeAutospacing="0" w:after="0" w:afterAutospacing="0"/>
              <w:ind w:left="0" w:right="0"/>
              <w:jc w:val="left"/>
              <w:textAlignment w:val="top"/>
              <w:rPr>
                <w:rFonts w:hint="default"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考核维度</w:t>
            </w:r>
          </w:p>
        </w:tc>
        <w:tc>
          <w:tcPr>
            <w:tcW w:w="934" w:type="dxa"/>
            <w:tcBorders>
              <w:tl2br w:val="nil"/>
              <w:tr2bl w:val="nil"/>
            </w:tcBorders>
            <w:shd w:val="clear" w:color="auto" w:fill="auto"/>
            <w:vAlign w:val="top"/>
          </w:tcPr>
          <w:p w14:paraId="225D2C8B">
            <w:pPr>
              <w:keepNext w:val="0"/>
              <w:keepLines w:val="0"/>
              <w:widowControl/>
              <w:suppressLineNumbers w:val="0"/>
              <w:spacing w:before="0" w:beforeAutospacing="0" w:after="0" w:afterAutospacing="0"/>
              <w:ind w:left="0" w:right="0"/>
              <w:jc w:val="left"/>
              <w:textAlignment w:val="top"/>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考核内容</w:t>
            </w:r>
          </w:p>
        </w:tc>
        <w:tc>
          <w:tcPr>
            <w:tcW w:w="1549" w:type="dxa"/>
            <w:tcBorders>
              <w:tl2br w:val="nil"/>
              <w:tr2bl w:val="nil"/>
            </w:tcBorders>
            <w:shd w:val="clear" w:color="auto" w:fill="auto"/>
            <w:vAlign w:val="top"/>
          </w:tcPr>
          <w:p w14:paraId="7BBD3555">
            <w:pPr>
              <w:keepNext w:val="0"/>
              <w:keepLines w:val="0"/>
              <w:widowControl/>
              <w:suppressLineNumbers w:val="0"/>
              <w:spacing w:before="0" w:beforeAutospacing="0" w:after="0" w:afterAutospacing="0"/>
              <w:ind w:left="0" w:right="0"/>
              <w:jc w:val="left"/>
              <w:textAlignment w:val="top"/>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评分标准</w:t>
            </w:r>
          </w:p>
        </w:tc>
        <w:tc>
          <w:tcPr>
            <w:tcW w:w="985" w:type="dxa"/>
            <w:tcBorders>
              <w:tl2br w:val="nil"/>
              <w:tr2bl w:val="nil"/>
            </w:tcBorders>
            <w:shd w:val="clear" w:color="auto" w:fill="auto"/>
            <w:vAlign w:val="top"/>
          </w:tcPr>
          <w:p w14:paraId="0929E2CE">
            <w:pPr>
              <w:keepNext w:val="0"/>
              <w:keepLines w:val="0"/>
              <w:widowControl/>
              <w:suppressLineNumbers w:val="0"/>
              <w:spacing w:before="0" w:beforeAutospacing="0" w:after="0" w:afterAutospacing="0"/>
              <w:ind w:left="0" w:right="0"/>
              <w:jc w:val="left"/>
              <w:textAlignment w:val="top"/>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满分分值</w:t>
            </w:r>
          </w:p>
        </w:tc>
        <w:tc>
          <w:tcPr>
            <w:tcW w:w="653" w:type="dxa"/>
            <w:tcBorders>
              <w:tl2br w:val="nil"/>
              <w:tr2bl w:val="nil"/>
            </w:tcBorders>
            <w:shd w:val="clear" w:color="auto" w:fill="auto"/>
            <w:vAlign w:val="top"/>
          </w:tcPr>
          <w:p w14:paraId="7623C7F3">
            <w:pPr>
              <w:keepNext w:val="0"/>
              <w:keepLines w:val="0"/>
              <w:widowControl/>
              <w:suppressLineNumbers w:val="0"/>
              <w:spacing w:before="0" w:beforeAutospacing="0" w:after="0" w:afterAutospacing="0"/>
              <w:ind w:left="0" w:right="0"/>
              <w:jc w:val="left"/>
              <w:textAlignment w:val="top"/>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扣分情况</w:t>
            </w:r>
          </w:p>
        </w:tc>
        <w:tc>
          <w:tcPr>
            <w:tcW w:w="647" w:type="dxa"/>
            <w:tcBorders>
              <w:tl2br w:val="nil"/>
              <w:tr2bl w:val="nil"/>
            </w:tcBorders>
            <w:shd w:val="clear" w:color="auto" w:fill="auto"/>
            <w:vAlign w:val="top"/>
          </w:tcPr>
          <w:p w14:paraId="0F04D71E">
            <w:pPr>
              <w:keepNext w:val="0"/>
              <w:keepLines w:val="0"/>
              <w:widowControl/>
              <w:suppressLineNumbers w:val="0"/>
              <w:spacing w:before="0" w:beforeAutospacing="0" w:after="0" w:afterAutospacing="0"/>
              <w:ind w:left="0" w:right="0"/>
              <w:jc w:val="left"/>
              <w:textAlignment w:val="top"/>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实得分</w:t>
            </w:r>
          </w:p>
        </w:tc>
        <w:tc>
          <w:tcPr>
            <w:tcW w:w="1419" w:type="dxa"/>
            <w:tcBorders>
              <w:tl2br w:val="nil"/>
              <w:tr2bl w:val="nil"/>
            </w:tcBorders>
            <w:shd w:val="clear" w:color="auto" w:fill="auto"/>
            <w:vAlign w:val="top"/>
          </w:tcPr>
          <w:p w14:paraId="17BA99A5">
            <w:pPr>
              <w:keepNext w:val="0"/>
              <w:keepLines w:val="0"/>
              <w:widowControl/>
              <w:suppressLineNumbers w:val="0"/>
              <w:spacing w:before="0" w:beforeAutospacing="0" w:after="0" w:afterAutospacing="0"/>
              <w:ind w:left="0" w:right="0"/>
              <w:jc w:val="left"/>
              <w:textAlignment w:val="top"/>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备注</w:t>
            </w:r>
          </w:p>
        </w:tc>
      </w:tr>
      <w:tr w14:paraId="672904C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879" w:hRule="atLeast"/>
        </w:trPr>
        <w:tc>
          <w:tcPr>
            <w:tcW w:w="2332" w:type="dxa"/>
            <w:vMerge w:val="restart"/>
            <w:tcBorders>
              <w:tl2br w:val="nil"/>
              <w:tr2bl w:val="nil"/>
            </w:tcBorders>
            <w:shd w:val="clear" w:color="auto" w:fill="auto"/>
            <w:vAlign w:val="top"/>
          </w:tcPr>
          <w:p w14:paraId="239EBBEC">
            <w:pPr>
              <w:keepNext w:val="0"/>
              <w:keepLines w:val="0"/>
              <w:widowControl/>
              <w:suppressLineNumbers w:val="0"/>
              <w:spacing w:before="0" w:beforeAutospacing="0" w:after="0" w:afterAutospacing="0"/>
              <w:ind w:left="0" w:right="0"/>
              <w:jc w:val="left"/>
              <w:textAlignment w:val="top"/>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服务内容完成情况（44分）</w:t>
            </w:r>
          </w:p>
        </w:tc>
        <w:tc>
          <w:tcPr>
            <w:tcW w:w="934" w:type="dxa"/>
            <w:tcBorders>
              <w:tl2br w:val="nil"/>
              <w:tr2bl w:val="nil"/>
            </w:tcBorders>
            <w:shd w:val="clear" w:color="auto" w:fill="auto"/>
            <w:vAlign w:val="top"/>
          </w:tcPr>
          <w:p w14:paraId="0EC3F9DB">
            <w:pPr>
              <w:keepNext w:val="0"/>
              <w:keepLines w:val="0"/>
              <w:widowControl/>
              <w:suppressLineNumbers w:val="0"/>
              <w:spacing w:before="0" w:beforeAutospacing="0" w:after="0" w:afterAutospacing="0"/>
              <w:ind w:left="0" w:right="0"/>
              <w:jc w:val="left"/>
              <w:textAlignment w:val="top"/>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安全防控体系构建与标准化提升</w:t>
            </w:r>
          </w:p>
        </w:tc>
        <w:tc>
          <w:tcPr>
            <w:tcW w:w="1549" w:type="dxa"/>
            <w:tcBorders>
              <w:tl2br w:val="nil"/>
              <w:tr2bl w:val="nil"/>
            </w:tcBorders>
            <w:shd w:val="clear" w:color="auto" w:fill="auto"/>
            <w:vAlign w:val="top"/>
          </w:tcPr>
          <w:p w14:paraId="5AB349C7">
            <w:pPr>
              <w:keepNext w:val="0"/>
              <w:keepLines w:val="0"/>
              <w:widowControl/>
              <w:suppressLineNumbers w:val="0"/>
              <w:spacing w:before="0" w:beforeAutospacing="0" w:after="0" w:afterAutospacing="0"/>
              <w:ind w:left="0" w:right="0"/>
              <w:jc w:val="left"/>
              <w:textAlignment w:val="top"/>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按要求指导物业建立标准化体系、完善台账，每半年完成台账梳理，未按要求完成1项扣2分，未完成自评扣3分，最低分0分。</w:t>
            </w:r>
          </w:p>
        </w:tc>
        <w:tc>
          <w:tcPr>
            <w:tcW w:w="985" w:type="dxa"/>
            <w:tcBorders>
              <w:tl2br w:val="nil"/>
              <w:tr2bl w:val="nil"/>
            </w:tcBorders>
            <w:shd w:val="clear" w:color="auto" w:fill="auto"/>
            <w:vAlign w:val="top"/>
          </w:tcPr>
          <w:p w14:paraId="4784C65B">
            <w:pPr>
              <w:keepNext w:val="0"/>
              <w:keepLines w:val="0"/>
              <w:widowControl/>
              <w:suppressLineNumbers w:val="0"/>
              <w:spacing w:before="0" w:beforeAutospacing="0" w:after="0" w:afterAutospacing="0"/>
              <w:ind w:left="0" w:right="0"/>
              <w:jc w:val="left"/>
              <w:textAlignment w:val="top"/>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6</w:t>
            </w:r>
          </w:p>
        </w:tc>
        <w:tc>
          <w:tcPr>
            <w:tcW w:w="653" w:type="dxa"/>
            <w:tcBorders>
              <w:tl2br w:val="nil"/>
              <w:tr2bl w:val="nil"/>
            </w:tcBorders>
            <w:shd w:val="clear" w:color="auto" w:fill="auto"/>
            <w:vAlign w:val="top"/>
          </w:tcPr>
          <w:p w14:paraId="2D5BD5A1">
            <w:pPr>
              <w:keepNext w:val="0"/>
              <w:keepLines w:val="0"/>
              <w:suppressLineNumbers w:val="0"/>
              <w:spacing w:before="0" w:beforeAutospacing="0" w:after="0" w:afterAutospacing="0"/>
              <w:ind w:left="0" w:right="0"/>
              <w:jc w:val="left"/>
              <w:rPr>
                <w:rFonts w:hint="eastAsia" w:ascii="仿宋" w:hAnsi="仿宋" w:eastAsia="仿宋" w:cs="仿宋"/>
                <w:i w:val="0"/>
                <w:iCs w:val="0"/>
                <w:color w:val="auto"/>
                <w:sz w:val="21"/>
                <w:szCs w:val="21"/>
                <w:highlight w:val="none"/>
                <w:u w:val="none"/>
              </w:rPr>
            </w:pPr>
          </w:p>
        </w:tc>
        <w:tc>
          <w:tcPr>
            <w:tcW w:w="647" w:type="dxa"/>
            <w:tcBorders>
              <w:tl2br w:val="nil"/>
              <w:tr2bl w:val="nil"/>
            </w:tcBorders>
            <w:shd w:val="clear" w:color="auto" w:fill="auto"/>
            <w:vAlign w:val="top"/>
          </w:tcPr>
          <w:p w14:paraId="6E9F253B">
            <w:pPr>
              <w:keepNext w:val="0"/>
              <w:keepLines w:val="0"/>
              <w:suppressLineNumbers w:val="0"/>
              <w:spacing w:before="0" w:beforeAutospacing="0" w:after="0" w:afterAutospacing="0"/>
              <w:ind w:left="0" w:right="0"/>
              <w:jc w:val="left"/>
              <w:rPr>
                <w:rFonts w:hint="eastAsia" w:ascii="仿宋" w:hAnsi="仿宋" w:eastAsia="仿宋" w:cs="仿宋"/>
                <w:i w:val="0"/>
                <w:iCs w:val="0"/>
                <w:color w:val="auto"/>
                <w:sz w:val="21"/>
                <w:szCs w:val="21"/>
                <w:highlight w:val="none"/>
                <w:u w:val="none"/>
              </w:rPr>
            </w:pPr>
          </w:p>
        </w:tc>
        <w:tc>
          <w:tcPr>
            <w:tcW w:w="1419" w:type="dxa"/>
            <w:tcBorders>
              <w:tl2br w:val="nil"/>
              <w:tr2bl w:val="nil"/>
            </w:tcBorders>
            <w:shd w:val="clear" w:color="auto" w:fill="auto"/>
            <w:vAlign w:val="top"/>
          </w:tcPr>
          <w:p w14:paraId="581E17FB">
            <w:pPr>
              <w:keepNext w:val="0"/>
              <w:keepLines w:val="0"/>
              <w:suppressLineNumbers w:val="0"/>
              <w:spacing w:before="0" w:beforeAutospacing="0" w:after="0" w:afterAutospacing="0"/>
              <w:ind w:left="0" w:right="0"/>
              <w:jc w:val="left"/>
              <w:rPr>
                <w:rFonts w:hint="eastAsia" w:ascii="仿宋" w:hAnsi="仿宋" w:eastAsia="仿宋" w:cs="仿宋"/>
                <w:i w:val="0"/>
                <w:iCs w:val="0"/>
                <w:color w:val="auto"/>
                <w:sz w:val="21"/>
                <w:szCs w:val="21"/>
                <w:highlight w:val="none"/>
                <w:u w:val="none"/>
              </w:rPr>
            </w:pPr>
          </w:p>
        </w:tc>
      </w:tr>
      <w:tr w14:paraId="5983C2D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591" w:hRule="atLeast"/>
        </w:trPr>
        <w:tc>
          <w:tcPr>
            <w:tcW w:w="2332" w:type="dxa"/>
            <w:vMerge w:val="continue"/>
            <w:tcBorders>
              <w:tl2br w:val="nil"/>
              <w:tr2bl w:val="nil"/>
            </w:tcBorders>
            <w:shd w:val="clear" w:color="auto" w:fill="auto"/>
            <w:vAlign w:val="top"/>
          </w:tcPr>
          <w:p w14:paraId="12C0F143">
            <w:pPr>
              <w:keepNext w:val="0"/>
              <w:keepLines w:val="0"/>
              <w:suppressLineNumbers w:val="0"/>
              <w:spacing w:before="0" w:beforeAutospacing="0" w:after="0" w:afterAutospacing="0"/>
              <w:ind w:left="0" w:right="0"/>
              <w:jc w:val="left"/>
              <w:rPr>
                <w:rFonts w:hint="eastAsia" w:ascii="仿宋" w:hAnsi="仿宋" w:eastAsia="仿宋" w:cs="仿宋"/>
                <w:i w:val="0"/>
                <w:iCs w:val="0"/>
                <w:color w:val="auto"/>
                <w:sz w:val="21"/>
                <w:szCs w:val="21"/>
                <w:highlight w:val="none"/>
                <w:u w:val="none"/>
              </w:rPr>
            </w:pPr>
          </w:p>
        </w:tc>
        <w:tc>
          <w:tcPr>
            <w:tcW w:w="934" w:type="dxa"/>
            <w:tcBorders>
              <w:tl2br w:val="nil"/>
              <w:tr2bl w:val="nil"/>
            </w:tcBorders>
            <w:shd w:val="clear" w:color="auto" w:fill="auto"/>
            <w:vAlign w:val="top"/>
          </w:tcPr>
          <w:p w14:paraId="63206E95">
            <w:pPr>
              <w:keepNext w:val="0"/>
              <w:keepLines w:val="0"/>
              <w:widowControl/>
              <w:suppressLineNumbers w:val="0"/>
              <w:spacing w:before="0" w:beforeAutospacing="0" w:after="0" w:afterAutospacing="0"/>
              <w:ind w:left="0" w:right="0"/>
              <w:jc w:val="left"/>
              <w:textAlignment w:val="top"/>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安全培训与宣传宣讲</w:t>
            </w:r>
          </w:p>
        </w:tc>
        <w:tc>
          <w:tcPr>
            <w:tcW w:w="1549" w:type="dxa"/>
            <w:tcBorders>
              <w:tl2br w:val="nil"/>
              <w:tr2bl w:val="nil"/>
            </w:tcBorders>
            <w:shd w:val="clear" w:color="auto" w:fill="auto"/>
            <w:vAlign w:val="top"/>
          </w:tcPr>
          <w:p w14:paraId="09A6A1CB">
            <w:pPr>
              <w:keepNext w:val="0"/>
              <w:keepLines w:val="0"/>
              <w:widowControl/>
              <w:suppressLineNumbers w:val="0"/>
              <w:spacing w:before="0" w:beforeAutospacing="0" w:after="0" w:afterAutospacing="0"/>
              <w:ind w:left="0" w:right="0"/>
              <w:jc w:val="left"/>
              <w:textAlignment w:val="top"/>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每季度完成各小区2次培训、每半年完成1次主题宣讲，缺1次培训/宣讲扣3分；宣传内容未按月更新扣2分，最低分0分。</w:t>
            </w:r>
          </w:p>
        </w:tc>
        <w:tc>
          <w:tcPr>
            <w:tcW w:w="985" w:type="dxa"/>
            <w:tcBorders>
              <w:tl2br w:val="nil"/>
              <w:tr2bl w:val="nil"/>
            </w:tcBorders>
            <w:shd w:val="clear" w:color="auto" w:fill="auto"/>
            <w:vAlign w:val="top"/>
          </w:tcPr>
          <w:p w14:paraId="259757ED">
            <w:pPr>
              <w:keepNext w:val="0"/>
              <w:keepLines w:val="0"/>
              <w:widowControl/>
              <w:suppressLineNumbers w:val="0"/>
              <w:spacing w:before="0" w:beforeAutospacing="0" w:after="0" w:afterAutospacing="0"/>
              <w:ind w:left="0" w:right="0"/>
              <w:jc w:val="left"/>
              <w:textAlignment w:val="top"/>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6</w:t>
            </w:r>
          </w:p>
        </w:tc>
        <w:tc>
          <w:tcPr>
            <w:tcW w:w="653" w:type="dxa"/>
            <w:tcBorders>
              <w:tl2br w:val="nil"/>
              <w:tr2bl w:val="nil"/>
            </w:tcBorders>
            <w:shd w:val="clear" w:color="auto" w:fill="auto"/>
            <w:vAlign w:val="top"/>
          </w:tcPr>
          <w:p w14:paraId="6F5ED676">
            <w:pPr>
              <w:keepNext w:val="0"/>
              <w:keepLines w:val="0"/>
              <w:suppressLineNumbers w:val="0"/>
              <w:spacing w:before="0" w:beforeAutospacing="0" w:after="0" w:afterAutospacing="0"/>
              <w:ind w:left="0" w:right="0"/>
              <w:jc w:val="left"/>
              <w:rPr>
                <w:rFonts w:hint="eastAsia" w:ascii="仿宋" w:hAnsi="仿宋" w:eastAsia="仿宋" w:cs="仿宋"/>
                <w:i w:val="0"/>
                <w:iCs w:val="0"/>
                <w:color w:val="auto"/>
                <w:sz w:val="21"/>
                <w:szCs w:val="21"/>
                <w:highlight w:val="none"/>
                <w:u w:val="none"/>
              </w:rPr>
            </w:pPr>
          </w:p>
        </w:tc>
        <w:tc>
          <w:tcPr>
            <w:tcW w:w="647" w:type="dxa"/>
            <w:tcBorders>
              <w:tl2br w:val="nil"/>
              <w:tr2bl w:val="nil"/>
            </w:tcBorders>
            <w:shd w:val="clear" w:color="auto" w:fill="auto"/>
            <w:vAlign w:val="top"/>
          </w:tcPr>
          <w:p w14:paraId="68267A7D">
            <w:pPr>
              <w:keepNext w:val="0"/>
              <w:keepLines w:val="0"/>
              <w:suppressLineNumbers w:val="0"/>
              <w:spacing w:before="0" w:beforeAutospacing="0" w:after="0" w:afterAutospacing="0"/>
              <w:ind w:left="0" w:right="0"/>
              <w:jc w:val="left"/>
              <w:rPr>
                <w:rFonts w:hint="eastAsia" w:ascii="仿宋" w:hAnsi="仿宋" w:eastAsia="仿宋" w:cs="仿宋"/>
                <w:i w:val="0"/>
                <w:iCs w:val="0"/>
                <w:color w:val="auto"/>
                <w:sz w:val="21"/>
                <w:szCs w:val="21"/>
                <w:highlight w:val="none"/>
                <w:u w:val="none"/>
              </w:rPr>
            </w:pPr>
          </w:p>
        </w:tc>
        <w:tc>
          <w:tcPr>
            <w:tcW w:w="1419" w:type="dxa"/>
            <w:tcBorders>
              <w:tl2br w:val="nil"/>
              <w:tr2bl w:val="nil"/>
            </w:tcBorders>
            <w:shd w:val="clear" w:color="auto" w:fill="auto"/>
            <w:vAlign w:val="top"/>
          </w:tcPr>
          <w:p w14:paraId="08ECDBB6">
            <w:pPr>
              <w:keepNext w:val="0"/>
              <w:keepLines w:val="0"/>
              <w:suppressLineNumbers w:val="0"/>
              <w:spacing w:before="0" w:beforeAutospacing="0" w:after="0" w:afterAutospacing="0"/>
              <w:ind w:left="0" w:right="0"/>
              <w:jc w:val="left"/>
              <w:rPr>
                <w:rFonts w:hint="eastAsia" w:ascii="仿宋" w:hAnsi="仿宋" w:eastAsia="仿宋" w:cs="仿宋"/>
                <w:i w:val="0"/>
                <w:iCs w:val="0"/>
                <w:color w:val="auto"/>
                <w:sz w:val="21"/>
                <w:szCs w:val="21"/>
                <w:highlight w:val="none"/>
                <w:u w:val="none"/>
              </w:rPr>
            </w:pPr>
          </w:p>
        </w:tc>
      </w:tr>
      <w:tr w14:paraId="01FEA79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91" w:hRule="atLeast"/>
        </w:trPr>
        <w:tc>
          <w:tcPr>
            <w:tcW w:w="2332" w:type="dxa"/>
            <w:vMerge w:val="continue"/>
            <w:tcBorders>
              <w:tl2br w:val="nil"/>
              <w:tr2bl w:val="nil"/>
            </w:tcBorders>
            <w:shd w:val="clear" w:color="auto" w:fill="auto"/>
            <w:vAlign w:val="top"/>
          </w:tcPr>
          <w:p w14:paraId="3B9C58F5">
            <w:pPr>
              <w:keepNext w:val="0"/>
              <w:keepLines w:val="0"/>
              <w:suppressLineNumbers w:val="0"/>
              <w:spacing w:before="0" w:beforeAutospacing="0" w:after="0" w:afterAutospacing="0"/>
              <w:ind w:left="0" w:right="0"/>
              <w:jc w:val="left"/>
              <w:rPr>
                <w:rFonts w:hint="eastAsia" w:ascii="仿宋" w:hAnsi="仿宋" w:eastAsia="仿宋" w:cs="仿宋"/>
                <w:i w:val="0"/>
                <w:iCs w:val="0"/>
                <w:color w:val="auto"/>
                <w:sz w:val="21"/>
                <w:szCs w:val="21"/>
                <w:highlight w:val="none"/>
                <w:u w:val="none"/>
              </w:rPr>
            </w:pPr>
          </w:p>
        </w:tc>
        <w:tc>
          <w:tcPr>
            <w:tcW w:w="934" w:type="dxa"/>
            <w:tcBorders>
              <w:tl2br w:val="nil"/>
              <w:tr2bl w:val="nil"/>
            </w:tcBorders>
            <w:shd w:val="clear" w:color="auto" w:fill="auto"/>
            <w:vAlign w:val="top"/>
          </w:tcPr>
          <w:p w14:paraId="1C6AD8B5">
            <w:pPr>
              <w:keepNext w:val="0"/>
              <w:keepLines w:val="0"/>
              <w:widowControl/>
              <w:suppressLineNumbers w:val="0"/>
              <w:spacing w:before="0" w:beforeAutospacing="0" w:after="0" w:afterAutospacing="0"/>
              <w:ind w:left="0" w:right="0"/>
              <w:jc w:val="left"/>
              <w:textAlignment w:val="top"/>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应急演练组织与预案完善</w:t>
            </w:r>
          </w:p>
        </w:tc>
        <w:tc>
          <w:tcPr>
            <w:tcW w:w="1549" w:type="dxa"/>
            <w:tcBorders>
              <w:tl2br w:val="nil"/>
              <w:tr2bl w:val="nil"/>
            </w:tcBorders>
            <w:shd w:val="clear" w:color="auto" w:fill="auto"/>
            <w:vAlign w:val="top"/>
          </w:tcPr>
          <w:p w14:paraId="72C383FE">
            <w:pPr>
              <w:keepNext w:val="0"/>
              <w:keepLines w:val="0"/>
              <w:widowControl/>
              <w:suppressLineNumbers w:val="0"/>
              <w:spacing w:before="0" w:beforeAutospacing="0" w:after="0" w:afterAutospacing="0"/>
              <w:ind w:left="0" w:right="0"/>
              <w:jc w:val="left"/>
              <w:textAlignment w:val="top"/>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按要求完善应急预案，每半年完成1次演练，未完善预案扣4分，缺1次演练扣4分，演练无总结扣2分，最低分0分。</w:t>
            </w:r>
          </w:p>
        </w:tc>
        <w:tc>
          <w:tcPr>
            <w:tcW w:w="985" w:type="dxa"/>
            <w:tcBorders>
              <w:tl2br w:val="nil"/>
              <w:tr2bl w:val="nil"/>
            </w:tcBorders>
            <w:shd w:val="clear" w:color="auto" w:fill="auto"/>
            <w:vAlign w:val="top"/>
          </w:tcPr>
          <w:p w14:paraId="050E29E8">
            <w:pPr>
              <w:keepNext w:val="0"/>
              <w:keepLines w:val="0"/>
              <w:widowControl/>
              <w:suppressLineNumbers w:val="0"/>
              <w:spacing w:before="0" w:beforeAutospacing="0" w:after="0" w:afterAutospacing="0"/>
              <w:ind w:left="0" w:right="0"/>
              <w:jc w:val="left"/>
              <w:textAlignment w:val="top"/>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8</w:t>
            </w:r>
          </w:p>
        </w:tc>
        <w:tc>
          <w:tcPr>
            <w:tcW w:w="653" w:type="dxa"/>
            <w:tcBorders>
              <w:tl2br w:val="nil"/>
              <w:tr2bl w:val="nil"/>
            </w:tcBorders>
            <w:shd w:val="clear" w:color="auto" w:fill="auto"/>
            <w:vAlign w:val="top"/>
          </w:tcPr>
          <w:p w14:paraId="5BAF37D7">
            <w:pPr>
              <w:keepNext w:val="0"/>
              <w:keepLines w:val="0"/>
              <w:suppressLineNumbers w:val="0"/>
              <w:spacing w:before="0" w:beforeAutospacing="0" w:after="0" w:afterAutospacing="0"/>
              <w:ind w:left="0" w:right="0"/>
              <w:jc w:val="left"/>
              <w:rPr>
                <w:rFonts w:hint="eastAsia" w:ascii="仿宋" w:hAnsi="仿宋" w:eastAsia="仿宋" w:cs="仿宋"/>
                <w:i w:val="0"/>
                <w:iCs w:val="0"/>
                <w:color w:val="auto"/>
                <w:sz w:val="21"/>
                <w:szCs w:val="21"/>
                <w:highlight w:val="none"/>
                <w:u w:val="none"/>
              </w:rPr>
            </w:pPr>
          </w:p>
        </w:tc>
        <w:tc>
          <w:tcPr>
            <w:tcW w:w="647" w:type="dxa"/>
            <w:tcBorders>
              <w:tl2br w:val="nil"/>
              <w:tr2bl w:val="nil"/>
            </w:tcBorders>
            <w:shd w:val="clear" w:color="auto" w:fill="auto"/>
            <w:vAlign w:val="top"/>
          </w:tcPr>
          <w:p w14:paraId="2D44FD6F">
            <w:pPr>
              <w:keepNext w:val="0"/>
              <w:keepLines w:val="0"/>
              <w:suppressLineNumbers w:val="0"/>
              <w:spacing w:before="0" w:beforeAutospacing="0" w:after="0" w:afterAutospacing="0"/>
              <w:ind w:left="0" w:right="0"/>
              <w:jc w:val="left"/>
              <w:rPr>
                <w:rFonts w:hint="eastAsia" w:ascii="仿宋" w:hAnsi="仿宋" w:eastAsia="仿宋" w:cs="仿宋"/>
                <w:i w:val="0"/>
                <w:iCs w:val="0"/>
                <w:color w:val="auto"/>
                <w:sz w:val="21"/>
                <w:szCs w:val="21"/>
                <w:highlight w:val="none"/>
                <w:u w:val="none"/>
              </w:rPr>
            </w:pPr>
          </w:p>
        </w:tc>
        <w:tc>
          <w:tcPr>
            <w:tcW w:w="1419" w:type="dxa"/>
            <w:tcBorders>
              <w:tl2br w:val="nil"/>
              <w:tr2bl w:val="nil"/>
            </w:tcBorders>
            <w:shd w:val="clear" w:color="auto" w:fill="auto"/>
            <w:vAlign w:val="top"/>
          </w:tcPr>
          <w:p w14:paraId="4AE0CDD6">
            <w:pPr>
              <w:keepNext w:val="0"/>
              <w:keepLines w:val="0"/>
              <w:suppressLineNumbers w:val="0"/>
              <w:spacing w:before="0" w:beforeAutospacing="0" w:after="0" w:afterAutospacing="0"/>
              <w:ind w:left="0" w:right="0"/>
              <w:jc w:val="left"/>
              <w:rPr>
                <w:rFonts w:hint="eastAsia" w:ascii="仿宋" w:hAnsi="仿宋" w:eastAsia="仿宋" w:cs="仿宋"/>
                <w:i w:val="0"/>
                <w:iCs w:val="0"/>
                <w:color w:val="auto"/>
                <w:sz w:val="21"/>
                <w:szCs w:val="21"/>
                <w:highlight w:val="none"/>
                <w:u w:val="none"/>
              </w:rPr>
            </w:pPr>
          </w:p>
        </w:tc>
      </w:tr>
      <w:tr w14:paraId="33662DD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591" w:hRule="atLeast"/>
        </w:trPr>
        <w:tc>
          <w:tcPr>
            <w:tcW w:w="2332" w:type="dxa"/>
            <w:vMerge w:val="continue"/>
            <w:tcBorders>
              <w:tl2br w:val="nil"/>
              <w:tr2bl w:val="nil"/>
            </w:tcBorders>
            <w:shd w:val="clear" w:color="auto" w:fill="auto"/>
            <w:vAlign w:val="top"/>
          </w:tcPr>
          <w:p w14:paraId="6E42E1BE">
            <w:pPr>
              <w:keepNext w:val="0"/>
              <w:keepLines w:val="0"/>
              <w:suppressLineNumbers w:val="0"/>
              <w:spacing w:before="0" w:beforeAutospacing="0" w:after="0" w:afterAutospacing="0"/>
              <w:ind w:left="0" w:right="0"/>
              <w:jc w:val="left"/>
              <w:rPr>
                <w:rFonts w:hint="eastAsia" w:ascii="仿宋" w:hAnsi="仿宋" w:eastAsia="仿宋" w:cs="仿宋"/>
                <w:i w:val="0"/>
                <w:iCs w:val="0"/>
                <w:color w:val="auto"/>
                <w:sz w:val="21"/>
                <w:szCs w:val="21"/>
                <w:highlight w:val="none"/>
                <w:u w:val="none"/>
              </w:rPr>
            </w:pPr>
          </w:p>
        </w:tc>
        <w:tc>
          <w:tcPr>
            <w:tcW w:w="934" w:type="dxa"/>
            <w:tcBorders>
              <w:tl2br w:val="nil"/>
              <w:tr2bl w:val="nil"/>
            </w:tcBorders>
            <w:shd w:val="clear" w:color="auto" w:fill="auto"/>
            <w:vAlign w:val="top"/>
          </w:tcPr>
          <w:p w14:paraId="73F5FDC3">
            <w:pPr>
              <w:keepNext w:val="0"/>
              <w:keepLines w:val="0"/>
              <w:widowControl/>
              <w:suppressLineNumbers w:val="0"/>
              <w:spacing w:before="0" w:beforeAutospacing="0" w:after="0" w:afterAutospacing="0"/>
              <w:ind w:left="0" w:right="0"/>
              <w:jc w:val="left"/>
              <w:textAlignment w:val="top"/>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隐患排查与检查评估</w:t>
            </w:r>
          </w:p>
        </w:tc>
        <w:tc>
          <w:tcPr>
            <w:tcW w:w="1549" w:type="dxa"/>
            <w:tcBorders>
              <w:tl2br w:val="nil"/>
              <w:tr2bl w:val="nil"/>
            </w:tcBorders>
            <w:shd w:val="clear" w:color="auto" w:fill="auto"/>
            <w:vAlign w:val="top"/>
          </w:tcPr>
          <w:p w14:paraId="1F3D90A1">
            <w:pPr>
              <w:keepNext w:val="0"/>
              <w:keepLines w:val="0"/>
              <w:widowControl/>
              <w:suppressLineNumbers w:val="0"/>
              <w:spacing w:before="0" w:beforeAutospacing="0" w:after="0" w:afterAutospacing="0"/>
              <w:ind w:left="0" w:right="0"/>
              <w:jc w:val="left"/>
              <w:textAlignment w:val="top"/>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每季度完成1次隐患排查、1次安全评估，缺1次扣5分；未形成书面反馈/评估报告扣3分，最低分0分。</w:t>
            </w:r>
          </w:p>
        </w:tc>
        <w:tc>
          <w:tcPr>
            <w:tcW w:w="985" w:type="dxa"/>
            <w:tcBorders>
              <w:tl2br w:val="nil"/>
              <w:tr2bl w:val="nil"/>
            </w:tcBorders>
            <w:shd w:val="clear" w:color="auto" w:fill="auto"/>
            <w:vAlign w:val="top"/>
          </w:tcPr>
          <w:p w14:paraId="79FE510C">
            <w:pPr>
              <w:keepNext w:val="0"/>
              <w:keepLines w:val="0"/>
              <w:widowControl/>
              <w:suppressLineNumbers w:val="0"/>
              <w:spacing w:before="0" w:beforeAutospacing="0" w:after="0" w:afterAutospacing="0"/>
              <w:ind w:left="0" w:right="0"/>
              <w:jc w:val="left"/>
              <w:textAlignment w:val="top"/>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10</w:t>
            </w:r>
          </w:p>
        </w:tc>
        <w:tc>
          <w:tcPr>
            <w:tcW w:w="653" w:type="dxa"/>
            <w:tcBorders>
              <w:tl2br w:val="nil"/>
              <w:tr2bl w:val="nil"/>
            </w:tcBorders>
            <w:shd w:val="clear" w:color="auto" w:fill="auto"/>
            <w:vAlign w:val="top"/>
          </w:tcPr>
          <w:p w14:paraId="35EB9145">
            <w:pPr>
              <w:keepNext w:val="0"/>
              <w:keepLines w:val="0"/>
              <w:suppressLineNumbers w:val="0"/>
              <w:spacing w:before="0" w:beforeAutospacing="0" w:after="0" w:afterAutospacing="0"/>
              <w:ind w:left="0" w:right="0"/>
              <w:jc w:val="left"/>
              <w:rPr>
                <w:rFonts w:hint="eastAsia" w:ascii="仿宋" w:hAnsi="仿宋" w:eastAsia="仿宋" w:cs="仿宋"/>
                <w:i w:val="0"/>
                <w:iCs w:val="0"/>
                <w:color w:val="auto"/>
                <w:sz w:val="21"/>
                <w:szCs w:val="21"/>
                <w:highlight w:val="none"/>
                <w:u w:val="none"/>
              </w:rPr>
            </w:pPr>
          </w:p>
        </w:tc>
        <w:tc>
          <w:tcPr>
            <w:tcW w:w="647" w:type="dxa"/>
            <w:tcBorders>
              <w:tl2br w:val="nil"/>
              <w:tr2bl w:val="nil"/>
            </w:tcBorders>
            <w:shd w:val="clear" w:color="auto" w:fill="auto"/>
            <w:vAlign w:val="top"/>
          </w:tcPr>
          <w:p w14:paraId="60EB99BD">
            <w:pPr>
              <w:keepNext w:val="0"/>
              <w:keepLines w:val="0"/>
              <w:suppressLineNumbers w:val="0"/>
              <w:spacing w:before="0" w:beforeAutospacing="0" w:after="0" w:afterAutospacing="0"/>
              <w:ind w:left="0" w:right="0"/>
              <w:jc w:val="left"/>
              <w:rPr>
                <w:rFonts w:hint="eastAsia" w:ascii="仿宋" w:hAnsi="仿宋" w:eastAsia="仿宋" w:cs="仿宋"/>
                <w:i w:val="0"/>
                <w:iCs w:val="0"/>
                <w:color w:val="auto"/>
                <w:sz w:val="21"/>
                <w:szCs w:val="21"/>
                <w:highlight w:val="none"/>
                <w:u w:val="none"/>
              </w:rPr>
            </w:pPr>
          </w:p>
        </w:tc>
        <w:tc>
          <w:tcPr>
            <w:tcW w:w="1419" w:type="dxa"/>
            <w:tcBorders>
              <w:tl2br w:val="nil"/>
              <w:tr2bl w:val="nil"/>
            </w:tcBorders>
            <w:shd w:val="clear" w:color="auto" w:fill="auto"/>
            <w:vAlign w:val="top"/>
          </w:tcPr>
          <w:p w14:paraId="4B58253F">
            <w:pPr>
              <w:keepNext w:val="0"/>
              <w:keepLines w:val="0"/>
              <w:suppressLineNumbers w:val="0"/>
              <w:spacing w:before="0" w:beforeAutospacing="0" w:after="0" w:afterAutospacing="0"/>
              <w:ind w:left="0" w:right="0"/>
              <w:jc w:val="left"/>
              <w:rPr>
                <w:rFonts w:hint="eastAsia" w:ascii="仿宋" w:hAnsi="仿宋" w:eastAsia="仿宋" w:cs="仿宋"/>
                <w:i w:val="0"/>
                <w:iCs w:val="0"/>
                <w:color w:val="auto"/>
                <w:sz w:val="21"/>
                <w:szCs w:val="21"/>
                <w:highlight w:val="none"/>
                <w:u w:val="none"/>
              </w:rPr>
            </w:pPr>
          </w:p>
        </w:tc>
      </w:tr>
      <w:tr w14:paraId="682DBC3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591" w:hRule="atLeast"/>
        </w:trPr>
        <w:tc>
          <w:tcPr>
            <w:tcW w:w="2332" w:type="dxa"/>
            <w:vMerge w:val="continue"/>
            <w:tcBorders>
              <w:tl2br w:val="nil"/>
              <w:tr2bl w:val="nil"/>
            </w:tcBorders>
            <w:shd w:val="clear" w:color="auto" w:fill="auto"/>
            <w:vAlign w:val="top"/>
          </w:tcPr>
          <w:p w14:paraId="6343B71B">
            <w:pPr>
              <w:keepNext w:val="0"/>
              <w:keepLines w:val="0"/>
              <w:suppressLineNumbers w:val="0"/>
              <w:spacing w:before="0" w:beforeAutospacing="0" w:after="0" w:afterAutospacing="0"/>
              <w:ind w:left="0" w:right="0"/>
              <w:jc w:val="left"/>
              <w:rPr>
                <w:rFonts w:hint="eastAsia" w:ascii="仿宋" w:hAnsi="仿宋" w:eastAsia="仿宋" w:cs="仿宋"/>
                <w:i w:val="0"/>
                <w:iCs w:val="0"/>
                <w:color w:val="auto"/>
                <w:sz w:val="21"/>
                <w:szCs w:val="21"/>
                <w:highlight w:val="none"/>
                <w:u w:val="none"/>
              </w:rPr>
            </w:pPr>
          </w:p>
        </w:tc>
        <w:tc>
          <w:tcPr>
            <w:tcW w:w="934" w:type="dxa"/>
            <w:tcBorders>
              <w:tl2br w:val="nil"/>
              <w:tr2bl w:val="nil"/>
            </w:tcBorders>
            <w:shd w:val="clear" w:color="auto" w:fill="auto"/>
            <w:vAlign w:val="top"/>
          </w:tcPr>
          <w:p w14:paraId="5E3319A9">
            <w:pPr>
              <w:keepNext w:val="0"/>
              <w:keepLines w:val="0"/>
              <w:widowControl/>
              <w:suppressLineNumbers w:val="0"/>
              <w:spacing w:before="0" w:beforeAutospacing="0" w:after="0" w:afterAutospacing="0"/>
              <w:ind w:left="0" w:right="0"/>
              <w:jc w:val="left"/>
              <w:textAlignment w:val="top"/>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各类专项安全管理</w:t>
            </w:r>
          </w:p>
        </w:tc>
        <w:tc>
          <w:tcPr>
            <w:tcW w:w="1549" w:type="dxa"/>
            <w:tcBorders>
              <w:tl2br w:val="nil"/>
              <w:tr2bl w:val="nil"/>
            </w:tcBorders>
            <w:shd w:val="clear" w:color="auto" w:fill="auto"/>
            <w:vAlign w:val="top"/>
          </w:tcPr>
          <w:p w14:paraId="0AA6ACB2">
            <w:pPr>
              <w:keepNext w:val="0"/>
              <w:keepLines w:val="0"/>
              <w:widowControl/>
              <w:suppressLineNumbers w:val="0"/>
              <w:spacing w:before="0" w:beforeAutospacing="0" w:after="0" w:afterAutospacing="0"/>
              <w:ind w:left="0" w:right="0"/>
              <w:jc w:val="left"/>
              <w:textAlignment w:val="top"/>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按频次完成各类专项检查、指导工作，缺1项专项检查扣2分，未督促整改隐患扣3分/项，最低分0分。</w:t>
            </w:r>
          </w:p>
        </w:tc>
        <w:tc>
          <w:tcPr>
            <w:tcW w:w="985" w:type="dxa"/>
            <w:tcBorders>
              <w:tl2br w:val="nil"/>
              <w:tr2bl w:val="nil"/>
            </w:tcBorders>
            <w:shd w:val="clear" w:color="auto" w:fill="auto"/>
            <w:vAlign w:val="top"/>
          </w:tcPr>
          <w:p w14:paraId="5EB636CF">
            <w:pPr>
              <w:keepNext w:val="0"/>
              <w:keepLines w:val="0"/>
              <w:widowControl/>
              <w:suppressLineNumbers w:val="0"/>
              <w:spacing w:before="0" w:beforeAutospacing="0" w:after="0" w:afterAutospacing="0"/>
              <w:ind w:left="0" w:right="0"/>
              <w:jc w:val="left"/>
              <w:textAlignment w:val="top"/>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4</w:t>
            </w:r>
          </w:p>
        </w:tc>
        <w:tc>
          <w:tcPr>
            <w:tcW w:w="653" w:type="dxa"/>
            <w:tcBorders>
              <w:tl2br w:val="nil"/>
              <w:tr2bl w:val="nil"/>
            </w:tcBorders>
            <w:shd w:val="clear" w:color="auto" w:fill="auto"/>
            <w:vAlign w:val="top"/>
          </w:tcPr>
          <w:p w14:paraId="13D3581E">
            <w:pPr>
              <w:keepNext w:val="0"/>
              <w:keepLines w:val="0"/>
              <w:suppressLineNumbers w:val="0"/>
              <w:spacing w:before="0" w:beforeAutospacing="0" w:after="0" w:afterAutospacing="0"/>
              <w:ind w:left="0" w:right="0"/>
              <w:jc w:val="left"/>
              <w:rPr>
                <w:rFonts w:hint="eastAsia" w:ascii="仿宋" w:hAnsi="仿宋" w:eastAsia="仿宋" w:cs="仿宋"/>
                <w:i w:val="0"/>
                <w:iCs w:val="0"/>
                <w:color w:val="auto"/>
                <w:sz w:val="21"/>
                <w:szCs w:val="21"/>
                <w:highlight w:val="none"/>
                <w:u w:val="none"/>
              </w:rPr>
            </w:pPr>
          </w:p>
        </w:tc>
        <w:tc>
          <w:tcPr>
            <w:tcW w:w="647" w:type="dxa"/>
            <w:tcBorders>
              <w:tl2br w:val="nil"/>
              <w:tr2bl w:val="nil"/>
            </w:tcBorders>
            <w:shd w:val="clear" w:color="auto" w:fill="auto"/>
            <w:vAlign w:val="top"/>
          </w:tcPr>
          <w:p w14:paraId="6881A5B5">
            <w:pPr>
              <w:keepNext w:val="0"/>
              <w:keepLines w:val="0"/>
              <w:suppressLineNumbers w:val="0"/>
              <w:spacing w:before="0" w:beforeAutospacing="0" w:after="0" w:afterAutospacing="0"/>
              <w:ind w:left="0" w:right="0"/>
              <w:jc w:val="left"/>
              <w:rPr>
                <w:rFonts w:hint="eastAsia" w:ascii="仿宋" w:hAnsi="仿宋" w:eastAsia="仿宋" w:cs="仿宋"/>
                <w:i w:val="0"/>
                <w:iCs w:val="0"/>
                <w:color w:val="auto"/>
                <w:sz w:val="21"/>
                <w:szCs w:val="21"/>
                <w:highlight w:val="none"/>
                <w:u w:val="none"/>
              </w:rPr>
            </w:pPr>
          </w:p>
        </w:tc>
        <w:tc>
          <w:tcPr>
            <w:tcW w:w="1419" w:type="dxa"/>
            <w:tcBorders>
              <w:tl2br w:val="nil"/>
              <w:tr2bl w:val="nil"/>
            </w:tcBorders>
            <w:shd w:val="clear" w:color="auto" w:fill="auto"/>
            <w:vAlign w:val="top"/>
          </w:tcPr>
          <w:p w14:paraId="04B90E64">
            <w:pPr>
              <w:keepNext w:val="0"/>
              <w:keepLines w:val="0"/>
              <w:suppressLineNumbers w:val="0"/>
              <w:spacing w:before="0" w:beforeAutospacing="0" w:after="0" w:afterAutospacing="0"/>
              <w:ind w:left="0" w:right="0"/>
              <w:jc w:val="left"/>
              <w:rPr>
                <w:rFonts w:hint="eastAsia" w:ascii="仿宋" w:hAnsi="仿宋" w:eastAsia="仿宋" w:cs="仿宋"/>
                <w:i w:val="0"/>
                <w:iCs w:val="0"/>
                <w:color w:val="auto"/>
                <w:sz w:val="21"/>
                <w:szCs w:val="21"/>
                <w:highlight w:val="none"/>
                <w:u w:val="none"/>
              </w:rPr>
            </w:pPr>
          </w:p>
        </w:tc>
      </w:tr>
      <w:tr w14:paraId="2EA98A4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91" w:hRule="atLeast"/>
        </w:trPr>
        <w:tc>
          <w:tcPr>
            <w:tcW w:w="2332" w:type="dxa"/>
            <w:vMerge w:val="continue"/>
            <w:tcBorders>
              <w:tl2br w:val="nil"/>
              <w:tr2bl w:val="nil"/>
            </w:tcBorders>
            <w:shd w:val="clear" w:color="auto" w:fill="auto"/>
            <w:vAlign w:val="top"/>
          </w:tcPr>
          <w:p w14:paraId="48167477">
            <w:pPr>
              <w:keepNext w:val="0"/>
              <w:keepLines w:val="0"/>
              <w:suppressLineNumbers w:val="0"/>
              <w:spacing w:before="0" w:beforeAutospacing="0" w:after="0" w:afterAutospacing="0"/>
              <w:ind w:left="0" w:right="0"/>
              <w:jc w:val="left"/>
              <w:rPr>
                <w:rFonts w:hint="eastAsia" w:ascii="仿宋" w:hAnsi="仿宋" w:eastAsia="仿宋" w:cs="仿宋"/>
                <w:i w:val="0"/>
                <w:iCs w:val="0"/>
                <w:color w:val="auto"/>
                <w:sz w:val="21"/>
                <w:szCs w:val="21"/>
                <w:highlight w:val="none"/>
                <w:u w:val="none"/>
              </w:rPr>
            </w:pPr>
          </w:p>
        </w:tc>
        <w:tc>
          <w:tcPr>
            <w:tcW w:w="934" w:type="dxa"/>
            <w:tcBorders>
              <w:tl2br w:val="nil"/>
              <w:tr2bl w:val="nil"/>
            </w:tcBorders>
            <w:shd w:val="clear" w:color="auto" w:fill="auto"/>
            <w:vAlign w:val="top"/>
          </w:tcPr>
          <w:p w14:paraId="21E68F98">
            <w:pPr>
              <w:keepNext w:val="0"/>
              <w:keepLines w:val="0"/>
              <w:widowControl/>
              <w:suppressLineNumbers w:val="0"/>
              <w:spacing w:before="0" w:beforeAutospacing="0" w:after="0" w:afterAutospacing="0"/>
              <w:ind w:left="0" w:right="0"/>
              <w:jc w:val="left"/>
              <w:textAlignment w:val="top"/>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驻点服务与现场巡查</w:t>
            </w:r>
          </w:p>
        </w:tc>
        <w:tc>
          <w:tcPr>
            <w:tcW w:w="1549" w:type="dxa"/>
            <w:tcBorders>
              <w:tl2br w:val="nil"/>
              <w:tr2bl w:val="nil"/>
            </w:tcBorders>
            <w:shd w:val="clear" w:color="auto" w:fill="auto"/>
            <w:vAlign w:val="top"/>
          </w:tcPr>
          <w:p w14:paraId="423AC675">
            <w:pPr>
              <w:keepNext w:val="0"/>
              <w:keepLines w:val="0"/>
              <w:widowControl/>
              <w:suppressLineNumbers w:val="0"/>
              <w:spacing w:before="0" w:beforeAutospacing="0" w:after="0" w:afterAutospacing="0"/>
              <w:ind w:left="0" w:right="0"/>
              <w:jc w:val="left"/>
              <w:textAlignment w:val="top"/>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按要求配备驻点人员，驻点人员到岗率100%，缺岗1次扣2分；未按计划开展巡查扣3分，最低分0分。</w:t>
            </w:r>
          </w:p>
        </w:tc>
        <w:tc>
          <w:tcPr>
            <w:tcW w:w="985" w:type="dxa"/>
            <w:tcBorders>
              <w:tl2br w:val="nil"/>
              <w:tr2bl w:val="nil"/>
            </w:tcBorders>
            <w:shd w:val="clear" w:color="auto" w:fill="auto"/>
            <w:vAlign w:val="top"/>
          </w:tcPr>
          <w:p w14:paraId="45E1BC7F">
            <w:pPr>
              <w:keepNext w:val="0"/>
              <w:keepLines w:val="0"/>
              <w:widowControl/>
              <w:suppressLineNumbers w:val="0"/>
              <w:spacing w:before="0" w:beforeAutospacing="0" w:after="0" w:afterAutospacing="0"/>
              <w:ind w:left="0" w:right="0"/>
              <w:jc w:val="left"/>
              <w:textAlignment w:val="top"/>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5</w:t>
            </w:r>
          </w:p>
        </w:tc>
        <w:tc>
          <w:tcPr>
            <w:tcW w:w="653" w:type="dxa"/>
            <w:tcBorders>
              <w:tl2br w:val="nil"/>
              <w:tr2bl w:val="nil"/>
            </w:tcBorders>
            <w:shd w:val="clear" w:color="auto" w:fill="auto"/>
            <w:vAlign w:val="top"/>
          </w:tcPr>
          <w:p w14:paraId="150762A9">
            <w:pPr>
              <w:keepNext w:val="0"/>
              <w:keepLines w:val="0"/>
              <w:suppressLineNumbers w:val="0"/>
              <w:spacing w:before="0" w:beforeAutospacing="0" w:after="0" w:afterAutospacing="0"/>
              <w:ind w:left="0" w:right="0"/>
              <w:jc w:val="left"/>
              <w:rPr>
                <w:rFonts w:hint="eastAsia" w:ascii="仿宋" w:hAnsi="仿宋" w:eastAsia="仿宋" w:cs="仿宋"/>
                <w:i w:val="0"/>
                <w:iCs w:val="0"/>
                <w:color w:val="auto"/>
                <w:sz w:val="21"/>
                <w:szCs w:val="21"/>
                <w:highlight w:val="none"/>
                <w:u w:val="none"/>
              </w:rPr>
            </w:pPr>
          </w:p>
        </w:tc>
        <w:tc>
          <w:tcPr>
            <w:tcW w:w="647" w:type="dxa"/>
            <w:tcBorders>
              <w:tl2br w:val="nil"/>
              <w:tr2bl w:val="nil"/>
            </w:tcBorders>
            <w:shd w:val="clear" w:color="auto" w:fill="auto"/>
            <w:vAlign w:val="top"/>
          </w:tcPr>
          <w:p w14:paraId="00298112">
            <w:pPr>
              <w:keepNext w:val="0"/>
              <w:keepLines w:val="0"/>
              <w:suppressLineNumbers w:val="0"/>
              <w:spacing w:before="0" w:beforeAutospacing="0" w:after="0" w:afterAutospacing="0"/>
              <w:ind w:left="0" w:right="0"/>
              <w:jc w:val="left"/>
              <w:rPr>
                <w:rFonts w:hint="eastAsia" w:ascii="仿宋" w:hAnsi="仿宋" w:eastAsia="仿宋" w:cs="仿宋"/>
                <w:i w:val="0"/>
                <w:iCs w:val="0"/>
                <w:color w:val="auto"/>
                <w:sz w:val="21"/>
                <w:szCs w:val="21"/>
                <w:highlight w:val="none"/>
                <w:u w:val="none"/>
              </w:rPr>
            </w:pPr>
          </w:p>
        </w:tc>
        <w:tc>
          <w:tcPr>
            <w:tcW w:w="1419" w:type="dxa"/>
            <w:tcBorders>
              <w:tl2br w:val="nil"/>
              <w:tr2bl w:val="nil"/>
            </w:tcBorders>
            <w:shd w:val="clear" w:color="auto" w:fill="auto"/>
            <w:vAlign w:val="top"/>
          </w:tcPr>
          <w:p w14:paraId="2D5A1831">
            <w:pPr>
              <w:keepNext w:val="0"/>
              <w:keepLines w:val="0"/>
              <w:suppressLineNumbers w:val="0"/>
              <w:spacing w:before="0" w:beforeAutospacing="0" w:after="0" w:afterAutospacing="0"/>
              <w:ind w:left="0" w:right="0"/>
              <w:jc w:val="left"/>
              <w:rPr>
                <w:rFonts w:hint="eastAsia" w:ascii="仿宋" w:hAnsi="仿宋" w:eastAsia="仿宋" w:cs="仿宋"/>
                <w:i w:val="0"/>
                <w:iCs w:val="0"/>
                <w:color w:val="auto"/>
                <w:sz w:val="21"/>
                <w:szCs w:val="21"/>
                <w:highlight w:val="none"/>
                <w:u w:val="none"/>
              </w:rPr>
            </w:pPr>
          </w:p>
        </w:tc>
      </w:tr>
      <w:tr w14:paraId="03D4ABD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591" w:hRule="atLeast"/>
        </w:trPr>
        <w:tc>
          <w:tcPr>
            <w:tcW w:w="2332" w:type="dxa"/>
            <w:vMerge w:val="continue"/>
            <w:tcBorders>
              <w:tl2br w:val="nil"/>
              <w:tr2bl w:val="nil"/>
            </w:tcBorders>
            <w:shd w:val="clear" w:color="auto" w:fill="auto"/>
            <w:vAlign w:val="top"/>
          </w:tcPr>
          <w:p w14:paraId="77A5D201">
            <w:pPr>
              <w:keepNext w:val="0"/>
              <w:keepLines w:val="0"/>
              <w:suppressLineNumbers w:val="0"/>
              <w:spacing w:before="0" w:beforeAutospacing="0" w:after="0" w:afterAutospacing="0"/>
              <w:ind w:left="0" w:right="0"/>
              <w:jc w:val="left"/>
              <w:rPr>
                <w:rFonts w:hint="eastAsia" w:ascii="仿宋" w:hAnsi="仿宋" w:eastAsia="仿宋" w:cs="仿宋"/>
                <w:i w:val="0"/>
                <w:iCs w:val="0"/>
                <w:color w:val="auto"/>
                <w:sz w:val="21"/>
                <w:szCs w:val="21"/>
                <w:highlight w:val="none"/>
                <w:u w:val="none"/>
              </w:rPr>
            </w:pPr>
          </w:p>
        </w:tc>
        <w:tc>
          <w:tcPr>
            <w:tcW w:w="934" w:type="dxa"/>
            <w:tcBorders>
              <w:tl2br w:val="nil"/>
              <w:tr2bl w:val="nil"/>
            </w:tcBorders>
            <w:shd w:val="clear" w:color="auto" w:fill="auto"/>
            <w:vAlign w:val="top"/>
          </w:tcPr>
          <w:p w14:paraId="12C28A5D">
            <w:pPr>
              <w:keepNext w:val="0"/>
              <w:keepLines w:val="0"/>
              <w:widowControl/>
              <w:suppressLineNumbers w:val="0"/>
              <w:spacing w:before="0" w:beforeAutospacing="0" w:after="0" w:afterAutospacing="0"/>
              <w:ind w:left="0" w:right="0"/>
              <w:jc w:val="left"/>
              <w:textAlignment w:val="top"/>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其他安全服务</w:t>
            </w:r>
          </w:p>
        </w:tc>
        <w:tc>
          <w:tcPr>
            <w:tcW w:w="1549" w:type="dxa"/>
            <w:tcBorders>
              <w:tl2br w:val="nil"/>
              <w:tr2bl w:val="nil"/>
            </w:tcBorders>
            <w:shd w:val="clear" w:color="auto" w:fill="auto"/>
            <w:vAlign w:val="top"/>
          </w:tcPr>
          <w:p w14:paraId="0A1254FD">
            <w:pPr>
              <w:keepNext w:val="0"/>
              <w:keepLines w:val="0"/>
              <w:widowControl/>
              <w:suppressLineNumbers w:val="0"/>
              <w:spacing w:before="0" w:beforeAutospacing="0" w:after="0" w:afterAutospacing="0"/>
              <w:ind w:left="0" w:right="0"/>
              <w:jc w:val="left"/>
              <w:textAlignment w:val="top"/>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按采购人要求响应其他安全服务，未及时响应扣2分，服务不合格扣3分，最低分0分。</w:t>
            </w:r>
          </w:p>
        </w:tc>
        <w:tc>
          <w:tcPr>
            <w:tcW w:w="985" w:type="dxa"/>
            <w:tcBorders>
              <w:tl2br w:val="nil"/>
              <w:tr2bl w:val="nil"/>
            </w:tcBorders>
            <w:shd w:val="clear" w:color="auto" w:fill="auto"/>
            <w:vAlign w:val="top"/>
          </w:tcPr>
          <w:p w14:paraId="203BEE95">
            <w:pPr>
              <w:keepNext w:val="0"/>
              <w:keepLines w:val="0"/>
              <w:widowControl/>
              <w:suppressLineNumbers w:val="0"/>
              <w:spacing w:before="0" w:beforeAutospacing="0" w:after="0" w:afterAutospacing="0"/>
              <w:ind w:left="0" w:right="0"/>
              <w:jc w:val="left"/>
              <w:textAlignment w:val="top"/>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5</w:t>
            </w:r>
          </w:p>
        </w:tc>
        <w:tc>
          <w:tcPr>
            <w:tcW w:w="653" w:type="dxa"/>
            <w:tcBorders>
              <w:tl2br w:val="nil"/>
              <w:tr2bl w:val="nil"/>
            </w:tcBorders>
            <w:shd w:val="clear" w:color="auto" w:fill="auto"/>
            <w:vAlign w:val="top"/>
          </w:tcPr>
          <w:p w14:paraId="659AF85E">
            <w:pPr>
              <w:keepNext w:val="0"/>
              <w:keepLines w:val="0"/>
              <w:suppressLineNumbers w:val="0"/>
              <w:spacing w:before="0" w:beforeAutospacing="0" w:after="0" w:afterAutospacing="0"/>
              <w:ind w:left="0" w:right="0"/>
              <w:jc w:val="left"/>
              <w:rPr>
                <w:rFonts w:hint="eastAsia" w:ascii="仿宋" w:hAnsi="仿宋" w:eastAsia="仿宋" w:cs="仿宋"/>
                <w:i w:val="0"/>
                <w:iCs w:val="0"/>
                <w:color w:val="auto"/>
                <w:sz w:val="21"/>
                <w:szCs w:val="21"/>
                <w:highlight w:val="none"/>
                <w:u w:val="none"/>
              </w:rPr>
            </w:pPr>
          </w:p>
        </w:tc>
        <w:tc>
          <w:tcPr>
            <w:tcW w:w="647" w:type="dxa"/>
            <w:tcBorders>
              <w:tl2br w:val="nil"/>
              <w:tr2bl w:val="nil"/>
            </w:tcBorders>
            <w:shd w:val="clear" w:color="auto" w:fill="auto"/>
            <w:vAlign w:val="top"/>
          </w:tcPr>
          <w:p w14:paraId="2950743C">
            <w:pPr>
              <w:keepNext w:val="0"/>
              <w:keepLines w:val="0"/>
              <w:suppressLineNumbers w:val="0"/>
              <w:spacing w:before="0" w:beforeAutospacing="0" w:after="0" w:afterAutospacing="0"/>
              <w:ind w:left="0" w:right="0"/>
              <w:jc w:val="left"/>
              <w:rPr>
                <w:rFonts w:hint="eastAsia" w:ascii="仿宋" w:hAnsi="仿宋" w:eastAsia="仿宋" w:cs="仿宋"/>
                <w:i w:val="0"/>
                <w:iCs w:val="0"/>
                <w:color w:val="auto"/>
                <w:sz w:val="21"/>
                <w:szCs w:val="21"/>
                <w:highlight w:val="none"/>
                <w:u w:val="none"/>
              </w:rPr>
            </w:pPr>
          </w:p>
        </w:tc>
        <w:tc>
          <w:tcPr>
            <w:tcW w:w="1419" w:type="dxa"/>
            <w:tcBorders>
              <w:tl2br w:val="nil"/>
              <w:tr2bl w:val="nil"/>
            </w:tcBorders>
            <w:shd w:val="clear" w:color="auto" w:fill="auto"/>
            <w:vAlign w:val="top"/>
          </w:tcPr>
          <w:p w14:paraId="134581BF">
            <w:pPr>
              <w:keepNext w:val="0"/>
              <w:keepLines w:val="0"/>
              <w:suppressLineNumbers w:val="0"/>
              <w:spacing w:before="0" w:beforeAutospacing="0" w:after="0" w:afterAutospacing="0"/>
              <w:ind w:left="0" w:right="0"/>
              <w:jc w:val="left"/>
              <w:rPr>
                <w:rFonts w:hint="eastAsia" w:ascii="仿宋" w:hAnsi="仿宋" w:eastAsia="仿宋" w:cs="仿宋"/>
                <w:i w:val="0"/>
                <w:iCs w:val="0"/>
                <w:color w:val="auto"/>
                <w:sz w:val="21"/>
                <w:szCs w:val="21"/>
                <w:highlight w:val="none"/>
                <w:u w:val="none"/>
              </w:rPr>
            </w:pPr>
          </w:p>
        </w:tc>
      </w:tr>
      <w:tr w14:paraId="01A7406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879" w:hRule="atLeast"/>
        </w:trPr>
        <w:tc>
          <w:tcPr>
            <w:tcW w:w="2332" w:type="dxa"/>
            <w:tcBorders>
              <w:tl2br w:val="nil"/>
              <w:tr2bl w:val="nil"/>
            </w:tcBorders>
            <w:shd w:val="clear" w:color="auto" w:fill="auto"/>
            <w:vAlign w:val="top"/>
          </w:tcPr>
          <w:p w14:paraId="023C1B45">
            <w:pPr>
              <w:keepNext w:val="0"/>
              <w:keepLines w:val="0"/>
              <w:widowControl/>
              <w:suppressLineNumbers w:val="0"/>
              <w:spacing w:before="0" w:beforeAutospacing="0" w:after="0" w:afterAutospacing="0"/>
              <w:ind w:left="0" w:right="0"/>
              <w:jc w:val="left"/>
              <w:textAlignment w:val="top"/>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服务响应速度（8分）</w:t>
            </w:r>
          </w:p>
        </w:tc>
        <w:tc>
          <w:tcPr>
            <w:tcW w:w="934" w:type="dxa"/>
            <w:tcBorders>
              <w:tl2br w:val="nil"/>
              <w:tr2bl w:val="nil"/>
            </w:tcBorders>
            <w:shd w:val="clear" w:color="auto" w:fill="auto"/>
            <w:vAlign w:val="top"/>
          </w:tcPr>
          <w:p w14:paraId="34B6014B">
            <w:pPr>
              <w:keepNext w:val="0"/>
              <w:keepLines w:val="0"/>
              <w:widowControl/>
              <w:suppressLineNumbers w:val="0"/>
              <w:spacing w:before="0" w:beforeAutospacing="0" w:after="0" w:afterAutospacing="0"/>
              <w:ind w:left="0" w:right="0"/>
              <w:jc w:val="left"/>
              <w:textAlignment w:val="top"/>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隐患反馈、采购人通知响应及时性</w:t>
            </w:r>
          </w:p>
        </w:tc>
        <w:tc>
          <w:tcPr>
            <w:tcW w:w="1549" w:type="dxa"/>
            <w:tcBorders>
              <w:tl2br w:val="nil"/>
              <w:tr2bl w:val="nil"/>
            </w:tcBorders>
            <w:shd w:val="clear" w:color="auto" w:fill="auto"/>
            <w:vAlign w:val="top"/>
          </w:tcPr>
          <w:p w14:paraId="3F39FCD7">
            <w:pPr>
              <w:keepNext w:val="0"/>
              <w:keepLines w:val="0"/>
              <w:widowControl/>
              <w:suppressLineNumbers w:val="0"/>
              <w:spacing w:before="0" w:beforeAutospacing="0" w:after="0" w:afterAutospacing="0"/>
              <w:ind w:left="0" w:right="0"/>
              <w:jc w:val="left"/>
              <w:textAlignment w:val="top"/>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接到通知后2小时内响应，超时1次扣3分；未及时赶赴现场处理扣5分/次，最低分0分。</w:t>
            </w:r>
          </w:p>
        </w:tc>
        <w:tc>
          <w:tcPr>
            <w:tcW w:w="985" w:type="dxa"/>
            <w:tcBorders>
              <w:tl2br w:val="nil"/>
              <w:tr2bl w:val="nil"/>
            </w:tcBorders>
            <w:shd w:val="clear" w:color="auto" w:fill="auto"/>
            <w:vAlign w:val="top"/>
          </w:tcPr>
          <w:p w14:paraId="7962A672">
            <w:pPr>
              <w:keepNext w:val="0"/>
              <w:keepLines w:val="0"/>
              <w:widowControl/>
              <w:suppressLineNumbers w:val="0"/>
              <w:spacing w:before="0" w:beforeAutospacing="0" w:after="0" w:afterAutospacing="0"/>
              <w:ind w:left="0" w:right="0"/>
              <w:jc w:val="left"/>
              <w:textAlignment w:val="top"/>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8</w:t>
            </w:r>
          </w:p>
        </w:tc>
        <w:tc>
          <w:tcPr>
            <w:tcW w:w="653" w:type="dxa"/>
            <w:tcBorders>
              <w:tl2br w:val="nil"/>
              <w:tr2bl w:val="nil"/>
            </w:tcBorders>
            <w:shd w:val="clear" w:color="auto" w:fill="auto"/>
            <w:vAlign w:val="top"/>
          </w:tcPr>
          <w:p w14:paraId="013FB11A">
            <w:pPr>
              <w:keepNext w:val="0"/>
              <w:keepLines w:val="0"/>
              <w:suppressLineNumbers w:val="0"/>
              <w:spacing w:before="0" w:beforeAutospacing="0" w:after="0" w:afterAutospacing="0"/>
              <w:ind w:left="0" w:right="0"/>
              <w:jc w:val="left"/>
              <w:rPr>
                <w:rFonts w:hint="eastAsia" w:ascii="仿宋" w:hAnsi="仿宋" w:eastAsia="仿宋" w:cs="仿宋"/>
                <w:i w:val="0"/>
                <w:iCs w:val="0"/>
                <w:color w:val="auto"/>
                <w:sz w:val="21"/>
                <w:szCs w:val="21"/>
                <w:highlight w:val="none"/>
                <w:u w:val="none"/>
              </w:rPr>
            </w:pPr>
          </w:p>
        </w:tc>
        <w:tc>
          <w:tcPr>
            <w:tcW w:w="647" w:type="dxa"/>
            <w:tcBorders>
              <w:tl2br w:val="nil"/>
              <w:tr2bl w:val="nil"/>
            </w:tcBorders>
            <w:shd w:val="clear" w:color="auto" w:fill="auto"/>
            <w:vAlign w:val="top"/>
          </w:tcPr>
          <w:p w14:paraId="283C8F6A">
            <w:pPr>
              <w:keepNext w:val="0"/>
              <w:keepLines w:val="0"/>
              <w:suppressLineNumbers w:val="0"/>
              <w:spacing w:before="0" w:beforeAutospacing="0" w:after="0" w:afterAutospacing="0"/>
              <w:ind w:left="0" w:right="0"/>
              <w:jc w:val="left"/>
              <w:rPr>
                <w:rFonts w:hint="eastAsia" w:ascii="仿宋" w:hAnsi="仿宋" w:eastAsia="仿宋" w:cs="仿宋"/>
                <w:i w:val="0"/>
                <w:iCs w:val="0"/>
                <w:color w:val="auto"/>
                <w:sz w:val="21"/>
                <w:szCs w:val="21"/>
                <w:highlight w:val="none"/>
                <w:u w:val="none"/>
              </w:rPr>
            </w:pPr>
          </w:p>
        </w:tc>
        <w:tc>
          <w:tcPr>
            <w:tcW w:w="1419" w:type="dxa"/>
            <w:tcBorders>
              <w:tl2br w:val="nil"/>
              <w:tr2bl w:val="nil"/>
            </w:tcBorders>
            <w:shd w:val="clear" w:color="auto" w:fill="auto"/>
            <w:vAlign w:val="top"/>
          </w:tcPr>
          <w:p w14:paraId="5425A1DA">
            <w:pPr>
              <w:keepNext w:val="0"/>
              <w:keepLines w:val="0"/>
              <w:suppressLineNumbers w:val="0"/>
              <w:spacing w:before="0" w:beforeAutospacing="0" w:after="0" w:afterAutospacing="0"/>
              <w:ind w:left="0" w:right="0"/>
              <w:jc w:val="left"/>
              <w:rPr>
                <w:rFonts w:hint="eastAsia" w:ascii="仿宋" w:hAnsi="仿宋" w:eastAsia="仿宋" w:cs="仿宋"/>
                <w:i w:val="0"/>
                <w:iCs w:val="0"/>
                <w:color w:val="auto"/>
                <w:sz w:val="21"/>
                <w:szCs w:val="21"/>
                <w:highlight w:val="none"/>
                <w:u w:val="none"/>
              </w:rPr>
            </w:pPr>
          </w:p>
        </w:tc>
      </w:tr>
      <w:tr w14:paraId="35A660A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879" w:hRule="atLeast"/>
        </w:trPr>
        <w:tc>
          <w:tcPr>
            <w:tcW w:w="2332" w:type="dxa"/>
            <w:tcBorders>
              <w:tl2br w:val="nil"/>
              <w:tr2bl w:val="nil"/>
            </w:tcBorders>
            <w:shd w:val="clear" w:color="auto" w:fill="auto"/>
            <w:vAlign w:val="top"/>
          </w:tcPr>
          <w:p w14:paraId="67600B2F">
            <w:pPr>
              <w:keepNext w:val="0"/>
              <w:keepLines w:val="0"/>
              <w:widowControl/>
              <w:suppressLineNumbers w:val="0"/>
              <w:spacing w:before="0" w:beforeAutospacing="0" w:after="0" w:afterAutospacing="0"/>
              <w:ind w:left="0" w:right="0"/>
              <w:jc w:val="left"/>
              <w:textAlignment w:val="top"/>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隐患整改闭环管理（12分）</w:t>
            </w:r>
          </w:p>
        </w:tc>
        <w:tc>
          <w:tcPr>
            <w:tcW w:w="934" w:type="dxa"/>
            <w:tcBorders>
              <w:tl2br w:val="nil"/>
              <w:tr2bl w:val="nil"/>
            </w:tcBorders>
            <w:shd w:val="clear" w:color="auto" w:fill="auto"/>
            <w:vAlign w:val="top"/>
          </w:tcPr>
          <w:p w14:paraId="624A7E80">
            <w:pPr>
              <w:keepNext w:val="0"/>
              <w:keepLines w:val="0"/>
              <w:widowControl/>
              <w:suppressLineNumbers w:val="0"/>
              <w:spacing w:before="0" w:beforeAutospacing="0" w:after="0" w:afterAutospacing="0"/>
              <w:ind w:left="0" w:right="0"/>
              <w:jc w:val="left"/>
              <w:textAlignment w:val="top"/>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隐患整改跟踪、复查及闭环落实</w:t>
            </w:r>
          </w:p>
        </w:tc>
        <w:tc>
          <w:tcPr>
            <w:tcW w:w="1549" w:type="dxa"/>
            <w:tcBorders>
              <w:tl2br w:val="nil"/>
              <w:tr2bl w:val="nil"/>
            </w:tcBorders>
            <w:shd w:val="clear" w:color="auto" w:fill="auto"/>
            <w:vAlign w:val="top"/>
          </w:tcPr>
          <w:p w14:paraId="4FBF5E51">
            <w:pPr>
              <w:keepNext w:val="0"/>
              <w:keepLines w:val="0"/>
              <w:widowControl/>
              <w:suppressLineNumbers w:val="0"/>
              <w:spacing w:before="0" w:beforeAutospacing="0" w:after="0" w:afterAutospacing="0"/>
              <w:ind w:left="0" w:right="0"/>
              <w:jc w:val="left"/>
              <w:textAlignment w:val="top"/>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隐患整改未形成闭环1项扣3分；未跟踪复查扣2分/项；整改逾期1项扣2分，最低分0分。</w:t>
            </w:r>
          </w:p>
        </w:tc>
        <w:tc>
          <w:tcPr>
            <w:tcW w:w="985" w:type="dxa"/>
            <w:tcBorders>
              <w:tl2br w:val="nil"/>
              <w:tr2bl w:val="nil"/>
            </w:tcBorders>
            <w:shd w:val="clear" w:color="auto" w:fill="auto"/>
            <w:vAlign w:val="top"/>
          </w:tcPr>
          <w:p w14:paraId="04793EE3">
            <w:pPr>
              <w:keepNext w:val="0"/>
              <w:keepLines w:val="0"/>
              <w:widowControl/>
              <w:suppressLineNumbers w:val="0"/>
              <w:spacing w:before="0" w:beforeAutospacing="0" w:after="0" w:afterAutospacing="0"/>
              <w:ind w:left="0" w:right="0"/>
              <w:jc w:val="left"/>
              <w:textAlignment w:val="top"/>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12</w:t>
            </w:r>
          </w:p>
        </w:tc>
        <w:tc>
          <w:tcPr>
            <w:tcW w:w="653" w:type="dxa"/>
            <w:tcBorders>
              <w:tl2br w:val="nil"/>
              <w:tr2bl w:val="nil"/>
            </w:tcBorders>
            <w:shd w:val="clear" w:color="auto" w:fill="auto"/>
            <w:vAlign w:val="top"/>
          </w:tcPr>
          <w:p w14:paraId="458DAECE">
            <w:pPr>
              <w:keepNext w:val="0"/>
              <w:keepLines w:val="0"/>
              <w:suppressLineNumbers w:val="0"/>
              <w:spacing w:before="0" w:beforeAutospacing="0" w:after="0" w:afterAutospacing="0"/>
              <w:ind w:left="0" w:right="0"/>
              <w:jc w:val="left"/>
              <w:rPr>
                <w:rFonts w:hint="eastAsia" w:ascii="仿宋" w:hAnsi="仿宋" w:eastAsia="仿宋" w:cs="仿宋"/>
                <w:i w:val="0"/>
                <w:iCs w:val="0"/>
                <w:color w:val="auto"/>
                <w:sz w:val="21"/>
                <w:szCs w:val="21"/>
                <w:highlight w:val="none"/>
                <w:u w:val="none"/>
              </w:rPr>
            </w:pPr>
          </w:p>
        </w:tc>
        <w:tc>
          <w:tcPr>
            <w:tcW w:w="647" w:type="dxa"/>
            <w:tcBorders>
              <w:tl2br w:val="nil"/>
              <w:tr2bl w:val="nil"/>
            </w:tcBorders>
            <w:shd w:val="clear" w:color="auto" w:fill="auto"/>
            <w:vAlign w:val="top"/>
          </w:tcPr>
          <w:p w14:paraId="4A1362BB">
            <w:pPr>
              <w:keepNext w:val="0"/>
              <w:keepLines w:val="0"/>
              <w:suppressLineNumbers w:val="0"/>
              <w:spacing w:before="0" w:beforeAutospacing="0" w:after="0" w:afterAutospacing="0"/>
              <w:ind w:left="0" w:right="0"/>
              <w:jc w:val="left"/>
              <w:rPr>
                <w:rFonts w:hint="eastAsia" w:ascii="仿宋" w:hAnsi="仿宋" w:eastAsia="仿宋" w:cs="仿宋"/>
                <w:i w:val="0"/>
                <w:iCs w:val="0"/>
                <w:color w:val="auto"/>
                <w:sz w:val="21"/>
                <w:szCs w:val="21"/>
                <w:highlight w:val="none"/>
                <w:u w:val="none"/>
              </w:rPr>
            </w:pPr>
          </w:p>
        </w:tc>
        <w:tc>
          <w:tcPr>
            <w:tcW w:w="1419" w:type="dxa"/>
            <w:tcBorders>
              <w:tl2br w:val="nil"/>
              <w:tr2bl w:val="nil"/>
            </w:tcBorders>
            <w:shd w:val="clear" w:color="auto" w:fill="auto"/>
            <w:vAlign w:val="top"/>
          </w:tcPr>
          <w:p w14:paraId="1A658238">
            <w:pPr>
              <w:keepNext w:val="0"/>
              <w:keepLines w:val="0"/>
              <w:suppressLineNumbers w:val="0"/>
              <w:spacing w:before="0" w:beforeAutospacing="0" w:after="0" w:afterAutospacing="0"/>
              <w:ind w:left="0" w:right="0"/>
              <w:jc w:val="left"/>
              <w:rPr>
                <w:rFonts w:hint="eastAsia" w:ascii="仿宋" w:hAnsi="仿宋" w:eastAsia="仿宋" w:cs="仿宋"/>
                <w:i w:val="0"/>
                <w:iCs w:val="0"/>
                <w:color w:val="auto"/>
                <w:sz w:val="21"/>
                <w:szCs w:val="21"/>
                <w:highlight w:val="none"/>
                <w:u w:val="none"/>
              </w:rPr>
            </w:pPr>
          </w:p>
        </w:tc>
      </w:tr>
      <w:tr w14:paraId="1528B69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879" w:hRule="atLeast"/>
        </w:trPr>
        <w:tc>
          <w:tcPr>
            <w:tcW w:w="2332" w:type="dxa"/>
            <w:tcBorders>
              <w:tl2br w:val="nil"/>
              <w:tr2bl w:val="nil"/>
            </w:tcBorders>
            <w:shd w:val="clear" w:color="auto" w:fill="auto"/>
            <w:vAlign w:val="top"/>
          </w:tcPr>
          <w:p w14:paraId="0111E6D2">
            <w:pPr>
              <w:keepNext w:val="0"/>
              <w:keepLines w:val="0"/>
              <w:widowControl/>
              <w:suppressLineNumbers w:val="0"/>
              <w:spacing w:before="0" w:beforeAutospacing="0" w:after="0" w:afterAutospacing="0"/>
              <w:ind w:left="0" w:right="0"/>
              <w:jc w:val="left"/>
              <w:textAlignment w:val="top"/>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资料留存情况（8分）</w:t>
            </w:r>
          </w:p>
        </w:tc>
        <w:tc>
          <w:tcPr>
            <w:tcW w:w="934" w:type="dxa"/>
            <w:tcBorders>
              <w:tl2br w:val="nil"/>
              <w:tr2bl w:val="nil"/>
            </w:tcBorders>
            <w:shd w:val="clear" w:color="auto" w:fill="auto"/>
            <w:vAlign w:val="top"/>
          </w:tcPr>
          <w:p w14:paraId="3A58DB9B">
            <w:pPr>
              <w:keepNext w:val="0"/>
              <w:keepLines w:val="0"/>
              <w:widowControl/>
              <w:suppressLineNumbers w:val="0"/>
              <w:spacing w:before="0" w:beforeAutospacing="0" w:after="0" w:afterAutospacing="0"/>
              <w:ind w:left="0" w:right="0"/>
              <w:jc w:val="left"/>
              <w:textAlignment w:val="top"/>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服务报告、培训演练、隐患排查等资料完整性</w:t>
            </w:r>
          </w:p>
        </w:tc>
        <w:tc>
          <w:tcPr>
            <w:tcW w:w="1549" w:type="dxa"/>
            <w:tcBorders>
              <w:tl2br w:val="nil"/>
              <w:tr2bl w:val="nil"/>
            </w:tcBorders>
            <w:shd w:val="clear" w:color="auto" w:fill="auto"/>
            <w:vAlign w:val="top"/>
          </w:tcPr>
          <w:p w14:paraId="30E9A789">
            <w:pPr>
              <w:keepNext w:val="0"/>
              <w:keepLines w:val="0"/>
              <w:widowControl/>
              <w:suppressLineNumbers w:val="0"/>
              <w:spacing w:before="0" w:beforeAutospacing="0" w:after="0" w:afterAutospacing="0"/>
              <w:ind w:left="0" w:right="0"/>
              <w:jc w:val="left"/>
              <w:textAlignment w:val="top"/>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未按时提交月度/季度/年度报告1次扣3分；资料缺失、不规范1项扣2分；资料不可追溯扣5分，最低分0分。</w:t>
            </w:r>
          </w:p>
        </w:tc>
        <w:tc>
          <w:tcPr>
            <w:tcW w:w="985" w:type="dxa"/>
            <w:tcBorders>
              <w:tl2br w:val="nil"/>
              <w:tr2bl w:val="nil"/>
            </w:tcBorders>
            <w:shd w:val="clear" w:color="auto" w:fill="auto"/>
            <w:vAlign w:val="top"/>
          </w:tcPr>
          <w:p w14:paraId="78D9E1C1">
            <w:pPr>
              <w:keepNext w:val="0"/>
              <w:keepLines w:val="0"/>
              <w:widowControl/>
              <w:suppressLineNumbers w:val="0"/>
              <w:spacing w:before="0" w:beforeAutospacing="0" w:after="0" w:afterAutospacing="0"/>
              <w:ind w:left="0" w:right="0"/>
              <w:jc w:val="left"/>
              <w:textAlignment w:val="top"/>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8</w:t>
            </w:r>
          </w:p>
        </w:tc>
        <w:tc>
          <w:tcPr>
            <w:tcW w:w="653" w:type="dxa"/>
            <w:tcBorders>
              <w:tl2br w:val="nil"/>
              <w:tr2bl w:val="nil"/>
            </w:tcBorders>
            <w:shd w:val="clear" w:color="auto" w:fill="auto"/>
            <w:vAlign w:val="top"/>
          </w:tcPr>
          <w:p w14:paraId="30045637">
            <w:pPr>
              <w:keepNext w:val="0"/>
              <w:keepLines w:val="0"/>
              <w:suppressLineNumbers w:val="0"/>
              <w:spacing w:before="0" w:beforeAutospacing="0" w:after="0" w:afterAutospacing="0"/>
              <w:ind w:left="0" w:right="0"/>
              <w:jc w:val="left"/>
              <w:rPr>
                <w:rFonts w:hint="eastAsia" w:ascii="仿宋" w:hAnsi="仿宋" w:eastAsia="仿宋" w:cs="仿宋"/>
                <w:i w:val="0"/>
                <w:iCs w:val="0"/>
                <w:color w:val="auto"/>
                <w:sz w:val="21"/>
                <w:szCs w:val="21"/>
                <w:highlight w:val="none"/>
                <w:u w:val="none"/>
              </w:rPr>
            </w:pPr>
          </w:p>
        </w:tc>
        <w:tc>
          <w:tcPr>
            <w:tcW w:w="647" w:type="dxa"/>
            <w:tcBorders>
              <w:tl2br w:val="nil"/>
              <w:tr2bl w:val="nil"/>
            </w:tcBorders>
            <w:shd w:val="clear" w:color="auto" w:fill="auto"/>
            <w:vAlign w:val="top"/>
          </w:tcPr>
          <w:p w14:paraId="36037F01">
            <w:pPr>
              <w:keepNext w:val="0"/>
              <w:keepLines w:val="0"/>
              <w:suppressLineNumbers w:val="0"/>
              <w:spacing w:before="0" w:beforeAutospacing="0" w:after="0" w:afterAutospacing="0"/>
              <w:ind w:left="0" w:right="0"/>
              <w:jc w:val="left"/>
              <w:rPr>
                <w:rFonts w:hint="eastAsia" w:ascii="仿宋" w:hAnsi="仿宋" w:eastAsia="仿宋" w:cs="仿宋"/>
                <w:i w:val="0"/>
                <w:iCs w:val="0"/>
                <w:color w:val="auto"/>
                <w:sz w:val="21"/>
                <w:szCs w:val="21"/>
                <w:highlight w:val="none"/>
                <w:u w:val="none"/>
              </w:rPr>
            </w:pPr>
          </w:p>
        </w:tc>
        <w:tc>
          <w:tcPr>
            <w:tcW w:w="1419" w:type="dxa"/>
            <w:tcBorders>
              <w:tl2br w:val="nil"/>
              <w:tr2bl w:val="nil"/>
            </w:tcBorders>
            <w:shd w:val="clear" w:color="auto" w:fill="auto"/>
            <w:vAlign w:val="top"/>
          </w:tcPr>
          <w:p w14:paraId="4780EF4A">
            <w:pPr>
              <w:keepNext w:val="0"/>
              <w:keepLines w:val="0"/>
              <w:suppressLineNumbers w:val="0"/>
              <w:spacing w:before="0" w:beforeAutospacing="0" w:after="0" w:afterAutospacing="0"/>
              <w:ind w:left="0" w:right="0"/>
              <w:jc w:val="left"/>
              <w:rPr>
                <w:rFonts w:hint="eastAsia" w:ascii="仿宋" w:hAnsi="仿宋" w:eastAsia="仿宋" w:cs="仿宋"/>
                <w:i w:val="0"/>
                <w:iCs w:val="0"/>
                <w:color w:val="auto"/>
                <w:sz w:val="21"/>
                <w:szCs w:val="21"/>
                <w:highlight w:val="none"/>
                <w:u w:val="none"/>
              </w:rPr>
            </w:pPr>
          </w:p>
        </w:tc>
      </w:tr>
      <w:tr w14:paraId="71134EC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879" w:hRule="atLeast"/>
        </w:trPr>
        <w:tc>
          <w:tcPr>
            <w:tcW w:w="2332" w:type="dxa"/>
            <w:tcBorders>
              <w:tl2br w:val="nil"/>
              <w:tr2bl w:val="nil"/>
            </w:tcBorders>
            <w:shd w:val="clear" w:color="auto" w:fill="auto"/>
            <w:vAlign w:val="top"/>
          </w:tcPr>
          <w:p w14:paraId="22A4C8BC">
            <w:pPr>
              <w:keepNext w:val="0"/>
              <w:keepLines w:val="0"/>
              <w:widowControl/>
              <w:suppressLineNumbers w:val="0"/>
              <w:spacing w:before="0" w:beforeAutospacing="0" w:after="0" w:afterAutospacing="0"/>
              <w:ind w:left="0" w:right="0"/>
              <w:jc w:val="left"/>
              <w:textAlignment w:val="top"/>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培训演练成效（5分）</w:t>
            </w:r>
          </w:p>
        </w:tc>
        <w:tc>
          <w:tcPr>
            <w:tcW w:w="934" w:type="dxa"/>
            <w:tcBorders>
              <w:tl2br w:val="nil"/>
              <w:tr2bl w:val="nil"/>
            </w:tcBorders>
            <w:shd w:val="clear" w:color="auto" w:fill="auto"/>
            <w:vAlign w:val="top"/>
          </w:tcPr>
          <w:p w14:paraId="37C096C6">
            <w:pPr>
              <w:keepNext w:val="0"/>
              <w:keepLines w:val="0"/>
              <w:widowControl/>
              <w:suppressLineNumbers w:val="0"/>
              <w:spacing w:before="0" w:beforeAutospacing="0" w:after="0" w:afterAutospacing="0"/>
              <w:ind w:left="0" w:right="0"/>
              <w:jc w:val="left"/>
              <w:textAlignment w:val="top"/>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培训演练的覆盖度、实效性</w:t>
            </w:r>
          </w:p>
        </w:tc>
        <w:tc>
          <w:tcPr>
            <w:tcW w:w="1549" w:type="dxa"/>
            <w:tcBorders>
              <w:tl2br w:val="nil"/>
              <w:tr2bl w:val="nil"/>
            </w:tcBorders>
            <w:shd w:val="clear" w:color="auto" w:fill="auto"/>
            <w:vAlign w:val="top"/>
          </w:tcPr>
          <w:p w14:paraId="7C7D404A">
            <w:pPr>
              <w:keepNext w:val="0"/>
              <w:keepLines w:val="0"/>
              <w:widowControl/>
              <w:suppressLineNumbers w:val="0"/>
              <w:spacing w:before="0" w:beforeAutospacing="0" w:after="0" w:afterAutospacing="0"/>
              <w:ind w:left="0" w:right="0"/>
              <w:jc w:val="left"/>
              <w:textAlignment w:val="top"/>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培训/演练覆盖度未达要求扣4分；无签到表、影像资料扣3分；演练成效不佳扣3分，最低分0分。</w:t>
            </w:r>
          </w:p>
        </w:tc>
        <w:tc>
          <w:tcPr>
            <w:tcW w:w="985" w:type="dxa"/>
            <w:tcBorders>
              <w:tl2br w:val="nil"/>
              <w:tr2bl w:val="nil"/>
            </w:tcBorders>
            <w:shd w:val="clear" w:color="auto" w:fill="auto"/>
            <w:vAlign w:val="top"/>
          </w:tcPr>
          <w:p w14:paraId="058DFC40">
            <w:pPr>
              <w:keepNext w:val="0"/>
              <w:keepLines w:val="0"/>
              <w:widowControl/>
              <w:suppressLineNumbers w:val="0"/>
              <w:spacing w:before="0" w:beforeAutospacing="0" w:after="0" w:afterAutospacing="0"/>
              <w:ind w:left="0" w:right="0"/>
              <w:jc w:val="left"/>
              <w:textAlignment w:val="top"/>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5</w:t>
            </w:r>
          </w:p>
        </w:tc>
        <w:tc>
          <w:tcPr>
            <w:tcW w:w="653" w:type="dxa"/>
            <w:tcBorders>
              <w:tl2br w:val="nil"/>
              <w:tr2bl w:val="nil"/>
            </w:tcBorders>
            <w:shd w:val="clear" w:color="auto" w:fill="auto"/>
            <w:vAlign w:val="top"/>
          </w:tcPr>
          <w:p w14:paraId="59101543">
            <w:pPr>
              <w:keepNext w:val="0"/>
              <w:keepLines w:val="0"/>
              <w:suppressLineNumbers w:val="0"/>
              <w:spacing w:before="0" w:beforeAutospacing="0" w:after="0" w:afterAutospacing="0"/>
              <w:ind w:left="0" w:right="0"/>
              <w:jc w:val="left"/>
              <w:rPr>
                <w:rFonts w:hint="eastAsia" w:ascii="仿宋" w:hAnsi="仿宋" w:eastAsia="仿宋" w:cs="仿宋"/>
                <w:i w:val="0"/>
                <w:iCs w:val="0"/>
                <w:color w:val="auto"/>
                <w:sz w:val="21"/>
                <w:szCs w:val="21"/>
                <w:highlight w:val="none"/>
                <w:u w:val="none"/>
              </w:rPr>
            </w:pPr>
          </w:p>
        </w:tc>
        <w:tc>
          <w:tcPr>
            <w:tcW w:w="647" w:type="dxa"/>
            <w:tcBorders>
              <w:tl2br w:val="nil"/>
              <w:tr2bl w:val="nil"/>
            </w:tcBorders>
            <w:shd w:val="clear" w:color="auto" w:fill="auto"/>
            <w:vAlign w:val="top"/>
          </w:tcPr>
          <w:p w14:paraId="3A804FC7">
            <w:pPr>
              <w:keepNext w:val="0"/>
              <w:keepLines w:val="0"/>
              <w:suppressLineNumbers w:val="0"/>
              <w:spacing w:before="0" w:beforeAutospacing="0" w:after="0" w:afterAutospacing="0"/>
              <w:ind w:left="0" w:right="0"/>
              <w:jc w:val="left"/>
              <w:rPr>
                <w:rFonts w:hint="eastAsia" w:ascii="仿宋" w:hAnsi="仿宋" w:eastAsia="仿宋" w:cs="仿宋"/>
                <w:i w:val="0"/>
                <w:iCs w:val="0"/>
                <w:color w:val="auto"/>
                <w:sz w:val="21"/>
                <w:szCs w:val="21"/>
                <w:highlight w:val="none"/>
                <w:u w:val="none"/>
              </w:rPr>
            </w:pPr>
          </w:p>
        </w:tc>
        <w:tc>
          <w:tcPr>
            <w:tcW w:w="1419" w:type="dxa"/>
            <w:tcBorders>
              <w:tl2br w:val="nil"/>
              <w:tr2bl w:val="nil"/>
            </w:tcBorders>
            <w:shd w:val="clear" w:color="auto" w:fill="auto"/>
            <w:vAlign w:val="top"/>
          </w:tcPr>
          <w:p w14:paraId="4BAB89E3">
            <w:pPr>
              <w:keepNext w:val="0"/>
              <w:keepLines w:val="0"/>
              <w:suppressLineNumbers w:val="0"/>
              <w:spacing w:before="0" w:beforeAutospacing="0" w:after="0" w:afterAutospacing="0"/>
              <w:ind w:left="0" w:right="0"/>
              <w:jc w:val="left"/>
              <w:rPr>
                <w:rFonts w:hint="eastAsia" w:ascii="仿宋" w:hAnsi="仿宋" w:eastAsia="仿宋" w:cs="仿宋"/>
                <w:i w:val="0"/>
                <w:iCs w:val="0"/>
                <w:color w:val="auto"/>
                <w:sz w:val="21"/>
                <w:szCs w:val="21"/>
                <w:highlight w:val="none"/>
                <w:u w:val="none"/>
              </w:rPr>
            </w:pPr>
          </w:p>
        </w:tc>
      </w:tr>
      <w:tr w14:paraId="7769034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879" w:hRule="atLeast"/>
        </w:trPr>
        <w:tc>
          <w:tcPr>
            <w:tcW w:w="2332" w:type="dxa"/>
            <w:tcBorders>
              <w:tl2br w:val="nil"/>
              <w:tr2bl w:val="nil"/>
            </w:tcBorders>
            <w:shd w:val="clear" w:color="auto" w:fill="auto"/>
            <w:vAlign w:val="top"/>
          </w:tcPr>
          <w:p w14:paraId="0C49E4A4">
            <w:pPr>
              <w:keepNext w:val="0"/>
              <w:keepLines w:val="0"/>
              <w:widowControl/>
              <w:suppressLineNumbers w:val="0"/>
              <w:spacing w:before="0" w:beforeAutospacing="0" w:after="0" w:afterAutospacing="0"/>
              <w:ind w:left="0" w:right="0"/>
              <w:jc w:val="left"/>
              <w:textAlignment w:val="top"/>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合规性管理（8分）</w:t>
            </w:r>
          </w:p>
        </w:tc>
        <w:tc>
          <w:tcPr>
            <w:tcW w:w="934" w:type="dxa"/>
            <w:tcBorders>
              <w:tl2br w:val="nil"/>
              <w:tr2bl w:val="nil"/>
            </w:tcBorders>
            <w:shd w:val="clear" w:color="auto" w:fill="auto"/>
            <w:vAlign w:val="top"/>
          </w:tcPr>
          <w:p w14:paraId="56C12084">
            <w:pPr>
              <w:keepNext w:val="0"/>
              <w:keepLines w:val="0"/>
              <w:widowControl/>
              <w:suppressLineNumbers w:val="0"/>
              <w:spacing w:before="0" w:beforeAutospacing="0" w:after="0" w:afterAutospacing="0"/>
              <w:ind w:left="0" w:right="0"/>
              <w:jc w:val="left"/>
              <w:textAlignment w:val="top"/>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资质、流程、操作规范性</w:t>
            </w:r>
          </w:p>
        </w:tc>
        <w:tc>
          <w:tcPr>
            <w:tcW w:w="1549" w:type="dxa"/>
            <w:tcBorders>
              <w:tl2br w:val="nil"/>
              <w:tr2bl w:val="nil"/>
            </w:tcBorders>
            <w:shd w:val="clear" w:color="auto" w:fill="auto"/>
            <w:vAlign w:val="top"/>
          </w:tcPr>
          <w:p w14:paraId="5B69F348">
            <w:pPr>
              <w:keepNext w:val="0"/>
              <w:keepLines w:val="0"/>
              <w:widowControl/>
              <w:suppressLineNumbers w:val="0"/>
              <w:spacing w:before="0" w:beforeAutospacing="0" w:after="0" w:afterAutospacing="0"/>
              <w:ind w:left="0" w:right="0"/>
              <w:jc w:val="left"/>
              <w:textAlignment w:val="top"/>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资质过期、人员无对应从业资格1人/项扣3分；流程、操作不规范1次扣2分；违反法规1次扣8分，最低分0分。</w:t>
            </w:r>
          </w:p>
        </w:tc>
        <w:tc>
          <w:tcPr>
            <w:tcW w:w="985" w:type="dxa"/>
            <w:tcBorders>
              <w:tl2br w:val="nil"/>
              <w:tr2bl w:val="nil"/>
            </w:tcBorders>
            <w:shd w:val="clear" w:color="auto" w:fill="auto"/>
            <w:vAlign w:val="top"/>
          </w:tcPr>
          <w:p w14:paraId="0599F44A">
            <w:pPr>
              <w:keepNext w:val="0"/>
              <w:keepLines w:val="0"/>
              <w:widowControl/>
              <w:suppressLineNumbers w:val="0"/>
              <w:spacing w:before="0" w:beforeAutospacing="0" w:after="0" w:afterAutospacing="0"/>
              <w:ind w:left="0" w:right="0"/>
              <w:jc w:val="left"/>
              <w:textAlignment w:val="top"/>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8</w:t>
            </w:r>
          </w:p>
        </w:tc>
        <w:tc>
          <w:tcPr>
            <w:tcW w:w="653" w:type="dxa"/>
            <w:tcBorders>
              <w:tl2br w:val="nil"/>
              <w:tr2bl w:val="nil"/>
            </w:tcBorders>
            <w:shd w:val="clear" w:color="auto" w:fill="auto"/>
            <w:vAlign w:val="top"/>
          </w:tcPr>
          <w:p w14:paraId="047E1731">
            <w:pPr>
              <w:keepNext w:val="0"/>
              <w:keepLines w:val="0"/>
              <w:suppressLineNumbers w:val="0"/>
              <w:spacing w:before="0" w:beforeAutospacing="0" w:after="0" w:afterAutospacing="0"/>
              <w:ind w:left="0" w:right="0"/>
              <w:jc w:val="left"/>
              <w:rPr>
                <w:rFonts w:hint="eastAsia" w:ascii="仿宋" w:hAnsi="仿宋" w:eastAsia="仿宋" w:cs="仿宋"/>
                <w:i w:val="0"/>
                <w:iCs w:val="0"/>
                <w:color w:val="auto"/>
                <w:sz w:val="21"/>
                <w:szCs w:val="21"/>
                <w:highlight w:val="none"/>
                <w:u w:val="none"/>
              </w:rPr>
            </w:pPr>
          </w:p>
        </w:tc>
        <w:tc>
          <w:tcPr>
            <w:tcW w:w="647" w:type="dxa"/>
            <w:tcBorders>
              <w:tl2br w:val="nil"/>
              <w:tr2bl w:val="nil"/>
            </w:tcBorders>
            <w:shd w:val="clear" w:color="auto" w:fill="auto"/>
            <w:vAlign w:val="top"/>
          </w:tcPr>
          <w:p w14:paraId="5BE284A1">
            <w:pPr>
              <w:keepNext w:val="0"/>
              <w:keepLines w:val="0"/>
              <w:suppressLineNumbers w:val="0"/>
              <w:spacing w:before="0" w:beforeAutospacing="0" w:after="0" w:afterAutospacing="0"/>
              <w:ind w:left="0" w:right="0"/>
              <w:jc w:val="left"/>
              <w:rPr>
                <w:rFonts w:hint="eastAsia" w:ascii="仿宋" w:hAnsi="仿宋" w:eastAsia="仿宋" w:cs="仿宋"/>
                <w:i w:val="0"/>
                <w:iCs w:val="0"/>
                <w:color w:val="auto"/>
                <w:sz w:val="21"/>
                <w:szCs w:val="21"/>
                <w:highlight w:val="none"/>
                <w:u w:val="none"/>
              </w:rPr>
            </w:pPr>
          </w:p>
        </w:tc>
        <w:tc>
          <w:tcPr>
            <w:tcW w:w="1419" w:type="dxa"/>
            <w:tcBorders>
              <w:tl2br w:val="nil"/>
              <w:tr2bl w:val="nil"/>
            </w:tcBorders>
            <w:shd w:val="clear" w:color="auto" w:fill="auto"/>
            <w:vAlign w:val="top"/>
          </w:tcPr>
          <w:p w14:paraId="4191CC09">
            <w:pPr>
              <w:keepNext w:val="0"/>
              <w:keepLines w:val="0"/>
              <w:suppressLineNumbers w:val="0"/>
              <w:spacing w:before="0" w:beforeAutospacing="0" w:after="0" w:afterAutospacing="0"/>
              <w:ind w:left="0" w:right="0"/>
              <w:jc w:val="left"/>
              <w:rPr>
                <w:rFonts w:hint="eastAsia" w:ascii="仿宋" w:hAnsi="仿宋" w:eastAsia="仿宋" w:cs="仿宋"/>
                <w:i w:val="0"/>
                <w:iCs w:val="0"/>
                <w:color w:val="auto"/>
                <w:sz w:val="21"/>
                <w:szCs w:val="21"/>
                <w:highlight w:val="none"/>
                <w:u w:val="none"/>
              </w:rPr>
            </w:pPr>
          </w:p>
        </w:tc>
      </w:tr>
      <w:tr w14:paraId="267BF6B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879" w:hRule="atLeast"/>
        </w:trPr>
        <w:tc>
          <w:tcPr>
            <w:tcW w:w="2332" w:type="dxa"/>
            <w:tcBorders>
              <w:tl2br w:val="nil"/>
              <w:tr2bl w:val="nil"/>
            </w:tcBorders>
            <w:shd w:val="clear" w:color="auto" w:fill="auto"/>
            <w:vAlign w:val="top"/>
          </w:tcPr>
          <w:p w14:paraId="35912AE0">
            <w:pPr>
              <w:keepNext w:val="0"/>
              <w:keepLines w:val="0"/>
              <w:widowControl/>
              <w:suppressLineNumbers w:val="0"/>
              <w:spacing w:before="0" w:beforeAutospacing="0" w:after="0" w:afterAutospacing="0"/>
              <w:ind w:left="0" w:right="0"/>
              <w:jc w:val="left"/>
              <w:textAlignment w:val="top"/>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沟通配合能力（7分）</w:t>
            </w:r>
          </w:p>
        </w:tc>
        <w:tc>
          <w:tcPr>
            <w:tcW w:w="934" w:type="dxa"/>
            <w:tcBorders>
              <w:tl2br w:val="nil"/>
              <w:tr2bl w:val="nil"/>
            </w:tcBorders>
            <w:shd w:val="clear" w:color="auto" w:fill="auto"/>
            <w:vAlign w:val="top"/>
          </w:tcPr>
          <w:p w14:paraId="3D6C19F8">
            <w:pPr>
              <w:keepNext w:val="0"/>
              <w:keepLines w:val="0"/>
              <w:widowControl/>
              <w:suppressLineNumbers w:val="0"/>
              <w:spacing w:before="0" w:beforeAutospacing="0" w:after="0" w:afterAutospacing="0"/>
              <w:ind w:left="0" w:right="0"/>
              <w:jc w:val="left"/>
              <w:textAlignment w:val="top"/>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与各方对接、配合工作情况</w:t>
            </w:r>
          </w:p>
        </w:tc>
        <w:tc>
          <w:tcPr>
            <w:tcW w:w="1549" w:type="dxa"/>
            <w:tcBorders>
              <w:tl2br w:val="nil"/>
              <w:tr2bl w:val="nil"/>
            </w:tcBorders>
            <w:shd w:val="clear" w:color="auto" w:fill="auto"/>
            <w:vAlign w:val="top"/>
          </w:tcPr>
          <w:p w14:paraId="6A38EE48">
            <w:pPr>
              <w:keepNext w:val="0"/>
              <w:keepLines w:val="0"/>
              <w:widowControl/>
              <w:suppressLineNumbers w:val="0"/>
              <w:spacing w:before="0" w:beforeAutospacing="0" w:after="0" w:afterAutospacing="0"/>
              <w:ind w:left="0" w:right="0"/>
              <w:jc w:val="left"/>
              <w:textAlignment w:val="top"/>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对接不及时1次扣2分；反馈错误/遗漏1次扣2分；不配合工作1次扣3分，最低分0分。</w:t>
            </w:r>
          </w:p>
        </w:tc>
        <w:tc>
          <w:tcPr>
            <w:tcW w:w="985" w:type="dxa"/>
            <w:tcBorders>
              <w:tl2br w:val="nil"/>
              <w:tr2bl w:val="nil"/>
            </w:tcBorders>
            <w:shd w:val="clear" w:color="auto" w:fill="auto"/>
            <w:vAlign w:val="top"/>
          </w:tcPr>
          <w:p w14:paraId="17187CE4">
            <w:pPr>
              <w:keepNext w:val="0"/>
              <w:keepLines w:val="0"/>
              <w:widowControl/>
              <w:suppressLineNumbers w:val="0"/>
              <w:spacing w:before="0" w:beforeAutospacing="0" w:after="0" w:afterAutospacing="0"/>
              <w:ind w:left="0" w:right="0"/>
              <w:jc w:val="left"/>
              <w:textAlignment w:val="top"/>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7</w:t>
            </w:r>
          </w:p>
        </w:tc>
        <w:tc>
          <w:tcPr>
            <w:tcW w:w="653" w:type="dxa"/>
            <w:tcBorders>
              <w:tl2br w:val="nil"/>
              <w:tr2bl w:val="nil"/>
            </w:tcBorders>
            <w:shd w:val="clear" w:color="auto" w:fill="auto"/>
            <w:vAlign w:val="top"/>
          </w:tcPr>
          <w:p w14:paraId="3553A3E0">
            <w:pPr>
              <w:keepNext w:val="0"/>
              <w:keepLines w:val="0"/>
              <w:suppressLineNumbers w:val="0"/>
              <w:spacing w:before="0" w:beforeAutospacing="0" w:after="0" w:afterAutospacing="0"/>
              <w:ind w:left="0" w:right="0"/>
              <w:jc w:val="left"/>
              <w:rPr>
                <w:rFonts w:hint="eastAsia" w:ascii="仿宋" w:hAnsi="仿宋" w:eastAsia="仿宋" w:cs="仿宋"/>
                <w:i w:val="0"/>
                <w:iCs w:val="0"/>
                <w:color w:val="auto"/>
                <w:sz w:val="21"/>
                <w:szCs w:val="21"/>
                <w:highlight w:val="none"/>
                <w:u w:val="none"/>
              </w:rPr>
            </w:pPr>
          </w:p>
        </w:tc>
        <w:tc>
          <w:tcPr>
            <w:tcW w:w="647" w:type="dxa"/>
            <w:tcBorders>
              <w:tl2br w:val="nil"/>
              <w:tr2bl w:val="nil"/>
            </w:tcBorders>
            <w:shd w:val="clear" w:color="auto" w:fill="auto"/>
            <w:vAlign w:val="top"/>
          </w:tcPr>
          <w:p w14:paraId="0ECF7081">
            <w:pPr>
              <w:keepNext w:val="0"/>
              <w:keepLines w:val="0"/>
              <w:suppressLineNumbers w:val="0"/>
              <w:spacing w:before="0" w:beforeAutospacing="0" w:after="0" w:afterAutospacing="0"/>
              <w:ind w:left="0" w:right="0"/>
              <w:jc w:val="left"/>
              <w:rPr>
                <w:rFonts w:hint="eastAsia" w:ascii="仿宋" w:hAnsi="仿宋" w:eastAsia="仿宋" w:cs="仿宋"/>
                <w:i w:val="0"/>
                <w:iCs w:val="0"/>
                <w:color w:val="auto"/>
                <w:sz w:val="21"/>
                <w:szCs w:val="21"/>
                <w:highlight w:val="none"/>
                <w:u w:val="none"/>
              </w:rPr>
            </w:pPr>
          </w:p>
        </w:tc>
        <w:tc>
          <w:tcPr>
            <w:tcW w:w="1419" w:type="dxa"/>
            <w:tcBorders>
              <w:tl2br w:val="nil"/>
              <w:tr2bl w:val="nil"/>
            </w:tcBorders>
            <w:shd w:val="clear" w:color="auto" w:fill="auto"/>
            <w:vAlign w:val="top"/>
          </w:tcPr>
          <w:p w14:paraId="607C1402">
            <w:pPr>
              <w:keepNext w:val="0"/>
              <w:keepLines w:val="0"/>
              <w:suppressLineNumbers w:val="0"/>
              <w:spacing w:before="0" w:beforeAutospacing="0" w:after="0" w:afterAutospacing="0"/>
              <w:ind w:left="0" w:right="0"/>
              <w:jc w:val="left"/>
              <w:rPr>
                <w:rFonts w:hint="eastAsia" w:ascii="仿宋" w:hAnsi="仿宋" w:eastAsia="仿宋" w:cs="仿宋"/>
                <w:i w:val="0"/>
                <w:iCs w:val="0"/>
                <w:color w:val="auto"/>
                <w:sz w:val="21"/>
                <w:szCs w:val="21"/>
                <w:highlight w:val="none"/>
                <w:u w:val="none"/>
              </w:rPr>
            </w:pPr>
          </w:p>
        </w:tc>
      </w:tr>
      <w:tr w14:paraId="3E1CF30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879" w:hRule="atLeast"/>
        </w:trPr>
        <w:tc>
          <w:tcPr>
            <w:tcW w:w="2332" w:type="dxa"/>
            <w:tcBorders>
              <w:tl2br w:val="nil"/>
              <w:tr2bl w:val="nil"/>
            </w:tcBorders>
            <w:shd w:val="clear" w:color="auto" w:fill="auto"/>
            <w:vAlign w:val="top"/>
          </w:tcPr>
          <w:p w14:paraId="1CD7C685">
            <w:pPr>
              <w:keepNext w:val="0"/>
              <w:keepLines w:val="0"/>
              <w:widowControl/>
              <w:suppressLineNumbers w:val="0"/>
              <w:spacing w:before="0" w:beforeAutospacing="0" w:after="0" w:afterAutospacing="0"/>
              <w:ind w:left="0" w:right="0"/>
              <w:jc w:val="left"/>
              <w:textAlignment w:val="top"/>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人员专业能力（8分）</w:t>
            </w:r>
          </w:p>
        </w:tc>
        <w:tc>
          <w:tcPr>
            <w:tcW w:w="934" w:type="dxa"/>
            <w:tcBorders>
              <w:tl2br w:val="nil"/>
              <w:tr2bl w:val="nil"/>
            </w:tcBorders>
            <w:shd w:val="clear" w:color="auto" w:fill="auto"/>
            <w:vAlign w:val="top"/>
          </w:tcPr>
          <w:p w14:paraId="2FEEE957">
            <w:pPr>
              <w:keepNext w:val="0"/>
              <w:keepLines w:val="0"/>
              <w:widowControl/>
              <w:suppressLineNumbers w:val="0"/>
              <w:spacing w:before="0" w:beforeAutospacing="0" w:after="0" w:afterAutospacing="0"/>
              <w:ind w:left="0" w:right="0"/>
              <w:jc w:val="left"/>
              <w:textAlignment w:val="top"/>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工作人员资质、实操及应急能力</w:t>
            </w:r>
          </w:p>
        </w:tc>
        <w:tc>
          <w:tcPr>
            <w:tcW w:w="1549" w:type="dxa"/>
            <w:tcBorders>
              <w:tl2br w:val="nil"/>
              <w:tr2bl w:val="nil"/>
            </w:tcBorders>
            <w:shd w:val="clear" w:color="auto" w:fill="auto"/>
            <w:vAlign w:val="top"/>
          </w:tcPr>
          <w:p w14:paraId="7956438D">
            <w:pPr>
              <w:keepNext w:val="0"/>
              <w:keepLines w:val="0"/>
              <w:widowControl/>
              <w:suppressLineNumbers w:val="0"/>
              <w:spacing w:before="0" w:beforeAutospacing="0" w:after="0" w:afterAutospacing="0"/>
              <w:ind w:left="0" w:right="0"/>
              <w:jc w:val="left"/>
              <w:textAlignment w:val="top"/>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人员资质不达标1人扣3分；实操能力不足1次扣2分；未参加培训1人/次扣2分，最低分0分。</w:t>
            </w:r>
          </w:p>
        </w:tc>
        <w:tc>
          <w:tcPr>
            <w:tcW w:w="985" w:type="dxa"/>
            <w:tcBorders>
              <w:tl2br w:val="nil"/>
              <w:tr2bl w:val="nil"/>
            </w:tcBorders>
            <w:shd w:val="clear" w:color="auto" w:fill="auto"/>
            <w:vAlign w:val="top"/>
          </w:tcPr>
          <w:p w14:paraId="00145DC5">
            <w:pPr>
              <w:keepNext w:val="0"/>
              <w:keepLines w:val="0"/>
              <w:widowControl/>
              <w:suppressLineNumbers w:val="0"/>
              <w:spacing w:before="0" w:beforeAutospacing="0" w:after="0" w:afterAutospacing="0"/>
              <w:ind w:left="0" w:right="0"/>
              <w:jc w:val="left"/>
              <w:textAlignment w:val="top"/>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8</w:t>
            </w:r>
          </w:p>
        </w:tc>
        <w:tc>
          <w:tcPr>
            <w:tcW w:w="653" w:type="dxa"/>
            <w:tcBorders>
              <w:tl2br w:val="nil"/>
              <w:tr2bl w:val="nil"/>
            </w:tcBorders>
            <w:shd w:val="clear" w:color="auto" w:fill="auto"/>
            <w:vAlign w:val="top"/>
          </w:tcPr>
          <w:p w14:paraId="77414FCB">
            <w:pPr>
              <w:keepNext w:val="0"/>
              <w:keepLines w:val="0"/>
              <w:suppressLineNumbers w:val="0"/>
              <w:spacing w:before="0" w:beforeAutospacing="0" w:after="0" w:afterAutospacing="0"/>
              <w:ind w:left="0" w:right="0"/>
              <w:jc w:val="left"/>
              <w:rPr>
                <w:rFonts w:hint="eastAsia" w:ascii="仿宋" w:hAnsi="仿宋" w:eastAsia="仿宋" w:cs="仿宋"/>
                <w:i w:val="0"/>
                <w:iCs w:val="0"/>
                <w:color w:val="auto"/>
                <w:sz w:val="21"/>
                <w:szCs w:val="21"/>
                <w:highlight w:val="none"/>
                <w:u w:val="none"/>
              </w:rPr>
            </w:pPr>
          </w:p>
        </w:tc>
        <w:tc>
          <w:tcPr>
            <w:tcW w:w="647" w:type="dxa"/>
            <w:tcBorders>
              <w:tl2br w:val="nil"/>
              <w:tr2bl w:val="nil"/>
            </w:tcBorders>
            <w:shd w:val="clear" w:color="auto" w:fill="auto"/>
            <w:vAlign w:val="top"/>
          </w:tcPr>
          <w:p w14:paraId="6CFC58FB">
            <w:pPr>
              <w:keepNext w:val="0"/>
              <w:keepLines w:val="0"/>
              <w:suppressLineNumbers w:val="0"/>
              <w:spacing w:before="0" w:beforeAutospacing="0" w:after="0" w:afterAutospacing="0"/>
              <w:ind w:left="0" w:right="0"/>
              <w:jc w:val="left"/>
              <w:rPr>
                <w:rFonts w:hint="eastAsia" w:ascii="仿宋" w:hAnsi="仿宋" w:eastAsia="仿宋" w:cs="仿宋"/>
                <w:i w:val="0"/>
                <w:iCs w:val="0"/>
                <w:color w:val="auto"/>
                <w:sz w:val="21"/>
                <w:szCs w:val="21"/>
                <w:highlight w:val="none"/>
                <w:u w:val="none"/>
              </w:rPr>
            </w:pPr>
          </w:p>
        </w:tc>
        <w:tc>
          <w:tcPr>
            <w:tcW w:w="1419" w:type="dxa"/>
            <w:tcBorders>
              <w:tl2br w:val="nil"/>
              <w:tr2bl w:val="nil"/>
            </w:tcBorders>
            <w:shd w:val="clear" w:color="auto" w:fill="auto"/>
            <w:noWrap/>
            <w:vAlign w:val="center"/>
          </w:tcPr>
          <w:p w14:paraId="7C172968">
            <w:pPr>
              <w:keepNext w:val="0"/>
              <w:keepLines w:val="0"/>
              <w:suppressLineNumbers w:val="0"/>
              <w:spacing w:before="0" w:beforeAutospacing="0" w:after="0" w:afterAutospacing="0"/>
              <w:ind w:left="0" w:right="0"/>
              <w:rPr>
                <w:rFonts w:hint="eastAsia" w:ascii="宋体" w:hAnsi="宋体" w:eastAsia="宋体" w:cs="宋体"/>
                <w:i w:val="0"/>
                <w:iCs w:val="0"/>
                <w:color w:val="auto"/>
                <w:sz w:val="22"/>
                <w:szCs w:val="22"/>
                <w:highlight w:val="none"/>
                <w:u w:val="none"/>
              </w:rPr>
            </w:pPr>
          </w:p>
        </w:tc>
      </w:tr>
      <w:tr w14:paraId="65BEF20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879" w:hRule="atLeast"/>
        </w:trPr>
        <w:tc>
          <w:tcPr>
            <w:tcW w:w="4815" w:type="dxa"/>
            <w:gridSpan w:val="3"/>
            <w:tcBorders>
              <w:tl2br w:val="nil"/>
              <w:tr2bl w:val="nil"/>
            </w:tcBorders>
            <w:shd w:val="clear" w:color="auto" w:fill="auto"/>
            <w:vAlign w:val="top"/>
          </w:tcPr>
          <w:p w14:paraId="558E6EFC">
            <w:pPr>
              <w:keepNext w:val="0"/>
              <w:keepLines w:val="0"/>
              <w:widowControl/>
              <w:suppressLineNumbers w:val="0"/>
              <w:spacing w:before="0" w:beforeAutospacing="0" w:after="0" w:afterAutospacing="0"/>
              <w:ind w:left="0" w:right="0"/>
              <w:jc w:val="left"/>
              <w:textAlignment w:val="top"/>
              <w:rPr>
                <w:rFonts w:hint="default"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小计</w:t>
            </w:r>
          </w:p>
        </w:tc>
        <w:tc>
          <w:tcPr>
            <w:tcW w:w="985" w:type="dxa"/>
            <w:tcBorders>
              <w:tl2br w:val="nil"/>
              <w:tr2bl w:val="nil"/>
            </w:tcBorders>
            <w:shd w:val="clear" w:color="auto" w:fill="auto"/>
            <w:vAlign w:val="top"/>
          </w:tcPr>
          <w:p w14:paraId="36E434A1">
            <w:pPr>
              <w:keepNext w:val="0"/>
              <w:keepLines w:val="0"/>
              <w:widowControl/>
              <w:suppressLineNumbers w:val="0"/>
              <w:spacing w:before="0" w:beforeAutospacing="0" w:after="0" w:afterAutospacing="0"/>
              <w:ind w:left="0" w:right="0"/>
              <w:jc w:val="left"/>
              <w:textAlignment w:val="top"/>
              <w:rPr>
                <w:rFonts w:hint="default"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100</w:t>
            </w:r>
          </w:p>
        </w:tc>
        <w:tc>
          <w:tcPr>
            <w:tcW w:w="653" w:type="dxa"/>
            <w:tcBorders>
              <w:tl2br w:val="nil"/>
              <w:tr2bl w:val="nil"/>
            </w:tcBorders>
            <w:shd w:val="clear" w:color="auto" w:fill="auto"/>
            <w:vAlign w:val="top"/>
          </w:tcPr>
          <w:p w14:paraId="0F5A67FA">
            <w:pPr>
              <w:keepNext w:val="0"/>
              <w:keepLines w:val="0"/>
              <w:suppressLineNumbers w:val="0"/>
              <w:spacing w:before="0" w:beforeAutospacing="0" w:after="0" w:afterAutospacing="0"/>
              <w:ind w:left="0" w:right="0"/>
              <w:jc w:val="left"/>
              <w:rPr>
                <w:rFonts w:hint="eastAsia" w:ascii="仿宋" w:hAnsi="仿宋" w:eastAsia="仿宋" w:cs="仿宋"/>
                <w:i w:val="0"/>
                <w:iCs w:val="0"/>
                <w:color w:val="auto"/>
                <w:sz w:val="21"/>
                <w:szCs w:val="21"/>
                <w:highlight w:val="none"/>
                <w:u w:val="none"/>
              </w:rPr>
            </w:pPr>
          </w:p>
        </w:tc>
        <w:tc>
          <w:tcPr>
            <w:tcW w:w="647" w:type="dxa"/>
            <w:tcBorders>
              <w:tl2br w:val="nil"/>
              <w:tr2bl w:val="nil"/>
            </w:tcBorders>
            <w:shd w:val="clear" w:color="auto" w:fill="auto"/>
            <w:vAlign w:val="top"/>
          </w:tcPr>
          <w:p w14:paraId="385487DF">
            <w:pPr>
              <w:keepNext w:val="0"/>
              <w:keepLines w:val="0"/>
              <w:suppressLineNumbers w:val="0"/>
              <w:spacing w:before="0" w:beforeAutospacing="0" w:after="0" w:afterAutospacing="0"/>
              <w:ind w:left="0" w:right="0"/>
              <w:jc w:val="left"/>
              <w:rPr>
                <w:rFonts w:hint="eastAsia" w:ascii="仿宋" w:hAnsi="仿宋" w:eastAsia="仿宋" w:cs="仿宋"/>
                <w:i w:val="0"/>
                <w:iCs w:val="0"/>
                <w:color w:val="auto"/>
                <w:sz w:val="21"/>
                <w:szCs w:val="21"/>
                <w:highlight w:val="none"/>
                <w:u w:val="none"/>
              </w:rPr>
            </w:pPr>
          </w:p>
        </w:tc>
        <w:tc>
          <w:tcPr>
            <w:tcW w:w="1419" w:type="dxa"/>
            <w:tcBorders>
              <w:tl2br w:val="nil"/>
              <w:tr2bl w:val="nil"/>
            </w:tcBorders>
            <w:shd w:val="clear" w:color="auto" w:fill="auto"/>
            <w:noWrap/>
            <w:vAlign w:val="center"/>
          </w:tcPr>
          <w:p w14:paraId="17929A86">
            <w:pPr>
              <w:keepNext w:val="0"/>
              <w:keepLines w:val="0"/>
              <w:suppressLineNumbers w:val="0"/>
              <w:spacing w:before="0" w:beforeAutospacing="0" w:after="0" w:afterAutospacing="0"/>
              <w:ind w:left="0" w:right="0"/>
              <w:rPr>
                <w:rFonts w:hint="eastAsia" w:ascii="宋体" w:hAnsi="宋体" w:eastAsia="宋体" w:cs="宋体"/>
                <w:i w:val="0"/>
                <w:iCs w:val="0"/>
                <w:color w:val="auto"/>
                <w:sz w:val="22"/>
                <w:szCs w:val="22"/>
                <w:highlight w:val="none"/>
                <w:u w:val="none"/>
              </w:rPr>
            </w:pPr>
          </w:p>
        </w:tc>
      </w:tr>
    </w:tbl>
    <w:p w14:paraId="0B67E1B3">
      <w:pPr>
        <w:pStyle w:val="7"/>
        <w:bidi w:val="0"/>
        <w:spacing w:line="560" w:lineRule="exact"/>
        <w:jc w:val="both"/>
        <w:rPr>
          <w:rFonts w:hint="eastAsia"/>
          <w:color w:val="auto"/>
          <w:highlight w:val="none"/>
          <w:lang w:val="en-US" w:eastAsia="zh-CN"/>
        </w:rPr>
      </w:pPr>
    </w:p>
    <w:p w14:paraId="6AE2EC7D">
      <w:pPr>
        <w:pStyle w:val="7"/>
        <w:bidi w:val="0"/>
        <w:rPr>
          <w:color w:val="auto"/>
          <w:highlight w:val="none"/>
        </w:rPr>
      </w:pPr>
    </w:p>
    <w:p w14:paraId="4647C774">
      <w:pPr>
        <w:bidi w:val="0"/>
        <w:rPr>
          <w:rFonts w:hint="eastAsia"/>
          <w:color w:val="auto"/>
          <w:highlight w:val="none"/>
        </w:rPr>
      </w:pPr>
    </w:p>
    <w:p w14:paraId="2B8BB38D">
      <w:pPr>
        <w:pStyle w:val="7"/>
        <w:bidi w:val="0"/>
        <w:outlineLvl w:val="1"/>
        <w:rPr>
          <w:color w:val="auto"/>
          <w:highlight w:val="none"/>
        </w:rPr>
      </w:pPr>
      <w:r>
        <w:rPr>
          <w:rFonts w:hint="eastAsia"/>
          <w:color w:val="auto"/>
          <w:highlight w:val="none"/>
        </w:rPr>
        <w:t>附件2：</w:t>
      </w:r>
      <w:r>
        <w:rPr>
          <w:rFonts w:hint="eastAsia"/>
          <w:color w:val="auto"/>
          <w:highlight w:val="none"/>
          <w:u w:val="none"/>
        </w:rPr>
        <w:t>保障房小区安全管理服务项目人员名单</w:t>
      </w:r>
    </w:p>
    <w:sectPr>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trackRevisions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MxOWY2MWE1NzNkMzU0M2YyY2ExYzY1OTkwNTkzYTcifQ=="/>
    <w:docVar w:name="KSO_WPS_MARK_KEY" w:val="29fe6f01-0ddb-441e-ba58-87936f59de77"/>
  </w:docVars>
  <w:rsids>
    <w:rsidRoot w:val="00000000"/>
    <w:rsid w:val="00F27441"/>
    <w:rsid w:val="010F1DA1"/>
    <w:rsid w:val="01423F24"/>
    <w:rsid w:val="01483911"/>
    <w:rsid w:val="01521C8D"/>
    <w:rsid w:val="01B6221C"/>
    <w:rsid w:val="01D67641"/>
    <w:rsid w:val="02A36C44"/>
    <w:rsid w:val="030F42DA"/>
    <w:rsid w:val="03C03826"/>
    <w:rsid w:val="05952AA4"/>
    <w:rsid w:val="067B1C86"/>
    <w:rsid w:val="06C4362D"/>
    <w:rsid w:val="06CB676A"/>
    <w:rsid w:val="06CD436A"/>
    <w:rsid w:val="06DF5D71"/>
    <w:rsid w:val="07375BAD"/>
    <w:rsid w:val="079923C4"/>
    <w:rsid w:val="081A5E28"/>
    <w:rsid w:val="0831084F"/>
    <w:rsid w:val="084E7652"/>
    <w:rsid w:val="08BD2EE5"/>
    <w:rsid w:val="090146C5"/>
    <w:rsid w:val="093D5483"/>
    <w:rsid w:val="098A46BA"/>
    <w:rsid w:val="09972933"/>
    <w:rsid w:val="09D41DD9"/>
    <w:rsid w:val="0A59408D"/>
    <w:rsid w:val="0A650C83"/>
    <w:rsid w:val="0AA95014"/>
    <w:rsid w:val="0B2E5519"/>
    <w:rsid w:val="0BC47C2C"/>
    <w:rsid w:val="0BD240F7"/>
    <w:rsid w:val="0BE1433A"/>
    <w:rsid w:val="0C087B18"/>
    <w:rsid w:val="0C7078B3"/>
    <w:rsid w:val="0CA912FB"/>
    <w:rsid w:val="0EB977F0"/>
    <w:rsid w:val="0F0071CD"/>
    <w:rsid w:val="0F182768"/>
    <w:rsid w:val="0F205179"/>
    <w:rsid w:val="0F276507"/>
    <w:rsid w:val="0F44530B"/>
    <w:rsid w:val="0F985657"/>
    <w:rsid w:val="0FB12275"/>
    <w:rsid w:val="10260EB5"/>
    <w:rsid w:val="102E1B18"/>
    <w:rsid w:val="1032785A"/>
    <w:rsid w:val="104A4BA3"/>
    <w:rsid w:val="10545A22"/>
    <w:rsid w:val="112C24FB"/>
    <w:rsid w:val="11965BC6"/>
    <w:rsid w:val="1196605D"/>
    <w:rsid w:val="11A402E3"/>
    <w:rsid w:val="121865DB"/>
    <w:rsid w:val="128F2D41"/>
    <w:rsid w:val="12CC2894"/>
    <w:rsid w:val="131C20FB"/>
    <w:rsid w:val="13511DA5"/>
    <w:rsid w:val="135F0966"/>
    <w:rsid w:val="13C22CA3"/>
    <w:rsid w:val="144C07BE"/>
    <w:rsid w:val="14795A57"/>
    <w:rsid w:val="14B24AC5"/>
    <w:rsid w:val="15225A2C"/>
    <w:rsid w:val="15227E9D"/>
    <w:rsid w:val="153674A4"/>
    <w:rsid w:val="158F4E06"/>
    <w:rsid w:val="16CB6312"/>
    <w:rsid w:val="1720040C"/>
    <w:rsid w:val="17563E2E"/>
    <w:rsid w:val="17B9616B"/>
    <w:rsid w:val="17D990C7"/>
    <w:rsid w:val="183121A5"/>
    <w:rsid w:val="187C5B16"/>
    <w:rsid w:val="187F1162"/>
    <w:rsid w:val="18B708FC"/>
    <w:rsid w:val="18E831AB"/>
    <w:rsid w:val="193A32DB"/>
    <w:rsid w:val="195645B9"/>
    <w:rsid w:val="1A5B175B"/>
    <w:rsid w:val="1A670100"/>
    <w:rsid w:val="1B1A79E0"/>
    <w:rsid w:val="1B43291B"/>
    <w:rsid w:val="1C2838BF"/>
    <w:rsid w:val="1C346708"/>
    <w:rsid w:val="1C393D1E"/>
    <w:rsid w:val="1C7834FC"/>
    <w:rsid w:val="1CC161ED"/>
    <w:rsid w:val="1E256308"/>
    <w:rsid w:val="1EAA2CB1"/>
    <w:rsid w:val="1EAC07D7"/>
    <w:rsid w:val="1FA12306"/>
    <w:rsid w:val="1FC3402A"/>
    <w:rsid w:val="1FE81CE3"/>
    <w:rsid w:val="20254CE5"/>
    <w:rsid w:val="203647FC"/>
    <w:rsid w:val="20B10327"/>
    <w:rsid w:val="216F04C3"/>
    <w:rsid w:val="21A165ED"/>
    <w:rsid w:val="22B365D8"/>
    <w:rsid w:val="2355143D"/>
    <w:rsid w:val="23734A1E"/>
    <w:rsid w:val="243C25FD"/>
    <w:rsid w:val="24EC4023"/>
    <w:rsid w:val="24F37160"/>
    <w:rsid w:val="25050C41"/>
    <w:rsid w:val="251946ED"/>
    <w:rsid w:val="252A06A8"/>
    <w:rsid w:val="25965D3D"/>
    <w:rsid w:val="25A62424"/>
    <w:rsid w:val="25BD151C"/>
    <w:rsid w:val="25BF4451"/>
    <w:rsid w:val="26467763"/>
    <w:rsid w:val="26FC7E22"/>
    <w:rsid w:val="27BC646A"/>
    <w:rsid w:val="28AC5FA3"/>
    <w:rsid w:val="28D728FF"/>
    <w:rsid w:val="28DC7F0B"/>
    <w:rsid w:val="299A6286"/>
    <w:rsid w:val="29DD03DE"/>
    <w:rsid w:val="29F64FFC"/>
    <w:rsid w:val="2A263B34"/>
    <w:rsid w:val="2A8E3487"/>
    <w:rsid w:val="2AA131BA"/>
    <w:rsid w:val="2AD6555A"/>
    <w:rsid w:val="2B206233"/>
    <w:rsid w:val="2B25203D"/>
    <w:rsid w:val="2B2D2CA0"/>
    <w:rsid w:val="2BB1567F"/>
    <w:rsid w:val="2C520C10"/>
    <w:rsid w:val="2C723060"/>
    <w:rsid w:val="2CAB0320"/>
    <w:rsid w:val="2DB17BB8"/>
    <w:rsid w:val="2DB651CE"/>
    <w:rsid w:val="2E257E86"/>
    <w:rsid w:val="2E5549E7"/>
    <w:rsid w:val="2E600977"/>
    <w:rsid w:val="2E625356"/>
    <w:rsid w:val="2E8E7EF9"/>
    <w:rsid w:val="2EDF252C"/>
    <w:rsid w:val="2F2D14C0"/>
    <w:rsid w:val="2F673A22"/>
    <w:rsid w:val="2F9C21A2"/>
    <w:rsid w:val="2FA07EE4"/>
    <w:rsid w:val="2FC516F9"/>
    <w:rsid w:val="3078676B"/>
    <w:rsid w:val="30904940"/>
    <w:rsid w:val="30B67293"/>
    <w:rsid w:val="313B4368"/>
    <w:rsid w:val="314A7D52"/>
    <w:rsid w:val="315471D8"/>
    <w:rsid w:val="31992E3D"/>
    <w:rsid w:val="32056724"/>
    <w:rsid w:val="338D69D1"/>
    <w:rsid w:val="339935C8"/>
    <w:rsid w:val="34337579"/>
    <w:rsid w:val="34592D57"/>
    <w:rsid w:val="35284C04"/>
    <w:rsid w:val="357716E7"/>
    <w:rsid w:val="357A4D33"/>
    <w:rsid w:val="357F4D78"/>
    <w:rsid w:val="36590DED"/>
    <w:rsid w:val="36932551"/>
    <w:rsid w:val="36D36DF1"/>
    <w:rsid w:val="36F05DB3"/>
    <w:rsid w:val="377BDFB2"/>
    <w:rsid w:val="37C60704"/>
    <w:rsid w:val="37DE3C9F"/>
    <w:rsid w:val="37F76365"/>
    <w:rsid w:val="380F3E59"/>
    <w:rsid w:val="386D6DD1"/>
    <w:rsid w:val="38B4055C"/>
    <w:rsid w:val="391370F1"/>
    <w:rsid w:val="391D07F7"/>
    <w:rsid w:val="391D4354"/>
    <w:rsid w:val="39CD7B28"/>
    <w:rsid w:val="3A9D3FA4"/>
    <w:rsid w:val="3AB6680E"/>
    <w:rsid w:val="3AD4138A"/>
    <w:rsid w:val="3B003F2D"/>
    <w:rsid w:val="3B0E03F8"/>
    <w:rsid w:val="3B2E0A9A"/>
    <w:rsid w:val="3B714E2B"/>
    <w:rsid w:val="3C5F2ED5"/>
    <w:rsid w:val="3C940DD1"/>
    <w:rsid w:val="3E686071"/>
    <w:rsid w:val="3EAB0654"/>
    <w:rsid w:val="3F5B5BD6"/>
    <w:rsid w:val="3F762A0F"/>
    <w:rsid w:val="3FB53538"/>
    <w:rsid w:val="3FC76DC7"/>
    <w:rsid w:val="3FFF2A05"/>
    <w:rsid w:val="401D10DD"/>
    <w:rsid w:val="40CD48B1"/>
    <w:rsid w:val="40F7192E"/>
    <w:rsid w:val="41524DB6"/>
    <w:rsid w:val="41B76D0E"/>
    <w:rsid w:val="41E579D9"/>
    <w:rsid w:val="41E727AF"/>
    <w:rsid w:val="42002A64"/>
    <w:rsid w:val="42472441"/>
    <w:rsid w:val="42884F34"/>
    <w:rsid w:val="42977E6E"/>
    <w:rsid w:val="42E67EAC"/>
    <w:rsid w:val="43AF4314"/>
    <w:rsid w:val="43E443EC"/>
    <w:rsid w:val="44112D07"/>
    <w:rsid w:val="44134CD1"/>
    <w:rsid w:val="4439400C"/>
    <w:rsid w:val="44AE0556"/>
    <w:rsid w:val="45A73923"/>
    <w:rsid w:val="46405B25"/>
    <w:rsid w:val="46AF05B5"/>
    <w:rsid w:val="46C10A14"/>
    <w:rsid w:val="47462CC7"/>
    <w:rsid w:val="47724BBB"/>
    <w:rsid w:val="483B65A4"/>
    <w:rsid w:val="484D62D8"/>
    <w:rsid w:val="488F12B1"/>
    <w:rsid w:val="489363E0"/>
    <w:rsid w:val="48DD58AD"/>
    <w:rsid w:val="493D00FA"/>
    <w:rsid w:val="495E079C"/>
    <w:rsid w:val="496D6C31"/>
    <w:rsid w:val="49D946ED"/>
    <w:rsid w:val="4B306168"/>
    <w:rsid w:val="4C716A38"/>
    <w:rsid w:val="4C9149E5"/>
    <w:rsid w:val="4C9170DB"/>
    <w:rsid w:val="4CE216E4"/>
    <w:rsid w:val="4D2E0486"/>
    <w:rsid w:val="4DBF4CFC"/>
    <w:rsid w:val="4DE33966"/>
    <w:rsid w:val="4E564138"/>
    <w:rsid w:val="4EA2737D"/>
    <w:rsid w:val="4EA50C1B"/>
    <w:rsid w:val="4F2A1121"/>
    <w:rsid w:val="50446212"/>
    <w:rsid w:val="518F27FA"/>
    <w:rsid w:val="522307D5"/>
    <w:rsid w:val="52E631FC"/>
    <w:rsid w:val="5327208C"/>
    <w:rsid w:val="53CB1124"/>
    <w:rsid w:val="53DF697E"/>
    <w:rsid w:val="540463E4"/>
    <w:rsid w:val="540E2DBF"/>
    <w:rsid w:val="54221FB5"/>
    <w:rsid w:val="548A3A94"/>
    <w:rsid w:val="553B5E36"/>
    <w:rsid w:val="559E0172"/>
    <w:rsid w:val="55A21A11"/>
    <w:rsid w:val="55AE2AAB"/>
    <w:rsid w:val="55BF0815"/>
    <w:rsid w:val="56191C96"/>
    <w:rsid w:val="56262642"/>
    <w:rsid w:val="57541431"/>
    <w:rsid w:val="58C12AF6"/>
    <w:rsid w:val="590F3861"/>
    <w:rsid w:val="596811C3"/>
    <w:rsid w:val="59BB12F3"/>
    <w:rsid w:val="5A2C3F9F"/>
    <w:rsid w:val="5AC4067B"/>
    <w:rsid w:val="5B174C4F"/>
    <w:rsid w:val="5B2829B8"/>
    <w:rsid w:val="5B57329D"/>
    <w:rsid w:val="5B765E19"/>
    <w:rsid w:val="5C2F421A"/>
    <w:rsid w:val="5CDC1CAC"/>
    <w:rsid w:val="5D4C5098"/>
    <w:rsid w:val="5E3641B3"/>
    <w:rsid w:val="5E3E24F3"/>
    <w:rsid w:val="5EAE31AF"/>
    <w:rsid w:val="5EBF3633"/>
    <w:rsid w:val="5EFA466C"/>
    <w:rsid w:val="5F742670"/>
    <w:rsid w:val="606D70BF"/>
    <w:rsid w:val="60890F04"/>
    <w:rsid w:val="60A04429"/>
    <w:rsid w:val="60A24FBB"/>
    <w:rsid w:val="60B151FE"/>
    <w:rsid w:val="60C767CF"/>
    <w:rsid w:val="6109328C"/>
    <w:rsid w:val="61E138C1"/>
    <w:rsid w:val="62206ADF"/>
    <w:rsid w:val="62614A02"/>
    <w:rsid w:val="627B1F67"/>
    <w:rsid w:val="62B47227"/>
    <w:rsid w:val="631F6D97"/>
    <w:rsid w:val="63624ED5"/>
    <w:rsid w:val="637D586B"/>
    <w:rsid w:val="63A4729C"/>
    <w:rsid w:val="63B23767"/>
    <w:rsid w:val="63BB70E2"/>
    <w:rsid w:val="63D47B81"/>
    <w:rsid w:val="63E1404C"/>
    <w:rsid w:val="63FA6EBC"/>
    <w:rsid w:val="647E5D3F"/>
    <w:rsid w:val="64970BAF"/>
    <w:rsid w:val="64BD0615"/>
    <w:rsid w:val="65CC4888"/>
    <w:rsid w:val="665B75F6"/>
    <w:rsid w:val="666912EA"/>
    <w:rsid w:val="67515045"/>
    <w:rsid w:val="68535B15"/>
    <w:rsid w:val="6886015B"/>
    <w:rsid w:val="68DB4AAA"/>
    <w:rsid w:val="694D5CE0"/>
    <w:rsid w:val="69BD2E65"/>
    <w:rsid w:val="6A070584"/>
    <w:rsid w:val="6AD95A7D"/>
    <w:rsid w:val="6AE10DD5"/>
    <w:rsid w:val="6B054AC4"/>
    <w:rsid w:val="6B317667"/>
    <w:rsid w:val="6B3D24B0"/>
    <w:rsid w:val="6B8A321B"/>
    <w:rsid w:val="6CC369E5"/>
    <w:rsid w:val="6CDF30F3"/>
    <w:rsid w:val="6D716441"/>
    <w:rsid w:val="6DA700B4"/>
    <w:rsid w:val="6DCA3DA3"/>
    <w:rsid w:val="6E5378F4"/>
    <w:rsid w:val="6E883F86"/>
    <w:rsid w:val="6E895A0C"/>
    <w:rsid w:val="6E925379"/>
    <w:rsid w:val="6E9A4CC2"/>
    <w:rsid w:val="70AB3A18"/>
    <w:rsid w:val="70DC1E23"/>
    <w:rsid w:val="70EC5DDE"/>
    <w:rsid w:val="715F4802"/>
    <w:rsid w:val="72D50D38"/>
    <w:rsid w:val="73B02BDC"/>
    <w:rsid w:val="73E92E85"/>
    <w:rsid w:val="744523D5"/>
    <w:rsid w:val="753C37D8"/>
    <w:rsid w:val="75C101B4"/>
    <w:rsid w:val="76133454"/>
    <w:rsid w:val="762F6E99"/>
    <w:rsid w:val="763C5112"/>
    <w:rsid w:val="76564426"/>
    <w:rsid w:val="7722255A"/>
    <w:rsid w:val="774B1AB0"/>
    <w:rsid w:val="77505319"/>
    <w:rsid w:val="77754D7F"/>
    <w:rsid w:val="77B04009"/>
    <w:rsid w:val="77C655DB"/>
    <w:rsid w:val="77CE4490"/>
    <w:rsid w:val="77F2017E"/>
    <w:rsid w:val="785827F6"/>
    <w:rsid w:val="78C57641"/>
    <w:rsid w:val="790243F1"/>
    <w:rsid w:val="79387337"/>
    <w:rsid w:val="793A002E"/>
    <w:rsid w:val="7A0A5C53"/>
    <w:rsid w:val="7A0F3269"/>
    <w:rsid w:val="7A170370"/>
    <w:rsid w:val="7AC32C6E"/>
    <w:rsid w:val="7AC5601E"/>
    <w:rsid w:val="7B046B46"/>
    <w:rsid w:val="7B4056A4"/>
    <w:rsid w:val="7B580C40"/>
    <w:rsid w:val="7B86755B"/>
    <w:rsid w:val="7B98103C"/>
    <w:rsid w:val="7B9E460A"/>
    <w:rsid w:val="7BDF954E"/>
    <w:rsid w:val="7C0D1A2A"/>
    <w:rsid w:val="7C80044E"/>
    <w:rsid w:val="7CB83544"/>
    <w:rsid w:val="7CCD2F68"/>
    <w:rsid w:val="7CE04A49"/>
    <w:rsid w:val="7D845D1C"/>
    <w:rsid w:val="7E372D8F"/>
    <w:rsid w:val="7E386B07"/>
    <w:rsid w:val="7ED56104"/>
    <w:rsid w:val="7F0C421B"/>
    <w:rsid w:val="7F6C6A68"/>
    <w:rsid w:val="7F721BA4"/>
    <w:rsid w:val="7F967F89"/>
    <w:rsid w:val="7FA787E3"/>
    <w:rsid w:val="7FB16B71"/>
    <w:rsid w:val="B5EFC9A2"/>
    <w:rsid w:val="BB7D71E5"/>
    <w:rsid w:val="BE5B04A0"/>
    <w:rsid w:val="BE7F42BD"/>
    <w:rsid w:val="DB7A1B51"/>
    <w:rsid w:val="E1BF01B3"/>
    <w:rsid w:val="E6F9615F"/>
    <w:rsid w:val="F19D23FD"/>
    <w:rsid w:val="F3F7A5CE"/>
    <w:rsid w:val="FB7F1FC2"/>
    <w:rsid w:val="FF5F9974"/>
    <w:rsid w:val="FFBFAC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2"/>
    <w:basedOn w:val="1"/>
    <w:next w:val="1"/>
    <w:unhideWhenUsed/>
    <w:qFormat/>
    <w:uiPriority w:val="0"/>
    <w:pPr>
      <w:keepNext/>
      <w:keepLines/>
      <w:spacing w:beforeLines="0" w:beforeAutospacing="0" w:afterLines="0" w:afterAutospacing="0" w:line="360" w:lineRule="auto"/>
      <w:jc w:val="center"/>
      <w:outlineLvl w:val="1"/>
    </w:pPr>
    <w:rPr>
      <w:rFonts w:ascii="Arial" w:hAnsi="Arial" w:eastAsia="宋体"/>
      <w:b/>
      <w:sz w:val="21"/>
    </w:rPr>
  </w:style>
  <w:style w:type="paragraph" w:styleId="4">
    <w:name w:val="heading 4"/>
    <w:basedOn w:val="1"/>
    <w:next w:val="1"/>
    <w:unhideWhenUsed/>
    <w:qFormat/>
    <w:uiPriority w:val="0"/>
    <w:pPr>
      <w:keepNext/>
      <w:keepLines/>
      <w:spacing w:before="280" w:beforeLines="0" w:beforeAutospacing="0" w:after="290" w:afterLines="0" w:afterAutospacing="0" w:line="372" w:lineRule="auto"/>
      <w:outlineLvl w:val="3"/>
    </w:pPr>
    <w:rPr>
      <w:rFonts w:ascii="Arial" w:hAnsi="Arial" w:eastAsia="黑体"/>
      <w:b/>
      <w:sz w:val="28"/>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customStyle="1" w:styleId="2">
    <w:name w:val="无间隔1"/>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5">
    <w:name w:val="annotation text"/>
    <w:basedOn w:val="1"/>
    <w:qFormat/>
    <w:uiPriority w:val="0"/>
    <w:pPr>
      <w:jc w:val="left"/>
    </w:pPr>
  </w:style>
  <w:style w:type="paragraph" w:styleId="6">
    <w:name w:val="Body Text"/>
    <w:basedOn w:val="1"/>
    <w:qFormat/>
    <w:uiPriority w:val="1"/>
    <w:pPr>
      <w:ind w:left="761"/>
    </w:pPr>
    <w:rPr>
      <w:rFonts w:ascii="仿宋" w:eastAsia="仿宋" w:cs="仿宋"/>
      <w:sz w:val="32"/>
      <w:szCs w:val="32"/>
    </w:rPr>
  </w:style>
  <w:style w:type="paragraph" w:styleId="7">
    <w:name w:val="Normal (Web)"/>
    <w:basedOn w:val="1"/>
    <w:qFormat/>
    <w:uiPriority w:val="0"/>
    <w:pPr>
      <w:spacing w:before="0" w:beforeAutospacing="1" w:after="0" w:afterAutospacing="1"/>
      <w:ind w:left="0" w:right="0"/>
      <w:jc w:val="left"/>
    </w:pPr>
    <w:rPr>
      <w:kern w:val="0"/>
      <w:sz w:val="24"/>
      <w:lang w:val="en-US" w:eastAsia="zh-CN" w:bidi="ar"/>
    </w:rPr>
  </w:style>
  <w:style w:type="character" w:styleId="10">
    <w:name w:val="Strong"/>
    <w:basedOn w:val="9"/>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16</Pages>
  <Words>9815</Words>
  <Characters>9997</Characters>
  <Lines>1</Lines>
  <Paragraphs>1</Paragraphs>
  <TotalTime>0</TotalTime>
  <ScaleCrop>false</ScaleCrop>
  <LinksUpToDate>false</LinksUpToDate>
  <CharactersWithSpaces>10463</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2014-11-01T20:08:00Z</dcterms:created>
  <dc:creator>Administrator</dc:creator>
  <cp:lastModifiedBy>ASUS</cp:lastModifiedBy>
  <cp:lastPrinted>2018-05-27T11:13:00Z</cp:lastPrinted>
  <dcterms:modified xsi:type="dcterms:W3CDTF">2026-06-02T08:07:32Z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BCE94832C36E545B5C25156A962FBF61</vt:lpwstr>
  </property>
  <property fmtid="{D5CDD505-2E9C-101B-9397-08002B2CF9AE}" pid="4" name="KSOTemplateDocerSaveRecord">
    <vt:lpwstr>eyJoZGlkIjoiOWNhYmYxOTg0ZWViODNkZmE5YmNhZmEzYTUzMzRhMWQiLCJ1c2VySWQiOiI3MTQ5MTAzMTUifQ==</vt:lpwstr>
  </property>
</Properties>
</file>