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981D4">
      <w:pPr>
        <w:pStyle w:val="4"/>
        <w:jc w:val="center"/>
        <w:outlineLvl w:val="1"/>
      </w:pPr>
      <w:r>
        <w:rPr>
          <w:rFonts w:ascii="仿宋_GB2312" w:hAnsi="仿宋_GB2312" w:eastAsia="仿宋_GB2312" w:cs="仿宋_GB2312"/>
          <w:b/>
          <w:sz w:val="36"/>
        </w:rPr>
        <w:t xml:space="preserve">第五章 </w:t>
      </w:r>
      <w:bookmarkStart w:id="0" w:name="_GoBack"/>
      <w:r>
        <w:rPr>
          <w:rFonts w:ascii="仿宋_GB2312" w:hAnsi="仿宋_GB2312" w:eastAsia="仿宋_GB2312" w:cs="仿宋_GB2312"/>
          <w:b/>
          <w:sz w:val="36"/>
        </w:rPr>
        <w:t>招标内容及要求</w:t>
      </w:r>
      <w:bookmarkEnd w:id="0"/>
    </w:p>
    <w:p w14:paraId="031F0C72">
      <w:pPr>
        <w:pStyle w:val="4"/>
        <w:jc w:val="both"/>
        <w:outlineLvl w:val="2"/>
      </w:pPr>
      <w:r>
        <w:rPr>
          <w:rFonts w:ascii="仿宋_GB2312" w:hAnsi="仿宋_GB2312" w:eastAsia="仿宋_GB2312" w:cs="仿宋_GB2312"/>
          <w:b/>
          <w:sz w:val="28"/>
        </w:rPr>
        <w:t>一、项目概况（采购标的）</w:t>
      </w:r>
    </w:p>
    <w:p w14:paraId="1DC28760">
      <w:pPr>
        <w:pStyle w:val="4"/>
        <w:ind w:firstLine="480"/>
        <w:jc w:val="both"/>
      </w:pPr>
      <w:r>
        <w:rPr>
          <w:rFonts w:ascii="仿宋_GB2312" w:hAnsi="仿宋_GB2312" w:eastAsia="仿宋_GB2312" w:cs="仿宋_GB2312"/>
          <w:sz w:val="24"/>
        </w:rPr>
        <w:t>1、本项目最高控制价为人民币伍佰捌拾万叁仟叁佰元整（¥5803300.00），最高控制价即为最高限价，投标人的投标报价如果超过该项目的最高限价，则作废标处理。</w:t>
      </w:r>
    </w:p>
    <w:p w14:paraId="7935CCD5">
      <w:pPr>
        <w:pStyle w:val="4"/>
        <w:ind w:firstLine="480"/>
        <w:jc w:val="both"/>
      </w:pPr>
      <w:r>
        <w:rPr>
          <w:rFonts w:ascii="仿宋_GB2312" w:hAnsi="仿宋_GB2312" w:eastAsia="仿宋_GB2312" w:cs="仿宋_GB2312"/>
          <w:sz w:val="24"/>
        </w:rPr>
        <w:t>2、作业地点：采购人负责的园林绿化施工工地、管辖的苗圃及负责养护的公共绿地。</w:t>
      </w:r>
    </w:p>
    <w:p w14:paraId="6BC486DC">
      <w:pPr>
        <w:pStyle w:val="4"/>
        <w:ind w:firstLine="480"/>
        <w:jc w:val="both"/>
      </w:pPr>
      <w:r>
        <w:rPr>
          <w:rFonts w:ascii="仿宋_GB2312" w:hAnsi="仿宋_GB2312" w:eastAsia="仿宋_GB2312" w:cs="仿宋_GB2312"/>
          <w:sz w:val="24"/>
        </w:rPr>
        <w:t>3、项目内容</w:t>
      </w:r>
    </w:p>
    <w:p w14:paraId="74DBAE6B">
      <w:pPr>
        <w:pStyle w:val="4"/>
        <w:ind w:firstLine="480"/>
        <w:jc w:val="both"/>
      </w:pPr>
      <w:r>
        <w:rPr>
          <w:rFonts w:ascii="仿宋_GB2312" w:hAnsi="仿宋_GB2312" w:eastAsia="仿宋_GB2312" w:cs="仿宋_GB2312"/>
          <w:sz w:val="24"/>
        </w:rPr>
        <w:t>（1）为采购人提供树木日常养护和应急抢险、古树名木日常养护和抢救复壮等服务；</w:t>
      </w:r>
    </w:p>
    <w:p w14:paraId="6A077ABA">
      <w:pPr>
        <w:pStyle w:val="4"/>
        <w:ind w:firstLine="480"/>
        <w:jc w:val="both"/>
      </w:pPr>
      <w:r>
        <w:rPr>
          <w:rFonts w:ascii="仿宋_GB2312" w:hAnsi="仿宋_GB2312" w:eastAsia="仿宋_GB2312" w:cs="仿宋_GB2312"/>
          <w:sz w:val="24"/>
        </w:rPr>
        <w:t>（2）为采购人提供苗圃的日常养护服务；</w:t>
      </w:r>
    </w:p>
    <w:p w14:paraId="7931D807">
      <w:pPr>
        <w:pStyle w:val="4"/>
        <w:ind w:firstLine="480"/>
        <w:jc w:val="both"/>
      </w:pPr>
      <w:r>
        <w:rPr>
          <w:rFonts w:ascii="仿宋_GB2312" w:hAnsi="仿宋_GB2312" w:eastAsia="仿宋_GB2312" w:cs="仿宋_GB2312"/>
          <w:sz w:val="24"/>
        </w:rPr>
        <w:t>（3）为采购人提供绿地改造、花化彩化提升工作服务；</w:t>
      </w:r>
    </w:p>
    <w:p w14:paraId="3D434DB7">
      <w:pPr>
        <w:pStyle w:val="4"/>
        <w:ind w:firstLine="480"/>
        <w:jc w:val="both"/>
      </w:pPr>
      <w:r>
        <w:rPr>
          <w:rFonts w:ascii="仿宋_GB2312" w:hAnsi="仿宋_GB2312" w:eastAsia="仿宋_GB2312" w:cs="仿宋_GB2312"/>
          <w:sz w:val="24"/>
        </w:rPr>
        <w:t>（4）为采购人提供辖区范围内部分未纳入社会化管养的公共绿地提供日常养护工作服务。</w:t>
      </w:r>
    </w:p>
    <w:p w14:paraId="2ED2F0E8">
      <w:pPr>
        <w:pStyle w:val="4"/>
        <w:ind w:firstLine="480"/>
        <w:jc w:val="both"/>
      </w:pPr>
      <w:r>
        <w:rPr>
          <w:rFonts w:ascii="仿宋_GB2312" w:hAnsi="仿宋_GB2312" w:eastAsia="仿宋_GB2312" w:cs="仿宋_GB2312"/>
          <w:sz w:val="24"/>
        </w:rPr>
        <w:t>（5）为采购人提供项目作业所需的各种绿化种植辅助材料。</w:t>
      </w:r>
    </w:p>
    <w:p w14:paraId="52D05E5B">
      <w:pPr>
        <w:pStyle w:val="4"/>
        <w:ind w:firstLine="480"/>
        <w:jc w:val="both"/>
      </w:pPr>
      <w:r>
        <w:rPr>
          <w:rFonts w:ascii="仿宋_GB2312" w:hAnsi="仿宋_GB2312" w:eastAsia="仿宋_GB2312" w:cs="仿宋_GB2312"/>
          <w:sz w:val="24"/>
        </w:rPr>
        <w:t>4、合同期限：合同签订之日起至使用金额达到中标价金额，或合同签订之日起一年，视为合同到期。</w:t>
      </w:r>
    </w:p>
    <w:p w14:paraId="440E1225">
      <w:pPr>
        <w:pStyle w:val="4"/>
        <w:jc w:val="both"/>
        <w:outlineLvl w:val="2"/>
      </w:pPr>
      <w:r>
        <w:rPr>
          <w:rFonts w:ascii="仿宋_GB2312" w:hAnsi="仿宋_GB2312" w:eastAsia="仿宋_GB2312" w:cs="仿宋_GB2312"/>
          <w:b/>
          <w:sz w:val="28"/>
        </w:rPr>
        <w:t>二、技术和服务要求（以“★”标示的内容为不允许负偏离的实质性要求）</w:t>
      </w:r>
    </w:p>
    <w:p w14:paraId="125A883F">
      <w:pPr>
        <w:pStyle w:val="4"/>
        <w:jc w:val="left"/>
      </w:pPr>
      <w:r>
        <w:rPr>
          <w:rFonts w:ascii="仿宋_GB2312" w:hAnsi="仿宋_GB2312" w:eastAsia="仿宋_GB2312" w:cs="仿宋_GB2312"/>
          <w:sz w:val="24"/>
        </w:rPr>
        <w:t>1、人员应具备的基本条件</w:t>
      </w:r>
    </w:p>
    <w:p w14:paraId="725643E6">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w:t>
      </w:r>
      <w:r>
        <w:rPr>
          <w:rFonts w:ascii="仿宋_GB2312" w:hAnsi="仿宋_GB2312" w:eastAsia="仿宋_GB2312" w:cs="仿宋_GB2312"/>
          <w:color w:val="000000"/>
          <w:sz w:val="24"/>
        </w:rPr>
        <w:t>】</w:t>
      </w:r>
      <w:r>
        <w:rPr>
          <w:rFonts w:ascii="仿宋_GB2312" w:hAnsi="仿宋_GB2312" w:eastAsia="仿宋_GB2312" w:cs="仿宋_GB2312"/>
          <w:sz w:val="24"/>
        </w:rPr>
        <w:t>（1）思想品德好、遵纪守法、无违法乱纪等行为。</w:t>
      </w:r>
    </w:p>
    <w:p w14:paraId="1DF7205A">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评审项2</w:t>
      </w:r>
      <w:r>
        <w:rPr>
          <w:rFonts w:ascii="仿宋_GB2312" w:hAnsi="仿宋_GB2312" w:eastAsia="仿宋_GB2312" w:cs="仿宋_GB2312"/>
          <w:color w:val="000000"/>
          <w:sz w:val="24"/>
        </w:rPr>
        <w:t>】</w:t>
      </w:r>
      <w:r>
        <w:rPr>
          <w:rFonts w:ascii="仿宋_GB2312" w:hAnsi="仿宋_GB2312" w:eastAsia="仿宋_GB2312" w:cs="仿宋_GB2312"/>
          <w:sz w:val="24"/>
        </w:rPr>
        <w:t>（2）诚实守信、踏实肯干、爱岗敬业。</w:t>
      </w:r>
    </w:p>
    <w:p w14:paraId="7E8AA787">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评审项3</w:t>
      </w:r>
      <w:r>
        <w:rPr>
          <w:rFonts w:ascii="仿宋_GB2312" w:hAnsi="仿宋_GB2312" w:eastAsia="仿宋_GB2312" w:cs="仿宋_GB2312"/>
          <w:color w:val="000000"/>
          <w:sz w:val="24"/>
        </w:rPr>
        <w:t>】</w:t>
      </w:r>
      <w:r>
        <w:rPr>
          <w:rFonts w:ascii="仿宋_GB2312" w:hAnsi="仿宋_GB2312" w:eastAsia="仿宋_GB2312" w:cs="仿宋_GB2312"/>
          <w:sz w:val="24"/>
        </w:rPr>
        <w:t>（3）年龄在18周岁以上，男性原则上不超过60周岁,女性原则上不超过55周岁(按照国家法定退休政策进行调整)。</w:t>
      </w:r>
    </w:p>
    <w:p w14:paraId="754C3D85">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评审项4</w:t>
      </w:r>
      <w:r>
        <w:rPr>
          <w:rFonts w:ascii="仿宋_GB2312" w:hAnsi="仿宋_GB2312" w:eastAsia="仿宋_GB2312" w:cs="仿宋_GB2312"/>
          <w:color w:val="000000"/>
          <w:sz w:val="24"/>
        </w:rPr>
        <w:t>】</w:t>
      </w:r>
      <w:r>
        <w:rPr>
          <w:rFonts w:ascii="仿宋_GB2312" w:hAnsi="仿宋_GB2312" w:eastAsia="仿宋_GB2312" w:cs="仿宋_GB2312"/>
          <w:sz w:val="24"/>
        </w:rPr>
        <w:t>（4）身体健康、无不适应工作岗位的情况。</w:t>
      </w:r>
    </w:p>
    <w:p w14:paraId="3DA18D3B">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评审项5</w:t>
      </w:r>
      <w:r>
        <w:rPr>
          <w:rFonts w:ascii="仿宋_GB2312" w:hAnsi="仿宋_GB2312" w:eastAsia="仿宋_GB2312" w:cs="仿宋_GB2312"/>
          <w:color w:val="000000"/>
          <w:sz w:val="24"/>
        </w:rPr>
        <w:t>】</w:t>
      </w:r>
      <w:r>
        <w:rPr>
          <w:rFonts w:ascii="仿宋_GB2312" w:hAnsi="仿宋_GB2312" w:eastAsia="仿宋_GB2312" w:cs="仿宋_GB2312"/>
          <w:sz w:val="24"/>
        </w:rPr>
        <w:t>（5）根据工作性质和实际岗位需要，要求具有的其他特殊条件。</w:t>
      </w:r>
    </w:p>
    <w:p w14:paraId="2F6ECEC6">
      <w:pPr>
        <w:pStyle w:val="4"/>
        <w:ind w:firstLine="240"/>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评审项6</w:t>
      </w:r>
      <w:r>
        <w:rPr>
          <w:rFonts w:ascii="仿宋_GB2312" w:hAnsi="仿宋_GB2312" w:eastAsia="仿宋_GB2312" w:cs="仿宋_GB2312"/>
          <w:color w:val="000000"/>
          <w:sz w:val="24"/>
        </w:rPr>
        <w:t>】</w:t>
      </w:r>
      <w:r>
        <w:rPr>
          <w:rFonts w:ascii="仿宋_GB2312" w:hAnsi="仿宋_GB2312" w:eastAsia="仿宋_GB2312" w:cs="仿宋_GB2312"/>
          <w:sz w:val="24"/>
        </w:rPr>
        <w:t>2、各岗位工作职责及要求</w:t>
      </w:r>
    </w:p>
    <w:p w14:paraId="52007354">
      <w:pPr>
        <w:pStyle w:val="4"/>
        <w:ind w:firstLine="241"/>
        <w:jc w:val="both"/>
      </w:pPr>
      <w:r>
        <w:rPr>
          <w:rFonts w:ascii="仿宋_GB2312" w:hAnsi="仿宋_GB2312" w:eastAsia="仿宋_GB2312" w:cs="仿宋_GB2312"/>
          <w:b/>
          <w:sz w:val="24"/>
        </w:rPr>
        <w:t>详见附件：园林绿化零星项目清单</w:t>
      </w:r>
    </w:p>
    <w:p w14:paraId="5E68A746">
      <w:pPr>
        <w:pStyle w:val="4"/>
        <w:jc w:val="both"/>
      </w:pPr>
      <w:r>
        <w:rPr>
          <w:rFonts w:ascii="仿宋_GB2312" w:hAnsi="仿宋_GB2312" w:eastAsia="仿宋_GB2312" w:cs="仿宋_GB2312"/>
          <w:sz w:val="24"/>
        </w:rPr>
        <w:t>★3、项目其他要求</w:t>
      </w:r>
    </w:p>
    <w:p w14:paraId="46B17C77">
      <w:pPr>
        <w:pStyle w:val="4"/>
        <w:jc w:val="both"/>
      </w:pPr>
      <w:r>
        <w:rPr>
          <w:rFonts w:ascii="仿宋_GB2312" w:hAnsi="仿宋_GB2312" w:eastAsia="仿宋_GB2312" w:cs="仿宋_GB2312"/>
          <w:sz w:val="24"/>
        </w:rPr>
        <w:t>投标人需具备从事本项目所需的专业技术人员，所提供的人员必须由投标人招聘，不可转包或分包。本项目最低人员要求：</w:t>
      </w:r>
    </w:p>
    <w:p w14:paraId="2514D0BB">
      <w:pPr>
        <w:pStyle w:val="4"/>
        <w:jc w:val="both"/>
      </w:pPr>
      <w:r>
        <w:rPr>
          <w:rFonts w:ascii="仿宋_GB2312" w:hAnsi="仿宋_GB2312" w:eastAsia="仿宋_GB2312" w:cs="仿宋_GB2312"/>
          <w:sz w:val="24"/>
        </w:rPr>
        <w:t>（1）项目负责人1名：具有园林绿化相关专业中级职称，有独立负责项目经验，且为投标人本单位在职人员。需提供有效的职称证书复印件和投标截止时间前六个月（不含投标截止时间的当月）任一月份的社保证明资料。</w:t>
      </w:r>
    </w:p>
    <w:p w14:paraId="1A062EAE">
      <w:pPr>
        <w:pStyle w:val="4"/>
        <w:jc w:val="both"/>
      </w:pPr>
      <w:r>
        <w:rPr>
          <w:rFonts w:ascii="仿宋_GB2312" w:hAnsi="仿宋_GB2312" w:eastAsia="仿宋_GB2312" w:cs="仿宋_GB2312"/>
          <w:sz w:val="24"/>
        </w:rPr>
        <w:t>（2）现场管理人员2名：具有园林绿化相关专业初级职称，且为投标人本单位在职人员。需提供有效的资格证书复印件和投标截止时间前六个月（不含投标截止时间的当月）任一月份的社保证明资料。</w:t>
      </w:r>
    </w:p>
    <w:p w14:paraId="60520DF1">
      <w:pPr>
        <w:pStyle w:val="4"/>
        <w:jc w:val="both"/>
      </w:pPr>
      <w:r>
        <w:rPr>
          <w:rFonts w:ascii="仿宋_GB2312" w:hAnsi="仿宋_GB2312" w:eastAsia="仿宋_GB2312" w:cs="仿宋_GB2312"/>
          <w:sz w:val="24"/>
        </w:rPr>
        <w:t>（3）绿化技术工人10名：具备中级园林绿化工、花卉工（花卉园艺师）、植保工。且为投标人本单位在职人员。需提供有效的资格证书复印件和投标截止时间前六个月（不含投标截止时间的当月）任一月份的社保证明资料。</w:t>
      </w:r>
    </w:p>
    <w:p w14:paraId="26BF366F">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评审项7</w:t>
      </w:r>
      <w:r>
        <w:rPr>
          <w:rFonts w:ascii="仿宋_GB2312" w:hAnsi="仿宋_GB2312" w:eastAsia="仿宋_GB2312" w:cs="仿宋_GB2312"/>
          <w:color w:val="000000"/>
          <w:sz w:val="24"/>
        </w:rPr>
        <w:t>】</w:t>
      </w:r>
      <w:r>
        <w:rPr>
          <w:rFonts w:ascii="仿宋_GB2312" w:hAnsi="仿宋_GB2312" w:eastAsia="仿宋_GB2312" w:cs="仿宋_GB2312"/>
          <w:sz w:val="24"/>
        </w:rPr>
        <w:t>4、投标人应针对本项目建立专门的管理制度，并配合采购人制定详细的服务方案，包括人员组成、人员培训、工作安排、工作重点、质量控制、设备配备及服务承诺等。</w:t>
      </w:r>
    </w:p>
    <w:p w14:paraId="23AFC558">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评审项8</w:t>
      </w:r>
      <w:r>
        <w:rPr>
          <w:rFonts w:ascii="仿宋_GB2312" w:hAnsi="仿宋_GB2312" w:eastAsia="仿宋_GB2312" w:cs="仿宋_GB2312"/>
          <w:color w:val="000000"/>
          <w:sz w:val="24"/>
        </w:rPr>
        <w:t>】</w:t>
      </w:r>
      <w:r>
        <w:rPr>
          <w:rFonts w:ascii="仿宋_GB2312" w:hAnsi="仿宋_GB2312" w:eastAsia="仿宋_GB2312" w:cs="仿宋_GB2312"/>
          <w:sz w:val="24"/>
        </w:rPr>
        <w:t>5、中标人根据采购人需求，按要求提供专业熟练工种工人，确保服务人员身体健康、手脚灵活，按指定时间到达指定地点，提供优质服务。服务期间，如采购人对员工身体状态存在疑议，中标人需提供该人员相关健康证明，如无法提供，应无条件更换服务人员。</w:t>
      </w:r>
    </w:p>
    <w:p w14:paraId="4438484A">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评审项9</w:t>
      </w:r>
      <w:r>
        <w:rPr>
          <w:rFonts w:ascii="仿宋_GB2312" w:hAnsi="仿宋_GB2312" w:eastAsia="仿宋_GB2312" w:cs="仿宋_GB2312"/>
          <w:color w:val="000000"/>
          <w:sz w:val="24"/>
        </w:rPr>
        <w:t>】</w:t>
      </w:r>
      <w:r>
        <w:rPr>
          <w:rFonts w:ascii="仿宋_GB2312" w:hAnsi="仿宋_GB2312" w:eastAsia="仿宋_GB2312" w:cs="仿宋_GB2312"/>
          <w:sz w:val="24"/>
        </w:rPr>
        <w:t>6、作业现场需安排专业管理人员，对现场作业进行把控，保障工作效率及安全作业。对于可量化的工作内容，中标人应按双方约定时间，保质保量完成工作内容；若因中标人原因导致无法按时完成，中标人需自行安排人员完成剩余的工作内容，此工作内容不额外计算工日。</w:t>
      </w:r>
    </w:p>
    <w:p w14:paraId="0BBC8782">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评审项10</w:t>
      </w:r>
      <w:r>
        <w:rPr>
          <w:rFonts w:ascii="仿宋_GB2312" w:hAnsi="仿宋_GB2312" w:eastAsia="仿宋_GB2312" w:cs="仿宋_GB2312"/>
          <w:color w:val="000000"/>
          <w:sz w:val="24"/>
        </w:rPr>
        <w:t>】</w:t>
      </w:r>
      <w:r>
        <w:rPr>
          <w:rFonts w:ascii="仿宋_GB2312" w:hAnsi="仿宋_GB2312" w:eastAsia="仿宋_GB2312" w:cs="仿宋_GB2312"/>
          <w:sz w:val="24"/>
        </w:rPr>
        <w:t>7、合同期内，中标人应提供符合采购人要求的人员，采购人有权根据岗位需求对人员进行考核、选择。采购人日常或举办花展、庆典期间需增加人员时，应及时提供符合岗位条件的人员。</w:t>
      </w:r>
    </w:p>
    <w:p w14:paraId="15FA96B0">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评审项11</w:t>
      </w:r>
      <w:r>
        <w:rPr>
          <w:rFonts w:ascii="仿宋_GB2312" w:hAnsi="仿宋_GB2312" w:eastAsia="仿宋_GB2312" w:cs="仿宋_GB2312"/>
          <w:color w:val="000000"/>
          <w:sz w:val="24"/>
        </w:rPr>
        <w:t>】</w:t>
      </w:r>
      <w:r>
        <w:rPr>
          <w:rFonts w:ascii="仿宋_GB2312" w:hAnsi="仿宋_GB2312" w:eastAsia="仿宋_GB2312" w:cs="仿宋_GB2312"/>
          <w:sz w:val="24"/>
        </w:rPr>
        <w:t>8、中标人负责根据采购人每月考勤结果做人员工资表，负责及时向人员发放，不得克扣人员工资。采购人有权不定期抽查中标人工资、费用发放情况。</w:t>
      </w:r>
    </w:p>
    <w:p w14:paraId="60B0A31A">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评审项12</w:t>
      </w:r>
      <w:r>
        <w:rPr>
          <w:rFonts w:ascii="仿宋_GB2312" w:hAnsi="仿宋_GB2312" w:eastAsia="仿宋_GB2312" w:cs="仿宋_GB2312"/>
          <w:color w:val="000000"/>
          <w:sz w:val="24"/>
        </w:rPr>
        <w:t>】</w:t>
      </w:r>
      <w:r>
        <w:rPr>
          <w:rFonts w:ascii="仿宋_GB2312" w:hAnsi="仿宋_GB2312" w:eastAsia="仿宋_GB2312" w:cs="仿宋_GB2312"/>
          <w:sz w:val="24"/>
        </w:rPr>
        <w:t>9、中标人负责人员的劳动争议处理。按照《劳动法》和《劳动合同法》有关规定承担人员的用工责任。人员发生工伤事故时，中标人需负责其工伤的调查申报、法定福利赔偿费用等工作。依国家有关规定负责做好工伤事故的指标上报工作，并承担相关的行政责任。</w:t>
      </w:r>
    </w:p>
    <w:p w14:paraId="0A77FFB8">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评审项13</w:t>
      </w:r>
      <w:r>
        <w:rPr>
          <w:rFonts w:ascii="仿宋_GB2312" w:hAnsi="仿宋_GB2312" w:eastAsia="仿宋_GB2312" w:cs="仿宋_GB2312"/>
          <w:color w:val="000000"/>
          <w:sz w:val="24"/>
        </w:rPr>
        <w:t>】</w:t>
      </w:r>
      <w:r>
        <w:rPr>
          <w:rFonts w:ascii="仿宋_GB2312" w:hAnsi="仿宋_GB2312" w:eastAsia="仿宋_GB2312" w:cs="仿宋_GB2312"/>
          <w:sz w:val="24"/>
        </w:rPr>
        <w:t>10、每个项目开工前，采购人将提前一天通知中标人具体事项，包括作业地址、作业内容、工人工种及车辆机械和绿化种植辅助材料数量等，且每天要求提供服务的最大数量为：工人200人，农用车10部，机械10部。特殊需要双方另行协商。</w:t>
      </w:r>
    </w:p>
    <w:p w14:paraId="4B5820F3">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评审项14</w:t>
      </w:r>
      <w:r>
        <w:rPr>
          <w:rFonts w:ascii="仿宋_GB2312" w:hAnsi="仿宋_GB2312" w:eastAsia="仿宋_GB2312" w:cs="仿宋_GB2312"/>
          <w:color w:val="000000"/>
          <w:sz w:val="24"/>
        </w:rPr>
        <w:t>】11</w:t>
      </w:r>
      <w:r>
        <w:rPr>
          <w:rFonts w:ascii="仿宋_GB2312" w:hAnsi="仿宋_GB2312" w:eastAsia="仿宋_GB2312" w:cs="仿宋_GB2312"/>
          <w:sz w:val="24"/>
        </w:rPr>
        <w:t>、每个项目开工时，采购人将指派专业技术人员作为现场管理人员，负责协调处理作业现场发生的问题及质量验收等事宜，核定实际工程量，对中标人进行作业指导，并对每天的实际工程量进行记录，核对中标人报送的清单。</w:t>
      </w:r>
    </w:p>
    <w:p w14:paraId="33DDCEEC">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评审项15</w:t>
      </w:r>
      <w:r>
        <w:rPr>
          <w:rFonts w:ascii="仿宋_GB2312" w:hAnsi="仿宋_GB2312" w:eastAsia="仿宋_GB2312" w:cs="仿宋_GB2312"/>
          <w:color w:val="000000"/>
          <w:sz w:val="24"/>
        </w:rPr>
        <w:t>】</w:t>
      </w:r>
      <w:r>
        <w:rPr>
          <w:rFonts w:ascii="仿宋_GB2312" w:hAnsi="仿宋_GB2312" w:eastAsia="仿宋_GB2312" w:cs="仿宋_GB2312"/>
          <w:sz w:val="24"/>
        </w:rPr>
        <w:t>12、投标人管理规范，具有严格的内控体系，具有良好的履约能力。投标人按规定递交响应文件时,应视投标人对服务实施范围、内容现场、周边环境以及可得到相关资料等已进行详细察看和检查无任何异议,且视为对可能发生风险意外(如接受各级检查考评、节假日、重大活动增强管理力度、各种自然灾害等)有充分考虑。因此,中标人在成交后不得以任何理由向采购方提出增加任何服务费用。</w:t>
      </w:r>
    </w:p>
    <w:p w14:paraId="2C254F16">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评审项16</w:t>
      </w:r>
      <w:r>
        <w:rPr>
          <w:rFonts w:ascii="仿宋_GB2312" w:hAnsi="仿宋_GB2312" w:eastAsia="仿宋_GB2312" w:cs="仿宋_GB2312"/>
          <w:color w:val="000000"/>
          <w:sz w:val="24"/>
        </w:rPr>
        <w:t>】</w:t>
      </w:r>
      <w:r>
        <w:rPr>
          <w:rFonts w:ascii="仿宋_GB2312" w:hAnsi="仿宋_GB2312" w:eastAsia="仿宋_GB2312" w:cs="仿宋_GB2312"/>
          <w:sz w:val="24"/>
        </w:rPr>
        <w:t>13、中标人应配备一名项目负责人，负责所有项目总协调。中标人必须在接到采购人的通知后，按采购人要求在作业期间提供经验丰富的现场管理人员、足够的工人、车辆机械和绿化种植辅助材料，且达到采购人要求。现场管理人员应随时保持通讯畅通，协助采购人监督、管理作业现场，保证作业质量、防范安全事故、提高工作效率。原则上一个项目作业过程中不得更换现场管理人员，中标人如需更换管理人员，须先经采购人同意。</w:t>
      </w:r>
    </w:p>
    <w:p w14:paraId="6F25EE51">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评审项17</w:t>
      </w:r>
      <w:r>
        <w:rPr>
          <w:rFonts w:ascii="仿宋_GB2312" w:hAnsi="仿宋_GB2312" w:eastAsia="仿宋_GB2312" w:cs="仿宋_GB2312"/>
          <w:color w:val="000000"/>
          <w:sz w:val="24"/>
        </w:rPr>
        <w:t>】</w:t>
      </w:r>
      <w:r>
        <w:rPr>
          <w:rFonts w:ascii="仿宋_GB2312" w:hAnsi="仿宋_GB2312" w:eastAsia="仿宋_GB2312" w:cs="仿宋_GB2312"/>
          <w:sz w:val="24"/>
        </w:rPr>
        <w:t>14、中标人应每天如实记录现场实际工程量，并于当天收工后送达给采购人管理人员核对确认，否则可视为无效记录，采购人有权不予办理款项支付手续。</w:t>
      </w:r>
    </w:p>
    <w:p w14:paraId="59F65CCF">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评审项18</w:t>
      </w:r>
      <w:r>
        <w:rPr>
          <w:rFonts w:ascii="仿宋_GB2312" w:hAnsi="仿宋_GB2312" w:eastAsia="仿宋_GB2312" w:cs="仿宋_GB2312"/>
          <w:color w:val="000000"/>
          <w:sz w:val="24"/>
        </w:rPr>
        <w:t>】</w:t>
      </w:r>
      <w:r>
        <w:rPr>
          <w:rFonts w:ascii="仿宋_GB2312" w:hAnsi="仿宋_GB2312" w:eastAsia="仿宋_GB2312" w:cs="仿宋_GB2312"/>
          <w:sz w:val="24"/>
        </w:rPr>
        <w:t>15、中标人必须自行配齐绿化施工的工具：锄头、铁锹、簸箕、砍刀、手锯、编织袋、竹扫、喷雾器、各种剪刀、油锯、打草机、绿篱机、蛇皮管、花洒、夜间施工照明设备、各类机械应配备的辅材等。人员进入作业现场须佩戴安全帽、统一着装，服装上应有反光标志和公司名称，配备路障、警示牌、警示灯等。中标人在作业期间应确保废弃树枝、弃料的日产日清。在作业期间发生的各种废弃料处理费、交通费、餐费、住宿费、车辆违章处理费等均包含在投标总价中。</w:t>
      </w:r>
    </w:p>
    <w:p w14:paraId="67F67ACC">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评审项19</w:t>
      </w:r>
      <w:r>
        <w:rPr>
          <w:rFonts w:ascii="仿宋_GB2312" w:hAnsi="仿宋_GB2312" w:eastAsia="仿宋_GB2312" w:cs="仿宋_GB2312"/>
          <w:color w:val="000000"/>
          <w:sz w:val="24"/>
        </w:rPr>
        <w:t>】</w:t>
      </w:r>
      <w:r>
        <w:rPr>
          <w:rFonts w:ascii="仿宋_GB2312" w:hAnsi="仿宋_GB2312" w:eastAsia="仿宋_GB2312" w:cs="仿宋_GB2312"/>
          <w:sz w:val="24"/>
        </w:rPr>
        <w:t>16、中标人作业人员须听从采购人管理人员工作指挥调动，根据工程实际的进展情况及现场需求，如采购人要求加班的，中标人应及时做好作业人员的安排工作，积极配合，确保按采购人的要求保质、保量按期完成。若施工质量不符合要求，应无条件返工。</w:t>
      </w:r>
    </w:p>
    <w:p w14:paraId="13F00551">
      <w:pPr>
        <w:pStyle w:val="4"/>
        <w:jc w:val="both"/>
      </w:pPr>
      <w:r>
        <w:rPr>
          <w:rFonts w:ascii="仿宋_GB2312" w:hAnsi="仿宋_GB2312" w:eastAsia="仿宋_GB2312" w:cs="仿宋_GB2312"/>
          <w:color w:val="000000"/>
          <w:sz w:val="24"/>
        </w:rPr>
        <w:t>【</w:t>
      </w:r>
      <w:r>
        <w:rPr>
          <w:rFonts w:ascii="仿宋_GB2312" w:hAnsi="仿宋_GB2312" w:eastAsia="仿宋_GB2312" w:cs="仿宋_GB2312"/>
          <w:b/>
          <w:color w:val="000000"/>
          <w:sz w:val="24"/>
        </w:rPr>
        <w:t>评审项20</w:t>
      </w:r>
      <w:r>
        <w:rPr>
          <w:rFonts w:ascii="仿宋_GB2312" w:hAnsi="仿宋_GB2312" w:eastAsia="仿宋_GB2312" w:cs="仿宋_GB2312"/>
          <w:color w:val="000000"/>
          <w:sz w:val="24"/>
        </w:rPr>
        <w:t>】</w:t>
      </w:r>
      <w:r>
        <w:rPr>
          <w:rFonts w:ascii="仿宋_GB2312" w:hAnsi="仿宋_GB2312" w:eastAsia="仿宋_GB2312" w:cs="仿宋_GB2312"/>
          <w:sz w:val="24"/>
        </w:rPr>
        <w:t>17、中标人应自觉遵守国家法律法规和行业规程规范，严格执行各项安全操作规程，采取必要的安全防护措施，消除事故隐患，保证作业期间的人员及第三方的安全。中标人必须为作业工人购买意外伤害险等保险，凡在作业期间发生的质量及安全事故均由中标人自行负责，采购人不承担任何连带责任。</w:t>
      </w:r>
    </w:p>
    <w:p w14:paraId="1BAC4A3E">
      <w:pPr>
        <w:pStyle w:val="4"/>
        <w:jc w:val="both"/>
      </w:pPr>
      <w:r>
        <w:rPr>
          <w:rFonts w:ascii="仿宋_GB2312" w:hAnsi="仿宋_GB2312" w:eastAsia="仿宋_GB2312" w:cs="仿宋_GB2312"/>
          <w:sz w:val="24"/>
        </w:rPr>
        <w:t>★（二）结算要求</w:t>
      </w:r>
    </w:p>
    <w:p w14:paraId="2F3EC5D9">
      <w:pPr>
        <w:pStyle w:val="4"/>
        <w:jc w:val="both"/>
      </w:pPr>
      <w:r>
        <w:rPr>
          <w:rFonts w:ascii="仿宋_GB2312" w:hAnsi="仿宋_GB2312" w:eastAsia="仿宋_GB2312" w:cs="仿宋_GB2312"/>
          <w:sz w:val="24"/>
        </w:rPr>
        <w:t>1、按项目分批次结算，计算公式如下：按中标总价/最高控制价×∑（项目预算单价×对应项目实际数量）。</w:t>
      </w:r>
    </w:p>
    <w:p w14:paraId="184AC7A9">
      <w:pPr>
        <w:pStyle w:val="4"/>
        <w:jc w:val="both"/>
      </w:pPr>
      <w:r>
        <w:rPr>
          <w:rFonts w:ascii="仿宋_GB2312" w:hAnsi="仿宋_GB2312" w:eastAsia="仿宋_GB2312" w:cs="仿宋_GB2312"/>
          <w:sz w:val="24"/>
        </w:rPr>
        <w:t>2、中标人须在每月15日前向采购人报送上个月已完工未结算的完整的项目相关资料，由采购人相关部门审核确认后办理付款手续。</w:t>
      </w:r>
    </w:p>
    <w:p w14:paraId="51E3B4B5">
      <w:pPr>
        <w:pStyle w:val="4"/>
        <w:jc w:val="both"/>
      </w:pPr>
      <w:r>
        <w:rPr>
          <w:rFonts w:ascii="仿宋_GB2312" w:hAnsi="仿宋_GB2312" w:eastAsia="仿宋_GB2312" w:cs="仿宋_GB2312"/>
          <w:sz w:val="24"/>
        </w:rPr>
        <w:t>3、办理付款时，中标人须向采购人提供有效的税务发票。</w:t>
      </w:r>
    </w:p>
    <w:p w14:paraId="16CF8126">
      <w:pPr>
        <w:pStyle w:val="4"/>
        <w:jc w:val="both"/>
      </w:pPr>
      <w:r>
        <w:rPr>
          <w:rFonts w:ascii="仿宋_GB2312" w:hAnsi="仿宋_GB2312" w:eastAsia="仿宋_GB2312" w:cs="仿宋_GB2312"/>
          <w:sz w:val="24"/>
        </w:rPr>
        <w:t>4、若项目施工需要使用的机械、车辆等不在“漳州市风景园林中心零星项目预算单价”清单之内，按现行的《福建省市政工程预算定额》(FJYD-401-2017~FJYD-409-2017)、《福建省园林绿化工程预算定额》(FJYD-501-2017)、《福建省建筑安装工程费用定额》(2017版)、《园林绿化工程工程量计算标准》(GB/T50858-2024)、《福建省建设工程工程量清单计价表格》(2017版) 定额政策作为结算依据并结合优惠率（优惠率=1-中标价/最高控制价×100%）。</w:t>
      </w:r>
    </w:p>
    <w:p w14:paraId="799721E5">
      <w:pPr>
        <w:pStyle w:val="4"/>
      </w:pPr>
      <w:r>
        <w:rPr>
          <w:rFonts w:ascii="仿宋_GB2312" w:hAnsi="仿宋_GB2312" w:eastAsia="仿宋_GB2312" w:cs="仿宋_GB2312"/>
          <w:sz w:val="24"/>
        </w:rPr>
        <w:t>5、若分项目单价无法套用定额政策进行结算的，结合市场询价及现行补充调整文件等有关规定并结合优惠率进行结算。</w:t>
      </w:r>
    </w:p>
    <w:p w14:paraId="215F2541">
      <w:pPr>
        <w:pStyle w:val="4"/>
        <w:jc w:val="both"/>
        <w:outlineLvl w:val="2"/>
      </w:pPr>
      <w:r>
        <w:rPr>
          <w:rFonts w:ascii="仿宋_GB2312" w:hAnsi="仿宋_GB2312" w:eastAsia="仿宋_GB2312" w:cs="仿宋_GB2312"/>
          <w:b/>
          <w:sz w:val="28"/>
        </w:rPr>
        <w:t>三、商务要求（以“★”标示的内容为不允许负偏离的实质性要求）</w:t>
      </w:r>
    </w:p>
    <w:p w14:paraId="3E73A50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1"/>
        <w:gridCol w:w="995"/>
        <w:gridCol w:w="1037"/>
        <w:gridCol w:w="5849"/>
      </w:tblGrid>
      <w:tr w14:paraId="0F8D3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080D4051">
            <w:pPr>
              <w:pStyle w:val="4"/>
              <w:jc w:val="left"/>
            </w:pPr>
            <w:r>
              <w:rPr>
                <w:rFonts w:ascii="仿宋_GB2312" w:hAnsi="仿宋_GB2312" w:eastAsia="仿宋_GB2312" w:cs="仿宋_GB2312"/>
              </w:rPr>
              <w:t>序号</w:t>
            </w:r>
          </w:p>
        </w:tc>
        <w:tc>
          <w:tcPr>
            <w:tcW w:w="995" w:type="dxa"/>
          </w:tcPr>
          <w:p w14:paraId="4C1BB23C">
            <w:pPr>
              <w:pStyle w:val="4"/>
              <w:jc w:val="left"/>
            </w:pPr>
            <w:r>
              <w:rPr>
                <w:rFonts w:ascii="仿宋_GB2312" w:hAnsi="仿宋_GB2312" w:eastAsia="仿宋_GB2312" w:cs="仿宋_GB2312"/>
              </w:rPr>
              <w:t>参数性质</w:t>
            </w:r>
          </w:p>
        </w:tc>
        <w:tc>
          <w:tcPr>
            <w:tcW w:w="1037" w:type="dxa"/>
          </w:tcPr>
          <w:p w14:paraId="1A189542">
            <w:pPr>
              <w:pStyle w:val="4"/>
              <w:jc w:val="left"/>
            </w:pPr>
            <w:r>
              <w:rPr>
                <w:rFonts w:ascii="仿宋_GB2312" w:hAnsi="仿宋_GB2312" w:eastAsia="仿宋_GB2312" w:cs="仿宋_GB2312"/>
              </w:rPr>
              <w:t>类型</w:t>
            </w:r>
          </w:p>
        </w:tc>
        <w:tc>
          <w:tcPr>
            <w:tcW w:w="5849" w:type="dxa"/>
          </w:tcPr>
          <w:p w14:paraId="369EED6E">
            <w:pPr>
              <w:pStyle w:val="4"/>
              <w:jc w:val="left"/>
            </w:pPr>
            <w:r>
              <w:rPr>
                <w:rFonts w:ascii="仿宋_GB2312" w:hAnsi="仿宋_GB2312" w:eastAsia="仿宋_GB2312" w:cs="仿宋_GB2312"/>
              </w:rPr>
              <w:t>要求</w:t>
            </w:r>
          </w:p>
        </w:tc>
      </w:tr>
      <w:tr w14:paraId="1D499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77F91DC8">
            <w:pPr>
              <w:pStyle w:val="4"/>
              <w:jc w:val="left"/>
            </w:pPr>
            <w:r>
              <w:rPr>
                <w:rFonts w:ascii="仿宋_GB2312" w:hAnsi="仿宋_GB2312" w:eastAsia="仿宋_GB2312" w:cs="仿宋_GB2312"/>
              </w:rPr>
              <w:t>1</w:t>
            </w:r>
          </w:p>
        </w:tc>
        <w:tc>
          <w:tcPr>
            <w:tcW w:w="995" w:type="dxa"/>
          </w:tcPr>
          <w:p w14:paraId="2FD7819A">
            <w:pPr>
              <w:pStyle w:val="4"/>
              <w:jc w:val="left"/>
            </w:pPr>
            <w:r>
              <w:rPr>
                <w:rFonts w:ascii="仿宋_GB2312" w:hAnsi="仿宋_GB2312" w:eastAsia="仿宋_GB2312" w:cs="仿宋_GB2312"/>
              </w:rPr>
              <w:t>★</w:t>
            </w:r>
          </w:p>
        </w:tc>
        <w:tc>
          <w:tcPr>
            <w:tcW w:w="1037" w:type="dxa"/>
          </w:tcPr>
          <w:p w14:paraId="7BB6C6B1">
            <w:pPr>
              <w:pStyle w:val="4"/>
              <w:jc w:val="left"/>
            </w:pPr>
            <w:r>
              <w:rPr>
                <w:rFonts w:ascii="仿宋_GB2312" w:hAnsi="仿宋_GB2312" w:eastAsia="仿宋_GB2312" w:cs="仿宋_GB2312"/>
              </w:rPr>
              <w:t>交货时间</w:t>
            </w:r>
          </w:p>
        </w:tc>
        <w:tc>
          <w:tcPr>
            <w:tcW w:w="5849" w:type="dxa"/>
          </w:tcPr>
          <w:p w14:paraId="4912C45D">
            <w:pPr>
              <w:pStyle w:val="4"/>
              <w:jc w:val="left"/>
            </w:pPr>
            <w:r>
              <w:rPr>
                <w:rFonts w:ascii="仿宋_GB2312" w:hAnsi="仿宋_GB2312" w:eastAsia="仿宋_GB2312" w:cs="仿宋_GB2312"/>
              </w:rPr>
              <w:t>本项目服务期一年</w:t>
            </w:r>
          </w:p>
        </w:tc>
      </w:tr>
      <w:tr w14:paraId="4B8663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40DB421D">
            <w:pPr>
              <w:pStyle w:val="4"/>
              <w:jc w:val="left"/>
            </w:pPr>
            <w:r>
              <w:rPr>
                <w:rFonts w:ascii="仿宋_GB2312" w:hAnsi="仿宋_GB2312" w:eastAsia="仿宋_GB2312" w:cs="仿宋_GB2312"/>
              </w:rPr>
              <w:t>2</w:t>
            </w:r>
          </w:p>
        </w:tc>
        <w:tc>
          <w:tcPr>
            <w:tcW w:w="995" w:type="dxa"/>
          </w:tcPr>
          <w:p w14:paraId="313151FE">
            <w:pPr>
              <w:pStyle w:val="4"/>
              <w:jc w:val="left"/>
            </w:pPr>
            <w:r>
              <w:rPr>
                <w:rFonts w:ascii="仿宋_GB2312" w:hAnsi="仿宋_GB2312" w:eastAsia="仿宋_GB2312" w:cs="仿宋_GB2312"/>
              </w:rPr>
              <w:t>★</w:t>
            </w:r>
          </w:p>
        </w:tc>
        <w:tc>
          <w:tcPr>
            <w:tcW w:w="1037" w:type="dxa"/>
          </w:tcPr>
          <w:p w14:paraId="2DC40475">
            <w:pPr>
              <w:pStyle w:val="4"/>
              <w:jc w:val="left"/>
            </w:pPr>
            <w:r>
              <w:rPr>
                <w:rFonts w:ascii="仿宋_GB2312" w:hAnsi="仿宋_GB2312" w:eastAsia="仿宋_GB2312" w:cs="仿宋_GB2312"/>
              </w:rPr>
              <w:t>交货地点</w:t>
            </w:r>
          </w:p>
        </w:tc>
        <w:tc>
          <w:tcPr>
            <w:tcW w:w="5849" w:type="dxa"/>
          </w:tcPr>
          <w:p w14:paraId="2E02787B">
            <w:pPr>
              <w:pStyle w:val="4"/>
              <w:jc w:val="left"/>
            </w:pPr>
            <w:r>
              <w:rPr>
                <w:rFonts w:ascii="仿宋_GB2312" w:hAnsi="仿宋_GB2312" w:eastAsia="仿宋_GB2312" w:cs="仿宋_GB2312"/>
              </w:rPr>
              <w:t>福建省漳州市漳州市风景园林中心辖区</w:t>
            </w:r>
          </w:p>
        </w:tc>
      </w:tr>
      <w:tr w14:paraId="7716D7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11A6EBB2">
            <w:pPr>
              <w:pStyle w:val="4"/>
              <w:jc w:val="left"/>
            </w:pPr>
            <w:r>
              <w:rPr>
                <w:rFonts w:ascii="仿宋_GB2312" w:hAnsi="仿宋_GB2312" w:eastAsia="仿宋_GB2312" w:cs="仿宋_GB2312"/>
              </w:rPr>
              <w:t>3</w:t>
            </w:r>
          </w:p>
        </w:tc>
        <w:tc>
          <w:tcPr>
            <w:tcW w:w="995" w:type="dxa"/>
          </w:tcPr>
          <w:p w14:paraId="08DB09DB">
            <w:pPr>
              <w:pStyle w:val="4"/>
              <w:jc w:val="left"/>
            </w:pPr>
            <w:r>
              <w:rPr>
                <w:rFonts w:ascii="仿宋_GB2312" w:hAnsi="仿宋_GB2312" w:eastAsia="仿宋_GB2312" w:cs="仿宋_GB2312"/>
              </w:rPr>
              <w:t>★</w:t>
            </w:r>
          </w:p>
        </w:tc>
        <w:tc>
          <w:tcPr>
            <w:tcW w:w="1037" w:type="dxa"/>
          </w:tcPr>
          <w:p w14:paraId="5DCB7CA7">
            <w:pPr>
              <w:pStyle w:val="4"/>
              <w:jc w:val="left"/>
            </w:pPr>
            <w:r>
              <w:rPr>
                <w:rFonts w:ascii="仿宋_GB2312" w:hAnsi="仿宋_GB2312" w:eastAsia="仿宋_GB2312" w:cs="仿宋_GB2312"/>
              </w:rPr>
              <w:t>交货条件</w:t>
            </w:r>
          </w:p>
        </w:tc>
        <w:tc>
          <w:tcPr>
            <w:tcW w:w="5849" w:type="dxa"/>
          </w:tcPr>
          <w:p w14:paraId="237C0BE5">
            <w:pPr>
              <w:pStyle w:val="4"/>
              <w:jc w:val="left"/>
            </w:pPr>
            <w:r>
              <w:rPr>
                <w:rFonts w:ascii="仿宋_GB2312" w:hAnsi="仿宋_GB2312" w:eastAsia="仿宋_GB2312" w:cs="仿宋_GB2312"/>
              </w:rPr>
              <w:t>合同期限内，按采购人要求分项目提供服务。每个项目开工之前，采购人提前一天通知中标人，中标人在接到采购人通知后，按采购人要求在施工期间提供足够的、符合年龄要求的熟练工人，且达到采购人对工种的要求，以及车辆机械和绿化种植辅助材料，并验收合格。</w:t>
            </w:r>
          </w:p>
        </w:tc>
      </w:tr>
      <w:tr w14:paraId="3473D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3C2114B9">
            <w:pPr>
              <w:pStyle w:val="4"/>
              <w:jc w:val="left"/>
            </w:pPr>
            <w:r>
              <w:rPr>
                <w:rFonts w:ascii="仿宋_GB2312" w:hAnsi="仿宋_GB2312" w:eastAsia="仿宋_GB2312" w:cs="仿宋_GB2312"/>
              </w:rPr>
              <w:t>4</w:t>
            </w:r>
          </w:p>
        </w:tc>
        <w:tc>
          <w:tcPr>
            <w:tcW w:w="995" w:type="dxa"/>
          </w:tcPr>
          <w:p w14:paraId="1673846E">
            <w:pPr>
              <w:pStyle w:val="4"/>
              <w:jc w:val="left"/>
            </w:pPr>
            <w:r>
              <w:rPr>
                <w:rFonts w:ascii="仿宋_GB2312" w:hAnsi="仿宋_GB2312" w:eastAsia="仿宋_GB2312" w:cs="仿宋_GB2312"/>
              </w:rPr>
              <w:t>★</w:t>
            </w:r>
          </w:p>
        </w:tc>
        <w:tc>
          <w:tcPr>
            <w:tcW w:w="1037" w:type="dxa"/>
          </w:tcPr>
          <w:p w14:paraId="3B95B5CF">
            <w:pPr>
              <w:pStyle w:val="4"/>
              <w:jc w:val="left"/>
            </w:pPr>
            <w:r>
              <w:rPr>
                <w:rFonts w:ascii="仿宋_GB2312" w:hAnsi="仿宋_GB2312" w:eastAsia="仿宋_GB2312" w:cs="仿宋_GB2312"/>
              </w:rPr>
              <w:t>是否邀请投标人验收</w:t>
            </w:r>
          </w:p>
        </w:tc>
        <w:tc>
          <w:tcPr>
            <w:tcW w:w="5849" w:type="dxa"/>
          </w:tcPr>
          <w:p w14:paraId="218054DE">
            <w:pPr>
              <w:pStyle w:val="4"/>
              <w:jc w:val="left"/>
            </w:pPr>
            <w:r>
              <w:rPr>
                <w:rFonts w:ascii="仿宋_GB2312" w:hAnsi="仿宋_GB2312" w:eastAsia="仿宋_GB2312" w:cs="仿宋_GB2312"/>
              </w:rPr>
              <w:t>不邀请投标人验收</w:t>
            </w:r>
          </w:p>
        </w:tc>
      </w:tr>
      <w:tr w14:paraId="5C0F2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4131C173">
            <w:pPr>
              <w:pStyle w:val="4"/>
              <w:jc w:val="left"/>
            </w:pPr>
            <w:r>
              <w:rPr>
                <w:rFonts w:ascii="仿宋_GB2312" w:hAnsi="仿宋_GB2312" w:eastAsia="仿宋_GB2312" w:cs="仿宋_GB2312"/>
              </w:rPr>
              <w:t>5</w:t>
            </w:r>
          </w:p>
        </w:tc>
        <w:tc>
          <w:tcPr>
            <w:tcW w:w="995" w:type="dxa"/>
          </w:tcPr>
          <w:p w14:paraId="437C6443">
            <w:pPr>
              <w:pStyle w:val="4"/>
              <w:jc w:val="left"/>
            </w:pPr>
            <w:r>
              <w:rPr>
                <w:rFonts w:ascii="仿宋_GB2312" w:hAnsi="仿宋_GB2312" w:eastAsia="仿宋_GB2312" w:cs="仿宋_GB2312"/>
              </w:rPr>
              <w:t>★</w:t>
            </w:r>
          </w:p>
        </w:tc>
        <w:tc>
          <w:tcPr>
            <w:tcW w:w="1037" w:type="dxa"/>
          </w:tcPr>
          <w:p w14:paraId="53E691D8">
            <w:pPr>
              <w:pStyle w:val="4"/>
              <w:jc w:val="left"/>
            </w:pPr>
            <w:r>
              <w:rPr>
                <w:rFonts w:ascii="仿宋_GB2312" w:hAnsi="仿宋_GB2312" w:eastAsia="仿宋_GB2312" w:cs="仿宋_GB2312"/>
              </w:rPr>
              <w:t>履约验收方式</w:t>
            </w:r>
          </w:p>
        </w:tc>
        <w:tc>
          <w:tcPr>
            <w:tcW w:w="5849" w:type="dxa"/>
          </w:tcPr>
          <w:p w14:paraId="6AE06AA9">
            <w:pPr>
              <w:pStyle w:val="4"/>
              <w:jc w:val="left"/>
            </w:pPr>
            <w:r>
              <w:rPr>
                <w:rFonts w:ascii="仿宋_GB2312" w:hAnsi="仿宋_GB2312" w:eastAsia="仿宋_GB2312" w:cs="仿宋_GB2312"/>
              </w:rPr>
              <w:t>1、期次1，说明：1.所有的人员、车辆机械和绿化种植辅助材料按照采购人的要求配备到位，相关岗位的人员应按规定持证上岗。2.严格按照采购人要求做好绿地改造、花化彩化提升及养护管理期间等所发生的绿化苗木的清理、挖穴、种植、修剪、支撑、搬运、装卸、养护等绿化施工、管理；苗圃管理期间三角梅及菊花等花卉及其他乔灌木的栽培、浇水、施肥、修剪、除草、病虫害防治、换盆、支撑、装卸车、卫生保洁等苗圃日常作业工作。3.由采购人组织相关人员进行验收，中标人应无条件配合。</w:t>
            </w:r>
          </w:p>
        </w:tc>
      </w:tr>
      <w:tr w14:paraId="5A1D5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43EBC1E6">
            <w:pPr>
              <w:pStyle w:val="4"/>
              <w:jc w:val="left"/>
            </w:pPr>
            <w:r>
              <w:rPr>
                <w:rFonts w:ascii="仿宋_GB2312" w:hAnsi="仿宋_GB2312" w:eastAsia="仿宋_GB2312" w:cs="仿宋_GB2312"/>
              </w:rPr>
              <w:t>6</w:t>
            </w:r>
          </w:p>
        </w:tc>
        <w:tc>
          <w:tcPr>
            <w:tcW w:w="995" w:type="dxa"/>
          </w:tcPr>
          <w:p w14:paraId="4D51F142">
            <w:pPr>
              <w:pStyle w:val="4"/>
              <w:jc w:val="left"/>
            </w:pPr>
            <w:r>
              <w:rPr>
                <w:rFonts w:ascii="仿宋_GB2312" w:hAnsi="仿宋_GB2312" w:eastAsia="仿宋_GB2312" w:cs="仿宋_GB2312"/>
              </w:rPr>
              <w:t>★</w:t>
            </w:r>
          </w:p>
        </w:tc>
        <w:tc>
          <w:tcPr>
            <w:tcW w:w="1037" w:type="dxa"/>
          </w:tcPr>
          <w:p w14:paraId="74EB92D0">
            <w:pPr>
              <w:pStyle w:val="4"/>
              <w:jc w:val="left"/>
            </w:pPr>
            <w:r>
              <w:rPr>
                <w:rFonts w:ascii="仿宋_GB2312" w:hAnsi="仿宋_GB2312" w:eastAsia="仿宋_GB2312" w:cs="仿宋_GB2312"/>
              </w:rPr>
              <w:t>合同支付方式</w:t>
            </w:r>
          </w:p>
        </w:tc>
        <w:tc>
          <w:tcPr>
            <w:tcW w:w="5849" w:type="dxa"/>
          </w:tcPr>
          <w:p w14:paraId="3BA02945">
            <w:pPr>
              <w:pStyle w:val="4"/>
              <w:jc w:val="left"/>
            </w:pPr>
            <w:r>
              <w:rPr>
                <w:rFonts w:ascii="仿宋_GB2312" w:hAnsi="仿宋_GB2312" w:eastAsia="仿宋_GB2312" w:cs="仿宋_GB2312"/>
              </w:rPr>
              <w:t>1、按照采购人要求，达到付款条件起30日内，支付合同总金额的100.00%</w:t>
            </w:r>
          </w:p>
        </w:tc>
      </w:tr>
      <w:tr w14:paraId="51B8D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69F268CD">
            <w:pPr>
              <w:pStyle w:val="4"/>
              <w:jc w:val="left"/>
            </w:pPr>
            <w:r>
              <w:rPr>
                <w:rFonts w:ascii="仿宋_GB2312" w:hAnsi="仿宋_GB2312" w:eastAsia="仿宋_GB2312" w:cs="仿宋_GB2312"/>
              </w:rPr>
              <w:t>7</w:t>
            </w:r>
          </w:p>
        </w:tc>
        <w:tc>
          <w:tcPr>
            <w:tcW w:w="995" w:type="dxa"/>
          </w:tcPr>
          <w:p w14:paraId="5B359962">
            <w:pPr>
              <w:pStyle w:val="4"/>
              <w:jc w:val="left"/>
            </w:pPr>
            <w:r>
              <w:rPr>
                <w:rFonts w:ascii="仿宋_GB2312" w:hAnsi="仿宋_GB2312" w:eastAsia="仿宋_GB2312" w:cs="仿宋_GB2312"/>
              </w:rPr>
              <w:t>★</w:t>
            </w:r>
          </w:p>
        </w:tc>
        <w:tc>
          <w:tcPr>
            <w:tcW w:w="1037" w:type="dxa"/>
          </w:tcPr>
          <w:p w14:paraId="26A20899">
            <w:pPr>
              <w:pStyle w:val="4"/>
              <w:jc w:val="left"/>
            </w:pPr>
            <w:r>
              <w:rPr>
                <w:rFonts w:ascii="仿宋_GB2312" w:hAnsi="仿宋_GB2312" w:eastAsia="仿宋_GB2312" w:cs="仿宋_GB2312"/>
              </w:rPr>
              <w:t>其他</w:t>
            </w:r>
          </w:p>
        </w:tc>
        <w:tc>
          <w:tcPr>
            <w:tcW w:w="5849" w:type="dxa"/>
          </w:tcPr>
          <w:p w14:paraId="72658FB3">
            <w:pPr>
              <w:pStyle w:val="4"/>
              <w:jc w:val="left"/>
            </w:pPr>
            <w:r>
              <w:rPr>
                <w:rFonts w:ascii="仿宋_GB2312" w:hAnsi="仿宋_GB2312" w:eastAsia="仿宋_GB2312" w:cs="仿宋_GB2312"/>
              </w:rPr>
              <w:t>1. 具体支付方式：按项目分批次结算，计算公式如下：按中标金额/最高控制价×∑（项目预算单价×对应项目实际数量）。 2.中标人在每月15日前向采购人送达上个月已完工未结算的各项目结算汇总表、考勤登记表、现场作业照片等，由采购人相关部门审核确认后办理付款手续，结算上个月费用。 3.办理付款时，中标人须向采购人提供有效的税务发票。4.本招标文件合同支付方式如与此处不一致，以此处为准。</w:t>
            </w:r>
          </w:p>
        </w:tc>
      </w:tr>
      <w:tr w14:paraId="35C05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1" w:type="dxa"/>
          </w:tcPr>
          <w:p w14:paraId="3BE893C1">
            <w:pPr>
              <w:pStyle w:val="4"/>
              <w:jc w:val="left"/>
            </w:pPr>
            <w:r>
              <w:rPr>
                <w:rFonts w:ascii="仿宋_GB2312" w:hAnsi="仿宋_GB2312" w:eastAsia="仿宋_GB2312" w:cs="仿宋_GB2312"/>
              </w:rPr>
              <w:t>8</w:t>
            </w:r>
          </w:p>
        </w:tc>
        <w:tc>
          <w:tcPr>
            <w:tcW w:w="995" w:type="dxa"/>
          </w:tcPr>
          <w:p w14:paraId="064E9FE9">
            <w:pPr>
              <w:pStyle w:val="4"/>
              <w:jc w:val="left"/>
            </w:pPr>
            <w:r>
              <w:rPr>
                <w:rFonts w:ascii="仿宋_GB2312" w:hAnsi="仿宋_GB2312" w:eastAsia="仿宋_GB2312" w:cs="仿宋_GB2312"/>
              </w:rPr>
              <w:t>★</w:t>
            </w:r>
          </w:p>
        </w:tc>
        <w:tc>
          <w:tcPr>
            <w:tcW w:w="1037" w:type="dxa"/>
          </w:tcPr>
          <w:p w14:paraId="3DD80BD5">
            <w:pPr>
              <w:pStyle w:val="4"/>
              <w:jc w:val="left"/>
            </w:pPr>
            <w:r>
              <w:rPr>
                <w:rFonts w:ascii="仿宋_GB2312" w:hAnsi="仿宋_GB2312" w:eastAsia="仿宋_GB2312" w:cs="仿宋_GB2312"/>
              </w:rPr>
              <w:t>履约保证金</w:t>
            </w:r>
          </w:p>
        </w:tc>
        <w:tc>
          <w:tcPr>
            <w:tcW w:w="5849" w:type="dxa"/>
          </w:tcPr>
          <w:p w14:paraId="30593ABF">
            <w:pPr>
              <w:pStyle w:val="4"/>
              <w:jc w:val="left"/>
            </w:pPr>
            <w:r>
              <w:rPr>
                <w:rFonts w:ascii="仿宋_GB2312" w:hAnsi="仿宋_GB2312" w:eastAsia="仿宋_GB2312" w:cs="仿宋_GB2312"/>
              </w:rPr>
              <w:t>缴纳, 本采购包履约保证金为合同金额的5%</w:t>
            </w:r>
          </w:p>
          <w:p w14:paraId="697B9B73">
            <w:pPr>
              <w:pStyle w:val="4"/>
              <w:jc w:val="left"/>
            </w:pPr>
            <w:r>
              <w:rPr>
                <w:rFonts w:ascii="仿宋_GB2312" w:hAnsi="仿宋_GB2312" w:eastAsia="仿宋_GB2312" w:cs="仿宋_GB2312"/>
              </w:rPr>
              <w:t>缴纳方式：银行转账，支票/汇票/本票，保函/保险</w:t>
            </w:r>
          </w:p>
          <w:p w14:paraId="66DAADA7">
            <w:pPr>
              <w:pStyle w:val="4"/>
              <w:jc w:val="left"/>
            </w:pPr>
            <w:r>
              <w:rPr>
                <w:rFonts w:ascii="仿宋_GB2312" w:hAnsi="仿宋_GB2312" w:eastAsia="仿宋_GB2312" w:cs="仿宋_GB2312"/>
              </w:rPr>
              <w:t>说明：中标人在结果公示后，签订采购合同前，应以银行转账、电汇或保函等形式一次性向采购人交纳中标总额的 5%作为履约保证金。合同期满，中标人完成合同责任且无违约情形的，采购人在收到中标人申请后一个月内无息退还。 (交纳合同履约保证金账户：开户名：漳州市风景园林中心 开户行：漳州市建行营业部 账号：35001662433052508651）</w:t>
            </w:r>
          </w:p>
        </w:tc>
      </w:tr>
    </w:tbl>
    <w:p w14:paraId="67C4079C">
      <w:pPr>
        <w:pStyle w:val="4"/>
        <w:jc w:val="left"/>
      </w:pPr>
      <w:r>
        <w:rPr>
          <w:rFonts w:ascii="仿宋_GB2312" w:hAnsi="仿宋_GB2312" w:eastAsia="仿宋_GB2312" w:cs="仿宋_GB2312"/>
        </w:rPr>
        <w:t>其他商务要求</w:t>
      </w:r>
    </w:p>
    <w:p w14:paraId="7FF41B38">
      <w:pPr>
        <w:pStyle w:val="4"/>
        <w:ind w:firstLine="480"/>
        <w:jc w:val="left"/>
      </w:pPr>
      <w:r>
        <w:rPr>
          <w:rFonts w:ascii="仿宋_GB2312" w:hAnsi="仿宋_GB2312" w:eastAsia="仿宋_GB2312" w:cs="仿宋_GB2312"/>
          <w:sz w:val="24"/>
        </w:rPr>
        <w:t xml:space="preserve">1.违约责任  </w:t>
      </w:r>
    </w:p>
    <w:p w14:paraId="5F8E8FA9">
      <w:pPr>
        <w:pStyle w:val="4"/>
        <w:ind w:firstLine="480"/>
        <w:jc w:val="left"/>
      </w:pPr>
      <w:r>
        <w:rPr>
          <w:rFonts w:ascii="仿宋_GB2312" w:hAnsi="仿宋_GB2312" w:eastAsia="仿宋_GB2312" w:cs="仿宋_GB2312"/>
          <w:sz w:val="24"/>
        </w:rPr>
        <w:t>1.1中标人不得以节日或季节性等原因，拒绝按采购人要求提供工人、车辆机械和绿化种植辅助材料；不得未经采购人许可中途停工或退场。若发生以上情况，采购人有权解除合同，没收合同履约保证金，并保留继续追究中标人法律责任的权利。</w:t>
      </w:r>
    </w:p>
    <w:p w14:paraId="74AA7D0A">
      <w:pPr>
        <w:pStyle w:val="4"/>
        <w:ind w:firstLine="480"/>
        <w:jc w:val="left"/>
      </w:pPr>
      <w:r>
        <w:rPr>
          <w:rFonts w:ascii="仿宋_GB2312" w:hAnsi="仿宋_GB2312" w:eastAsia="仿宋_GB2312" w:cs="仿宋_GB2312"/>
          <w:sz w:val="24"/>
        </w:rPr>
        <w:t>1.2中标人须在项目完工后3日内将该项目完成的实际工程量汇总报给采购人，若中标人逾期不报的，采购人有权不再确认；如中标人虚报工程量的，一经采购人核实，除扣减中标人虚报的数量外，采购人有权从虚报数量所属的单个项目结算款中按虚报部分的10倍金额扣款；虚报超过两次的，除了扣除10倍的结算款外，采购人有权解除合同，没收合同履约保证金。</w:t>
      </w:r>
    </w:p>
    <w:p w14:paraId="372341AD">
      <w:pPr>
        <w:pStyle w:val="4"/>
        <w:ind w:firstLine="480"/>
        <w:jc w:val="left"/>
      </w:pPr>
      <w:r>
        <w:rPr>
          <w:rFonts w:ascii="仿宋_GB2312" w:hAnsi="仿宋_GB2312" w:eastAsia="仿宋_GB2312" w:cs="仿宋_GB2312"/>
          <w:sz w:val="24"/>
        </w:rPr>
        <w:t>1.3单个项目中标人提供的工人数量、车辆数量、机械数量经采购人核验后若未达到采购人要求，采购人有权按照未符合要求的工人、车辆、机械等的项目中标单价的2倍标准进行扣款。为了保证作业进度，采购人有权另外自行雇佣工人、车辆、机械弥补不足，费用由中标人支付。中标人提供的工人数量、车辆数量、机械数量未达到采购人要求超过两次的，除了扣除结算款外，采购人有权解除合同，没收合同履约保证金。</w:t>
      </w:r>
    </w:p>
    <w:p w14:paraId="63F05D49">
      <w:pPr>
        <w:pStyle w:val="4"/>
        <w:ind w:firstLine="480"/>
        <w:jc w:val="left"/>
      </w:pPr>
      <w:r>
        <w:rPr>
          <w:rFonts w:ascii="仿宋_GB2312" w:hAnsi="仿宋_GB2312" w:eastAsia="仿宋_GB2312" w:cs="仿宋_GB2312"/>
          <w:sz w:val="24"/>
        </w:rPr>
        <w:t>1.4单个项目中标人管理人员不听从采购人安排，或现场管理不力，出现工人窝工、工作效率低下等现象，经采购人项目负责人确认后，每发现一次采购人有权视情节从该项目结算款中按1000～3000元的标准扣款，并有权要求中标人更换该管理人员或工人。工人、车辆、机械迟到十五分钟内，按每人扣10元，每部车辆机械扣50元的标准，从所属的单个项目结算款中扣款。超过十五分钟不计算工时或台班，不给予结算。</w:t>
      </w:r>
    </w:p>
    <w:p w14:paraId="37DA171A">
      <w:pPr>
        <w:pStyle w:val="4"/>
        <w:ind w:firstLine="480"/>
        <w:jc w:val="left"/>
      </w:pPr>
      <w:r>
        <w:rPr>
          <w:rFonts w:ascii="仿宋_GB2312" w:hAnsi="仿宋_GB2312" w:eastAsia="仿宋_GB2312" w:cs="仿宋_GB2312"/>
          <w:sz w:val="24"/>
        </w:rPr>
        <w:t>1.5如中标人人员在工地打架、闹事、偷窃、破坏公私财产等，采购人有权视情节从所属的单个项目结算款中按1000～3000元的标准扣款。造成采购人损失的，须照价赔偿；情节严重的报送公安机关处理。</w:t>
      </w:r>
    </w:p>
    <w:p w14:paraId="573D3A36">
      <w:pPr>
        <w:pStyle w:val="4"/>
        <w:ind w:firstLine="480"/>
        <w:jc w:val="left"/>
      </w:pPr>
      <w:r>
        <w:rPr>
          <w:rFonts w:ascii="仿宋_GB2312" w:hAnsi="仿宋_GB2312" w:eastAsia="仿宋_GB2312" w:cs="仿宋_GB2312"/>
          <w:sz w:val="24"/>
        </w:rPr>
        <w:t>1.6本项目产生的绿化垃圾，按市容管理要求不得随意倾倒或焚烧，如被相关部门处罚均由中标人自行负责，采购人不承担任何连带责任，并且采购人有权从该项目结算款中按500～2000元的标准扣款。</w:t>
      </w:r>
    </w:p>
    <w:p w14:paraId="37078E84">
      <w:pPr>
        <w:pStyle w:val="4"/>
        <w:ind w:firstLine="480"/>
        <w:jc w:val="left"/>
      </w:pPr>
      <w:r>
        <w:rPr>
          <w:rFonts w:ascii="仿宋_GB2312" w:hAnsi="仿宋_GB2312" w:eastAsia="仿宋_GB2312" w:cs="仿宋_GB2312"/>
          <w:sz w:val="24"/>
        </w:rPr>
        <w:t>1.7采购人有权不定期抽查中标人工资、费用发放情况，如中标人未及时支付人员工资，采购人有权从该项目尚未支付的结算款或中标人交纳的合同履约保证金中先行垫付。</w:t>
      </w:r>
    </w:p>
    <w:p w14:paraId="513E82DC">
      <w:pPr>
        <w:pStyle w:val="4"/>
        <w:ind w:firstLine="480"/>
        <w:jc w:val="left"/>
      </w:pPr>
      <w:r>
        <w:rPr>
          <w:rFonts w:ascii="仿宋_GB2312" w:hAnsi="仿宋_GB2312" w:eastAsia="仿宋_GB2312" w:cs="仿宋_GB2312"/>
          <w:sz w:val="24"/>
        </w:rPr>
        <w:t>1.8按本合同规定中标人应该偿付的各类经济损失和采购人扣除中标人单个项目结算款的不足部分，采购人有权从该项目尚未支付的结算款或中标人交纳的合同履约保证金中扣除，并保留继续追究中标人法律责任的权利。</w:t>
      </w:r>
    </w:p>
    <w:p w14:paraId="23AD3715">
      <w:pPr>
        <w:pStyle w:val="4"/>
        <w:ind w:firstLine="480"/>
        <w:jc w:val="left"/>
      </w:pPr>
      <w:r>
        <w:rPr>
          <w:rFonts w:ascii="仿宋_GB2312" w:hAnsi="仿宋_GB2312" w:eastAsia="仿宋_GB2312" w:cs="仿宋_GB2312"/>
          <w:sz w:val="24"/>
        </w:rPr>
        <w:t>1.9中标人投标交件中承诺的项目负责人为本项目的专职负责人，须按采购人要求实际到岗并不得在其他项目兼职。合同签订后原则上不允许更换项目负责人。合同履行期间如需更换项目负责人，接替的人员必须具备同等的管理经验和专业技术资格，报采购人审核以后执行。第一次更换项目负责人，一次性扣罚30000元；第二次更换项目负责人，一次性扣罚50000元；第三次更换项目负责人，采购人有权终止合同，不承担任何违约责任。若未经采购人允许，中标人随意更换本项目的项目负责人、未实际到岗或在其他项目兼职的，则视为中标人违约，采购人有权终止合同，没收履约保证金，并保留追究其他相关责任和损失的权利。</w:t>
      </w:r>
    </w:p>
    <w:p w14:paraId="7CCCD71D">
      <w:pPr>
        <w:pStyle w:val="4"/>
        <w:ind w:firstLine="480"/>
        <w:jc w:val="left"/>
      </w:pPr>
      <w:r>
        <w:rPr>
          <w:rFonts w:ascii="仿宋_GB2312" w:hAnsi="仿宋_GB2312" w:eastAsia="仿宋_GB2312" w:cs="仿宋_GB2312"/>
          <w:sz w:val="24"/>
        </w:rPr>
        <w:t>1.10施工现场未按采购人要求，做到废弃树枝、弃料日产日清的，每次扣罚500元。中标人需对提供的人员资质、年龄进行自查，采购人有权对每天现场的工人进行抽查，发现有不符合招标要求的，每人次扣罚500元。</w:t>
      </w:r>
    </w:p>
    <w:p w14:paraId="7E6FF89A">
      <w:pPr>
        <w:pStyle w:val="4"/>
      </w:pPr>
      <w:r>
        <w:rPr>
          <w:rFonts w:ascii="仿宋_GB2312" w:hAnsi="仿宋_GB2312" w:eastAsia="仿宋_GB2312" w:cs="仿宋_GB2312"/>
          <w:sz w:val="24"/>
        </w:rPr>
        <w:t>1.11若中标人未在每月15日前向采购人报送上个月已完工未结算的完整的项目相关资料，后果自负。超过3次未在每月15日前向采购人报送上个月已完工未结算的完整的项目相关资料，则视为中标人违约，采购人有权终止合同，没收履约保证金，并保留追究其他相关责任和损失的权利。</w:t>
      </w:r>
    </w:p>
    <w:p w14:paraId="26DC3626">
      <w:pPr>
        <w:pStyle w:val="4"/>
        <w:jc w:val="both"/>
        <w:outlineLvl w:val="2"/>
      </w:pPr>
      <w:r>
        <w:rPr>
          <w:rFonts w:ascii="仿宋_GB2312" w:hAnsi="仿宋_GB2312" w:eastAsia="仿宋_GB2312" w:cs="仿宋_GB2312"/>
          <w:b/>
          <w:sz w:val="28"/>
        </w:rPr>
        <w:t>四、其他事项</w:t>
      </w:r>
    </w:p>
    <w:p w14:paraId="7330DD20">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4CBBE742">
      <w:pPr>
        <w:pStyle w:val="4"/>
        <w:ind w:firstLine="480"/>
        <w:jc w:val="both"/>
      </w:pPr>
      <w:r>
        <w:rPr>
          <w:rFonts w:ascii="仿宋_GB2312" w:hAnsi="仿宋_GB2312" w:eastAsia="仿宋_GB2312" w:cs="仿宋_GB2312"/>
        </w:rPr>
        <w:t>2、其他：</w:t>
      </w:r>
    </w:p>
    <w:p w14:paraId="3CC1BED4">
      <w:pPr>
        <w:pStyle w:val="4"/>
        <w:ind w:firstLine="480"/>
        <w:jc w:val="both"/>
      </w:pPr>
      <w:r>
        <w:rPr>
          <w:rFonts w:ascii="仿宋_GB2312" w:hAnsi="仿宋_GB2312" w:eastAsia="仿宋_GB2312" w:cs="仿宋_GB2312"/>
        </w:rPr>
        <w:t>无</w:t>
      </w:r>
    </w:p>
    <w:p w14:paraId="303671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60A5D"/>
    <w:rsid w:val="79360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2026-03-09T03:53:00Z</dcterms:created>
  <dc:creator>seabass</dc:creator>
  <cp:lastModifiedBy>seabass</cp:lastModifiedBy>
  <dcterms:modified xsi:type="dcterms:W3CDTF">2026-03-09T03:54:05Z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9A57AA5104C749B6A15BF087A96DE7BD_11</vt:lpwstr>
  </property>
  <property fmtid="{D5CDD505-2E9C-101B-9397-08002B2CF9AE}" pid="4" name="KSOTemplateDocerSaveRecord">
    <vt:lpwstr>eyJoZGlkIjoiNWQ4N2RjM2EzYjY4ODRhYTE3MWQ3ZWI0YjIxYjgxYjUiLCJ1c2VySWQiOiI2NDUyODI0NTAifQ==</vt:lpwstr>
  </property>
</Properties>
</file>