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857C35">
      <w:pPr>
        <w:spacing w:before="295" w:line="225" w:lineRule="auto"/>
        <w:ind w:left="1311"/>
        <w:outlineLvl w:val="0"/>
        <w:rPr>
          <w:rFonts w:ascii="宋体" w:hAnsi="宋体" w:eastAsia="宋体" w:cs="宋体"/>
          <w:sz w:val="36"/>
          <w:szCs w:val="36"/>
        </w:rPr>
      </w:pPr>
      <w:r>
        <w:rPr>
          <w:rFonts w:ascii="宋体" w:hAnsi="宋体" w:eastAsia="宋体" w:cs="宋体"/>
          <w:spacing w:val="10"/>
          <w:sz w:val="36"/>
          <w:szCs w:val="36"/>
          <w14:textOutline w14:w="5793" w14:cap="sq" w14:cmpd="sng">
            <w14:solidFill>
              <w14:srgbClr w14:val="000000"/>
            </w14:solidFill>
            <w14:prstDash w14:val="solid"/>
            <w14:bevel/>
          </w14:textOutline>
        </w:rPr>
        <w:t>招标项目技术、服务及其他商务要求</w:t>
      </w:r>
    </w:p>
    <w:p w14:paraId="7F3D069E">
      <w:pPr>
        <w:pStyle w:val="4"/>
        <w:spacing w:line="267" w:lineRule="auto"/>
      </w:pPr>
    </w:p>
    <w:p w14:paraId="3D829453">
      <w:pPr>
        <w:pStyle w:val="4"/>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本章标注“★”项为实质性要求，不允许负偏离。</w:t>
      </w:r>
    </w:p>
    <w:p w14:paraId="1CA057D5">
      <w:pPr>
        <w:rPr>
          <w:sz w:val="24"/>
          <w:szCs w:val="24"/>
        </w:rPr>
      </w:pPr>
    </w:p>
    <w:p w14:paraId="65A4B3B9">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bookmarkStart w:id="0" w:name="_Toc31046"/>
      <w:r>
        <w:rPr>
          <w:rFonts w:hint="eastAsia" w:ascii="宋体" w:hAnsi="宋体" w:eastAsia="宋体" w:cs="宋体"/>
          <w:color w:val="auto"/>
          <w:highlight w:val="none"/>
          <w:lang w:val="zh-CN" w:eastAsia="zh-CN"/>
        </w:rPr>
        <w:t>★</w:t>
      </w:r>
      <w:r>
        <w:rPr>
          <w:rFonts w:hint="eastAsia" w:ascii="宋体" w:hAnsi="宋体" w:cs="宋体"/>
          <w:color w:val="auto"/>
          <w:sz w:val="28"/>
          <w:szCs w:val="28"/>
          <w:highlight w:val="none"/>
          <w:lang w:val="zh-CN" w:eastAsia="zh-CN"/>
        </w:rPr>
        <w:t>一</w:t>
      </w:r>
      <w:r>
        <w:rPr>
          <w:rFonts w:hint="eastAsia" w:ascii="宋体" w:hAnsi="宋体" w:eastAsia="宋体" w:cs="宋体"/>
          <w:color w:val="auto"/>
          <w:sz w:val="28"/>
          <w:szCs w:val="28"/>
          <w:highlight w:val="none"/>
          <w:lang w:val="zh-CN" w:eastAsia="zh-CN"/>
        </w:rPr>
        <w:t>、采购清单</w:t>
      </w:r>
      <w:bookmarkEnd w:id="0"/>
    </w:p>
    <w:tbl>
      <w:tblPr>
        <w:tblStyle w:val="6"/>
        <w:tblW w:w="8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
        <w:gridCol w:w="850"/>
        <w:gridCol w:w="2116"/>
        <w:gridCol w:w="784"/>
        <w:gridCol w:w="800"/>
        <w:gridCol w:w="1116"/>
        <w:gridCol w:w="1150"/>
        <w:gridCol w:w="850"/>
        <w:gridCol w:w="688"/>
      </w:tblGrid>
      <w:tr w14:paraId="10C3F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470" w:type="dxa"/>
            <w:tcBorders>
              <w:tl2br w:val="nil"/>
              <w:tr2bl w:val="nil"/>
            </w:tcBorders>
            <w:vAlign w:val="center"/>
          </w:tcPr>
          <w:p w14:paraId="449826D1">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850" w:type="dxa"/>
            <w:tcBorders>
              <w:tl2br w:val="nil"/>
              <w:tr2bl w:val="nil"/>
            </w:tcBorders>
            <w:vAlign w:val="center"/>
          </w:tcPr>
          <w:p w14:paraId="5BDE8CE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w:t>
            </w:r>
          </w:p>
        </w:tc>
        <w:tc>
          <w:tcPr>
            <w:tcW w:w="2116" w:type="dxa"/>
            <w:tcBorders>
              <w:tl2br w:val="nil"/>
              <w:tr2bl w:val="nil"/>
            </w:tcBorders>
            <w:vAlign w:val="center"/>
          </w:tcPr>
          <w:p w14:paraId="0CEFB3E3">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产品名称（标的名称）</w:t>
            </w:r>
          </w:p>
        </w:tc>
        <w:tc>
          <w:tcPr>
            <w:tcW w:w="784" w:type="dxa"/>
            <w:tcBorders>
              <w:tl2br w:val="nil"/>
              <w:tr2bl w:val="nil"/>
            </w:tcBorders>
            <w:vAlign w:val="center"/>
          </w:tcPr>
          <w:p w14:paraId="29258669">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数量</w:t>
            </w:r>
          </w:p>
        </w:tc>
        <w:tc>
          <w:tcPr>
            <w:tcW w:w="800" w:type="dxa"/>
            <w:tcBorders>
              <w:tl2br w:val="nil"/>
              <w:tr2bl w:val="nil"/>
            </w:tcBorders>
            <w:vAlign w:val="center"/>
          </w:tcPr>
          <w:p w14:paraId="174798E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单位</w:t>
            </w:r>
          </w:p>
        </w:tc>
        <w:tc>
          <w:tcPr>
            <w:tcW w:w="1116" w:type="dxa"/>
            <w:tcBorders>
              <w:tl2br w:val="nil"/>
              <w:tr2bl w:val="nil"/>
            </w:tcBorders>
            <w:vAlign w:val="center"/>
          </w:tcPr>
          <w:p w14:paraId="36F24DC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控制单价（万元）</w:t>
            </w:r>
          </w:p>
        </w:tc>
        <w:tc>
          <w:tcPr>
            <w:tcW w:w="1150" w:type="dxa"/>
            <w:tcBorders>
              <w:tl2br w:val="nil"/>
              <w:tr2bl w:val="nil"/>
            </w:tcBorders>
            <w:vAlign w:val="center"/>
          </w:tcPr>
          <w:p w14:paraId="2A5F006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合计限价（万元）</w:t>
            </w:r>
          </w:p>
        </w:tc>
        <w:tc>
          <w:tcPr>
            <w:tcW w:w="850" w:type="dxa"/>
            <w:tcBorders>
              <w:tl2br w:val="nil"/>
              <w:tr2bl w:val="nil"/>
            </w:tcBorders>
            <w:vAlign w:val="center"/>
          </w:tcPr>
          <w:p w14:paraId="0951E825">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包最高限价(万元）</w:t>
            </w:r>
          </w:p>
        </w:tc>
        <w:tc>
          <w:tcPr>
            <w:tcW w:w="688" w:type="dxa"/>
            <w:tcBorders>
              <w:tl2br w:val="nil"/>
              <w:tr2bl w:val="nil"/>
            </w:tcBorders>
            <w:vAlign w:val="center"/>
          </w:tcPr>
          <w:p w14:paraId="41E98523">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6678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70" w:type="dxa"/>
            <w:vMerge w:val="restart"/>
            <w:tcBorders>
              <w:tl2br w:val="nil"/>
              <w:tr2bl w:val="nil"/>
            </w:tcBorders>
            <w:vAlign w:val="center"/>
          </w:tcPr>
          <w:p w14:paraId="61E1C7B2">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850" w:type="dxa"/>
            <w:vMerge w:val="restart"/>
            <w:tcBorders>
              <w:tl2br w:val="nil"/>
              <w:tr2bl w:val="nil"/>
            </w:tcBorders>
            <w:vAlign w:val="center"/>
          </w:tcPr>
          <w:p w14:paraId="748D41EB">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包1</w:t>
            </w:r>
          </w:p>
          <w:p w14:paraId="62891FC1">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泡沫</w:t>
            </w:r>
          </w:p>
        </w:tc>
        <w:tc>
          <w:tcPr>
            <w:tcW w:w="2116" w:type="dxa"/>
            <w:tcBorders>
              <w:tl2br w:val="nil"/>
              <w:tr2bl w:val="nil"/>
            </w:tcBorders>
            <w:shd w:val="clear" w:color="auto" w:fill="auto"/>
            <w:vAlign w:val="center"/>
          </w:tcPr>
          <w:p w14:paraId="27A83D25">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水成膜泡沫</w:t>
            </w:r>
          </w:p>
          <w:p w14:paraId="297BAEA1">
            <w:pPr>
              <w:widowControl w:val="0"/>
              <w:spacing w:line="360" w:lineRule="auto"/>
              <w:jc w:val="center"/>
              <w:rPr>
                <w:rFonts w:hint="default"/>
                <w:lang w:val="en-US" w:eastAsia="zh-CN"/>
              </w:rPr>
            </w:pPr>
            <w:r>
              <w:rPr>
                <w:rFonts w:hint="eastAsia" w:ascii="宋体" w:hAnsi="宋体" w:eastAsia="宋体" w:cs="宋体"/>
                <w:b/>
                <w:bCs/>
                <w:color w:val="auto"/>
                <w:sz w:val="21"/>
                <w:szCs w:val="21"/>
                <w:highlight w:val="none"/>
                <w:vertAlign w:val="baseline"/>
                <w:lang w:val="en-US" w:eastAsia="zh-CN"/>
              </w:rPr>
              <w:t>（核心产品）</w:t>
            </w:r>
          </w:p>
        </w:tc>
        <w:tc>
          <w:tcPr>
            <w:tcW w:w="784" w:type="dxa"/>
            <w:tcBorders>
              <w:tl2br w:val="nil"/>
              <w:tr2bl w:val="nil"/>
            </w:tcBorders>
            <w:shd w:val="clear" w:color="auto" w:fill="auto"/>
            <w:vAlign w:val="center"/>
          </w:tcPr>
          <w:p w14:paraId="1BE1C663">
            <w:pPr>
              <w:keepNext w:val="0"/>
              <w:keepLines w:val="0"/>
              <w:widowControl/>
              <w:suppressLineNumbers w:val="0"/>
              <w:jc w:val="center"/>
              <w:textAlignment w:val="center"/>
              <w:rPr>
                <w:rFonts w:hint="default" w:ascii="宋体" w:hAnsi="宋体" w:eastAsia="宋体" w:cs="宋体"/>
                <w:color w:val="000000"/>
                <w:kern w:val="0"/>
                <w:sz w:val="21"/>
                <w:szCs w:val="21"/>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91</w:t>
            </w:r>
          </w:p>
        </w:tc>
        <w:tc>
          <w:tcPr>
            <w:tcW w:w="800" w:type="dxa"/>
            <w:tcBorders>
              <w:tl2br w:val="nil"/>
              <w:tr2bl w:val="nil"/>
            </w:tcBorders>
            <w:shd w:val="clear" w:color="auto" w:fill="auto"/>
            <w:vAlign w:val="center"/>
          </w:tcPr>
          <w:p w14:paraId="2282C115">
            <w:pPr>
              <w:keepNext w:val="0"/>
              <w:keepLines w:val="0"/>
              <w:widowControl/>
              <w:suppressLineNumbers w:val="0"/>
              <w:jc w:val="center"/>
              <w:textAlignment w:val="center"/>
              <w:rPr>
                <w:rFonts w:hint="default" w:ascii="宋体" w:hAnsi="宋体" w:eastAsia="宋体" w:cs="宋体"/>
                <w:color w:val="000000"/>
                <w:kern w:val="0"/>
                <w:sz w:val="21"/>
                <w:szCs w:val="21"/>
                <w:highlight w:val="none"/>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116" w:type="dxa"/>
            <w:tcBorders>
              <w:tl2br w:val="nil"/>
              <w:tr2bl w:val="nil"/>
            </w:tcBorders>
            <w:shd w:val="clear" w:color="auto" w:fill="auto"/>
            <w:vAlign w:val="center"/>
          </w:tcPr>
          <w:p w14:paraId="3E885689">
            <w:pPr>
              <w:keepNext w:val="0"/>
              <w:keepLines w:val="0"/>
              <w:widowControl/>
              <w:suppressLineNumbers w:val="0"/>
              <w:jc w:val="center"/>
              <w:textAlignment w:val="center"/>
              <w:rPr>
                <w:rFonts w:hint="default"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0.63</w:t>
            </w:r>
          </w:p>
        </w:tc>
        <w:tc>
          <w:tcPr>
            <w:tcW w:w="1150" w:type="dxa"/>
            <w:tcBorders>
              <w:tl2br w:val="nil"/>
              <w:tr2bl w:val="nil"/>
            </w:tcBorders>
            <w:shd w:val="clear" w:color="auto" w:fill="auto"/>
            <w:vAlign w:val="center"/>
          </w:tcPr>
          <w:p w14:paraId="79BCBBF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57.33</w:t>
            </w:r>
          </w:p>
        </w:tc>
        <w:tc>
          <w:tcPr>
            <w:tcW w:w="850" w:type="dxa"/>
            <w:vMerge w:val="restart"/>
            <w:tcBorders>
              <w:tl2br w:val="nil"/>
              <w:tr2bl w:val="nil"/>
            </w:tcBorders>
            <w:vAlign w:val="center"/>
          </w:tcPr>
          <w:p w14:paraId="7784DA7E">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121.33</w:t>
            </w:r>
          </w:p>
        </w:tc>
        <w:tc>
          <w:tcPr>
            <w:tcW w:w="688" w:type="dxa"/>
            <w:tcBorders>
              <w:tl2br w:val="nil"/>
              <w:tr2bl w:val="nil"/>
            </w:tcBorders>
            <w:vAlign w:val="center"/>
          </w:tcPr>
          <w:p w14:paraId="5B15248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B42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70" w:type="dxa"/>
            <w:vMerge w:val="continue"/>
            <w:tcBorders>
              <w:tl2br w:val="nil"/>
              <w:tr2bl w:val="nil"/>
            </w:tcBorders>
            <w:vAlign w:val="center"/>
          </w:tcPr>
          <w:p w14:paraId="5E9AD823">
            <w:pPr>
              <w:widowControl w:val="0"/>
              <w:spacing w:line="360" w:lineRule="auto"/>
              <w:jc w:val="center"/>
            </w:pPr>
          </w:p>
        </w:tc>
        <w:tc>
          <w:tcPr>
            <w:tcW w:w="850" w:type="dxa"/>
            <w:vMerge w:val="continue"/>
            <w:tcBorders>
              <w:tl2br w:val="nil"/>
              <w:tr2bl w:val="nil"/>
            </w:tcBorders>
            <w:vAlign w:val="center"/>
          </w:tcPr>
          <w:p w14:paraId="13595F3F">
            <w:pPr>
              <w:widowControl w:val="0"/>
              <w:spacing w:line="360" w:lineRule="auto"/>
              <w:jc w:val="center"/>
            </w:pPr>
          </w:p>
        </w:tc>
        <w:tc>
          <w:tcPr>
            <w:tcW w:w="2116" w:type="dxa"/>
            <w:tcBorders>
              <w:tl2br w:val="nil"/>
              <w:tr2bl w:val="nil"/>
            </w:tcBorders>
            <w:shd w:val="clear" w:color="auto" w:fill="auto"/>
            <w:vAlign w:val="center"/>
          </w:tcPr>
          <w:p w14:paraId="192D3BB6">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A类泡沫</w:t>
            </w:r>
          </w:p>
        </w:tc>
        <w:tc>
          <w:tcPr>
            <w:tcW w:w="784" w:type="dxa"/>
            <w:tcBorders>
              <w:tl2br w:val="nil"/>
              <w:tr2bl w:val="nil"/>
            </w:tcBorders>
            <w:shd w:val="clear" w:color="auto" w:fill="auto"/>
            <w:vAlign w:val="center"/>
          </w:tcPr>
          <w:p w14:paraId="6C054440">
            <w:pPr>
              <w:keepNext w:val="0"/>
              <w:keepLines w:val="0"/>
              <w:widowControl/>
              <w:suppressLineNumbers w:val="0"/>
              <w:jc w:val="center"/>
              <w:textAlignment w:val="center"/>
              <w:rPr>
                <w:rFonts w:hint="default" w:ascii="宋体" w:hAnsi="宋体" w:eastAsia="宋体" w:cs="宋体"/>
                <w:color w:val="000000"/>
                <w:kern w:val="0"/>
                <w:sz w:val="21"/>
                <w:szCs w:val="21"/>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800" w:type="dxa"/>
            <w:tcBorders>
              <w:tl2br w:val="nil"/>
              <w:tr2bl w:val="nil"/>
            </w:tcBorders>
            <w:shd w:val="clear" w:color="auto" w:fill="auto"/>
            <w:vAlign w:val="center"/>
          </w:tcPr>
          <w:p w14:paraId="7F1BAB4A">
            <w:pPr>
              <w:keepNext w:val="0"/>
              <w:keepLines w:val="0"/>
              <w:widowControl/>
              <w:suppressLineNumbers w:val="0"/>
              <w:jc w:val="center"/>
              <w:textAlignment w:val="center"/>
              <w:rPr>
                <w:rFonts w:hint="default" w:ascii="宋体" w:hAnsi="宋体" w:eastAsia="宋体" w:cs="宋体"/>
                <w:color w:val="000000"/>
                <w:kern w:val="0"/>
                <w:sz w:val="21"/>
                <w:szCs w:val="21"/>
                <w:highlight w:val="none"/>
                <w:u w:val="none"/>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116" w:type="dxa"/>
            <w:tcBorders>
              <w:tl2br w:val="nil"/>
              <w:tr2bl w:val="nil"/>
            </w:tcBorders>
            <w:shd w:val="clear" w:color="auto" w:fill="auto"/>
            <w:vAlign w:val="center"/>
          </w:tcPr>
          <w:p w14:paraId="7B43E981">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w:t>
            </w:r>
          </w:p>
        </w:tc>
        <w:tc>
          <w:tcPr>
            <w:tcW w:w="1150" w:type="dxa"/>
            <w:tcBorders>
              <w:tl2br w:val="nil"/>
              <w:tr2bl w:val="nil"/>
            </w:tcBorders>
            <w:shd w:val="clear" w:color="auto" w:fill="auto"/>
            <w:vAlign w:val="center"/>
          </w:tcPr>
          <w:p w14:paraId="5B106161">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64</w:t>
            </w:r>
          </w:p>
        </w:tc>
        <w:tc>
          <w:tcPr>
            <w:tcW w:w="850" w:type="dxa"/>
            <w:vMerge w:val="continue"/>
            <w:tcBorders>
              <w:tl2br w:val="nil"/>
              <w:tr2bl w:val="nil"/>
            </w:tcBorders>
            <w:vAlign w:val="center"/>
          </w:tcPr>
          <w:p w14:paraId="2DD308E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5339BE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8DC0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restart"/>
            <w:tcBorders>
              <w:tl2br w:val="nil"/>
              <w:tr2bl w:val="nil"/>
            </w:tcBorders>
            <w:vAlign w:val="center"/>
          </w:tcPr>
          <w:p w14:paraId="21794161">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bidi="ar-SA"/>
              </w:rPr>
              <w:t>2</w:t>
            </w:r>
          </w:p>
        </w:tc>
        <w:tc>
          <w:tcPr>
            <w:tcW w:w="850" w:type="dxa"/>
            <w:vMerge w:val="restart"/>
            <w:tcBorders>
              <w:tl2br w:val="nil"/>
              <w:tr2bl w:val="nil"/>
            </w:tcBorders>
            <w:vAlign w:val="center"/>
          </w:tcPr>
          <w:p w14:paraId="7FBCBDBA">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包2</w:t>
            </w:r>
          </w:p>
          <w:p w14:paraId="2FA8B51A">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常规灭火</w:t>
            </w:r>
          </w:p>
        </w:tc>
        <w:tc>
          <w:tcPr>
            <w:tcW w:w="2116" w:type="dxa"/>
            <w:tcBorders>
              <w:tl2br w:val="nil"/>
              <w:tr2bl w:val="nil"/>
            </w:tcBorders>
            <w:shd w:val="clear" w:color="auto" w:fill="auto"/>
            <w:vAlign w:val="center"/>
          </w:tcPr>
          <w:p w14:paraId="747BFCA4">
            <w:pPr>
              <w:keepNext w:val="0"/>
              <w:keepLines w:val="0"/>
              <w:widowControl/>
              <w:suppressLineNumbers w:val="0"/>
              <w:spacing w:line="360" w:lineRule="auto"/>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移动式五合一复合炮</w:t>
            </w:r>
          </w:p>
          <w:p w14:paraId="0994189F">
            <w:pPr>
              <w:keepNext w:val="0"/>
              <w:keepLines w:val="0"/>
              <w:widowControl/>
              <w:suppressLineNumbers w:val="0"/>
              <w:spacing w:line="360" w:lineRule="auto"/>
              <w:jc w:val="center"/>
              <w:textAlignment w:val="auto"/>
              <w:rPr>
                <w:rFonts w:hint="eastAsia"/>
                <w:lang w:val="en-US" w:eastAsia="zh-CN"/>
              </w:rPr>
            </w:pPr>
            <w:r>
              <w:rPr>
                <w:rFonts w:hint="eastAsia" w:ascii="宋体" w:hAnsi="宋体" w:eastAsia="宋体" w:cs="宋体"/>
                <w:b/>
                <w:bCs/>
                <w:color w:val="auto"/>
                <w:sz w:val="21"/>
                <w:szCs w:val="21"/>
                <w:highlight w:val="none"/>
                <w:vertAlign w:val="baseline"/>
                <w:lang w:val="en-US" w:eastAsia="zh-CN"/>
              </w:rPr>
              <w:t>（核心产品）</w:t>
            </w:r>
          </w:p>
        </w:tc>
        <w:tc>
          <w:tcPr>
            <w:tcW w:w="784" w:type="dxa"/>
            <w:tcBorders>
              <w:tl2br w:val="nil"/>
              <w:tr2bl w:val="nil"/>
            </w:tcBorders>
            <w:shd w:val="clear" w:color="auto" w:fill="auto"/>
            <w:vAlign w:val="center"/>
          </w:tcPr>
          <w:p w14:paraId="33B95F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800" w:type="dxa"/>
            <w:tcBorders>
              <w:tl2br w:val="nil"/>
              <w:tr2bl w:val="nil"/>
            </w:tcBorders>
            <w:shd w:val="clear" w:color="auto" w:fill="auto"/>
            <w:vAlign w:val="center"/>
          </w:tcPr>
          <w:p w14:paraId="1EFA74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6" w:type="dxa"/>
            <w:tcBorders>
              <w:tl2br w:val="nil"/>
              <w:tr2bl w:val="nil"/>
            </w:tcBorders>
            <w:shd w:val="clear" w:color="auto" w:fill="auto"/>
            <w:vAlign w:val="center"/>
          </w:tcPr>
          <w:p w14:paraId="1CA29D84">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16.5</w:t>
            </w:r>
          </w:p>
        </w:tc>
        <w:tc>
          <w:tcPr>
            <w:tcW w:w="1150" w:type="dxa"/>
            <w:tcBorders>
              <w:tl2br w:val="nil"/>
              <w:tr2bl w:val="nil"/>
            </w:tcBorders>
            <w:shd w:val="clear" w:color="auto" w:fill="auto"/>
            <w:vAlign w:val="center"/>
          </w:tcPr>
          <w:p w14:paraId="105B33D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82.5</w:t>
            </w:r>
          </w:p>
        </w:tc>
        <w:tc>
          <w:tcPr>
            <w:tcW w:w="850" w:type="dxa"/>
            <w:vMerge w:val="restart"/>
            <w:tcBorders>
              <w:tl2br w:val="nil"/>
              <w:tr2bl w:val="nil"/>
            </w:tcBorders>
            <w:vAlign w:val="center"/>
          </w:tcPr>
          <w:p w14:paraId="518503DB">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284.75</w:t>
            </w:r>
          </w:p>
        </w:tc>
        <w:tc>
          <w:tcPr>
            <w:tcW w:w="688" w:type="dxa"/>
            <w:tcBorders>
              <w:tl2br w:val="nil"/>
              <w:tr2bl w:val="nil"/>
            </w:tcBorders>
            <w:vAlign w:val="center"/>
          </w:tcPr>
          <w:p w14:paraId="56D114E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3D60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70" w:type="dxa"/>
            <w:vMerge w:val="continue"/>
            <w:tcBorders>
              <w:tl2br w:val="nil"/>
              <w:tr2bl w:val="nil"/>
            </w:tcBorders>
            <w:vAlign w:val="center"/>
          </w:tcPr>
          <w:p w14:paraId="6E14637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046EEA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644204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直流水枪</w:t>
            </w:r>
          </w:p>
        </w:tc>
        <w:tc>
          <w:tcPr>
            <w:tcW w:w="784" w:type="dxa"/>
            <w:tcBorders>
              <w:tl2br w:val="nil"/>
              <w:tr2bl w:val="nil"/>
            </w:tcBorders>
            <w:shd w:val="clear" w:color="auto" w:fill="auto"/>
            <w:vAlign w:val="center"/>
          </w:tcPr>
          <w:p w14:paraId="3D0EE4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800" w:type="dxa"/>
            <w:tcBorders>
              <w:tl2br w:val="nil"/>
              <w:tr2bl w:val="nil"/>
            </w:tcBorders>
            <w:shd w:val="clear" w:color="auto" w:fill="auto"/>
            <w:vAlign w:val="center"/>
          </w:tcPr>
          <w:p w14:paraId="04817A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196AE90D">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0.03</w:t>
            </w:r>
          </w:p>
        </w:tc>
        <w:tc>
          <w:tcPr>
            <w:tcW w:w="1150" w:type="dxa"/>
            <w:tcBorders>
              <w:tl2br w:val="nil"/>
              <w:tr2bl w:val="nil"/>
            </w:tcBorders>
            <w:shd w:val="clear" w:color="auto" w:fill="auto"/>
            <w:vAlign w:val="center"/>
          </w:tcPr>
          <w:p w14:paraId="182015E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0.9</w:t>
            </w:r>
          </w:p>
        </w:tc>
        <w:tc>
          <w:tcPr>
            <w:tcW w:w="850" w:type="dxa"/>
            <w:vMerge w:val="continue"/>
            <w:tcBorders>
              <w:tl2br w:val="nil"/>
              <w:tr2bl w:val="nil"/>
            </w:tcBorders>
            <w:vAlign w:val="center"/>
          </w:tcPr>
          <w:p w14:paraId="7C8AAFE3">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53E7916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855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470" w:type="dxa"/>
            <w:vMerge w:val="continue"/>
            <w:tcBorders>
              <w:tl2br w:val="nil"/>
              <w:tr2bl w:val="nil"/>
            </w:tcBorders>
            <w:vAlign w:val="center"/>
          </w:tcPr>
          <w:p w14:paraId="66F8508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4C0153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F07711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三分水器</w:t>
            </w:r>
          </w:p>
        </w:tc>
        <w:tc>
          <w:tcPr>
            <w:tcW w:w="784" w:type="dxa"/>
            <w:tcBorders>
              <w:tl2br w:val="nil"/>
              <w:tr2bl w:val="nil"/>
            </w:tcBorders>
            <w:shd w:val="clear" w:color="auto" w:fill="auto"/>
            <w:vAlign w:val="center"/>
          </w:tcPr>
          <w:p w14:paraId="65912A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800" w:type="dxa"/>
            <w:tcBorders>
              <w:tl2br w:val="nil"/>
              <w:tr2bl w:val="nil"/>
            </w:tcBorders>
            <w:shd w:val="clear" w:color="auto" w:fill="auto"/>
            <w:vAlign w:val="center"/>
          </w:tcPr>
          <w:p w14:paraId="52726C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4AAA42CF">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0.094</w:t>
            </w:r>
          </w:p>
        </w:tc>
        <w:tc>
          <w:tcPr>
            <w:tcW w:w="1150" w:type="dxa"/>
            <w:tcBorders>
              <w:tl2br w:val="nil"/>
              <w:tr2bl w:val="nil"/>
            </w:tcBorders>
            <w:shd w:val="clear" w:color="auto" w:fill="auto"/>
            <w:vAlign w:val="center"/>
          </w:tcPr>
          <w:p w14:paraId="6AF0F4A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0.658</w:t>
            </w:r>
          </w:p>
        </w:tc>
        <w:tc>
          <w:tcPr>
            <w:tcW w:w="850" w:type="dxa"/>
            <w:vMerge w:val="continue"/>
            <w:tcBorders>
              <w:tl2br w:val="nil"/>
              <w:tr2bl w:val="nil"/>
            </w:tcBorders>
            <w:vAlign w:val="center"/>
          </w:tcPr>
          <w:p w14:paraId="4661D848">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119F9B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5BA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627AF7E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E184BA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21AAAA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二分水器</w:t>
            </w:r>
          </w:p>
        </w:tc>
        <w:tc>
          <w:tcPr>
            <w:tcW w:w="784" w:type="dxa"/>
            <w:tcBorders>
              <w:tl2br w:val="nil"/>
              <w:tr2bl w:val="nil"/>
            </w:tcBorders>
            <w:shd w:val="clear" w:color="auto" w:fill="auto"/>
            <w:vAlign w:val="center"/>
          </w:tcPr>
          <w:p w14:paraId="60867F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800" w:type="dxa"/>
            <w:tcBorders>
              <w:tl2br w:val="nil"/>
              <w:tr2bl w:val="nil"/>
            </w:tcBorders>
            <w:shd w:val="clear" w:color="auto" w:fill="auto"/>
            <w:vAlign w:val="center"/>
          </w:tcPr>
          <w:p w14:paraId="792708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75C02AC">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0.045</w:t>
            </w:r>
          </w:p>
        </w:tc>
        <w:tc>
          <w:tcPr>
            <w:tcW w:w="1150" w:type="dxa"/>
            <w:tcBorders>
              <w:tl2br w:val="nil"/>
              <w:tr2bl w:val="nil"/>
            </w:tcBorders>
            <w:shd w:val="clear" w:color="auto" w:fill="auto"/>
            <w:vAlign w:val="center"/>
          </w:tcPr>
          <w:p w14:paraId="28D7572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0.315</w:t>
            </w:r>
          </w:p>
        </w:tc>
        <w:tc>
          <w:tcPr>
            <w:tcW w:w="850" w:type="dxa"/>
            <w:vMerge w:val="continue"/>
            <w:tcBorders>
              <w:tl2br w:val="nil"/>
              <w:tr2bl w:val="nil"/>
            </w:tcBorders>
            <w:vAlign w:val="center"/>
          </w:tcPr>
          <w:p w14:paraId="4DB8067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3A6E069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C680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0" w:type="dxa"/>
            <w:vMerge w:val="continue"/>
            <w:tcBorders>
              <w:tl2br w:val="nil"/>
              <w:tr2bl w:val="nil"/>
            </w:tcBorders>
            <w:vAlign w:val="center"/>
          </w:tcPr>
          <w:p w14:paraId="394F18B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F1161B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00AB14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止水器</w:t>
            </w:r>
          </w:p>
        </w:tc>
        <w:tc>
          <w:tcPr>
            <w:tcW w:w="784" w:type="dxa"/>
            <w:tcBorders>
              <w:tl2br w:val="nil"/>
              <w:tr2bl w:val="nil"/>
            </w:tcBorders>
            <w:shd w:val="clear" w:color="auto" w:fill="auto"/>
            <w:vAlign w:val="center"/>
          </w:tcPr>
          <w:p w14:paraId="7082DF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800" w:type="dxa"/>
            <w:tcBorders>
              <w:tl2br w:val="nil"/>
              <w:tr2bl w:val="nil"/>
            </w:tcBorders>
            <w:shd w:val="clear" w:color="auto" w:fill="auto"/>
            <w:vAlign w:val="center"/>
          </w:tcPr>
          <w:p w14:paraId="4D6342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06B267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0.049</w:t>
            </w:r>
          </w:p>
        </w:tc>
        <w:tc>
          <w:tcPr>
            <w:tcW w:w="1150" w:type="dxa"/>
            <w:tcBorders>
              <w:tl2br w:val="nil"/>
              <w:tr2bl w:val="nil"/>
            </w:tcBorders>
            <w:shd w:val="clear" w:color="auto" w:fill="auto"/>
            <w:vAlign w:val="center"/>
          </w:tcPr>
          <w:p w14:paraId="25A75BD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0.245</w:t>
            </w:r>
          </w:p>
        </w:tc>
        <w:tc>
          <w:tcPr>
            <w:tcW w:w="850" w:type="dxa"/>
            <w:vMerge w:val="continue"/>
            <w:tcBorders>
              <w:tl2br w:val="nil"/>
              <w:tr2bl w:val="nil"/>
            </w:tcBorders>
            <w:vAlign w:val="center"/>
          </w:tcPr>
          <w:p w14:paraId="5FFD212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2BFACC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092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4BD07AF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485A82F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E51CAB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泡沫钩管</w:t>
            </w:r>
          </w:p>
        </w:tc>
        <w:tc>
          <w:tcPr>
            <w:tcW w:w="784" w:type="dxa"/>
            <w:tcBorders>
              <w:tl2br w:val="nil"/>
              <w:tr2bl w:val="nil"/>
            </w:tcBorders>
            <w:shd w:val="clear" w:color="auto" w:fill="auto"/>
            <w:vAlign w:val="center"/>
          </w:tcPr>
          <w:p w14:paraId="64D854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800" w:type="dxa"/>
            <w:tcBorders>
              <w:tl2br w:val="nil"/>
              <w:tr2bl w:val="nil"/>
            </w:tcBorders>
            <w:shd w:val="clear" w:color="auto" w:fill="auto"/>
            <w:vAlign w:val="center"/>
          </w:tcPr>
          <w:p w14:paraId="042D95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737D6761">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0.1967</w:t>
            </w:r>
          </w:p>
        </w:tc>
        <w:tc>
          <w:tcPr>
            <w:tcW w:w="1150" w:type="dxa"/>
            <w:tcBorders>
              <w:tl2br w:val="nil"/>
              <w:tr2bl w:val="nil"/>
            </w:tcBorders>
            <w:shd w:val="clear" w:color="auto" w:fill="auto"/>
            <w:vAlign w:val="center"/>
          </w:tcPr>
          <w:p w14:paraId="3BD04E2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0.1967</w:t>
            </w:r>
          </w:p>
        </w:tc>
        <w:tc>
          <w:tcPr>
            <w:tcW w:w="850" w:type="dxa"/>
            <w:vMerge w:val="continue"/>
            <w:tcBorders>
              <w:tl2br w:val="nil"/>
              <w:tr2bl w:val="nil"/>
            </w:tcBorders>
            <w:vAlign w:val="center"/>
          </w:tcPr>
          <w:p w14:paraId="5A8292C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D59489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37C9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70" w:type="dxa"/>
            <w:vMerge w:val="continue"/>
            <w:tcBorders>
              <w:tl2br w:val="nil"/>
              <w:tr2bl w:val="nil"/>
            </w:tcBorders>
            <w:vAlign w:val="center"/>
          </w:tcPr>
          <w:p w14:paraId="66B1A06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BE92F8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434E367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多功能消防水枪</w:t>
            </w:r>
          </w:p>
        </w:tc>
        <w:tc>
          <w:tcPr>
            <w:tcW w:w="784" w:type="dxa"/>
            <w:tcBorders>
              <w:tl2br w:val="nil"/>
              <w:tr2bl w:val="nil"/>
            </w:tcBorders>
            <w:shd w:val="clear" w:color="auto" w:fill="auto"/>
            <w:vAlign w:val="center"/>
          </w:tcPr>
          <w:p w14:paraId="668BA8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800" w:type="dxa"/>
            <w:tcBorders>
              <w:tl2br w:val="nil"/>
              <w:tr2bl w:val="nil"/>
            </w:tcBorders>
            <w:shd w:val="clear" w:color="auto" w:fill="auto"/>
            <w:vAlign w:val="center"/>
          </w:tcPr>
          <w:p w14:paraId="0791E6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1116" w:type="dxa"/>
            <w:tcBorders>
              <w:tl2br w:val="nil"/>
              <w:tr2bl w:val="nil"/>
            </w:tcBorders>
            <w:shd w:val="clear" w:color="auto" w:fill="auto"/>
            <w:vAlign w:val="center"/>
          </w:tcPr>
          <w:p w14:paraId="15FC7169">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0.085</w:t>
            </w:r>
          </w:p>
        </w:tc>
        <w:tc>
          <w:tcPr>
            <w:tcW w:w="1150" w:type="dxa"/>
            <w:tcBorders>
              <w:tl2br w:val="nil"/>
              <w:tr2bl w:val="nil"/>
            </w:tcBorders>
            <w:shd w:val="clear" w:color="auto" w:fill="auto"/>
            <w:vAlign w:val="center"/>
          </w:tcPr>
          <w:p w14:paraId="0B0691B0">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3.23</w:t>
            </w:r>
          </w:p>
        </w:tc>
        <w:tc>
          <w:tcPr>
            <w:tcW w:w="850" w:type="dxa"/>
            <w:vMerge w:val="continue"/>
            <w:tcBorders>
              <w:tl2br w:val="nil"/>
              <w:tr2bl w:val="nil"/>
            </w:tcBorders>
            <w:vAlign w:val="center"/>
          </w:tcPr>
          <w:p w14:paraId="685E4F2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17A0811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808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0" w:type="dxa"/>
            <w:vMerge w:val="continue"/>
            <w:tcBorders>
              <w:tl2br w:val="nil"/>
              <w:tr2bl w:val="nil"/>
            </w:tcBorders>
            <w:vAlign w:val="center"/>
          </w:tcPr>
          <w:p w14:paraId="22C15E2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C8D6AA6">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6926355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穿刺式破拆水枪</w:t>
            </w:r>
          </w:p>
        </w:tc>
        <w:tc>
          <w:tcPr>
            <w:tcW w:w="784" w:type="dxa"/>
            <w:tcBorders>
              <w:tl2br w:val="nil"/>
              <w:tr2bl w:val="nil"/>
            </w:tcBorders>
            <w:shd w:val="clear" w:color="auto" w:fill="auto"/>
            <w:vAlign w:val="center"/>
          </w:tcPr>
          <w:p w14:paraId="796468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07F869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1116" w:type="dxa"/>
            <w:tcBorders>
              <w:tl2br w:val="nil"/>
              <w:tr2bl w:val="nil"/>
            </w:tcBorders>
            <w:shd w:val="clear" w:color="auto" w:fill="auto"/>
            <w:vAlign w:val="center"/>
          </w:tcPr>
          <w:p w14:paraId="62EBB5E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0.15</w:t>
            </w:r>
          </w:p>
        </w:tc>
        <w:tc>
          <w:tcPr>
            <w:tcW w:w="1150" w:type="dxa"/>
            <w:tcBorders>
              <w:tl2br w:val="nil"/>
              <w:tr2bl w:val="nil"/>
            </w:tcBorders>
            <w:shd w:val="clear" w:color="auto" w:fill="auto"/>
            <w:vAlign w:val="center"/>
          </w:tcPr>
          <w:p w14:paraId="22F4010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0.45</w:t>
            </w:r>
          </w:p>
        </w:tc>
        <w:tc>
          <w:tcPr>
            <w:tcW w:w="850" w:type="dxa"/>
            <w:vMerge w:val="continue"/>
            <w:tcBorders>
              <w:tl2br w:val="nil"/>
              <w:tr2bl w:val="nil"/>
            </w:tcBorders>
            <w:vAlign w:val="center"/>
          </w:tcPr>
          <w:p w14:paraId="6A97F6F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BF31F5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26A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470" w:type="dxa"/>
            <w:vMerge w:val="continue"/>
            <w:tcBorders>
              <w:tl2br w:val="nil"/>
              <w:tr2bl w:val="nil"/>
            </w:tcBorders>
            <w:vAlign w:val="center"/>
          </w:tcPr>
          <w:p w14:paraId="0419E62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C04C55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6A703A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移动式消防炮</w:t>
            </w:r>
          </w:p>
        </w:tc>
        <w:tc>
          <w:tcPr>
            <w:tcW w:w="784" w:type="dxa"/>
            <w:tcBorders>
              <w:tl2br w:val="nil"/>
              <w:tr2bl w:val="nil"/>
            </w:tcBorders>
            <w:shd w:val="clear" w:color="auto" w:fill="auto"/>
            <w:vAlign w:val="center"/>
          </w:tcPr>
          <w:p w14:paraId="1FCFD3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800" w:type="dxa"/>
            <w:tcBorders>
              <w:tl2br w:val="nil"/>
              <w:tr2bl w:val="nil"/>
            </w:tcBorders>
            <w:shd w:val="clear" w:color="auto" w:fill="auto"/>
            <w:vAlign w:val="center"/>
          </w:tcPr>
          <w:p w14:paraId="4594F3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w:t>
            </w:r>
          </w:p>
        </w:tc>
        <w:tc>
          <w:tcPr>
            <w:tcW w:w="1116" w:type="dxa"/>
            <w:tcBorders>
              <w:tl2br w:val="nil"/>
              <w:tr2bl w:val="nil"/>
            </w:tcBorders>
            <w:shd w:val="clear" w:color="auto" w:fill="auto"/>
            <w:vAlign w:val="center"/>
          </w:tcPr>
          <w:p w14:paraId="2C26993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2.4</w:t>
            </w:r>
          </w:p>
        </w:tc>
        <w:tc>
          <w:tcPr>
            <w:tcW w:w="1150" w:type="dxa"/>
            <w:tcBorders>
              <w:tl2br w:val="nil"/>
              <w:tr2bl w:val="nil"/>
            </w:tcBorders>
            <w:shd w:val="clear" w:color="auto" w:fill="auto"/>
            <w:vAlign w:val="center"/>
          </w:tcPr>
          <w:p w14:paraId="7922A52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4.8</w:t>
            </w:r>
          </w:p>
        </w:tc>
        <w:tc>
          <w:tcPr>
            <w:tcW w:w="850" w:type="dxa"/>
            <w:vMerge w:val="continue"/>
            <w:tcBorders>
              <w:tl2br w:val="nil"/>
              <w:tr2bl w:val="nil"/>
            </w:tcBorders>
            <w:vAlign w:val="center"/>
          </w:tcPr>
          <w:p w14:paraId="3A8CC03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2C4BDF8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6103C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470" w:type="dxa"/>
            <w:vMerge w:val="continue"/>
            <w:tcBorders>
              <w:tl2br w:val="nil"/>
              <w:tr2bl w:val="nil"/>
            </w:tcBorders>
            <w:vAlign w:val="center"/>
          </w:tcPr>
          <w:p w14:paraId="79BC8C85">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10E7AB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079C9D9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高倍数泡沫发生器</w:t>
            </w:r>
          </w:p>
        </w:tc>
        <w:tc>
          <w:tcPr>
            <w:tcW w:w="784" w:type="dxa"/>
            <w:tcBorders>
              <w:tl2br w:val="nil"/>
              <w:tr2bl w:val="nil"/>
            </w:tcBorders>
            <w:shd w:val="clear" w:color="auto" w:fill="auto"/>
            <w:vAlign w:val="center"/>
          </w:tcPr>
          <w:p w14:paraId="6BB882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5BB485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w:t>
            </w:r>
          </w:p>
        </w:tc>
        <w:tc>
          <w:tcPr>
            <w:tcW w:w="1116" w:type="dxa"/>
            <w:tcBorders>
              <w:tl2br w:val="nil"/>
              <w:tr2bl w:val="nil"/>
            </w:tcBorders>
            <w:shd w:val="clear" w:color="auto" w:fill="auto"/>
            <w:vAlign w:val="center"/>
          </w:tcPr>
          <w:p w14:paraId="541107D6">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0.53</w:t>
            </w:r>
          </w:p>
        </w:tc>
        <w:tc>
          <w:tcPr>
            <w:tcW w:w="1150" w:type="dxa"/>
            <w:tcBorders>
              <w:tl2br w:val="nil"/>
              <w:tr2bl w:val="nil"/>
            </w:tcBorders>
            <w:shd w:val="clear" w:color="auto" w:fill="auto"/>
            <w:vAlign w:val="center"/>
          </w:tcPr>
          <w:p w14:paraId="25B6EE3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1.59</w:t>
            </w:r>
          </w:p>
        </w:tc>
        <w:tc>
          <w:tcPr>
            <w:tcW w:w="850" w:type="dxa"/>
            <w:vMerge w:val="continue"/>
            <w:tcBorders>
              <w:tl2br w:val="nil"/>
              <w:tr2bl w:val="nil"/>
            </w:tcBorders>
            <w:vAlign w:val="center"/>
          </w:tcPr>
          <w:p w14:paraId="75D8E8D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A0EC72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305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470" w:type="dxa"/>
            <w:vMerge w:val="continue"/>
            <w:tcBorders>
              <w:tl2br w:val="nil"/>
              <w:tr2bl w:val="nil"/>
            </w:tcBorders>
            <w:vAlign w:val="center"/>
          </w:tcPr>
          <w:p w14:paraId="0A5C828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2556C25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3948C694">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移动式排烟机</w:t>
            </w:r>
          </w:p>
        </w:tc>
        <w:tc>
          <w:tcPr>
            <w:tcW w:w="784" w:type="dxa"/>
            <w:tcBorders>
              <w:tl2br w:val="nil"/>
              <w:tr2bl w:val="nil"/>
            </w:tcBorders>
            <w:shd w:val="clear" w:color="auto" w:fill="auto"/>
            <w:vAlign w:val="center"/>
          </w:tcPr>
          <w:p w14:paraId="773268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1B0967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6" w:type="dxa"/>
            <w:tcBorders>
              <w:tl2br w:val="nil"/>
              <w:tr2bl w:val="nil"/>
            </w:tcBorders>
            <w:shd w:val="clear" w:color="auto" w:fill="auto"/>
            <w:vAlign w:val="center"/>
          </w:tcPr>
          <w:p w14:paraId="433353E5">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1.5</w:t>
            </w:r>
          </w:p>
        </w:tc>
        <w:tc>
          <w:tcPr>
            <w:tcW w:w="1150" w:type="dxa"/>
            <w:tcBorders>
              <w:tl2br w:val="nil"/>
              <w:tr2bl w:val="nil"/>
            </w:tcBorders>
            <w:shd w:val="clear" w:color="auto" w:fill="auto"/>
            <w:vAlign w:val="center"/>
          </w:tcPr>
          <w:p w14:paraId="0CE03448">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4.5</w:t>
            </w:r>
          </w:p>
        </w:tc>
        <w:tc>
          <w:tcPr>
            <w:tcW w:w="850" w:type="dxa"/>
            <w:vMerge w:val="continue"/>
            <w:tcBorders>
              <w:tl2br w:val="nil"/>
              <w:tr2bl w:val="nil"/>
            </w:tcBorders>
            <w:vAlign w:val="center"/>
          </w:tcPr>
          <w:p w14:paraId="15BC90A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C9AB8A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8E5B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1942B91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CC88BE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05DF03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浮艇泵</w:t>
            </w:r>
          </w:p>
        </w:tc>
        <w:tc>
          <w:tcPr>
            <w:tcW w:w="784" w:type="dxa"/>
            <w:tcBorders>
              <w:tl2br w:val="nil"/>
              <w:tr2bl w:val="nil"/>
            </w:tcBorders>
            <w:shd w:val="clear" w:color="auto" w:fill="auto"/>
            <w:vAlign w:val="center"/>
          </w:tcPr>
          <w:p w14:paraId="249DD1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800" w:type="dxa"/>
            <w:tcBorders>
              <w:tl2br w:val="nil"/>
              <w:tr2bl w:val="nil"/>
            </w:tcBorders>
            <w:shd w:val="clear" w:color="auto" w:fill="auto"/>
            <w:vAlign w:val="center"/>
          </w:tcPr>
          <w:p w14:paraId="215E7D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6" w:type="dxa"/>
            <w:tcBorders>
              <w:tl2br w:val="nil"/>
              <w:tr2bl w:val="nil"/>
            </w:tcBorders>
            <w:shd w:val="clear" w:color="auto" w:fill="auto"/>
            <w:vAlign w:val="center"/>
          </w:tcPr>
          <w:p w14:paraId="5766BFC5">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1.6</w:t>
            </w:r>
          </w:p>
        </w:tc>
        <w:tc>
          <w:tcPr>
            <w:tcW w:w="1150" w:type="dxa"/>
            <w:tcBorders>
              <w:tl2br w:val="nil"/>
              <w:tr2bl w:val="nil"/>
            </w:tcBorders>
            <w:shd w:val="clear" w:color="auto" w:fill="auto"/>
            <w:vAlign w:val="center"/>
          </w:tcPr>
          <w:p w14:paraId="4246B9CC">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3.2</w:t>
            </w:r>
          </w:p>
        </w:tc>
        <w:tc>
          <w:tcPr>
            <w:tcW w:w="850" w:type="dxa"/>
            <w:vMerge w:val="continue"/>
            <w:tcBorders>
              <w:tl2br w:val="nil"/>
              <w:tr2bl w:val="nil"/>
            </w:tcBorders>
            <w:vAlign w:val="center"/>
          </w:tcPr>
          <w:p w14:paraId="3D03188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6B68FF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33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470" w:type="dxa"/>
            <w:vMerge w:val="continue"/>
            <w:tcBorders>
              <w:tl2br w:val="nil"/>
              <w:tr2bl w:val="nil"/>
            </w:tcBorders>
            <w:vAlign w:val="center"/>
          </w:tcPr>
          <w:p w14:paraId="1B52BD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27E1DF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07BB8E8E">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移动水囊</w:t>
            </w:r>
          </w:p>
        </w:tc>
        <w:tc>
          <w:tcPr>
            <w:tcW w:w="784" w:type="dxa"/>
            <w:tcBorders>
              <w:tl2br w:val="nil"/>
              <w:tr2bl w:val="nil"/>
            </w:tcBorders>
            <w:shd w:val="clear" w:color="auto" w:fill="auto"/>
            <w:vAlign w:val="center"/>
          </w:tcPr>
          <w:p w14:paraId="57B2B3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800" w:type="dxa"/>
            <w:tcBorders>
              <w:tl2br w:val="nil"/>
              <w:tr2bl w:val="nil"/>
            </w:tcBorders>
            <w:shd w:val="clear" w:color="auto" w:fill="auto"/>
            <w:vAlign w:val="center"/>
          </w:tcPr>
          <w:p w14:paraId="020FB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6" w:type="dxa"/>
            <w:tcBorders>
              <w:tl2br w:val="nil"/>
              <w:tr2bl w:val="nil"/>
            </w:tcBorders>
            <w:shd w:val="clear" w:color="auto" w:fill="auto"/>
            <w:vAlign w:val="center"/>
          </w:tcPr>
          <w:p w14:paraId="34C4F290">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1.7977</w:t>
            </w:r>
          </w:p>
        </w:tc>
        <w:tc>
          <w:tcPr>
            <w:tcW w:w="1150" w:type="dxa"/>
            <w:tcBorders>
              <w:tl2br w:val="nil"/>
              <w:tr2bl w:val="nil"/>
            </w:tcBorders>
            <w:shd w:val="clear" w:color="auto" w:fill="auto"/>
            <w:vAlign w:val="center"/>
          </w:tcPr>
          <w:p w14:paraId="01BE3C0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1.7977</w:t>
            </w:r>
          </w:p>
        </w:tc>
        <w:tc>
          <w:tcPr>
            <w:tcW w:w="850" w:type="dxa"/>
            <w:vMerge w:val="continue"/>
            <w:tcBorders>
              <w:tl2br w:val="nil"/>
              <w:tr2bl w:val="nil"/>
            </w:tcBorders>
            <w:vAlign w:val="center"/>
          </w:tcPr>
          <w:p w14:paraId="0F90078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45EDFD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DB2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jc w:val="center"/>
        </w:trPr>
        <w:tc>
          <w:tcPr>
            <w:tcW w:w="470" w:type="dxa"/>
            <w:vMerge w:val="continue"/>
            <w:tcBorders>
              <w:tl2br w:val="nil"/>
              <w:tr2bl w:val="nil"/>
            </w:tcBorders>
            <w:vAlign w:val="center"/>
          </w:tcPr>
          <w:p w14:paraId="64B2F10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0380026">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0D6242C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手抬机动泵</w:t>
            </w:r>
          </w:p>
        </w:tc>
        <w:tc>
          <w:tcPr>
            <w:tcW w:w="784" w:type="dxa"/>
            <w:tcBorders>
              <w:tl2br w:val="nil"/>
              <w:tr2bl w:val="nil"/>
            </w:tcBorders>
            <w:shd w:val="clear" w:color="auto" w:fill="auto"/>
            <w:vAlign w:val="center"/>
          </w:tcPr>
          <w:p w14:paraId="5F1B4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800" w:type="dxa"/>
            <w:tcBorders>
              <w:tl2br w:val="nil"/>
              <w:tr2bl w:val="nil"/>
            </w:tcBorders>
            <w:shd w:val="clear" w:color="auto" w:fill="auto"/>
            <w:vAlign w:val="center"/>
          </w:tcPr>
          <w:p w14:paraId="332AF2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1116" w:type="dxa"/>
            <w:tcBorders>
              <w:tl2br w:val="nil"/>
              <w:tr2bl w:val="nil"/>
            </w:tcBorders>
            <w:shd w:val="clear" w:color="auto" w:fill="auto"/>
            <w:vAlign w:val="center"/>
          </w:tcPr>
          <w:p w14:paraId="3C8A7862">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6.6</w:t>
            </w:r>
          </w:p>
        </w:tc>
        <w:tc>
          <w:tcPr>
            <w:tcW w:w="1150" w:type="dxa"/>
            <w:tcBorders>
              <w:tl2br w:val="nil"/>
              <w:tr2bl w:val="nil"/>
            </w:tcBorders>
            <w:shd w:val="clear" w:color="auto" w:fill="auto"/>
            <w:vAlign w:val="center"/>
          </w:tcPr>
          <w:p w14:paraId="233E196B">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19.8</w:t>
            </w:r>
          </w:p>
        </w:tc>
        <w:tc>
          <w:tcPr>
            <w:tcW w:w="850" w:type="dxa"/>
            <w:vMerge w:val="continue"/>
            <w:tcBorders>
              <w:tl2br w:val="nil"/>
              <w:tr2bl w:val="nil"/>
            </w:tcBorders>
            <w:vAlign w:val="center"/>
          </w:tcPr>
          <w:p w14:paraId="5D30E8F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228FB82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1A8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540D615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4DA2761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256A1F75">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消防员隔热防护服</w:t>
            </w:r>
          </w:p>
        </w:tc>
        <w:tc>
          <w:tcPr>
            <w:tcW w:w="784" w:type="dxa"/>
            <w:tcBorders>
              <w:tl2br w:val="nil"/>
              <w:tr2bl w:val="nil"/>
            </w:tcBorders>
            <w:shd w:val="clear" w:color="auto" w:fill="auto"/>
            <w:vAlign w:val="center"/>
          </w:tcPr>
          <w:p w14:paraId="7F7DA0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800" w:type="dxa"/>
            <w:tcBorders>
              <w:tl2br w:val="nil"/>
              <w:tr2bl w:val="nil"/>
            </w:tcBorders>
            <w:shd w:val="clear" w:color="auto" w:fill="auto"/>
            <w:vAlign w:val="center"/>
          </w:tcPr>
          <w:p w14:paraId="1D2B5B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6C4136D">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0.25</w:t>
            </w:r>
          </w:p>
        </w:tc>
        <w:tc>
          <w:tcPr>
            <w:tcW w:w="1150" w:type="dxa"/>
            <w:tcBorders>
              <w:tl2br w:val="nil"/>
              <w:tr2bl w:val="nil"/>
            </w:tcBorders>
            <w:shd w:val="clear" w:color="auto" w:fill="auto"/>
            <w:vAlign w:val="center"/>
          </w:tcPr>
          <w:p w14:paraId="36F23359">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4.75</w:t>
            </w:r>
          </w:p>
        </w:tc>
        <w:tc>
          <w:tcPr>
            <w:tcW w:w="850" w:type="dxa"/>
            <w:vMerge w:val="continue"/>
            <w:tcBorders>
              <w:tl2br w:val="nil"/>
              <w:tr2bl w:val="nil"/>
            </w:tcBorders>
            <w:vAlign w:val="center"/>
          </w:tcPr>
          <w:p w14:paraId="7BEE550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8088EE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F34B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1D31C52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BFBB11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32A2075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过滤式消防自救呼吸器</w:t>
            </w:r>
          </w:p>
        </w:tc>
        <w:tc>
          <w:tcPr>
            <w:tcW w:w="784" w:type="dxa"/>
            <w:tcBorders>
              <w:tl2br w:val="nil"/>
              <w:tr2bl w:val="nil"/>
            </w:tcBorders>
            <w:shd w:val="clear" w:color="auto" w:fill="auto"/>
            <w:vAlign w:val="center"/>
          </w:tcPr>
          <w:p w14:paraId="5CB742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800" w:type="dxa"/>
            <w:tcBorders>
              <w:tl2br w:val="nil"/>
              <w:tr2bl w:val="nil"/>
            </w:tcBorders>
            <w:shd w:val="clear" w:color="auto" w:fill="auto"/>
            <w:vAlign w:val="center"/>
          </w:tcPr>
          <w:p w14:paraId="58D52F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795C55A9">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0.005</w:t>
            </w:r>
          </w:p>
        </w:tc>
        <w:tc>
          <w:tcPr>
            <w:tcW w:w="1150" w:type="dxa"/>
            <w:tcBorders>
              <w:tl2br w:val="nil"/>
              <w:tr2bl w:val="nil"/>
            </w:tcBorders>
            <w:shd w:val="clear" w:color="auto" w:fill="auto"/>
            <w:vAlign w:val="center"/>
          </w:tcPr>
          <w:p w14:paraId="40ACD5CD">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w:t>
            </w:r>
          </w:p>
        </w:tc>
        <w:tc>
          <w:tcPr>
            <w:tcW w:w="850" w:type="dxa"/>
            <w:vMerge w:val="continue"/>
            <w:tcBorders>
              <w:tl2br w:val="nil"/>
              <w:tr2bl w:val="nil"/>
            </w:tcBorders>
            <w:vAlign w:val="center"/>
          </w:tcPr>
          <w:p w14:paraId="02D6DF1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F85707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52E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0" w:type="dxa"/>
            <w:vMerge w:val="continue"/>
            <w:tcBorders>
              <w:tl2br w:val="nil"/>
              <w:tr2bl w:val="nil"/>
            </w:tcBorders>
            <w:vAlign w:val="center"/>
          </w:tcPr>
          <w:p w14:paraId="2C0BBD8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801D3D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549A83C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消防过滤式综合防毒面具</w:t>
            </w:r>
          </w:p>
        </w:tc>
        <w:tc>
          <w:tcPr>
            <w:tcW w:w="784" w:type="dxa"/>
            <w:tcBorders>
              <w:tl2br w:val="nil"/>
              <w:tr2bl w:val="nil"/>
            </w:tcBorders>
            <w:shd w:val="clear" w:color="auto" w:fill="auto"/>
            <w:vAlign w:val="center"/>
          </w:tcPr>
          <w:p w14:paraId="772212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800" w:type="dxa"/>
            <w:tcBorders>
              <w:tl2br w:val="nil"/>
              <w:tr2bl w:val="nil"/>
            </w:tcBorders>
            <w:shd w:val="clear" w:color="auto" w:fill="auto"/>
            <w:vAlign w:val="center"/>
          </w:tcPr>
          <w:p w14:paraId="664F81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25B2AFAE">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0.044</w:t>
            </w:r>
          </w:p>
        </w:tc>
        <w:tc>
          <w:tcPr>
            <w:tcW w:w="1150" w:type="dxa"/>
            <w:tcBorders>
              <w:tl2br w:val="nil"/>
              <w:tr2bl w:val="nil"/>
            </w:tcBorders>
            <w:shd w:val="clear" w:color="auto" w:fill="auto"/>
            <w:vAlign w:val="center"/>
          </w:tcPr>
          <w:p w14:paraId="52B2C31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1.1</w:t>
            </w:r>
          </w:p>
        </w:tc>
        <w:tc>
          <w:tcPr>
            <w:tcW w:w="850" w:type="dxa"/>
            <w:vMerge w:val="continue"/>
            <w:tcBorders>
              <w:tl2br w:val="nil"/>
              <w:tr2bl w:val="nil"/>
            </w:tcBorders>
            <w:vAlign w:val="center"/>
          </w:tcPr>
          <w:p w14:paraId="6C4DBDD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4DE000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93E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470" w:type="dxa"/>
            <w:vMerge w:val="continue"/>
            <w:tcBorders>
              <w:tl2br w:val="nil"/>
              <w:tr2bl w:val="nil"/>
            </w:tcBorders>
            <w:vAlign w:val="center"/>
          </w:tcPr>
          <w:p w14:paraId="7BD179D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2DF39C5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E2E0FC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灭火毯</w:t>
            </w:r>
          </w:p>
        </w:tc>
        <w:tc>
          <w:tcPr>
            <w:tcW w:w="784" w:type="dxa"/>
            <w:tcBorders>
              <w:tl2br w:val="nil"/>
              <w:tr2bl w:val="nil"/>
            </w:tcBorders>
            <w:shd w:val="clear" w:color="auto" w:fill="auto"/>
            <w:vAlign w:val="center"/>
          </w:tcPr>
          <w:p w14:paraId="270CAA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800" w:type="dxa"/>
            <w:tcBorders>
              <w:tl2br w:val="nil"/>
              <w:tr2bl w:val="nil"/>
            </w:tcBorders>
            <w:shd w:val="clear" w:color="auto" w:fill="auto"/>
            <w:vAlign w:val="center"/>
          </w:tcPr>
          <w:p w14:paraId="1C69D6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22E81077">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0.01</w:t>
            </w:r>
          </w:p>
        </w:tc>
        <w:tc>
          <w:tcPr>
            <w:tcW w:w="1150" w:type="dxa"/>
            <w:tcBorders>
              <w:tl2br w:val="nil"/>
              <w:tr2bl w:val="nil"/>
            </w:tcBorders>
            <w:shd w:val="clear" w:color="auto" w:fill="auto"/>
            <w:vAlign w:val="center"/>
          </w:tcPr>
          <w:p w14:paraId="73BA9EC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w:t>
            </w:r>
          </w:p>
        </w:tc>
        <w:tc>
          <w:tcPr>
            <w:tcW w:w="850" w:type="dxa"/>
            <w:vMerge w:val="continue"/>
            <w:tcBorders>
              <w:tl2br w:val="nil"/>
              <w:tr2bl w:val="nil"/>
            </w:tcBorders>
            <w:vAlign w:val="center"/>
          </w:tcPr>
          <w:p w14:paraId="1804507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55B6F1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5A5E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7EBE187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B406CD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5F5B294B">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灭火毯（大型）</w:t>
            </w:r>
          </w:p>
        </w:tc>
        <w:tc>
          <w:tcPr>
            <w:tcW w:w="784" w:type="dxa"/>
            <w:tcBorders>
              <w:tl2br w:val="nil"/>
              <w:tr2bl w:val="nil"/>
            </w:tcBorders>
            <w:shd w:val="clear" w:color="auto" w:fill="auto"/>
            <w:vAlign w:val="center"/>
          </w:tcPr>
          <w:p w14:paraId="2C2F8C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800" w:type="dxa"/>
            <w:tcBorders>
              <w:tl2br w:val="nil"/>
              <w:tr2bl w:val="nil"/>
            </w:tcBorders>
            <w:shd w:val="clear" w:color="auto" w:fill="auto"/>
            <w:vAlign w:val="center"/>
          </w:tcPr>
          <w:p w14:paraId="4C6676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6" w:type="dxa"/>
            <w:tcBorders>
              <w:tl2br w:val="nil"/>
              <w:tr2bl w:val="nil"/>
            </w:tcBorders>
            <w:shd w:val="clear" w:color="auto" w:fill="auto"/>
            <w:vAlign w:val="center"/>
          </w:tcPr>
          <w:p w14:paraId="431CA6B7">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0.35</w:t>
            </w:r>
          </w:p>
        </w:tc>
        <w:tc>
          <w:tcPr>
            <w:tcW w:w="1150" w:type="dxa"/>
            <w:tcBorders>
              <w:tl2br w:val="nil"/>
              <w:tr2bl w:val="nil"/>
            </w:tcBorders>
            <w:shd w:val="clear" w:color="auto" w:fill="auto"/>
            <w:vAlign w:val="center"/>
          </w:tcPr>
          <w:p w14:paraId="3FBF45CA">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0.7</w:t>
            </w:r>
          </w:p>
        </w:tc>
        <w:tc>
          <w:tcPr>
            <w:tcW w:w="850" w:type="dxa"/>
            <w:vMerge w:val="continue"/>
            <w:tcBorders>
              <w:tl2br w:val="nil"/>
              <w:tr2bl w:val="nil"/>
            </w:tcBorders>
            <w:vAlign w:val="center"/>
          </w:tcPr>
          <w:p w14:paraId="0812B86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320388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2AD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6EFFA34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7B88FA7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3E6DFB2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80水带（25型）</w:t>
            </w:r>
          </w:p>
        </w:tc>
        <w:tc>
          <w:tcPr>
            <w:tcW w:w="784" w:type="dxa"/>
            <w:tcBorders>
              <w:tl2br w:val="nil"/>
              <w:tr2bl w:val="nil"/>
            </w:tcBorders>
            <w:shd w:val="clear" w:color="auto" w:fill="auto"/>
            <w:vAlign w:val="center"/>
          </w:tcPr>
          <w:p w14:paraId="03FDDD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610</w:t>
            </w:r>
          </w:p>
        </w:tc>
        <w:tc>
          <w:tcPr>
            <w:tcW w:w="800" w:type="dxa"/>
            <w:tcBorders>
              <w:tl2br w:val="nil"/>
              <w:tr2bl w:val="nil"/>
            </w:tcBorders>
            <w:shd w:val="clear" w:color="auto" w:fill="auto"/>
            <w:vAlign w:val="center"/>
          </w:tcPr>
          <w:p w14:paraId="79352D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617D950B">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0.05</w:t>
            </w:r>
          </w:p>
        </w:tc>
        <w:tc>
          <w:tcPr>
            <w:tcW w:w="1150" w:type="dxa"/>
            <w:tcBorders>
              <w:tl2br w:val="nil"/>
              <w:tr2bl w:val="nil"/>
            </w:tcBorders>
            <w:shd w:val="clear" w:color="auto" w:fill="auto"/>
            <w:vAlign w:val="center"/>
          </w:tcPr>
          <w:p w14:paraId="30208C07">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30.5</w:t>
            </w:r>
          </w:p>
        </w:tc>
        <w:tc>
          <w:tcPr>
            <w:tcW w:w="850" w:type="dxa"/>
            <w:vMerge w:val="continue"/>
            <w:tcBorders>
              <w:tl2br w:val="nil"/>
              <w:tr2bl w:val="nil"/>
            </w:tcBorders>
            <w:vAlign w:val="center"/>
          </w:tcPr>
          <w:p w14:paraId="7E382CE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052B92E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842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5205B14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7E483B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1AB81E1">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80水带（20型）</w:t>
            </w:r>
          </w:p>
        </w:tc>
        <w:tc>
          <w:tcPr>
            <w:tcW w:w="784" w:type="dxa"/>
            <w:tcBorders>
              <w:tl2br w:val="nil"/>
              <w:tr2bl w:val="nil"/>
            </w:tcBorders>
            <w:shd w:val="clear" w:color="auto" w:fill="auto"/>
            <w:vAlign w:val="center"/>
          </w:tcPr>
          <w:p w14:paraId="25E8A2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660</w:t>
            </w:r>
          </w:p>
        </w:tc>
        <w:tc>
          <w:tcPr>
            <w:tcW w:w="800" w:type="dxa"/>
            <w:tcBorders>
              <w:tl2br w:val="nil"/>
              <w:tr2bl w:val="nil"/>
            </w:tcBorders>
            <w:shd w:val="clear" w:color="auto" w:fill="auto"/>
            <w:vAlign w:val="center"/>
          </w:tcPr>
          <w:p w14:paraId="2011FD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58D192AF">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w:t>
            </w:r>
          </w:p>
        </w:tc>
        <w:tc>
          <w:tcPr>
            <w:tcW w:w="1150" w:type="dxa"/>
            <w:tcBorders>
              <w:tl2br w:val="nil"/>
              <w:tr2bl w:val="nil"/>
            </w:tcBorders>
            <w:shd w:val="clear" w:color="auto" w:fill="auto"/>
            <w:vAlign w:val="center"/>
          </w:tcPr>
          <w:p w14:paraId="51A8A3B1">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26.4</w:t>
            </w:r>
          </w:p>
        </w:tc>
        <w:tc>
          <w:tcPr>
            <w:tcW w:w="850" w:type="dxa"/>
            <w:vMerge w:val="continue"/>
            <w:tcBorders>
              <w:tl2br w:val="nil"/>
              <w:tr2bl w:val="nil"/>
            </w:tcBorders>
            <w:vAlign w:val="center"/>
          </w:tcPr>
          <w:p w14:paraId="2090B01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1032AE3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29E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70" w:type="dxa"/>
            <w:vMerge w:val="continue"/>
            <w:tcBorders>
              <w:tl2br w:val="nil"/>
              <w:tr2bl w:val="nil"/>
            </w:tcBorders>
            <w:vAlign w:val="center"/>
          </w:tcPr>
          <w:p w14:paraId="6C97FD1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608F127D">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2CF4D92">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65水带（25型）</w:t>
            </w:r>
          </w:p>
        </w:tc>
        <w:tc>
          <w:tcPr>
            <w:tcW w:w="784" w:type="dxa"/>
            <w:tcBorders>
              <w:tl2br w:val="nil"/>
              <w:tr2bl w:val="nil"/>
            </w:tcBorders>
            <w:shd w:val="clear" w:color="auto" w:fill="auto"/>
            <w:vAlign w:val="center"/>
          </w:tcPr>
          <w:p w14:paraId="5C9530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720</w:t>
            </w:r>
          </w:p>
        </w:tc>
        <w:tc>
          <w:tcPr>
            <w:tcW w:w="800" w:type="dxa"/>
            <w:tcBorders>
              <w:tl2br w:val="nil"/>
              <w:tr2bl w:val="nil"/>
            </w:tcBorders>
            <w:shd w:val="clear" w:color="auto" w:fill="auto"/>
            <w:vAlign w:val="center"/>
          </w:tcPr>
          <w:p w14:paraId="28B80C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1CC3CEA0">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0.04</w:t>
            </w:r>
          </w:p>
        </w:tc>
        <w:tc>
          <w:tcPr>
            <w:tcW w:w="1150" w:type="dxa"/>
            <w:tcBorders>
              <w:tl2br w:val="nil"/>
              <w:tr2bl w:val="nil"/>
            </w:tcBorders>
            <w:shd w:val="clear" w:color="auto" w:fill="auto"/>
            <w:vAlign w:val="center"/>
          </w:tcPr>
          <w:p w14:paraId="55785B6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28.8</w:t>
            </w:r>
          </w:p>
        </w:tc>
        <w:tc>
          <w:tcPr>
            <w:tcW w:w="850" w:type="dxa"/>
            <w:vMerge w:val="continue"/>
            <w:tcBorders>
              <w:tl2br w:val="nil"/>
              <w:tr2bl w:val="nil"/>
            </w:tcBorders>
            <w:vAlign w:val="center"/>
          </w:tcPr>
          <w:p w14:paraId="0C294442">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43B6B79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A8C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70" w:type="dxa"/>
            <w:vMerge w:val="continue"/>
            <w:tcBorders>
              <w:tl2br w:val="nil"/>
              <w:tr2bl w:val="nil"/>
            </w:tcBorders>
            <w:vAlign w:val="center"/>
          </w:tcPr>
          <w:p w14:paraId="3C89B15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2451BA9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1BE4C9E7">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65水带（20型）</w:t>
            </w:r>
          </w:p>
        </w:tc>
        <w:tc>
          <w:tcPr>
            <w:tcW w:w="784" w:type="dxa"/>
            <w:tcBorders>
              <w:tl2br w:val="nil"/>
              <w:tr2bl w:val="nil"/>
            </w:tcBorders>
            <w:shd w:val="clear" w:color="auto" w:fill="auto"/>
            <w:vAlign w:val="center"/>
          </w:tcPr>
          <w:p w14:paraId="199CD2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600</w:t>
            </w:r>
          </w:p>
        </w:tc>
        <w:tc>
          <w:tcPr>
            <w:tcW w:w="800" w:type="dxa"/>
            <w:tcBorders>
              <w:tl2br w:val="nil"/>
              <w:tr2bl w:val="nil"/>
            </w:tcBorders>
            <w:shd w:val="clear" w:color="auto" w:fill="auto"/>
            <w:vAlign w:val="center"/>
          </w:tcPr>
          <w:p w14:paraId="437179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72D28283">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0.035</w:t>
            </w:r>
          </w:p>
        </w:tc>
        <w:tc>
          <w:tcPr>
            <w:tcW w:w="1150" w:type="dxa"/>
            <w:tcBorders>
              <w:tl2br w:val="nil"/>
              <w:tr2bl w:val="nil"/>
            </w:tcBorders>
            <w:shd w:val="clear" w:color="auto" w:fill="auto"/>
            <w:vAlign w:val="center"/>
          </w:tcPr>
          <w:p w14:paraId="52DDCFB3">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21</w:t>
            </w:r>
          </w:p>
        </w:tc>
        <w:tc>
          <w:tcPr>
            <w:tcW w:w="850" w:type="dxa"/>
            <w:vMerge w:val="continue"/>
            <w:tcBorders>
              <w:tl2br w:val="nil"/>
              <w:tr2bl w:val="nil"/>
            </w:tcBorders>
            <w:vAlign w:val="center"/>
          </w:tcPr>
          <w:p w14:paraId="758147C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3EC0E80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BC8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70" w:type="dxa"/>
            <w:vMerge w:val="continue"/>
            <w:tcBorders>
              <w:tl2br w:val="nil"/>
              <w:tr2bl w:val="nil"/>
            </w:tcBorders>
            <w:vAlign w:val="center"/>
          </w:tcPr>
          <w:p w14:paraId="1951E93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0B7AAC9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4D2DAD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25-80-20轻质水带</w:t>
            </w:r>
          </w:p>
        </w:tc>
        <w:tc>
          <w:tcPr>
            <w:tcW w:w="784" w:type="dxa"/>
            <w:tcBorders>
              <w:tl2br w:val="nil"/>
              <w:tr2bl w:val="nil"/>
            </w:tcBorders>
            <w:shd w:val="clear" w:color="auto" w:fill="auto"/>
            <w:vAlign w:val="center"/>
          </w:tcPr>
          <w:p w14:paraId="232B28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800" w:type="dxa"/>
            <w:tcBorders>
              <w:tl2br w:val="nil"/>
              <w:tr2bl w:val="nil"/>
            </w:tcBorders>
            <w:shd w:val="clear" w:color="auto" w:fill="auto"/>
            <w:vAlign w:val="center"/>
          </w:tcPr>
          <w:p w14:paraId="600DB8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56070FFB">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w:t>
            </w:r>
          </w:p>
        </w:tc>
        <w:tc>
          <w:tcPr>
            <w:tcW w:w="1150" w:type="dxa"/>
            <w:tcBorders>
              <w:tl2br w:val="nil"/>
              <w:tr2bl w:val="nil"/>
            </w:tcBorders>
            <w:shd w:val="clear" w:color="auto" w:fill="auto"/>
            <w:vAlign w:val="center"/>
          </w:tcPr>
          <w:p w14:paraId="78865554">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25</w:t>
            </w:r>
          </w:p>
        </w:tc>
        <w:tc>
          <w:tcPr>
            <w:tcW w:w="850" w:type="dxa"/>
            <w:vMerge w:val="continue"/>
            <w:tcBorders>
              <w:tl2br w:val="nil"/>
              <w:tr2bl w:val="nil"/>
            </w:tcBorders>
            <w:vAlign w:val="center"/>
          </w:tcPr>
          <w:p w14:paraId="55B6DE4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537421C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2BC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470" w:type="dxa"/>
            <w:vMerge w:val="continue"/>
            <w:tcBorders>
              <w:tl2br w:val="nil"/>
              <w:tr2bl w:val="nil"/>
            </w:tcBorders>
            <w:vAlign w:val="center"/>
          </w:tcPr>
          <w:p w14:paraId="3197A66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51CBC4F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ACFF04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25-65-20轻质水带</w:t>
            </w:r>
          </w:p>
        </w:tc>
        <w:tc>
          <w:tcPr>
            <w:tcW w:w="784" w:type="dxa"/>
            <w:tcBorders>
              <w:tl2br w:val="nil"/>
              <w:tr2bl w:val="nil"/>
            </w:tcBorders>
            <w:shd w:val="clear" w:color="auto" w:fill="auto"/>
            <w:vAlign w:val="center"/>
          </w:tcPr>
          <w:p w14:paraId="3DB416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250</w:t>
            </w:r>
          </w:p>
        </w:tc>
        <w:tc>
          <w:tcPr>
            <w:tcW w:w="800" w:type="dxa"/>
            <w:tcBorders>
              <w:tl2br w:val="nil"/>
              <w:tr2bl w:val="nil"/>
            </w:tcBorders>
            <w:shd w:val="clear" w:color="auto" w:fill="auto"/>
            <w:vAlign w:val="center"/>
          </w:tcPr>
          <w:p w14:paraId="0FFBF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盘</w:t>
            </w:r>
          </w:p>
        </w:tc>
        <w:tc>
          <w:tcPr>
            <w:tcW w:w="1116" w:type="dxa"/>
            <w:tcBorders>
              <w:tl2br w:val="nil"/>
              <w:tr2bl w:val="nil"/>
            </w:tcBorders>
            <w:shd w:val="clear" w:color="auto" w:fill="auto"/>
            <w:vAlign w:val="center"/>
          </w:tcPr>
          <w:p w14:paraId="62441DEB">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0.08</w:t>
            </w:r>
          </w:p>
        </w:tc>
        <w:tc>
          <w:tcPr>
            <w:tcW w:w="1150" w:type="dxa"/>
            <w:tcBorders>
              <w:tl2br w:val="nil"/>
              <w:tr2bl w:val="nil"/>
            </w:tcBorders>
            <w:shd w:val="clear" w:color="auto" w:fill="auto"/>
            <w:vAlign w:val="center"/>
          </w:tcPr>
          <w:p w14:paraId="70A726A1">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20</w:t>
            </w:r>
          </w:p>
        </w:tc>
        <w:tc>
          <w:tcPr>
            <w:tcW w:w="850" w:type="dxa"/>
            <w:vMerge w:val="continue"/>
            <w:tcBorders>
              <w:tl2br w:val="nil"/>
              <w:tr2bl w:val="nil"/>
            </w:tcBorders>
            <w:vAlign w:val="center"/>
          </w:tcPr>
          <w:p w14:paraId="602C4CF3">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6B1BAE5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13A4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470" w:type="dxa"/>
            <w:vMerge w:val="continue"/>
            <w:tcBorders>
              <w:tl2br w:val="nil"/>
              <w:tr2bl w:val="nil"/>
            </w:tcBorders>
            <w:vAlign w:val="center"/>
          </w:tcPr>
          <w:p w14:paraId="17ECC49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319EFBE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3E2BED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65快速公口转40卡口（森林泵专用）</w:t>
            </w:r>
          </w:p>
        </w:tc>
        <w:tc>
          <w:tcPr>
            <w:tcW w:w="784" w:type="dxa"/>
            <w:tcBorders>
              <w:tl2br w:val="nil"/>
              <w:tr2bl w:val="nil"/>
            </w:tcBorders>
            <w:shd w:val="clear" w:color="auto" w:fill="auto"/>
            <w:vAlign w:val="center"/>
          </w:tcPr>
          <w:p w14:paraId="5B9394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800" w:type="dxa"/>
            <w:tcBorders>
              <w:tl2br w:val="nil"/>
              <w:tr2bl w:val="nil"/>
            </w:tcBorders>
            <w:shd w:val="clear" w:color="auto" w:fill="auto"/>
            <w:vAlign w:val="center"/>
          </w:tcPr>
          <w:p w14:paraId="542A25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5BB3B7F0">
            <w:pPr>
              <w:keepNext w:val="0"/>
              <w:keepLines w:val="0"/>
              <w:widowControl/>
              <w:suppressLineNumbers w:val="0"/>
              <w:jc w:val="center"/>
              <w:textAlignment w:val="center"/>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0.022</w:t>
            </w:r>
          </w:p>
        </w:tc>
        <w:tc>
          <w:tcPr>
            <w:tcW w:w="1150" w:type="dxa"/>
            <w:tcBorders>
              <w:tl2br w:val="nil"/>
              <w:tr2bl w:val="nil"/>
            </w:tcBorders>
            <w:shd w:val="clear" w:color="auto" w:fill="auto"/>
            <w:vAlign w:val="center"/>
          </w:tcPr>
          <w:p w14:paraId="13D827EB">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0.132</w:t>
            </w:r>
          </w:p>
        </w:tc>
        <w:tc>
          <w:tcPr>
            <w:tcW w:w="850" w:type="dxa"/>
            <w:vMerge w:val="continue"/>
            <w:tcBorders>
              <w:tl2br w:val="nil"/>
              <w:tr2bl w:val="nil"/>
            </w:tcBorders>
            <w:vAlign w:val="center"/>
          </w:tcPr>
          <w:p w14:paraId="346CFAB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265D752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6495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70" w:type="dxa"/>
            <w:vMerge w:val="continue"/>
            <w:tcBorders>
              <w:tl2br w:val="nil"/>
              <w:tr2bl w:val="nil"/>
            </w:tcBorders>
            <w:vAlign w:val="center"/>
          </w:tcPr>
          <w:p w14:paraId="3E0C479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vAlign w:val="center"/>
          </w:tcPr>
          <w:p w14:paraId="6625FBA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116" w:type="dxa"/>
            <w:tcBorders>
              <w:tl2br w:val="nil"/>
              <w:tr2bl w:val="nil"/>
            </w:tcBorders>
            <w:shd w:val="clear" w:color="auto" w:fill="auto"/>
            <w:vAlign w:val="center"/>
          </w:tcPr>
          <w:p w14:paraId="7C0FC84C">
            <w:pPr>
              <w:keepNext w:val="0"/>
              <w:keepLines w:val="0"/>
              <w:widowControl/>
              <w:suppressLineNumbers w:val="0"/>
              <w:spacing w:line="360" w:lineRule="auto"/>
              <w:jc w:val="center"/>
              <w:textAlignment w:val="auto"/>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异形接口</w:t>
            </w:r>
          </w:p>
        </w:tc>
        <w:tc>
          <w:tcPr>
            <w:tcW w:w="784" w:type="dxa"/>
            <w:tcBorders>
              <w:tl2br w:val="nil"/>
              <w:tr2bl w:val="nil"/>
            </w:tcBorders>
            <w:shd w:val="clear" w:color="auto" w:fill="auto"/>
            <w:vAlign w:val="center"/>
          </w:tcPr>
          <w:p w14:paraId="3C5A8E31">
            <w:pPr>
              <w:keepNext w:val="0"/>
              <w:keepLines w:val="0"/>
              <w:widowControl/>
              <w:suppressLineNumbers w:val="0"/>
              <w:jc w:val="center"/>
              <w:textAlignment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146</w:t>
            </w:r>
          </w:p>
        </w:tc>
        <w:tc>
          <w:tcPr>
            <w:tcW w:w="800" w:type="dxa"/>
            <w:tcBorders>
              <w:tl2br w:val="nil"/>
              <w:tr2bl w:val="nil"/>
            </w:tcBorders>
            <w:shd w:val="clear" w:color="auto" w:fill="auto"/>
            <w:vAlign w:val="center"/>
          </w:tcPr>
          <w:p w14:paraId="40567085">
            <w:pPr>
              <w:keepNext w:val="0"/>
              <w:keepLines w:val="0"/>
              <w:widowControl/>
              <w:suppressLineNumbers w:val="0"/>
              <w:spacing w:line="240" w:lineRule="auto"/>
              <w:jc w:val="center"/>
              <w:textAlignment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件</w:t>
            </w:r>
          </w:p>
        </w:tc>
        <w:tc>
          <w:tcPr>
            <w:tcW w:w="1116" w:type="dxa"/>
            <w:tcBorders>
              <w:tl2br w:val="nil"/>
              <w:tr2bl w:val="nil"/>
            </w:tcBorders>
            <w:shd w:val="clear" w:color="auto" w:fill="auto"/>
            <w:vAlign w:val="center"/>
          </w:tcPr>
          <w:p w14:paraId="47D8BFBC">
            <w:pPr>
              <w:keepNext w:val="0"/>
              <w:keepLines w:val="0"/>
              <w:widowControl/>
              <w:suppressLineNumbers w:val="0"/>
              <w:jc w:val="center"/>
              <w:textAlignment w:val="center"/>
              <w:rPr>
                <w:rFonts w:hint="default"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0.0136</w:t>
            </w:r>
          </w:p>
        </w:tc>
        <w:tc>
          <w:tcPr>
            <w:tcW w:w="1150" w:type="dxa"/>
            <w:tcBorders>
              <w:tl2br w:val="nil"/>
              <w:tr2bl w:val="nil"/>
            </w:tcBorders>
            <w:shd w:val="clear" w:color="auto" w:fill="auto"/>
            <w:vAlign w:val="center"/>
          </w:tcPr>
          <w:p w14:paraId="1FFF20BF">
            <w:pPr>
              <w:keepNext w:val="0"/>
              <w:keepLines w:val="0"/>
              <w:widowControl/>
              <w:suppressLineNumbers w:val="0"/>
              <w:jc w:val="center"/>
              <w:textAlignment w:val="center"/>
              <w:rPr>
                <w:rFonts w:hint="eastAsia" w:ascii="宋体" w:hAnsi="宋体" w:eastAsia="宋体" w:cs="宋体"/>
                <w:i w:val="0"/>
                <w:iCs w:val="0"/>
                <w:color w:val="auto"/>
                <w:kern w:val="2"/>
                <w:sz w:val="21"/>
                <w:szCs w:val="21"/>
                <w:highlight w:val="none"/>
                <w:u w:val="none"/>
                <w:lang w:val="en-US" w:eastAsia="zh-CN" w:bidi="ar-SA"/>
              </w:rPr>
            </w:pPr>
            <w:r>
              <w:rPr>
                <w:rFonts w:hint="eastAsia" w:ascii="宋体" w:hAnsi="宋体" w:eastAsia="宋体" w:cs="宋体"/>
                <w:i w:val="0"/>
                <w:iCs w:val="0"/>
                <w:color w:val="auto"/>
                <w:kern w:val="2"/>
                <w:sz w:val="21"/>
                <w:szCs w:val="21"/>
                <w:highlight w:val="none"/>
                <w:u w:val="none"/>
                <w:lang w:val="en-US" w:eastAsia="zh-CN" w:bidi="ar-SA"/>
              </w:rPr>
              <w:t>1.9856</w:t>
            </w:r>
          </w:p>
        </w:tc>
        <w:tc>
          <w:tcPr>
            <w:tcW w:w="850" w:type="dxa"/>
            <w:vMerge w:val="continue"/>
            <w:tcBorders>
              <w:tl2br w:val="nil"/>
              <w:tr2bl w:val="nil"/>
            </w:tcBorders>
            <w:vAlign w:val="center"/>
          </w:tcPr>
          <w:p w14:paraId="39A9A3B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88" w:type="dxa"/>
            <w:tcBorders>
              <w:tl2br w:val="nil"/>
              <w:tr2bl w:val="nil"/>
            </w:tcBorders>
            <w:vAlign w:val="center"/>
          </w:tcPr>
          <w:p w14:paraId="7D6D1AB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bl>
    <w:p w14:paraId="24B21CBC">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cs="宋体"/>
          <w:color w:val="auto"/>
          <w:highlight w:val="none"/>
          <w:lang w:val="en-US" w:eastAsia="zh-CN"/>
        </w:rPr>
      </w:pPr>
    </w:p>
    <w:p w14:paraId="0C0C13B0">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二</w:t>
      </w:r>
      <w:r>
        <w:rPr>
          <w:rFonts w:hint="eastAsia" w:ascii="宋体" w:hAnsi="宋体" w:eastAsia="宋体" w:cs="宋体"/>
          <w:color w:val="auto"/>
          <w:sz w:val="28"/>
          <w:szCs w:val="28"/>
          <w:highlight w:val="none"/>
          <w:lang w:val="zh-CN" w:eastAsia="zh-CN"/>
        </w:rPr>
        <w:t>、技术参数要求</w:t>
      </w:r>
    </w:p>
    <w:tbl>
      <w:tblPr>
        <w:tblStyle w:val="6"/>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686"/>
        <w:gridCol w:w="1244"/>
        <w:gridCol w:w="1537"/>
        <w:gridCol w:w="5034"/>
      </w:tblGrid>
      <w:tr w14:paraId="1683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dxa"/>
            <w:vAlign w:val="center"/>
          </w:tcPr>
          <w:p w14:paraId="55879F2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686" w:type="dxa"/>
            <w:vAlign w:val="center"/>
          </w:tcPr>
          <w:p w14:paraId="006DA8E4">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包件号</w:t>
            </w:r>
          </w:p>
        </w:tc>
        <w:tc>
          <w:tcPr>
            <w:tcW w:w="1244" w:type="dxa"/>
            <w:vAlign w:val="center"/>
          </w:tcPr>
          <w:p w14:paraId="39C74F2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包件名称</w:t>
            </w:r>
          </w:p>
        </w:tc>
        <w:tc>
          <w:tcPr>
            <w:tcW w:w="1537" w:type="dxa"/>
            <w:vAlign w:val="center"/>
          </w:tcPr>
          <w:p w14:paraId="3CC1162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装备名称（标的名称）</w:t>
            </w:r>
          </w:p>
        </w:tc>
        <w:tc>
          <w:tcPr>
            <w:tcW w:w="5034" w:type="dxa"/>
            <w:vAlign w:val="center"/>
          </w:tcPr>
          <w:p w14:paraId="2028F01F">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技术参数要求</w:t>
            </w:r>
          </w:p>
        </w:tc>
      </w:tr>
      <w:tr w14:paraId="025B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shd w:val="clear" w:color="auto" w:fill="auto"/>
            <w:vAlign w:val="center"/>
          </w:tcPr>
          <w:p w14:paraId="58B64A4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w:t>
            </w:r>
          </w:p>
        </w:tc>
        <w:tc>
          <w:tcPr>
            <w:tcW w:w="686" w:type="dxa"/>
            <w:shd w:val="clear" w:color="auto" w:fill="auto"/>
            <w:vAlign w:val="center"/>
          </w:tcPr>
          <w:p w14:paraId="439E303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shd w:val="clear" w:color="auto" w:fill="auto"/>
            <w:vAlign w:val="center"/>
          </w:tcPr>
          <w:p w14:paraId="7C6E3536">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泡沫</w:t>
            </w:r>
          </w:p>
        </w:tc>
        <w:tc>
          <w:tcPr>
            <w:tcW w:w="1537" w:type="dxa"/>
            <w:shd w:val="clear" w:color="auto" w:fill="auto"/>
            <w:vAlign w:val="center"/>
          </w:tcPr>
          <w:p w14:paraId="19C0C006">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
              </w:rPr>
              <w:t>水成膜泡沫</w:t>
            </w:r>
          </w:p>
        </w:tc>
        <w:tc>
          <w:tcPr>
            <w:tcW w:w="5034" w:type="dxa"/>
            <w:shd w:val="clear" w:color="auto" w:fill="auto"/>
            <w:vAlign w:val="center"/>
          </w:tcPr>
          <w:p w14:paraId="23EE5A5D">
            <w:pPr>
              <w:keepNext w:val="0"/>
              <w:keepLines w:val="0"/>
              <w:widowControl/>
              <w:suppressLineNumbers w:val="0"/>
              <w:spacing w:line="360" w:lineRule="auto"/>
              <w:jc w:val="both"/>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★1.符合《泡沫灭火剂》（GB 15308-2006）标准要求。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▲2.凝固点（温度处理前）：≤-15℃。（提供带CMA标识的第三方检验检测机构出具的型式试验检验报告佐证。）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★3.抗冻结、融化性能：符合温度处理前、后无可见分层和非均相。</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★4.比流动性：符合温度处理前、后泡沫液的黏度值不大于标准参比液的黏度值。</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5.pH值：温度处理前：6.0-9.0；温度处理后：6.5-9.0。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6.表面张力/(mN/m)：温度处理前≤17。</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7.界面张力/(mN/m)：温度处理前≤2.5。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8.扩散系数/(mN/m)：温度处理前：≥6；温度处理后：≥6.5。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▲9.腐蚀率/[mg/(d</w:t>
            </w:r>
            <w:r>
              <w:rPr>
                <w:rFonts w:hint="default"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dm2)]：温度处理前：Q235A钢片：≤4.6；温度处理前：3A21铝片：≤0.5。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▲9.发泡倍数：温度处理前、后适用于淡水：≥7.0。（提供带CMA标识的第三方检验检测机构出具的型式试验检验报告佐证。）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10.25%析液时间/min：温度处理前、后：≥4。</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★10.IA级别灭火时间：温度处理前、后：≤3min。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11.IA级别抗烧时间：温度处理前、后：≥11min。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★12.混合比：6%。</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★13.供货时，每桶须按照25kg容量进行装置和存储。</w:t>
            </w:r>
          </w:p>
        </w:tc>
      </w:tr>
      <w:tr w14:paraId="2AB5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shd w:val="clear" w:color="auto" w:fill="auto"/>
            <w:vAlign w:val="center"/>
          </w:tcPr>
          <w:p w14:paraId="37411FE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w:t>
            </w:r>
          </w:p>
        </w:tc>
        <w:tc>
          <w:tcPr>
            <w:tcW w:w="686" w:type="dxa"/>
            <w:shd w:val="clear" w:color="auto" w:fill="auto"/>
            <w:vAlign w:val="center"/>
          </w:tcPr>
          <w:p w14:paraId="088A6B1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shd w:val="clear" w:color="auto" w:fill="auto"/>
            <w:vAlign w:val="center"/>
          </w:tcPr>
          <w:p w14:paraId="53383B2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泡沫</w:t>
            </w:r>
          </w:p>
        </w:tc>
        <w:tc>
          <w:tcPr>
            <w:tcW w:w="1537" w:type="dxa"/>
            <w:shd w:val="clear" w:color="auto" w:fill="auto"/>
            <w:vAlign w:val="center"/>
          </w:tcPr>
          <w:p w14:paraId="3811091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auto"/>
                <w:kern w:val="2"/>
                <w:sz w:val="21"/>
                <w:szCs w:val="21"/>
                <w:highlight w:val="none"/>
                <w:u w:val="none"/>
                <w:lang w:val="en-US" w:eastAsia="zh-CN" w:bidi="ar"/>
              </w:rPr>
              <w:t>A类泡沫</w:t>
            </w:r>
          </w:p>
        </w:tc>
        <w:tc>
          <w:tcPr>
            <w:tcW w:w="5034" w:type="dxa"/>
            <w:shd w:val="clear" w:color="auto" w:fill="auto"/>
            <w:vAlign w:val="center"/>
          </w:tcPr>
          <w:p w14:paraId="5679E7F6">
            <w:pPr>
              <w:keepNext w:val="0"/>
              <w:keepLines w:val="0"/>
              <w:widowControl/>
              <w:suppressLineNumbers w:val="0"/>
              <w:spacing w:line="360" w:lineRule="auto"/>
              <w:jc w:val="both"/>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★1.符合《A类泡沫灭火剂》（GB 27897-2011）标准要求。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▲2.凝固点（温度处理前）：≤-15℃。（提供带CMA标识的第三方检验检测机构出具的型式试验检验报告佐证。）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★3.抗冻结、融化性能：符合温度处理前、后无可见分层和非均相。</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★4.比流动性：符合泡沫液流量不小于标准参比液的流量或泡沫液的黏度值不大于标准参比液的黏度值。</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5.pH值：温度处理前：7.0-9.0 ；温度处理后：7.0-9.0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6.表面张力/(mN/m)：温度处理前，在混合比为1.0%的条件下，表面张力≤22.0。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7.湿润性：温度处理前，在混合比为1.0%的条件下，湿润性≤5.3。</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8.腐蚀率/[mg/(d</w:t>
            </w:r>
            <w:r>
              <w:rPr>
                <w:rFonts w:hint="default"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dm2)]：温度处理前：Q235A钢片：≤6.0 ；温度处理前：3A21铝片：≤1。</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▲9.灭A类火发泡倍数：≥21.0 。（提供带CMA标识的第三方检验检测机构出具的型式试验检验报告佐证。）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10.25%析液时间/min：温度处理前、后，在混合比为HA、发泡倍数与特征值FA偏差不大于20%的条件下，25%析液时间≥10min。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11.隔热防护性能（适用于淡水）：温度处理前或后，在混合比为HG的条件下，25%析液时间≥22.0min，发泡倍数≥35.0倍。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▲12.灭A类火性能（适用于淡水）：温度处理前、后，在混合比为HA、发泡倍数与特征值FA偏差不大于20%的条件下，灭火时间≤76.0s。（提供带CMA标识的第三方检验检测机构出具的型式试验检验报告佐证。）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▲13.灭A类火混合比：≤0.8%（提供带CMA标识的第三方检验检测机构出具的型式试验检验报告佐证。）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★14.供货时，每桶须按照25kg容量进行装置和存储。</w:t>
            </w:r>
          </w:p>
        </w:tc>
      </w:tr>
      <w:tr w14:paraId="692A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shd w:val="clear" w:color="auto" w:fill="auto"/>
            <w:vAlign w:val="center"/>
          </w:tcPr>
          <w:p w14:paraId="3E7F5D27">
            <w:pPr>
              <w:widowControl w:val="0"/>
              <w:spacing w:line="360" w:lineRule="auto"/>
              <w:jc w:val="both"/>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3</w:t>
            </w:r>
          </w:p>
        </w:tc>
        <w:tc>
          <w:tcPr>
            <w:tcW w:w="686" w:type="dxa"/>
            <w:shd w:val="clear" w:color="auto" w:fill="auto"/>
            <w:vAlign w:val="center"/>
          </w:tcPr>
          <w:p w14:paraId="5A500DC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045A2C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11A49CC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移动式五合一复合炮</w:t>
            </w:r>
          </w:p>
        </w:tc>
        <w:tc>
          <w:tcPr>
            <w:tcW w:w="5034" w:type="dxa"/>
            <w:shd w:val="clear" w:color="auto" w:fill="auto"/>
            <w:vAlign w:val="center"/>
          </w:tcPr>
          <w:p w14:paraId="2B6CFE92">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★1.组成部分：由炮座主体≥1个、移动式消防炮头≥1个、移动式中倍数泡沫消防炮头≥1个、双头枪座≥1个、低倍数泡沫枪≥2支、中倍数泡沫枪≥2支、高倍数泡沫枪≥2支组成。</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2.炮座主体</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2.1材质：铝合金。</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2.2接口数量：≥2个，接口口径：≥DN80mm。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3.安装移动式消防炮头后整体参数</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▲3.1额定压力：≥0.8MPa，额定流量：≥60L/s，额定压力射程：≥70m。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3.2俯仰角度：俯角≥30°，仰角≥70°。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3.3外形尺寸（长*宽*高）：≤800*400*500（mm），重量：≤30kg。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4.安装移动式中倍数泡沫消防炮头后整体参数</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▲4.1额定压力：≥0.6MPa；额定流量：≥48L/s；额定压力射程：≥50m。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4.2俯仰角度：俯角≥30°，仰角≥70°；外形尺寸（长*宽*高）：≤1200*700*1000mm；重量：≤40kg。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4.3泡沫混合比：≥6%，发泡倍数：≥25倍。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5.安装双头枪座及配件后整体参数</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▲5.1外形尺寸（长*宽*高）：≤1400*550*1100（mm）；重量：≤36kg。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5.2安装的低倍数泡沫枪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5.2.1单把枪流量：≥16L/s。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5.2.2额定压力：≥0.7MPa。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5.2.3射程：≥30m。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5.2.4发泡倍数：≥15倍。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5.3安装的中倍数泡沫枪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5.3.1单把枪流量：≥16L/s。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5.3.2额定压力：≥0.7MPa。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5.3.3射程：≥15m。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5.3.4发泡倍数：≥48倍。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5.4安装的高倍数泡沫枪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5.4.1单把枪流量：≥1.7L/s。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5.4.2额定压力：≥0.6MPa。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5.4.4发泡倍数：≥500倍。</w:t>
            </w:r>
          </w:p>
        </w:tc>
      </w:tr>
      <w:tr w14:paraId="1E0D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9A3818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4</w:t>
            </w:r>
          </w:p>
        </w:tc>
        <w:tc>
          <w:tcPr>
            <w:tcW w:w="686" w:type="dxa"/>
            <w:shd w:val="clear" w:color="auto" w:fill="auto"/>
            <w:vAlign w:val="center"/>
          </w:tcPr>
          <w:p w14:paraId="0E0A3B1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FA6216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6599728">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直流水枪</w:t>
            </w:r>
          </w:p>
        </w:tc>
        <w:tc>
          <w:tcPr>
            <w:tcW w:w="5034" w:type="dxa"/>
            <w:shd w:val="clear" w:color="auto" w:fill="auto"/>
            <w:vAlign w:val="center"/>
          </w:tcPr>
          <w:p w14:paraId="1895D729">
            <w:pPr>
              <w:widowControl w:val="0"/>
            </w:pPr>
            <w:r>
              <w:rPr>
                <w:rFonts w:hint="eastAsia" w:ascii="宋体" w:hAnsi="宋体" w:eastAsia="宋体" w:cs="宋体"/>
                <w:i w:val="0"/>
                <w:iCs w:val="0"/>
                <w:color w:val="auto"/>
                <w:kern w:val="2"/>
                <w:sz w:val="21"/>
                <w:szCs w:val="21"/>
                <w:highlight w:val="none"/>
                <w:u w:val="none"/>
                <w:lang w:val="en-US" w:eastAsia="zh-CN" w:bidi="ar"/>
              </w:rPr>
              <w:t>★1.额定流量：≥7.5L/s。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★2.额定喷射压力：≥0.35MPa。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★3.直流射程≥28m。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★4.手柄指向出水口是“开”，手柄垂直水枪轴线是“关”，且此两个位置有限位功能。</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★5.接口公称通径：65mm。接口型式：卡式接口。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6.产品重量：≤1.6kg。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★7.符合《消防水枪》（GB8181-2005）标准要求。</w:t>
            </w:r>
          </w:p>
          <w:p w14:paraId="5F303D96">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（提供带CMA标识的第三方检验检测机构出具的型式试验检验报告佐证）</w:t>
            </w:r>
          </w:p>
        </w:tc>
      </w:tr>
      <w:tr w14:paraId="452C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16CA79DF">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5</w:t>
            </w:r>
          </w:p>
        </w:tc>
        <w:tc>
          <w:tcPr>
            <w:tcW w:w="686" w:type="dxa"/>
            <w:shd w:val="clear" w:color="auto" w:fill="auto"/>
            <w:vAlign w:val="center"/>
          </w:tcPr>
          <w:p w14:paraId="449DEF8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6909FD6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A13A63D">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三分水器</w:t>
            </w:r>
          </w:p>
        </w:tc>
        <w:tc>
          <w:tcPr>
            <w:tcW w:w="5034" w:type="dxa"/>
            <w:shd w:val="clear" w:color="auto" w:fill="auto"/>
            <w:vAlign w:val="center"/>
          </w:tcPr>
          <w:p w14:paraId="2BAD32AE">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1.进水口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★1.1形式：卡式接口。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★1.2公称通径：80mm。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★1.3数量：≥1个。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2.出水口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★2.1形式：卡式接口。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★2.2公称通径：65mm。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★2.3数量：≥3个。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▲3.工作压力：≥2.5MPa。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4.每个阀门上设置单独开关，并使用螺杆或把手限位开关。</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5.重量：≤9kg。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★6.符合《分水器和集水器》（XF868-2010）标准要求。</w:t>
            </w:r>
          </w:p>
        </w:tc>
      </w:tr>
      <w:tr w14:paraId="08EDA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503F76A7">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w:t>
            </w:r>
          </w:p>
        </w:tc>
        <w:tc>
          <w:tcPr>
            <w:tcW w:w="686" w:type="dxa"/>
            <w:shd w:val="clear" w:color="auto" w:fill="auto"/>
            <w:vAlign w:val="center"/>
          </w:tcPr>
          <w:p w14:paraId="76CDA85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009784E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2731733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二分水器</w:t>
            </w:r>
          </w:p>
        </w:tc>
        <w:tc>
          <w:tcPr>
            <w:tcW w:w="5034" w:type="dxa"/>
            <w:shd w:val="clear" w:color="auto" w:fill="auto"/>
            <w:vAlign w:val="center"/>
          </w:tcPr>
          <w:p w14:paraId="45116C98">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1.进水口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1.1形式：快速接口。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★1.3数量：≥1个。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2.出水口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2.1形式：快速接口。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★2.2公称通径：65mm。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★2.3数量：≥2个。</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★3.工作压力：≥1.6MPa。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4.每个阀门上设置单独开关，并使用螺杆或把手限位开关。</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5.重量：≤6kg。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★6.符合《分水器和集水器》（XF868-2010）标准要求。</w:t>
            </w:r>
          </w:p>
        </w:tc>
      </w:tr>
      <w:tr w14:paraId="581D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194379F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7</w:t>
            </w:r>
          </w:p>
        </w:tc>
        <w:tc>
          <w:tcPr>
            <w:tcW w:w="686" w:type="dxa"/>
            <w:shd w:val="clear" w:color="auto" w:fill="auto"/>
            <w:vAlign w:val="center"/>
          </w:tcPr>
          <w:p w14:paraId="3FC4808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83BCEE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28DC3542">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止水器</w:t>
            </w:r>
          </w:p>
        </w:tc>
        <w:tc>
          <w:tcPr>
            <w:tcW w:w="5034" w:type="dxa"/>
            <w:shd w:val="clear" w:color="auto" w:fill="auto"/>
            <w:vAlign w:val="center"/>
          </w:tcPr>
          <w:p w14:paraId="3DE1A416">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★1.公称压力≥2.5MPa。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2.爆破压力：≥4.0MPa。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★3.接口公称通径：65mm。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4.开关方式：在阀门上方设置把手开关，限位开关。</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5.重量≤1.6Kg。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6.接口连接方式：卡式接口。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★7.符合《消防接口 第1部分消防接口通用技术条件》（GB12514.1-2005）、《消防接口 第3部分：卡式消防接口型式和基本参数》（GB12514.3-2006）标准要求。</w:t>
            </w:r>
          </w:p>
        </w:tc>
      </w:tr>
      <w:tr w14:paraId="4307F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2621EE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w:t>
            </w:r>
          </w:p>
        </w:tc>
        <w:tc>
          <w:tcPr>
            <w:tcW w:w="686" w:type="dxa"/>
            <w:shd w:val="clear" w:color="auto" w:fill="auto"/>
            <w:vAlign w:val="center"/>
          </w:tcPr>
          <w:p w14:paraId="6899457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AB70FD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795226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泡沫钩管</w:t>
            </w:r>
          </w:p>
        </w:tc>
        <w:tc>
          <w:tcPr>
            <w:tcW w:w="5034" w:type="dxa"/>
            <w:shd w:val="clear" w:color="auto" w:fill="auto"/>
            <w:vAlign w:val="center"/>
          </w:tcPr>
          <w:p w14:paraId="5A607A62">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1.工作压力≥0.5MPa。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★2.泡沫钩管长度≥3.5米，泡沫钩管由管牙接口、空气泡沫产生器、泡沫管三部分组成。钩管上部有弯形喷管。</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3.泡沫钩管下端为空气泡沫发生器，装有65mm管牙接口，用水带连接，输送空气泡沫混合液。</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▲4.混合液流量≥16L/s。</w:t>
            </w:r>
          </w:p>
        </w:tc>
      </w:tr>
      <w:tr w14:paraId="30CF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6160F1DC">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9</w:t>
            </w:r>
          </w:p>
        </w:tc>
        <w:tc>
          <w:tcPr>
            <w:tcW w:w="686" w:type="dxa"/>
            <w:shd w:val="clear" w:color="auto" w:fill="auto"/>
            <w:vAlign w:val="center"/>
          </w:tcPr>
          <w:p w14:paraId="32D74B2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87C92A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0AB61E08">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多功能消防水枪</w:t>
            </w:r>
          </w:p>
        </w:tc>
        <w:tc>
          <w:tcPr>
            <w:tcW w:w="5034" w:type="dxa"/>
            <w:shd w:val="clear" w:color="auto" w:fill="auto"/>
            <w:vAlign w:val="center"/>
          </w:tcPr>
          <w:p w14:paraId="34FA1900">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1.喷射压力≥0.6MPa，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2.★额定流量：≥8升/秒</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3.▲射程：≥32m（</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4.★具备直流、开花、喷雾、泡沫射水功能</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5.可在枪头调节流量</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枪体进水口为DN65快速进水口</w:t>
            </w:r>
          </w:p>
        </w:tc>
      </w:tr>
      <w:tr w14:paraId="2453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8F8FF9E">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686" w:type="dxa"/>
            <w:shd w:val="clear" w:color="auto" w:fill="auto"/>
            <w:vAlign w:val="center"/>
          </w:tcPr>
          <w:p w14:paraId="08229D9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0AA11E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917952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穿刺式破拆水枪</w:t>
            </w:r>
          </w:p>
        </w:tc>
        <w:tc>
          <w:tcPr>
            <w:tcW w:w="5034" w:type="dxa"/>
            <w:shd w:val="clear" w:color="auto" w:fill="auto"/>
            <w:vAlign w:val="center"/>
          </w:tcPr>
          <w:p w14:paraId="2DE35431">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1.阀门材质：金属材料；枪头材质：铝合金或不锈钢。</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2.▲流量：5（±8%）L/S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3.▲枪头具备穿刺≥1mm金属材料的能力，可进行泡沫和水切换射流，枪体可拆卸。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4.进水口径≥65mm。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5.卡口为快速接口。</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6.能直接穿透障碍物进行灭火，能扑救吊顶夹层以及堆垛火灾等常规水枪难以施展的场合火灾。</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7.▲枪管长度≥1m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8.▲重量：≤5kg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▲射程:≥10m（</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p>
        </w:tc>
      </w:tr>
      <w:tr w14:paraId="49665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EF6B9F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11</w:t>
            </w:r>
          </w:p>
        </w:tc>
        <w:tc>
          <w:tcPr>
            <w:tcW w:w="686" w:type="dxa"/>
            <w:shd w:val="clear" w:color="auto" w:fill="auto"/>
            <w:vAlign w:val="center"/>
          </w:tcPr>
          <w:p w14:paraId="3EC40F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26375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3C348EFE">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移动式消防炮</w:t>
            </w:r>
          </w:p>
        </w:tc>
        <w:tc>
          <w:tcPr>
            <w:tcW w:w="5034" w:type="dxa"/>
            <w:shd w:val="clear" w:color="auto" w:fill="auto"/>
            <w:vAlign w:val="center"/>
          </w:tcPr>
          <w:p w14:paraId="4DB2E2B4">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1.★符合GB19156-2019《消防炮》标准要求；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2.炮体材质：铝合金或不锈钢等同强度材质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3.★流量≥80L/s；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4.最大工作压力：≥1.2MPa；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5.▲射程：≥80m；（</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6.最小仰角范围范围:+30°～+70°;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7.最大喷雾角：≥90°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8.水平回转角范围：-45°～+45°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9.▲重量：≤40kg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★消防炮可无线遥控操作上下左右摇摆，可无线遥控开花、直流变换，遥控距离：≥100m</w:t>
            </w:r>
          </w:p>
        </w:tc>
      </w:tr>
      <w:tr w14:paraId="29514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F7A0CC6">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12</w:t>
            </w:r>
          </w:p>
        </w:tc>
        <w:tc>
          <w:tcPr>
            <w:tcW w:w="686" w:type="dxa"/>
            <w:shd w:val="clear" w:color="auto" w:fill="auto"/>
            <w:vAlign w:val="center"/>
          </w:tcPr>
          <w:p w14:paraId="2B586B5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06A8AB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49C2F8B">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高倍数泡沫发生器</w:t>
            </w:r>
          </w:p>
        </w:tc>
        <w:tc>
          <w:tcPr>
            <w:tcW w:w="5034" w:type="dxa"/>
            <w:shd w:val="clear" w:color="auto" w:fill="auto"/>
            <w:vAlign w:val="center"/>
          </w:tcPr>
          <w:p w14:paraId="20F3C19F">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1.▲泡沫倍数：≥200倍</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2.工作压力范围：≥0.3Mpa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3.▲发泡量：≥200m³/min（</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4.▲重量：≤30kg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5.泡沫溶液流量：≥4L/s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泡沫混合比：3-6</w:t>
            </w:r>
          </w:p>
        </w:tc>
      </w:tr>
      <w:tr w14:paraId="6C4B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44346BFF">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13</w:t>
            </w:r>
          </w:p>
        </w:tc>
        <w:tc>
          <w:tcPr>
            <w:tcW w:w="686" w:type="dxa"/>
            <w:shd w:val="clear" w:color="auto" w:fill="auto"/>
            <w:vAlign w:val="center"/>
          </w:tcPr>
          <w:p w14:paraId="52AE7EC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B754B4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A7DF6F7">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移动式排烟机</w:t>
            </w:r>
          </w:p>
        </w:tc>
        <w:tc>
          <w:tcPr>
            <w:tcW w:w="5034" w:type="dxa"/>
            <w:shd w:val="clear" w:color="auto" w:fill="auto"/>
            <w:vAlign w:val="center"/>
          </w:tcPr>
          <w:p w14:paraId="5A2FD4FD">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1.★符合GB27901-2011《移动式消防排烟机》标准</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2.▲重量≤45kg；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3.额定转速≥3600转/分；</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4.▲额定风量≥40000m³/h；（</w:t>
            </w:r>
            <w:r>
              <w:rPr>
                <w:rFonts w:hint="eastAsia" w:hAnsi="宋体" w:cs="宋体"/>
                <w:i w:val="0"/>
                <w:iCs w:val="0"/>
                <w:color w:val="auto"/>
                <w:kern w:val="2"/>
                <w:sz w:val="21"/>
                <w:szCs w:val="21"/>
                <w:highlight w:val="none"/>
                <w:u w:val="none"/>
                <w:lang w:val="en-US" w:eastAsia="zh-CN" w:bidi="ar"/>
              </w:rPr>
              <w:t>提供国家认可的第三方检测机构出具的检测报告复印件并加盖供应商公章予以佐证</w:t>
            </w:r>
            <w:r>
              <w:rPr>
                <w:rFonts w:hint="eastAsia" w:ascii="宋体" w:hAnsi="宋体" w:eastAsia="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5.额定功率≥2kw；</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▲运行时间≥120min（全速运行）；</w:t>
            </w:r>
          </w:p>
        </w:tc>
      </w:tr>
      <w:tr w14:paraId="69228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6E3321A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14</w:t>
            </w:r>
          </w:p>
        </w:tc>
        <w:tc>
          <w:tcPr>
            <w:tcW w:w="686" w:type="dxa"/>
            <w:shd w:val="clear" w:color="auto" w:fill="auto"/>
            <w:vAlign w:val="center"/>
          </w:tcPr>
          <w:p w14:paraId="5B3FB61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0543D4D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5CEEA4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浮艇泵</w:t>
            </w:r>
          </w:p>
        </w:tc>
        <w:tc>
          <w:tcPr>
            <w:tcW w:w="5034" w:type="dxa"/>
            <w:shd w:val="clear" w:color="auto" w:fill="auto"/>
            <w:vAlign w:val="center"/>
          </w:tcPr>
          <w:p w14:paraId="5D840047">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1.发动机类型：四冲程单缸风冷。</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2.最大功率：≥15HP。</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3.起动方式：至少包括电起动、手拉起动。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4.进水口径：≥65mm。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5.出水口径：≥65mm。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6.水泵型式：单级离心泵。</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▲7.最大流量：≥14L/s。（提供带CMA标识的第三方检验检测机构出具的检验报告佐证）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▲8.扬程：≥40m。（提供带CMA标识的第三方检验检测机构出具的检验报告佐证）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▲9.净重：≤30kg。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10.外形尺寸（长*宽*高）：≤750*650*500（mm）。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11.最大扭拒及转速：≥22N.m/2600rpm。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12.油箱容量：≥ 2L。</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13.燃油类型：汽油。</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★14.符合《消防泵》（GB6245-2006）标准要求。（提供带CMA标识的第三方检验检测机构出具的型式试验检验报告佐证）</w:t>
            </w:r>
          </w:p>
        </w:tc>
      </w:tr>
      <w:tr w14:paraId="3B9F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106AECE">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15</w:t>
            </w:r>
          </w:p>
        </w:tc>
        <w:tc>
          <w:tcPr>
            <w:tcW w:w="686" w:type="dxa"/>
            <w:shd w:val="clear" w:color="auto" w:fill="auto"/>
            <w:vAlign w:val="center"/>
          </w:tcPr>
          <w:p w14:paraId="1CB3FDC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BCC696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8F3B4EE">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移动水囊</w:t>
            </w:r>
          </w:p>
        </w:tc>
        <w:tc>
          <w:tcPr>
            <w:tcW w:w="5034" w:type="dxa"/>
            <w:shd w:val="clear" w:color="auto" w:fill="auto"/>
            <w:vAlign w:val="center"/>
          </w:tcPr>
          <w:p w14:paraId="6B40B0CB">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1.▲容积：≥30t</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2.材料：采用高密度聚乙烯材质(PVC)（均为PVC材质）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3.▲阀门：设有进、出水阀门。</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4.环境温度范围：-20℃～30℃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5.增加尺寸：盛满水状态下水池外形尺寸：≥5*1.2m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6.</w:t>
            </w:r>
            <w:r>
              <w:rPr>
                <w:rFonts w:hint="eastAsia" w:ascii="宋体" w:hAnsi="宋体" w:eastAsia="宋体" w:cs="宋体"/>
                <w:i w:val="0"/>
                <w:iCs w:val="0"/>
                <w:color w:val="auto"/>
                <w:kern w:val="2"/>
                <w:sz w:val="21"/>
                <w:szCs w:val="21"/>
                <w:highlight w:val="none"/>
                <w:u w:val="none"/>
                <w:lang w:val="en-US" w:eastAsia="zh-CN" w:bidi="ar"/>
              </w:rPr>
              <w:t>备件：配备补漏备件不低于20件套。</w:t>
            </w:r>
          </w:p>
        </w:tc>
      </w:tr>
      <w:tr w14:paraId="561A8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32AE4EB9">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16</w:t>
            </w:r>
          </w:p>
        </w:tc>
        <w:tc>
          <w:tcPr>
            <w:tcW w:w="686" w:type="dxa"/>
            <w:shd w:val="clear" w:color="auto" w:fill="auto"/>
            <w:vAlign w:val="center"/>
          </w:tcPr>
          <w:p w14:paraId="50DBED2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C04CAF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3026259">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手抬机动泵</w:t>
            </w:r>
          </w:p>
        </w:tc>
        <w:tc>
          <w:tcPr>
            <w:tcW w:w="5034" w:type="dxa"/>
            <w:shd w:val="clear" w:color="auto" w:fill="auto"/>
            <w:vAlign w:val="center"/>
          </w:tcPr>
          <w:p w14:paraId="75E9CE64">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1.▲输出功率</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≥30KW</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2.真空泵为碳纤维活片无油式</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3.进水口口径</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≤80mm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4.▲出水口口径：65mm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5.★扬程</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≥70m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6.★额定流量</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≥16L/s</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7.额定压力</w:t>
            </w:r>
            <w:r>
              <w:rPr>
                <w:rFonts w:hint="eastAsia" w:hAnsi="宋体" w:cs="宋体"/>
                <w:i w:val="0"/>
                <w:iCs w:val="0"/>
                <w:color w:val="auto"/>
                <w:kern w:val="2"/>
                <w:sz w:val="21"/>
                <w:szCs w:val="21"/>
                <w:highlight w:val="none"/>
                <w:u w:val="none"/>
                <w:lang w:val="en-US" w:eastAsia="zh-CN" w:bidi="ar"/>
              </w:rPr>
              <w:t>：</w:t>
            </w:r>
            <w:r>
              <w:rPr>
                <w:rFonts w:hint="eastAsia" w:ascii="宋体" w:hAnsi="宋体" w:eastAsia="宋体" w:cs="宋体"/>
                <w:i w:val="0"/>
                <w:iCs w:val="0"/>
                <w:color w:val="auto"/>
                <w:kern w:val="2"/>
                <w:sz w:val="21"/>
                <w:szCs w:val="21"/>
                <w:highlight w:val="none"/>
                <w:u w:val="none"/>
                <w:lang w:val="en-US" w:eastAsia="zh-CN" w:bidi="ar"/>
              </w:rPr>
              <w:t>≥ 0.55MPa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8.</w:t>
            </w:r>
            <w:r>
              <w:rPr>
                <w:rFonts w:hint="eastAsia" w:ascii="宋体" w:hAnsi="宋体" w:eastAsia="宋体" w:cs="宋体"/>
                <w:i w:val="0"/>
                <w:iCs w:val="0"/>
                <w:color w:val="auto"/>
                <w:kern w:val="2"/>
                <w:sz w:val="21"/>
                <w:szCs w:val="21"/>
                <w:highlight w:val="none"/>
                <w:u w:val="none"/>
                <w:lang w:val="en-US" w:eastAsia="zh-CN" w:bidi="ar"/>
              </w:rPr>
              <w:t>重量：≤100kg</w:t>
            </w:r>
          </w:p>
        </w:tc>
      </w:tr>
      <w:tr w14:paraId="2037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74360467">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17</w:t>
            </w:r>
          </w:p>
        </w:tc>
        <w:tc>
          <w:tcPr>
            <w:tcW w:w="686" w:type="dxa"/>
            <w:shd w:val="clear" w:color="auto" w:fill="auto"/>
            <w:vAlign w:val="center"/>
          </w:tcPr>
          <w:p w14:paraId="02923775">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6A8F22E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1E729027">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消防员隔热防护服</w:t>
            </w:r>
          </w:p>
        </w:tc>
        <w:tc>
          <w:tcPr>
            <w:tcW w:w="5034" w:type="dxa"/>
            <w:shd w:val="clear" w:color="auto" w:fill="auto"/>
            <w:vAlign w:val="center"/>
          </w:tcPr>
          <w:p w14:paraId="58A6E7B6">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1.★全套服装由头罩、上衣、背带裤、手套、护脚盖组成。</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2.热辐射反射率：能反射70%以上的辐射热。</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3.耐辐射高温性能：接近300℃为1h及以上，500℃为30min及以上，瞬间接近最高温度≥800℃，也能在辐射热通量为≥10W/cm2(约900-1000℃)的高温场所进行抢险作业。</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★4.阻燃性能：损毁长度≤100mm，续燃时间≤2s，且不应有熔融、滴落现象。</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★5.撕破强力：≥100N。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★6.断裂强力：≥650N。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★7.抗渗水性能耐静水压 ≥17kPa。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8.空呼佩戴内置式。</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★9.火焰和辐射热防护性能的TPP值 ≥28.0cal/cm2。</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10.重量：≤6kg。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★11.符合《消防员隔热防护服》（XF634-2015）标准要求。（提供带CMA标识的第三方检验检测机构出具的型式试验检验报告佐证）</w:t>
            </w:r>
          </w:p>
        </w:tc>
      </w:tr>
      <w:tr w14:paraId="3B8C7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335D3252">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18</w:t>
            </w:r>
          </w:p>
        </w:tc>
        <w:tc>
          <w:tcPr>
            <w:tcW w:w="686" w:type="dxa"/>
            <w:shd w:val="clear" w:color="auto" w:fill="auto"/>
            <w:vAlign w:val="center"/>
          </w:tcPr>
          <w:p w14:paraId="0D797CD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13D771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5EA084F3">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过滤式消防自救呼吸器</w:t>
            </w:r>
          </w:p>
        </w:tc>
        <w:tc>
          <w:tcPr>
            <w:tcW w:w="5034" w:type="dxa"/>
            <w:shd w:val="clear" w:color="auto" w:fill="auto"/>
            <w:vAlign w:val="center"/>
          </w:tcPr>
          <w:p w14:paraId="1A73AFCD">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 xml:space="preserve">1.防护时间≥30min。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★2.吸气阻力≤800Pa，呼气阻力≤300Pa。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3.防护对象：一氧化碳、氰化氢、毒烟、毒物。</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4.滤烟性能：滤烟效率≥95％。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★5.符合《建筑火灾逃生避难器材第7部分：过滤式消防自救呼吸器》（GB 21976.7-2012 ）。</w:t>
            </w:r>
          </w:p>
        </w:tc>
      </w:tr>
      <w:tr w14:paraId="2029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79A2ECA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19</w:t>
            </w:r>
          </w:p>
        </w:tc>
        <w:tc>
          <w:tcPr>
            <w:tcW w:w="686" w:type="dxa"/>
            <w:shd w:val="clear" w:color="auto" w:fill="auto"/>
            <w:vAlign w:val="center"/>
          </w:tcPr>
          <w:p w14:paraId="36B3862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5484B2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DD701FD">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消防过滤式综合防毒面具</w:t>
            </w:r>
          </w:p>
        </w:tc>
        <w:tc>
          <w:tcPr>
            <w:tcW w:w="5034" w:type="dxa"/>
            <w:shd w:val="clear" w:color="auto" w:fill="auto"/>
            <w:vAlign w:val="center"/>
          </w:tcPr>
          <w:p w14:paraId="6C6853F9">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★1.由全面罩、导气管、过滤件组成。</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2.吸气阻力：在95L/min时≤40Pa。（提供带CMA标识的第三方检验检测机构出具的检验报告佐证）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3.呼气阻力：在160L/min时≤100Pa。（提供带CMA标识的第三方检验检测机构出具的检验报告佐证）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4.重量（不含滤件）：≤500g。</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★5.总视野≥70%，双目视野≥55%，下方视野≥35°。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6.防护时间：≥30min。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7.面屏材质：聚碳酸酯。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★8.符合《呼吸防护自吸过滤式防毒面具》（GB 2890-2022）标准要求。</w:t>
            </w:r>
          </w:p>
        </w:tc>
      </w:tr>
      <w:tr w14:paraId="64969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E954ED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20</w:t>
            </w:r>
          </w:p>
        </w:tc>
        <w:tc>
          <w:tcPr>
            <w:tcW w:w="686" w:type="dxa"/>
            <w:shd w:val="clear" w:color="auto" w:fill="auto"/>
            <w:vAlign w:val="center"/>
          </w:tcPr>
          <w:p w14:paraId="12805A3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688635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24A1B114">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灭火毯</w:t>
            </w:r>
          </w:p>
        </w:tc>
        <w:tc>
          <w:tcPr>
            <w:tcW w:w="5034" w:type="dxa"/>
            <w:shd w:val="clear" w:color="auto" w:fill="auto"/>
            <w:vAlign w:val="center"/>
          </w:tcPr>
          <w:p w14:paraId="45F624A5">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 xml:space="preserve">1.尺寸：长≥1.5m、宽≥1.5m。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★2.可重复使用，本身不燃烧。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3.整体重量≤4.5kg。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▲4.最高工作温度：≥800℃。</w:t>
            </w:r>
          </w:p>
        </w:tc>
      </w:tr>
      <w:tr w14:paraId="2F98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shd w:val="clear" w:color="auto" w:fill="auto"/>
            <w:vAlign w:val="center"/>
          </w:tcPr>
          <w:p w14:paraId="6542AD3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21</w:t>
            </w:r>
          </w:p>
        </w:tc>
        <w:tc>
          <w:tcPr>
            <w:tcW w:w="686" w:type="dxa"/>
            <w:shd w:val="clear" w:color="auto" w:fill="auto"/>
            <w:vAlign w:val="center"/>
          </w:tcPr>
          <w:p w14:paraId="7FAB570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CE2DA0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6964731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灭火毯（大型）</w:t>
            </w:r>
          </w:p>
        </w:tc>
        <w:tc>
          <w:tcPr>
            <w:tcW w:w="5034" w:type="dxa"/>
            <w:shd w:val="clear" w:color="auto" w:fill="auto"/>
            <w:vAlign w:val="center"/>
          </w:tcPr>
          <w:p w14:paraId="439524DB">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★1.材质：二氧化硅。</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▲2.克重：≥600g/m2。</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★3.二氧化硅含量：≥80%。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4.拉伸强度：≥1000N/inch。</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5.撕裂强度：≥50N。</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▲6.工作温度：≥1000℃。</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▲7.尺寸（长*宽）：≥6*8（m）。</w:t>
            </w:r>
          </w:p>
        </w:tc>
      </w:tr>
      <w:tr w14:paraId="63E3E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3FBE09C2">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22</w:t>
            </w:r>
          </w:p>
        </w:tc>
        <w:tc>
          <w:tcPr>
            <w:tcW w:w="686" w:type="dxa"/>
            <w:shd w:val="clear" w:color="auto" w:fill="auto"/>
            <w:vAlign w:val="center"/>
          </w:tcPr>
          <w:p w14:paraId="15F67E8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7B0BEDF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72DA17C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80水带（25型）</w:t>
            </w:r>
          </w:p>
        </w:tc>
        <w:tc>
          <w:tcPr>
            <w:tcW w:w="5034" w:type="dxa"/>
            <w:shd w:val="clear" w:color="auto" w:fill="auto"/>
            <w:vAlign w:val="center"/>
          </w:tcPr>
          <w:p w14:paraId="54139125">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★4.内径规格：80。设计工作压力：2.5MPa。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▲7.单位长度质量：≤400g/m。（提供带CMA标识的第三方检验检测机构出具的型式试验检验报告佐证。）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▲8.最小爆破压力：≥7.6MPa。（提供带CMA标识的第三方检验检测机构出具的型式试验检验报告佐证。）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.附着强度：≥38N/25mm。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11</w:t>
            </w:r>
            <w:r>
              <w:rPr>
                <w:rFonts w:hint="eastAsia" w:ascii="宋体" w:hAnsi="宋体" w:eastAsia="宋体" w:cs="宋体"/>
                <w:i w:val="0"/>
                <w:iCs w:val="0"/>
                <w:color w:val="auto"/>
                <w:kern w:val="2"/>
                <w:sz w:val="21"/>
                <w:szCs w:val="21"/>
                <w:highlight w:val="none"/>
                <w:u w:val="none"/>
                <w:lang w:val="en-US" w:eastAsia="zh-CN" w:bidi="ar"/>
              </w:rPr>
              <w:t>.扯断伸长率：≥290%。</w:t>
            </w:r>
          </w:p>
        </w:tc>
      </w:tr>
      <w:tr w14:paraId="595E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03055E8B">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23</w:t>
            </w:r>
          </w:p>
        </w:tc>
        <w:tc>
          <w:tcPr>
            <w:tcW w:w="686" w:type="dxa"/>
            <w:shd w:val="clear" w:color="auto" w:fill="auto"/>
            <w:vAlign w:val="center"/>
          </w:tcPr>
          <w:p w14:paraId="490CAFC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678D6BFA">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515270C">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80水带（20型）</w:t>
            </w:r>
          </w:p>
        </w:tc>
        <w:tc>
          <w:tcPr>
            <w:tcW w:w="5034" w:type="dxa"/>
            <w:shd w:val="clear" w:color="auto" w:fill="auto"/>
            <w:vAlign w:val="center"/>
          </w:tcPr>
          <w:p w14:paraId="4157723A">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★4.内径规格：80。设计工作压力：2.0MPa。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▲7.单位长度质量：≤380g/m。（提供带CMA标识的第三方检验检测机构出具的型式试验检验报告佐证。）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▲8.最小爆破压力：≥6.5MPa。（提供带CMA标识的第三方检验检测机构出具的型式试验检验报告佐证。）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.附着强度：≥60N/25mm。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11</w:t>
            </w:r>
            <w:r>
              <w:rPr>
                <w:rFonts w:hint="eastAsia" w:ascii="宋体" w:hAnsi="宋体" w:eastAsia="宋体" w:cs="宋体"/>
                <w:i w:val="0"/>
                <w:iCs w:val="0"/>
                <w:color w:val="auto"/>
                <w:kern w:val="2"/>
                <w:sz w:val="21"/>
                <w:szCs w:val="21"/>
                <w:highlight w:val="none"/>
                <w:u w:val="none"/>
                <w:lang w:val="en-US" w:eastAsia="zh-CN" w:bidi="ar"/>
              </w:rPr>
              <w:t>.扯断伸长率：≥410%。</w:t>
            </w:r>
          </w:p>
        </w:tc>
      </w:tr>
      <w:tr w14:paraId="772C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4BCE605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24</w:t>
            </w:r>
          </w:p>
        </w:tc>
        <w:tc>
          <w:tcPr>
            <w:tcW w:w="686" w:type="dxa"/>
            <w:shd w:val="clear" w:color="auto" w:fill="auto"/>
            <w:vAlign w:val="center"/>
          </w:tcPr>
          <w:p w14:paraId="2F8EDD5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0363A38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1A0E5FE0">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65水带（25型）</w:t>
            </w:r>
          </w:p>
        </w:tc>
        <w:tc>
          <w:tcPr>
            <w:tcW w:w="5034" w:type="dxa"/>
            <w:shd w:val="clear" w:color="auto" w:fill="auto"/>
            <w:vAlign w:val="center"/>
          </w:tcPr>
          <w:p w14:paraId="6AEC7FAF">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★4.内径规格：65。设计工作压力：2.5MPa。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▲7.单位长度质量：≤340g/m。（提供带CMA标识的第三方检验检测机构出具的型式试验检验报告佐证。）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▲8.最小爆破压力：≥8.0MPa。（提供带CMA标识的第三方检验检测机构出具的型式试验检验报告佐证。）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.附着强度：≥37N/25mm。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10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w:t>
            </w:r>
            <w:r>
              <w:rPr>
                <w:rFonts w:hint="eastAsia" w:hAnsi="宋体" w:cs="宋体"/>
                <w:i w:val="0"/>
                <w:iCs w:val="0"/>
                <w:color w:val="auto"/>
                <w:kern w:val="2"/>
                <w:sz w:val="21"/>
                <w:szCs w:val="21"/>
                <w:highlight w:val="none"/>
                <w:u w:val="none"/>
                <w:lang w:val="en-US" w:eastAsia="zh-CN" w:bidi="ar"/>
              </w:rPr>
              <w:t>1</w:t>
            </w:r>
            <w:r>
              <w:rPr>
                <w:rFonts w:hint="eastAsia" w:ascii="宋体" w:hAnsi="宋体" w:eastAsia="宋体" w:cs="宋体"/>
                <w:i w:val="0"/>
                <w:iCs w:val="0"/>
                <w:color w:val="auto"/>
                <w:kern w:val="2"/>
                <w:sz w:val="21"/>
                <w:szCs w:val="21"/>
                <w:highlight w:val="none"/>
                <w:u w:val="none"/>
                <w:lang w:val="en-US" w:eastAsia="zh-CN" w:bidi="ar"/>
              </w:rPr>
              <w:t>.扯断伸长率：≥400%。</w:t>
            </w:r>
          </w:p>
        </w:tc>
      </w:tr>
      <w:tr w14:paraId="72BE6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491CFA1">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25</w:t>
            </w:r>
          </w:p>
        </w:tc>
        <w:tc>
          <w:tcPr>
            <w:tcW w:w="686" w:type="dxa"/>
            <w:shd w:val="clear" w:color="auto" w:fill="auto"/>
            <w:vAlign w:val="center"/>
          </w:tcPr>
          <w:p w14:paraId="3E8A4A6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388C3DD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01D3C7D">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65水带（20型）</w:t>
            </w:r>
          </w:p>
        </w:tc>
        <w:tc>
          <w:tcPr>
            <w:tcW w:w="5034" w:type="dxa"/>
            <w:shd w:val="clear" w:color="auto" w:fill="auto"/>
            <w:vAlign w:val="center"/>
          </w:tcPr>
          <w:p w14:paraId="5D265D63">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★2.配备卡式接口，接口符合《第3部分 卡式消防接口型式和基本参数》（GB12514.3-2006）标准要求。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★3.每盘长度：20m（公差符合GB6246-2011标准要求）。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★4.内径规格：65。设计工作压力：2.0MPa。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★5.经线、纬线材质：涤纶长丝，内衬材质：聚氨酯。</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★6.水带接口的密封圈采用耐油橡胶材质，随水带接口统一安装，水带接口设计应有3个及以上的凹槽，且每个凹槽采用不少于5圈（360°）的高强度镀锌铁丝（≥16号）捆扎。</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▲7.单位长度质量：≤302g/m。（提供带CMA标识的第三方检验检测机构出具的型式试验检验报告佐证。）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▲8.最小爆破压力：≥7.0MPa。（提供带CMA标识的第三方检验检测机构出具的型式试验检验报告佐证。）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hAnsi="宋体" w:cs="宋体"/>
                <w:i w:val="0"/>
                <w:iCs w:val="0"/>
                <w:color w:val="auto"/>
                <w:kern w:val="2"/>
                <w:sz w:val="21"/>
                <w:szCs w:val="21"/>
                <w:highlight w:val="none"/>
                <w:u w:val="none"/>
                <w:lang w:val="en-US" w:eastAsia="zh-CN" w:bidi="ar"/>
              </w:rPr>
              <w:t>9</w:t>
            </w:r>
            <w:r>
              <w:rPr>
                <w:rFonts w:hint="eastAsia" w:ascii="宋体" w:hAnsi="宋体" w:eastAsia="宋体" w:cs="宋体"/>
                <w:i w:val="0"/>
                <w:iCs w:val="0"/>
                <w:color w:val="auto"/>
                <w:kern w:val="2"/>
                <w:sz w:val="21"/>
                <w:szCs w:val="21"/>
                <w:highlight w:val="none"/>
                <w:u w:val="none"/>
                <w:lang w:val="en-US" w:eastAsia="zh-CN" w:bidi="ar"/>
              </w:rPr>
              <w:t>.附着强度：≥45N/25mm。</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w:t>
            </w:r>
            <w:r>
              <w:rPr>
                <w:rFonts w:hint="eastAsia" w:hAnsi="宋体" w:cs="宋体"/>
                <w:i w:val="0"/>
                <w:iCs w:val="0"/>
                <w:color w:val="auto"/>
                <w:kern w:val="2"/>
                <w:sz w:val="21"/>
                <w:szCs w:val="21"/>
                <w:highlight w:val="none"/>
                <w:u w:val="none"/>
                <w:lang w:val="en-US" w:eastAsia="zh-CN" w:bidi="ar"/>
              </w:rPr>
              <w:t>0</w:t>
            </w:r>
            <w:r>
              <w:rPr>
                <w:rFonts w:hint="eastAsia" w:ascii="宋体" w:hAnsi="宋体" w:eastAsia="宋体" w:cs="宋体"/>
                <w:i w:val="0"/>
                <w:iCs w:val="0"/>
                <w:color w:val="auto"/>
                <w:kern w:val="2"/>
                <w:sz w:val="21"/>
                <w:szCs w:val="21"/>
                <w:highlight w:val="none"/>
                <w:u w:val="none"/>
                <w:lang w:val="en-US" w:eastAsia="zh-CN" w:bidi="ar"/>
              </w:rPr>
              <w:t>.扯断强度：≥50MPa。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w:t>
            </w:r>
            <w:r>
              <w:rPr>
                <w:rFonts w:hint="eastAsia" w:hAnsi="宋体" w:cs="宋体"/>
                <w:i w:val="0"/>
                <w:iCs w:val="0"/>
                <w:color w:val="auto"/>
                <w:kern w:val="2"/>
                <w:sz w:val="21"/>
                <w:szCs w:val="21"/>
                <w:highlight w:val="none"/>
                <w:u w:val="none"/>
                <w:lang w:val="en-US" w:eastAsia="zh-CN" w:bidi="ar"/>
              </w:rPr>
              <w:t>1</w:t>
            </w:r>
            <w:r>
              <w:rPr>
                <w:rFonts w:hint="eastAsia" w:ascii="宋体" w:hAnsi="宋体" w:eastAsia="宋体" w:cs="宋体"/>
                <w:i w:val="0"/>
                <w:iCs w:val="0"/>
                <w:color w:val="auto"/>
                <w:kern w:val="2"/>
                <w:sz w:val="21"/>
                <w:szCs w:val="21"/>
                <w:highlight w:val="none"/>
                <w:u w:val="none"/>
                <w:lang w:val="en-US" w:eastAsia="zh-CN" w:bidi="ar"/>
              </w:rPr>
              <w:t>.扯断伸长率：≥380%。</w:t>
            </w:r>
          </w:p>
        </w:tc>
      </w:tr>
      <w:tr w14:paraId="06E25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77E1FED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26</w:t>
            </w:r>
          </w:p>
        </w:tc>
        <w:tc>
          <w:tcPr>
            <w:tcW w:w="686" w:type="dxa"/>
            <w:shd w:val="clear" w:color="auto" w:fill="auto"/>
            <w:vAlign w:val="center"/>
          </w:tcPr>
          <w:p w14:paraId="6ACE61B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1AB273CE">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3B79B7BF">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25-80-20轻质水带</w:t>
            </w:r>
          </w:p>
        </w:tc>
        <w:tc>
          <w:tcPr>
            <w:tcW w:w="5034" w:type="dxa"/>
            <w:shd w:val="clear" w:color="auto" w:fill="auto"/>
            <w:vAlign w:val="center"/>
          </w:tcPr>
          <w:p w14:paraId="2A0EE808">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★2.配备卡式接口，接口符合《第3部分 卡式消防接口型式和基本参数》（GB12514.3-2006）标准要求。工作压力2.5MPa，接口材质：铝镁合金。锻造方式生产。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★3.每盘长度：20m（公差符合GB6246-2011标准要求）。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★4.内径规格：80。设计工作压力：2.5MPa。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★5.经线、纬线材质：聚乙烯纤维丝，内衬材质：聚氨酯。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★6.水带接口的密封圈采用耐油橡胶材质，随水带接口统一安装，水带接口设计应有3个及以上的凹槽，且每个凹槽采用不少于5圈（360°）的高强度镀锌铁丝（≥16号）捆扎。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▲7.单位长度质量：≤230g/m。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▲8.最小爆破压力：≥10.5MPa。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9.延伸率试验：≤2.5%，膨胀率试验：≤3%。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10.附着强度：≥25N/25mm。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11.扯断强度：≥45MPa。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12.扯断伸长率：≥430%。</w:t>
            </w:r>
          </w:p>
        </w:tc>
      </w:tr>
      <w:tr w14:paraId="758E1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5E1F4CB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27</w:t>
            </w:r>
          </w:p>
        </w:tc>
        <w:tc>
          <w:tcPr>
            <w:tcW w:w="686" w:type="dxa"/>
            <w:shd w:val="clear" w:color="auto" w:fill="auto"/>
            <w:vAlign w:val="center"/>
          </w:tcPr>
          <w:p w14:paraId="168DDB1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22302A2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009CBCA5">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25-65-20轻质水带</w:t>
            </w:r>
          </w:p>
        </w:tc>
        <w:tc>
          <w:tcPr>
            <w:tcW w:w="5034" w:type="dxa"/>
            <w:shd w:val="clear" w:color="auto" w:fill="auto"/>
            <w:vAlign w:val="center"/>
          </w:tcPr>
          <w:p w14:paraId="1F097108">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★1.符合《消防水带》（GB6246-2011）标准要求。</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★2.配备卡式接口，接口符合《第3部分 卡式消防接口型式和基本参数》（GB12514.3-2006）标准要求。工作压力2.5MPa，接口材质：铝镁合金。锻造方式生产。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★3.每盘长度：20m（公差符合GB6246-2011标准要求）。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★4.内径规格：65。设计工作压力：2.5MPa。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★5.经线、纬线材质：聚乙烯纤维丝，内衬材质：聚氨酯。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★6.水带接口的密封圈采用耐油橡胶材质，随水带接口统一安装，水带接口设计应有3个及以上的凹槽，且每个凹槽采用不少于5圈（360°）的高强度镀锌铁丝（≥16号）捆扎。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▲7.单位长度质量：≤180g/m。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▲8.最小爆破压力：≥7.5MPa。  （提供带CMA标识的第三方检验检测机构出具的型式试验检验报告佐证。）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9.延伸率试验：≤2%，膨胀率试验：≤2.5%。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10.附着强度：≥25N/25mm。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 xml:space="preserve">11.扯断强度：≥45MPa。   </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12.扯断伸长率：≥400%。</w:t>
            </w:r>
          </w:p>
        </w:tc>
      </w:tr>
      <w:tr w14:paraId="0F93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4327642A">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28</w:t>
            </w:r>
          </w:p>
        </w:tc>
        <w:tc>
          <w:tcPr>
            <w:tcW w:w="686" w:type="dxa"/>
            <w:shd w:val="clear" w:color="auto" w:fill="auto"/>
            <w:vAlign w:val="center"/>
          </w:tcPr>
          <w:p w14:paraId="3CFD139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4BEBE34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4679BC0A">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65快速公口转40卡口（森林泵专用）</w:t>
            </w:r>
          </w:p>
        </w:tc>
        <w:tc>
          <w:tcPr>
            <w:tcW w:w="5034" w:type="dxa"/>
            <w:shd w:val="clear" w:color="auto" w:fill="auto"/>
            <w:vAlign w:val="center"/>
          </w:tcPr>
          <w:p w14:paraId="1414598D">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★材质：铝合金；异径异型接口，65mm 快速接口转40mm快速接口</w:t>
            </w:r>
          </w:p>
        </w:tc>
      </w:tr>
      <w:tr w14:paraId="21CD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shd w:val="clear" w:color="auto" w:fill="auto"/>
            <w:vAlign w:val="center"/>
          </w:tcPr>
          <w:p w14:paraId="2A0BA8B3">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29</w:t>
            </w:r>
          </w:p>
        </w:tc>
        <w:tc>
          <w:tcPr>
            <w:tcW w:w="686" w:type="dxa"/>
            <w:shd w:val="clear" w:color="auto" w:fill="auto"/>
            <w:vAlign w:val="center"/>
          </w:tcPr>
          <w:p w14:paraId="70828CA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shd w:val="clear" w:color="auto" w:fill="auto"/>
            <w:vAlign w:val="center"/>
          </w:tcPr>
          <w:p w14:paraId="518C2FC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常规灭火</w:t>
            </w:r>
          </w:p>
        </w:tc>
        <w:tc>
          <w:tcPr>
            <w:tcW w:w="1537" w:type="dxa"/>
            <w:shd w:val="clear" w:color="auto" w:fill="auto"/>
            <w:vAlign w:val="center"/>
          </w:tcPr>
          <w:p w14:paraId="0F4AD962">
            <w:pPr>
              <w:keepNext w:val="0"/>
              <w:keepLines w:val="0"/>
              <w:widowControl/>
              <w:suppressLineNumbers w:val="0"/>
              <w:spacing w:line="360" w:lineRule="auto"/>
              <w:jc w:val="center"/>
              <w:textAlignment w:val="auto"/>
              <w:rPr>
                <w:rFonts w:hint="eastAsia" w:ascii="宋体" w:hAnsi="宋体" w:eastAsia="宋体" w:cs="宋体"/>
                <w:color w:val="auto"/>
                <w:kern w:val="2"/>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异形接口</w:t>
            </w:r>
          </w:p>
        </w:tc>
        <w:tc>
          <w:tcPr>
            <w:tcW w:w="5034" w:type="dxa"/>
            <w:shd w:val="clear" w:color="auto" w:fill="auto"/>
            <w:vAlign w:val="center"/>
          </w:tcPr>
          <w:p w14:paraId="12165B6B">
            <w:pPr>
              <w:keepNext w:val="0"/>
              <w:keepLines w:val="0"/>
              <w:widowControl/>
              <w:suppressLineNumbers w:val="0"/>
              <w:spacing w:line="360" w:lineRule="auto"/>
              <w:jc w:val="both"/>
              <w:textAlignment w:val="auto"/>
              <w:rPr>
                <w:rFonts w:hint="eastAsia" w:ascii="宋体" w:hAnsi="宋体" w:eastAsia="宋体" w:cs="宋体"/>
                <w:color w:val="auto"/>
                <w:sz w:val="21"/>
                <w:szCs w:val="21"/>
                <w:highlight w:val="none"/>
                <w:u w:val="none"/>
                <w:vertAlign w:val="baseli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★1.符合《消防接口 第1部分消防接口通用技术条件》（GB12514.1-2005）。</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★2.密封性能达到水带接口成对连接后，在0.3 MPa水压和公称压力水压下均不应发生渗漏现象。</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▲3.工作压力≥2.5MPa。（提供带CMA标识的第三方检验检测机构出具的型式试验检验报告佐证）</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4.爆破压力≥3.0MPa。</w:t>
            </w:r>
            <w:r>
              <w:rPr>
                <w:rFonts w:hint="eastAsia" w:ascii="宋体" w:hAnsi="宋体" w:eastAsia="宋体" w:cs="宋体"/>
                <w:i w:val="0"/>
                <w:iCs w:val="0"/>
                <w:color w:val="auto"/>
                <w:kern w:val="2"/>
                <w:sz w:val="21"/>
                <w:szCs w:val="21"/>
                <w:highlight w:val="none"/>
                <w:u w:val="none"/>
                <w:lang w:val="en-US" w:eastAsia="zh-CN" w:bidi="ar"/>
              </w:rPr>
              <w:br w:type="textWrapping"/>
            </w:r>
            <w:r>
              <w:rPr>
                <w:rFonts w:hint="eastAsia" w:ascii="宋体" w:hAnsi="宋体" w:eastAsia="宋体" w:cs="宋体"/>
                <w:i w:val="0"/>
                <w:iCs w:val="0"/>
                <w:color w:val="auto"/>
                <w:kern w:val="2"/>
                <w:sz w:val="21"/>
                <w:szCs w:val="21"/>
                <w:highlight w:val="none"/>
                <w:u w:val="none"/>
                <w:lang w:val="en-US" w:eastAsia="zh-CN" w:bidi="ar"/>
              </w:rPr>
              <w:t>★5.投标人须在中标后根据采购人要求供应相关65、80等卡式、内扣式转换接口。</w:t>
            </w:r>
          </w:p>
        </w:tc>
      </w:tr>
    </w:tbl>
    <w:p w14:paraId="439E7196">
      <w:pPr>
        <w:pStyle w:val="2"/>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val="en-US" w:eastAsia="zh-CN"/>
        </w:rPr>
      </w:pPr>
    </w:p>
    <w:p w14:paraId="7EBAE4A5">
      <w:pPr>
        <w:pStyle w:val="2"/>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lang w:eastAsia="zh-CN"/>
        </w:rPr>
        <w:t>、商务要求（各包同等适用）</w:t>
      </w:r>
    </w:p>
    <w:p w14:paraId="2ADC6A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1、交货时间：合同签订后</w:t>
      </w:r>
      <w:r>
        <w:rPr>
          <w:rFonts w:hint="eastAsia" w:ascii="宋体" w:hAnsi="宋体" w:eastAsia="宋体" w:cs="宋体"/>
          <w:b w:val="0"/>
          <w:bCs w:val="0"/>
          <w:color w:val="auto"/>
          <w:sz w:val="24"/>
          <w:szCs w:val="24"/>
          <w:highlight w:val="none"/>
          <w:lang w:val="en-US" w:eastAsia="zh-CN"/>
        </w:rPr>
        <w:t>60</w:t>
      </w:r>
      <w:r>
        <w:rPr>
          <w:rFonts w:hint="eastAsia" w:ascii="宋体" w:hAnsi="宋体" w:eastAsia="宋体" w:cs="宋体"/>
          <w:b w:val="0"/>
          <w:bCs w:val="0"/>
          <w:color w:val="auto"/>
          <w:sz w:val="24"/>
          <w:szCs w:val="24"/>
          <w:highlight w:val="none"/>
          <w:lang w:val="zh-TW"/>
        </w:rPr>
        <w:t>天内交货。</w:t>
      </w:r>
    </w:p>
    <w:p w14:paraId="324937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若中标供应商因遇不可抗力或其他特殊情况导致无法交货或无法按时交货的（不可抗力包括战争、叛乱、严重火灾、水灾、地震等人力无法抗拒的原因，及双方在缔结合同时不能预见的，并且它的发生及其后果是无法避免和无法克服的事件），中标供应商应当</w:t>
      </w:r>
      <w:r>
        <w:rPr>
          <w:rFonts w:hint="eastAsia" w:ascii="宋体" w:hAnsi="宋体" w:eastAsia="宋体" w:cs="宋体"/>
          <w:b w:val="0"/>
          <w:bCs w:val="0"/>
          <w:color w:val="auto"/>
          <w:sz w:val="24"/>
          <w:szCs w:val="24"/>
          <w:highlight w:val="none"/>
          <w:lang w:val="en-US" w:eastAsia="zh-CN"/>
        </w:rPr>
        <w:t>在不可抗力发生后3日内</w:t>
      </w:r>
      <w:r>
        <w:rPr>
          <w:rFonts w:hint="eastAsia" w:ascii="宋体" w:hAnsi="宋体" w:eastAsia="宋体" w:cs="宋体"/>
          <w:b w:val="0"/>
          <w:bCs w:val="0"/>
          <w:color w:val="auto"/>
          <w:sz w:val="24"/>
          <w:szCs w:val="24"/>
          <w:highlight w:val="none"/>
          <w:lang w:val="zh-TW"/>
        </w:rPr>
        <w:t>通知采购人</w:t>
      </w:r>
      <w:r>
        <w:rPr>
          <w:rFonts w:hint="eastAsia" w:ascii="宋体" w:hAnsi="宋体" w:eastAsia="宋体" w:cs="宋体"/>
          <w:b w:val="0"/>
          <w:bCs w:val="0"/>
          <w:color w:val="auto"/>
          <w:sz w:val="24"/>
          <w:szCs w:val="24"/>
          <w:highlight w:val="none"/>
          <w:lang w:val="zh-TW" w:eastAsia="zh-CN"/>
        </w:rPr>
        <w:t>（若因通讯未恢复无法按时在前述时间内向对方通报的，则需在通讯恢复后次日向对方通报）</w:t>
      </w:r>
      <w:r>
        <w:rPr>
          <w:rFonts w:hint="eastAsia" w:ascii="宋体" w:hAnsi="宋体" w:eastAsia="宋体" w:cs="宋体"/>
          <w:b w:val="0"/>
          <w:bCs w:val="0"/>
          <w:color w:val="auto"/>
          <w:sz w:val="24"/>
          <w:szCs w:val="24"/>
          <w:highlight w:val="none"/>
          <w:lang w:val="zh-TW"/>
        </w:rPr>
        <w:t>。同时，中标供应商须取得有关权威机关出具的不可抗力证明并</w:t>
      </w:r>
      <w:r>
        <w:rPr>
          <w:rFonts w:hint="eastAsia" w:ascii="宋体" w:hAnsi="宋体" w:eastAsia="宋体" w:cs="宋体"/>
          <w:b w:val="0"/>
          <w:bCs w:val="0"/>
          <w:color w:val="auto"/>
          <w:sz w:val="24"/>
          <w:szCs w:val="24"/>
          <w:highlight w:val="none"/>
          <w:lang w:val="en-US" w:eastAsia="zh-CN"/>
        </w:rPr>
        <w:t>在取得证明后的3日内</w:t>
      </w:r>
      <w:r>
        <w:rPr>
          <w:rFonts w:hint="eastAsia" w:ascii="宋体" w:hAnsi="宋体" w:eastAsia="宋体" w:cs="宋体"/>
          <w:b w:val="0"/>
          <w:bCs w:val="0"/>
          <w:color w:val="auto"/>
          <w:sz w:val="24"/>
          <w:szCs w:val="24"/>
          <w:highlight w:val="none"/>
          <w:lang w:val="zh-TW"/>
        </w:rPr>
        <w:t>向采购人提供，采购人有权对其真实性、合法性进行审查并决定是否采纳。中标供应商不得因自身履约能力不足或者因正常的商业风险导致的无法交货或者无法按时交货向</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主张不可抗力。确定由不可抗力造成的损失，免于承担赔偿责任，但任何一方违约后发生的不可抗力情形，并不能免除违约方应当承担的违约责任。</w:t>
      </w:r>
    </w:p>
    <w:p w14:paraId="155FE8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2、履约（实施）地点:遂宁市</w:t>
      </w:r>
      <w:r>
        <w:rPr>
          <w:rFonts w:hint="eastAsia" w:ascii="宋体" w:hAnsi="宋体" w:eastAsia="宋体" w:cs="宋体"/>
          <w:b w:val="0"/>
          <w:bCs w:val="0"/>
          <w:color w:val="auto"/>
          <w:sz w:val="24"/>
          <w:szCs w:val="24"/>
          <w:highlight w:val="none"/>
          <w:lang w:val="en-US" w:eastAsia="zh-CN"/>
        </w:rPr>
        <w:t>德水南路119号</w:t>
      </w:r>
      <w:r>
        <w:rPr>
          <w:rFonts w:hint="eastAsia" w:ascii="宋体" w:hAnsi="宋体" w:eastAsia="宋体" w:cs="宋体"/>
          <w:b w:val="0"/>
          <w:bCs w:val="0"/>
          <w:color w:val="auto"/>
          <w:sz w:val="24"/>
          <w:szCs w:val="24"/>
          <w:highlight w:val="none"/>
          <w:lang w:val="zh-TW"/>
        </w:rPr>
        <w:t>。</w:t>
      </w:r>
    </w:p>
    <w:p w14:paraId="199F2F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3、付款条件（进度和方式）：</w:t>
      </w:r>
    </w:p>
    <w:p w14:paraId="2CCDA0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3.1合同签订生效后，采购人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自收到中标供应商出具的合法有效完整的完税发票及凭证资料之日起7个工作日内以转账方式预付其相应货款的</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rPr>
        <w:t>0%到中标供应商指定账户。</w:t>
      </w:r>
    </w:p>
    <w:p w14:paraId="08B620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3.2全部货物验收合格</w:t>
      </w:r>
      <w:r>
        <w:rPr>
          <w:rFonts w:hint="eastAsia" w:ascii="宋体" w:hAnsi="宋体" w:eastAsia="宋体" w:cs="宋体"/>
          <w:b w:val="0"/>
          <w:bCs w:val="0"/>
          <w:color w:val="auto"/>
          <w:sz w:val="24"/>
          <w:szCs w:val="24"/>
          <w:highlight w:val="none"/>
          <w:lang w:val="en-US" w:eastAsia="zh-CN"/>
        </w:rPr>
        <w:t>并</w:t>
      </w:r>
      <w:r>
        <w:rPr>
          <w:rFonts w:hint="eastAsia" w:ascii="宋体" w:hAnsi="宋体" w:eastAsia="宋体" w:cs="宋体"/>
          <w:b w:val="0"/>
          <w:bCs w:val="0"/>
          <w:color w:val="auto"/>
          <w:sz w:val="24"/>
          <w:highlight w:val="none"/>
          <w:lang w:val="zh-TW" w:eastAsia="zh-CN"/>
        </w:rPr>
        <w:t>经采购人结算审计后</w:t>
      </w:r>
      <w:r>
        <w:rPr>
          <w:rFonts w:hint="eastAsia"/>
          <w:color w:val="auto"/>
          <w:lang w:eastAsia="zh-CN"/>
        </w:rPr>
        <w:t>，</w:t>
      </w:r>
      <w:r>
        <w:rPr>
          <w:rFonts w:hint="eastAsia" w:ascii="宋体" w:hAnsi="宋体" w:eastAsia="宋体" w:cs="宋体"/>
          <w:b w:val="0"/>
          <w:bCs w:val="0"/>
          <w:color w:val="auto"/>
          <w:sz w:val="24"/>
          <w:szCs w:val="24"/>
          <w:highlight w:val="none"/>
          <w:lang w:val="zh-TW"/>
        </w:rPr>
        <w:t>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自收到中标供应商出具的合法有效完整的完税发票</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或收据</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及凭证资料之日起10个工作日内以转账方式支付其相应剩余货款到中标供应商指定账户。</w:t>
      </w:r>
    </w:p>
    <w:p w14:paraId="46FE4F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3.3中标供应商未按照前述规定提供付款所需票据凭证资料的，采购人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付款期限相应顺延且不承担任何违约责任。</w:t>
      </w:r>
    </w:p>
    <w:p w14:paraId="31C10C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3.4中标供应商变更收款账户的，应当在变更后1个工作日内书面通知采购人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，因中标供应商未及时通知导致的不利后果，由中标供应商自行承担。在变更通知到达采购人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前，采购人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按原合同约定的账户信息进行价款支付的，视为已完成支付义务。</w:t>
      </w:r>
    </w:p>
    <w:p w14:paraId="3A2212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w:t>
      </w:r>
      <w:r>
        <w:rPr>
          <w:rFonts w:hint="eastAsia" w:ascii="宋体" w:hAnsi="宋体" w:eastAsia="宋体" w:cs="宋体"/>
          <w:b w:val="0"/>
          <w:bCs w:val="0"/>
          <w:color w:val="auto"/>
          <w:sz w:val="24"/>
          <w:szCs w:val="24"/>
          <w:highlight w:val="none"/>
          <w:lang w:val="en-US" w:eastAsia="zh-CN"/>
        </w:rPr>
        <w:t>履约验收</w:t>
      </w:r>
      <w:r>
        <w:rPr>
          <w:rFonts w:hint="eastAsia" w:ascii="宋体" w:hAnsi="宋体" w:eastAsia="宋体" w:cs="宋体"/>
          <w:b w:val="0"/>
          <w:bCs w:val="0"/>
          <w:color w:val="auto"/>
          <w:sz w:val="24"/>
          <w:szCs w:val="24"/>
          <w:highlight w:val="none"/>
          <w:lang w:val="zh-TW"/>
        </w:rPr>
        <w:t>：</w:t>
      </w:r>
    </w:p>
    <w:p w14:paraId="713866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中标供应商应在交货时间内以原厂包装形式交货到采购人指定地点。依据国家消防装备质量检验检测中心产品抽查检验目录，凡是国家消防装备质量检验检测中心能检验的装备品目，验收时必须抽样送检；不属于国家消防装备质量检验检测中心检验的装备品目若采购人要求中标供应商交货验收时提供产品质检部门从同类产品中抽样检查合格的检测报告，中标供应商必须无条件配合。检验范围包括但不限于：货物及所属配件的质量性能等。如第三方检验机构出具的检验报告结果为合格，采购人可以视为中标供应商交付货物通过了采购人组织的抽样送检。如第三方检验机构出具的检验报告结果为不合格，则视为中标供应商交付货物未通过采购人组织的抽样送检。</w:t>
      </w:r>
    </w:p>
    <w:p w14:paraId="04EDD1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中标供应商交付货物未通过采购人组织的抽样送检时，采购人有权要求中标供应商无条件更换货物。采购人收到更换货物后，原则上须向中标供应商退还不合格产品；但如货物已使用，采购人有权自行对不合格产品进行处理，且无需针对不合格产品向中标供应商支付任何费用。如中标供应商拒不配合更换，则视为供应商交付的货物不符合合同规定，采购人有权按照双方签订的合同要求中标供应商承担违约责任。 </w:t>
      </w:r>
    </w:p>
    <w:p w14:paraId="4334C8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抽样检查合格，则相关检测费用由采购人支付。抽样检查不合格，则相</w:t>
      </w:r>
      <w:r>
        <w:rPr>
          <w:rFonts w:hint="eastAsia" w:ascii="宋体" w:hAnsi="宋体" w:eastAsia="宋体" w:cs="宋体"/>
          <w:b w:val="0"/>
          <w:bCs w:val="0"/>
          <w:color w:val="auto"/>
          <w:sz w:val="24"/>
          <w:szCs w:val="24"/>
          <w:highlight w:val="none"/>
          <w:lang w:val="en-US" w:eastAsia="zh-CN"/>
        </w:rPr>
        <w:t>关</w:t>
      </w:r>
      <w:r>
        <w:rPr>
          <w:rFonts w:hint="eastAsia" w:ascii="宋体" w:hAnsi="宋体" w:eastAsia="宋体" w:cs="宋体"/>
          <w:b w:val="0"/>
          <w:bCs w:val="0"/>
          <w:color w:val="auto"/>
          <w:sz w:val="24"/>
          <w:szCs w:val="24"/>
          <w:highlight w:val="none"/>
          <w:lang w:val="zh-TW"/>
        </w:rPr>
        <w:t>检测费用由中标供应商支付。</w:t>
      </w:r>
    </w:p>
    <w:p w14:paraId="31DDCD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4.2中标供应商应对提供的货物作全面自查和整理，并列出清单，作为采购人验收和使用的技术条件依据，清单应随提供的验收资料一并递交。</w:t>
      </w:r>
    </w:p>
    <w:p w14:paraId="01E686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4.3中标供应商提供的货物应包括本合同规定的全部货物及其附（辅）件、资料</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具体附（辅）件及资料包含</w:t>
      </w:r>
      <w:r>
        <w:rPr>
          <w:rFonts w:hint="eastAsia" w:ascii="宋体" w:hAnsi="宋体" w:eastAsia="宋体" w:cs="宋体"/>
          <w:b w:val="0"/>
          <w:bCs w:val="0"/>
          <w:color w:val="auto"/>
          <w:sz w:val="24"/>
          <w:szCs w:val="24"/>
          <w:highlight w:val="none"/>
          <w:lang w:val="zh-TW"/>
        </w:rPr>
        <w:t>产品彩色图片</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rPr>
        <w:t>、产品说明书</w:t>
      </w:r>
      <w:r>
        <w:rPr>
          <w:rFonts w:hint="eastAsia" w:ascii="宋体" w:hAnsi="宋体" w:eastAsia="宋体" w:cs="宋体"/>
          <w:b w:val="0"/>
          <w:bCs w:val="0"/>
          <w:color w:val="auto"/>
          <w:sz w:val="24"/>
          <w:szCs w:val="24"/>
          <w:highlight w:val="none"/>
          <w:lang w:val="en-US" w:eastAsia="zh-CN"/>
        </w:rPr>
        <w:t>(操作手册)PDF</w:t>
      </w:r>
      <w:r>
        <w:rPr>
          <w:rFonts w:hint="eastAsia" w:ascii="宋体" w:hAnsi="宋体" w:eastAsia="宋体" w:cs="宋体"/>
          <w:b w:val="0"/>
          <w:bCs w:val="0"/>
          <w:color w:val="auto"/>
          <w:sz w:val="24"/>
          <w:szCs w:val="24"/>
          <w:highlight w:val="none"/>
          <w:lang w:val="zh-TW"/>
        </w:rPr>
        <w:t>、检测报告及3C认证</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如涉及</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PDF发送至采购人指定邮箱</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0A4338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4.4采购人在到货后的15个工作日内统一组织验收，如采购人确有原因无法如期组织验收的，应该在货物验收期满前通知中标供应商并告知原因，双方另行协商验收时间。</w:t>
      </w:r>
    </w:p>
    <w:p w14:paraId="1A26EA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货物验收时，验收双方必须同时在场，严格按照政府采购相关法律法规的要求，通过中标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提供的货物、文件、检测报告等，逐项对比采购文件、投标文件、采购合同，确认是否完全满足各项要求。中标供应商所交付的货物不符合规定的，采购人有权拒收，并做出详尽的现场记录或在验收清单上注明具体验收情况，由双方签字确认，此现场记录或验收清单可用作补充缺失货物、更换损坏货物的有效证据。中标供应商应按采购文件、投标文件、采购合同规定和采购人要求免费对拒收货物采取更换或其他必要的补救措施，直至验收合格，方视为中标供应商按本合同规定完成交货，由此产生的时间延误与费用由中标供应商承担，验收期相应顺延。</w:t>
      </w:r>
    </w:p>
    <w:p w14:paraId="669DBB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4.5验收合格的，由双方共同签署《履约验收登记表》。 </w:t>
      </w:r>
    </w:p>
    <w:p w14:paraId="6E716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4.6采购人可以视项目规模或复杂情况聘请专业人员参与验收，大型或复杂项目，以及特种货物应当邀请国家认可的第三方质量检测机构参与验收。</w:t>
      </w:r>
    </w:p>
    <w:p w14:paraId="1C6DAE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4.7货物验收包括：货物包装是否完好，产地生产厂家名称、品牌、型号、规格、数量、外观质量、配置、内在质量，以及调试运行是否达到本合同规定的效果。中标供应商应将所提供货物的装箱清单、产品合格证、用户使用手册、原厂保修卡、随机资料及备品备件、易损件、专用工具等交付给采购人；中标供应商不能完整交付货物、附（辅）件和资料的，视为未按合同约定交货，中标供应商负责补齐，因此导致逾期交付的，由中标供应商承担相应的违约责任。 </w:t>
      </w:r>
    </w:p>
    <w:p w14:paraId="52108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4.8本项目所涉产品的知识产权及所有权等合法权益的，中标供应商在交货时应保证完整无瑕疵，采购人验收合格后产品的知识产权及所有权等合法权益全部归属采购人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，如果采购人收货后发生知识产权或所有权等相关争议，由中标供应商承担责任的，则按照</w:t>
      </w:r>
      <w:r>
        <w:rPr>
          <w:rFonts w:hint="eastAsia" w:ascii="宋体" w:hAnsi="宋体" w:eastAsia="宋体" w:cs="宋体"/>
          <w:b w:val="0"/>
          <w:bCs w:val="0"/>
          <w:color w:val="auto"/>
          <w:sz w:val="24"/>
          <w:szCs w:val="24"/>
          <w:highlight w:val="none"/>
          <w:lang w:val="en-US" w:eastAsia="zh-CN"/>
        </w:rPr>
        <w:t>本项目政府采购合同中</w:t>
      </w:r>
      <w:r>
        <w:rPr>
          <w:rFonts w:hint="eastAsia" w:ascii="宋体" w:hAnsi="宋体" w:eastAsia="宋体" w:cs="宋体"/>
          <w:b w:val="0"/>
          <w:bCs w:val="0"/>
          <w:color w:val="auto"/>
          <w:sz w:val="24"/>
          <w:szCs w:val="24"/>
          <w:highlight w:val="none"/>
          <w:lang w:val="zh-TW"/>
        </w:rPr>
        <w:t>违约责任的相关规定执行。</w:t>
      </w:r>
    </w:p>
    <w:p w14:paraId="6A5890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4.9验收方法：单位内部验收。</w:t>
      </w:r>
    </w:p>
    <w:p w14:paraId="30D9F7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4.10验收标准：根据财政部发布的《关于进一步加强政府采购需求和履约验收管理的指导意见》（财库[2016]205号）的要求，按照本项目招标文件、中标人的投标文件、本项目政府采购合同约定进行验收。</w:t>
      </w:r>
    </w:p>
    <w:p w14:paraId="0A884B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 xml:space="preserve"> 货物毁损、灭失的风险，自验收合格后由</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rPr>
        <w:t>供应商转为采购人承担。</w:t>
      </w:r>
    </w:p>
    <w:p w14:paraId="21736D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5、售后服务：</w:t>
      </w:r>
    </w:p>
    <w:p w14:paraId="7B7636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5.1质量保证期为自货物验收合格之日起【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】年，若国家有明确规定的质量保证期、供应商承诺的质量保证期高于此质量保证期的，执行国家规定或供应商承诺的质量保证期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以最长的期限计算质量保证期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683139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5.2 中标供应商应对由于设计、工艺、质量（含环保节能要求）、材料等缺陷而发生的任何不足或故障负责，并解决存在的问题。</w:t>
      </w:r>
    </w:p>
    <w:p w14:paraId="030214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5.3 中标供应商应对不符合本项目规定要求的货物在【2】日内进行调换，调换本身并不影响采购人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就其损失向中标供应商索赔的权利。</w:t>
      </w:r>
    </w:p>
    <w:p w14:paraId="7DEBF0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5.4 货物验收合格后，中标供应商应继续向采购人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提供良好的技术支持，应当由专门队伍从事此项工作，并提供【7*24】小时的热线技术支持服务，应当在收到采购人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所反映的任何问题后【2】小时之内做出及时响应，同时【24】小时之内赶到现场实地解决问题，并在赶到现场后【5】小时内完成维修或更换，同时承担维修调换所引起的费用。</w:t>
      </w:r>
    </w:p>
    <w:p w14:paraId="168F9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5.5 若问题、故障在检修5个小时后仍无法解决，中标供应商应在24小时内</w:t>
      </w:r>
      <w:r>
        <w:rPr>
          <w:rFonts w:hint="eastAsia" w:ascii="宋体" w:hAnsi="宋体" w:eastAsia="宋体" w:cs="宋体"/>
          <w:b w:val="0"/>
          <w:bCs w:val="0"/>
          <w:color w:val="auto"/>
          <w:sz w:val="24"/>
          <w:szCs w:val="24"/>
          <w:highlight w:val="none"/>
          <w:lang w:val="en-US" w:eastAsia="zh-CN"/>
        </w:rPr>
        <w:t>提供备件并</w:t>
      </w:r>
      <w:r>
        <w:rPr>
          <w:rFonts w:hint="eastAsia" w:ascii="宋体" w:hAnsi="宋体" w:eastAsia="宋体" w:cs="宋体"/>
          <w:b w:val="0"/>
          <w:bCs w:val="0"/>
          <w:color w:val="auto"/>
          <w:sz w:val="24"/>
          <w:szCs w:val="24"/>
          <w:highlight w:val="none"/>
          <w:lang w:val="zh-TW"/>
        </w:rPr>
        <w:t>完成更换。</w:t>
      </w:r>
    </w:p>
    <w:p w14:paraId="55BFFE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5.6</w:t>
      </w:r>
      <w:r>
        <w:rPr>
          <w:rFonts w:hint="eastAsia" w:ascii="宋体" w:hAnsi="宋体" w:eastAsia="宋体" w:cs="宋体"/>
          <w:b w:val="0"/>
          <w:bCs w:val="0"/>
          <w:color w:val="auto"/>
          <w:sz w:val="24"/>
          <w:szCs w:val="24"/>
          <w:highlight w:val="none"/>
          <w:lang w:val="en-US" w:eastAsia="zh-CN"/>
        </w:rPr>
        <w:t>因货物质量问题</w:t>
      </w:r>
      <w:r>
        <w:rPr>
          <w:rFonts w:hint="eastAsia" w:ascii="宋体" w:hAnsi="宋体" w:eastAsia="宋体" w:cs="宋体"/>
          <w:b w:val="0"/>
          <w:bCs w:val="0"/>
          <w:color w:val="auto"/>
          <w:sz w:val="24"/>
          <w:szCs w:val="24"/>
          <w:highlight w:val="none"/>
          <w:lang w:val="zh-TW"/>
        </w:rPr>
        <w:t>导致</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eastAsia="zh-CN"/>
        </w:rPr>
        <w:t>或第三方</w:t>
      </w:r>
      <w:r>
        <w:rPr>
          <w:rFonts w:hint="eastAsia" w:ascii="宋体" w:hAnsi="宋体" w:eastAsia="宋体" w:cs="宋体"/>
          <w:b w:val="0"/>
          <w:bCs w:val="0"/>
          <w:color w:val="auto"/>
          <w:sz w:val="24"/>
          <w:szCs w:val="24"/>
          <w:highlight w:val="none"/>
          <w:lang w:val="zh-TW"/>
        </w:rPr>
        <w:t>人身或财产损害</w:t>
      </w:r>
      <w:r>
        <w:rPr>
          <w:rFonts w:hint="eastAsia" w:ascii="宋体" w:hAnsi="宋体" w:eastAsia="宋体" w:cs="宋体"/>
          <w:b w:val="0"/>
          <w:bCs w:val="0"/>
          <w:color w:val="auto"/>
          <w:sz w:val="24"/>
          <w:szCs w:val="24"/>
          <w:highlight w:val="none"/>
          <w:lang w:val="en-US" w:eastAsia="zh-CN"/>
        </w:rPr>
        <w:t>时</w:t>
      </w:r>
      <w:r>
        <w:rPr>
          <w:rFonts w:hint="eastAsia" w:ascii="宋体" w:hAnsi="宋体" w:eastAsia="宋体" w:cs="宋体"/>
          <w:b w:val="0"/>
          <w:bCs w:val="0"/>
          <w:color w:val="auto"/>
          <w:sz w:val="24"/>
          <w:szCs w:val="24"/>
          <w:highlight w:val="none"/>
          <w:lang w:val="zh-TW"/>
        </w:rPr>
        <w:t>，中标供应商应全额赔偿</w:t>
      </w:r>
      <w:r>
        <w:rPr>
          <w:rFonts w:hint="eastAsia" w:ascii="宋体" w:hAnsi="宋体" w:eastAsia="宋体" w:cs="宋体"/>
          <w:b w:val="0"/>
          <w:bCs w:val="0"/>
          <w:color w:val="auto"/>
          <w:sz w:val="24"/>
          <w:szCs w:val="24"/>
          <w:highlight w:val="none"/>
          <w:lang w:val="zh-TW" w:eastAsia="zh-CN"/>
        </w:rPr>
        <w:t>且承担由此产生的一切责任</w:t>
      </w:r>
      <w:r>
        <w:rPr>
          <w:rFonts w:hint="eastAsia" w:ascii="宋体" w:hAnsi="宋体" w:eastAsia="宋体" w:cs="宋体"/>
          <w:b w:val="0"/>
          <w:bCs w:val="0"/>
          <w:color w:val="auto"/>
          <w:sz w:val="24"/>
          <w:szCs w:val="24"/>
          <w:highlight w:val="none"/>
          <w:lang w:val="zh-TW"/>
        </w:rPr>
        <w:t>，采购人</w:t>
      </w:r>
      <w:r>
        <w:rPr>
          <w:rFonts w:hint="eastAsia" w:ascii="宋体" w:hAnsi="宋体" w:eastAsia="宋体" w:cs="宋体"/>
          <w:b w:val="0"/>
          <w:bCs w:val="0"/>
          <w:color w:val="auto"/>
          <w:sz w:val="24"/>
          <w:szCs w:val="24"/>
          <w:highlight w:val="none"/>
          <w:lang w:val="en-US" w:eastAsia="zh-CN"/>
        </w:rPr>
        <w:t>及所属预算相关使用单位有权</w:t>
      </w:r>
      <w:r>
        <w:rPr>
          <w:rFonts w:hint="eastAsia" w:ascii="宋体" w:hAnsi="宋体" w:eastAsia="宋体" w:cs="宋体"/>
          <w:b w:val="0"/>
          <w:bCs w:val="0"/>
          <w:color w:val="auto"/>
          <w:sz w:val="24"/>
          <w:szCs w:val="24"/>
          <w:highlight w:val="none"/>
          <w:lang w:val="zh-TW"/>
        </w:rPr>
        <w:t>根据人身或财产损害的情形，就中标供应商未提供质量合格货物的违法/犯罪行为向有管辖权的行政机关/司法机关进行移送。</w:t>
      </w:r>
    </w:p>
    <w:p w14:paraId="27C834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违约责任</w:t>
      </w:r>
    </w:p>
    <w:p w14:paraId="2C0B18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.1采购人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违约责任：</w:t>
      </w:r>
    </w:p>
    <w:p w14:paraId="7C0658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无正当理由拒收货物、拒付货款的，采购人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应向中标供应商偿付拒收或拒付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货款1％的违约金。</w:t>
      </w:r>
    </w:p>
    <w:p w14:paraId="073790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无正当理由未按合同规定的期限向中标供应商支付货款的，每逾期1日，采购人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向中标供应商偿付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应付而未付款总额0.1‰的违约金，但累计违约金总额不超过应付而未付款总额的1％。若因财政年终决算关账、财政资金收回或财政资金未下达等客观原因导致采购人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未按合同约定支付相应款项的，不视为违约，不承担任何违约责任。</w:t>
      </w:r>
    </w:p>
    <w:p w14:paraId="7E2D4A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偿付的违约金不足以弥补中标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损失的，还应按中标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损失尚未弥补的部分，支付赔偿金给中标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w:t>
      </w:r>
    </w:p>
    <w:p w14:paraId="184609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.2中标供应商违约责任：</w:t>
      </w:r>
    </w:p>
    <w:p w14:paraId="7953A0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中标供应商无正当理由逾期交付货物的，每逾期1日，中标供应商向采购人偿付逾期交货部分货款总金额3%的违约金。如中标供应商逾期交货达10日，采购人有权解除合同，采购人解除合同的通知自到达中标供应商时生效。在此情况下，中标供应商给采购人造成的实际损失高于违约金的，对高出违约金的部分中标供应商应予以赔偿。</w:t>
      </w:r>
    </w:p>
    <w:p w14:paraId="3B161F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yellow"/>
          <w:lang w:val="zh-TW"/>
        </w:rPr>
      </w:pPr>
      <w:r>
        <w:rPr>
          <w:rFonts w:hint="eastAsia" w:ascii="宋体" w:hAnsi="宋体" w:eastAsia="宋体" w:cs="宋体"/>
          <w:b w:val="0"/>
          <w:bCs w:val="0"/>
          <w:color w:val="auto"/>
          <w:sz w:val="24"/>
          <w:szCs w:val="24"/>
          <w:highlight w:val="none"/>
          <w:lang w:val="zh-TW" w:eastAsia="zh-CN"/>
        </w:rPr>
        <w:t>（2）</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中标供应商所交付的货物不符合本合同规定的</w:t>
      </w:r>
      <w:r>
        <w:rPr>
          <w:rFonts w:hint="eastAsia" w:ascii="宋体" w:hAnsi="宋体" w:eastAsia="宋体" w:cs="宋体"/>
          <w:b w:val="0"/>
          <w:bCs w:val="0"/>
          <w:color w:val="auto"/>
          <w:sz w:val="24"/>
          <w:szCs w:val="24"/>
          <w:highlight w:val="none"/>
          <w:lang w:val="zh-TW" w:eastAsia="zh-CN"/>
        </w:rPr>
        <w:t>，则采购人有权拒收并向中标供应商收取合同总金额10％的违约金，</w:t>
      </w:r>
      <w:r>
        <w:rPr>
          <w:rFonts w:hint="eastAsia" w:ascii="宋体" w:hAnsi="宋体" w:eastAsia="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zh-TW" w:eastAsia="zh-CN"/>
        </w:rPr>
        <w:t>中标供应商应向采购人退还相应款项及利息，同时采购人有权向市场监督管理等行政部门反映，由相关行政部门对其违法行为进行查处。</w:t>
      </w:r>
    </w:p>
    <w:p w14:paraId="6E164A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同时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采购人有权选择</w:t>
      </w:r>
      <w:r>
        <w:rPr>
          <w:rFonts w:hint="eastAsia" w:ascii="宋体" w:hAnsi="宋体" w:eastAsia="宋体" w:cs="宋体"/>
          <w:b w:val="0"/>
          <w:bCs w:val="0"/>
          <w:color w:val="auto"/>
          <w:sz w:val="24"/>
          <w:szCs w:val="24"/>
          <w:highlight w:val="none"/>
          <w:lang w:val="zh-TW"/>
        </w:rPr>
        <w:t>以下任一方式</w:t>
      </w:r>
      <w:r>
        <w:rPr>
          <w:rFonts w:hint="eastAsia" w:ascii="宋体" w:hAnsi="宋体" w:eastAsia="宋体" w:cs="宋体"/>
          <w:b w:val="0"/>
          <w:bCs w:val="0"/>
          <w:color w:val="auto"/>
          <w:sz w:val="24"/>
          <w:szCs w:val="24"/>
          <w:highlight w:val="none"/>
          <w:lang w:val="en-US" w:eastAsia="zh-CN"/>
        </w:rPr>
        <w:t>继续</w:t>
      </w:r>
      <w:r>
        <w:rPr>
          <w:rFonts w:hint="eastAsia" w:ascii="宋体" w:hAnsi="宋体" w:eastAsia="宋体" w:cs="宋体"/>
          <w:b w:val="0"/>
          <w:bCs w:val="0"/>
          <w:color w:val="auto"/>
          <w:sz w:val="24"/>
          <w:szCs w:val="24"/>
          <w:highlight w:val="none"/>
          <w:lang w:val="zh-TW"/>
        </w:rPr>
        <w:t>处理：</w:t>
      </w:r>
    </w:p>
    <w:p w14:paraId="7AB7EF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① 中标供应商应</w:t>
      </w:r>
      <w:r>
        <w:rPr>
          <w:rFonts w:hint="eastAsia" w:ascii="宋体" w:hAnsi="宋体" w:eastAsia="宋体" w:cs="宋体"/>
          <w:b w:val="0"/>
          <w:bCs w:val="0"/>
          <w:color w:val="auto"/>
          <w:sz w:val="24"/>
          <w:szCs w:val="24"/>
          <w:highlight w:val="none"/>
          <w:lang w:val="en-US" w:eastAsia="zh-CN"/>
        </w:rPr>
        <w:t>在采购人要求的期限内</w:t>
      </w:r>
      <w:r>
        <w:rPr>
          <w:rFonts w:hint="eastAsia" w:ascii="宋体" w:hAnsi="宋体" w:eastAsia="宋体" w:cs="宋体"/>
          <w:b w:val="0"/>
          <w:bCs w:val="0"/>
          <w:color w:val="auto"/>
          <w:sz w:val="24"/>
          <w:szCs w:val="24"/>
          <w:highlight w:val="none"/>
          <w:lang w:val="zh-TW"/>
        </w:rPr>
        <w:t>重新完成货物交付，若未在前述期限内完成交付，则采购人有权向供应商另行收取对应货物金额</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%的违约金并解除合同。</w:t>
      </w:r>
    </w:p>
    <w:p w14:paraId="390980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② 直接解除合同。</w:t>
      </w:r>
    </w:p>
    <w:p w14:paraId="4C098C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中标供应商未按照《投标文件》承诺和本合同约定提供服务的，每出现一次违约，中标供应商应按合同总金额的1%向采购人支付违约金，并按照采购人要求限期整改。未按采购人要求整改</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TW"/>
        </w:rPr>
        <w:t>出现2次及以上违约的，采购人有权直接解除合同，解除通知自到达中标供应商时生效，中标供应商还应另按合同总金额的10%向采购人支付违约金。</w:t>
      </w:r>
    </w:p>
    <w:p w14:paraId="0854C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中标供应商保证本合同货物的权利无瑕疵，包括货物所有权及知识产权等权利无瑕疵。如任何第三方经法院（或仲裁机构）裁决有权对上述产品主张权利，由中标供应商承担经济责任的，采购人有权无条件解除合同并有权要求中标供应商退还已收取的相应费用及利息，同时中标供应商还应另按合同总</w:t>
      </w:r>
      <w:r>
        <w:rPr>
          <w:rFonts w:hint="eastAsia" w:ascii="宋体" w:hAnsi="宋体" w:eastAsia="宋体" w:cs="宋体"/>
          <w:b w:val="0"/>
          <w:bCs w:val="0"/>
          <w:color w:val="auto"/>
          <w:sz w:val="24"/>
          <w:szCs w:val="24"/>
          <w:highlight w:val="none"/>
          <w:lang w:val="en-US" w:eastAsia="zh-CN"/>
        </w:rPr>
        <w:t>金额</w:t>
      </w:r>
      <w:r>
        <w:rPr>
          <w:rFonts w:hint="eastAsia" w:ascii="宋体" w:hAnsi="宋体" w:eastAsia="宋体" w:cs="宋体"/>
          <w:b w:val="0"/>
          <w:bCs w:val="0"/>
          <w:color w:val="auto"/>
          <w:sz w:val="24"/>
          <w:szCs w:val="24"/>
          <w:highlight w:val="none"/>
          <w:lang w:val="zh-TW"/>
        </w:rPr>
        <w:t>的20%向采购人支付违约金并赔偿因此给采购人造成的一切损失。</w:t>
      </w:r>
    </w:p>
    <w:p w14:paraId="06C9E4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（5）未经双方协商一致，中标供应商不得单方面变更、中止、解除或终止本合同，否则中标供应商应承担合同总金额10%的违约金，并赔偿由此给采购人造成的全部损失。 </w:t>
      </w:r>
    </w:p>
    <w:p w14:paraId="74BB6C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（6）中标供应商未经采购人书面同意，不得擅自分包、转包，否则采购人有权立即终止合同，并要求中标供应商停止分包、转包行为，同时有权要求中标供应商承担合同总金额10%的违约金。</w:t>
      </w:r>
    </w:p>
    <w:p w14:paraId="313F0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（7）合同签订后，</w:t>
      </w:r>
      <w:r>
        <w:rPr>
          <w:rFonts w:hint="eastAsia" w:ascii="宋体" w:hAnsi="宋体" w:eastAsia="宋体" w:cs="宋体"/>
          <w:b w:val="0"/>
          <w:bCs w:val="0"/>
          <w:color w:val="auto"/>
          <w:sz w:val="24"/>
          <w:szCs w:val="24"/>
          <w:highlight w:val="none"/>
          <w:lang w:val="zh-TW" w:eastAsia="zh-CN"/>
        </w:rPr>
        <w:t>若发现供应商在本项目中存在以虚假材料谋取中标等违反政府采购法律法规的行为</w:t>
      </w:r>
      <w:r>
        <w:rPr>
          <w:rFonts w:hint="eastAsia" w:ascii="宋体" w:hAnsi="宋体" w:eastAsia="宋体" w:cs="宋体"/>
          <w:b w:val="0"/>
          <w:bCs w:val="0"/>
          <w:color w:val="auto"/>
          <w:sz w:val="24"/>
          <w:szCs w:val="24"/>
          <w:highlight w:val="none"/>
          <w:lang w:val="zh-TW"/>
        </w:rPr>
        <w:t>，采购人有权无条件解除本合同并要求中标供应商退还相应费用及利息。</w:t>
      </w:r>
    </w:p>
    <w:p w14:paraId="40C3D3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（8）中标供应商违反本合同约定的，应当按照本合同约定支付违约金，并赔偿由此给采购人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造成的全部损失，包括采购人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因诉讼产生的律师费、诉讼费用、保全保险费、差旅费等费用。</w:t>
      </w:r>
    </w:p>
    <w:p w14:paraId="4B1703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（9）如因中标供应商工作人员在履行职务过程中的疏忽、失职、过错等故意或者过失原因给采购人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造成损失或侵害，包括但不限于采购人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本身的财产损失、由此而导致的采购人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对任何第三方的法律责任等，要</w:t>
      </w:r>
      <w:r>
        <w:rPr>
          <w:rFonts w:hint="eastAsia" w:ascii="宋体" w:hAnsi="宋体" w:eastAsia="宋体" w:cs="宋体"/>
          <w:b w:val="0"/>
          <w:bCs w:val="0"/>
          <w:color w:val="auto"/>
          <w:sz w:val="24"/>
          <w:szCs w:val="24"/>
          <w:highlight w:val="none"/>
          <w:lang w:val="en-US" w:eastAsia="zh-CN"/>
        </w:rPr>
        <w:t>求</w:t>
      </w:r>
      <w:r>
        <w:rPr>
          <w:rFonts w:hint="eastAsia" w:ascii="宋体" w:hAnsi="宋体" w:eastAsia="宋体" w:cs="宋体"/>
          <w:b w:val="0"/>
          <w:bCs w:val="0"/>
          <w:color w:val="auto"/>
          <w:sz w:val="24"/>
          <w:szCs w:val="24"/>
          <w:highlight w:val="none"/>
          <w:lang w:val="zh-TW"/>
        </w:rPr>
        <w:t>供应商对此均应承担全部的赔偿责任。</w:t>
      </w:r>
    </w:p>
    <w:p w14:paraId="60CC9D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（10）</w:t>
      </w:r>
      <w:r>
        <w:rPr>
          <w:rFonts w:hint="eastAsia" w:ascii="宋体" w:hAnsi="宋体" w:eastAsia="宋体" w:cs="宋体"/>
          <w:b w:val="0"/>
          <w:bCs w:val="0"/>
          <w:color w:val="auto"/>
          <w:sz w:val="24"/>
          <w:szCs w:val="24"/>
          <w:highlight w:val="none"/>
          <w:lang w:val="en-US" w:eastAsia="zh-CN"/>
        </w:rPr>
        <w:t>本文件</w:t>
      </w:r>
      <w:r>
        <w:rPr>
          <w:rFonts w:hint="eastAsia" w:ascii="宋体" w:hAnsi="宋体" w:eastAsia="宋体" w:cs="宋体"/>
          <w:b w:val="0"/>
          <w:bCs w:val="0"/>
          <w:color w:val="auto"/>
          <w:sz w:val="24"/>
          <w:szCs w:val="24"/>
          <w:highlight w:val="none"/>
          <w:lang w:val="zh-TW"/>
        </w:rPr>
        <w:t>所称“利息”按照中国人民银行授权全国银行间同业拆借中心公布的同期贷款市场报价利率（LPR）为标准，从采购人支付之日起计算。</w:t>
      </w:r>
    </w:p>
    <w:p w14:paraId="08CAD4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zh-TW"/>
        </w:rPr>
        <w:t>争议管辖：在执行本合同中发生的或与本合同有关的争端，双方应通过友好协商解决。不能协商一致的，任何一方可向采购人所在地有管辖权的法院提起诉讼。在法院审理期间，除有争议部分外，本合同其他可以履行的部分仍应按合同条款继续履行。</w:t>
      </w:r>
    </w:p>
    <w:p w14:paraId="73822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8.报价要求：报价包括货物设计、材料、制造、包装、运输、安装、调试、检测、验收合格交付使用之前及保修期内保修服务与备用物件等所有其他有关各项的</w:t>
      </w:r>
      <w:r>
        <w:rPr>
          <w:rFonts w:hint="eastAsia" w:ascii="宋体" w:hAnsi="宋体" w:eastAsia="宋体" w:cs="宋体"/>
          <w:b w:val="0"/>
          <w:bCs w:val="0"/>
          <w:color w:val="auto"/>
          <w:sz w:val="24"/>
          <w:szCs w:val="24"/>
          <w:highlight w:val="none"/>
          <w:lang w:val="en-US" w:eastAsia="zh-CN"/>
        </w:rPr>
        <w:t>一切</w:t>
      </w:r>
      <w:r>
        <w:rPr>
          <w:rFonts w:hint="eastAsia" w:ascii="宋体" w:hAnsi="宋体" w:eastAsia="宋体" w:cs="宋体"/>
          <w:b w:val="0"/>
          <w:bCs w:val="0"/>
          <w:color w:val="auto"/>
          <w:sz w:val="24"/>
          <w:szCs w:val="24"/>
          <w:highlight w:val="none"/>
          <w:lang w:val="zh-TW"/>
        </w:rPr>
        <w:t xml:space="preserve">含税费用。 </w:t>
      </w:r>
    </w:p>
    <w:p w14:paraId="06D093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9.交货时需提供由国家消防救援局“消防装备物资信息采集系统”统一发行的装备物资二维码（或RFID，进行永久标识或相对固定标识）。</w:t>
      </w:r>
    </w:p>
    <w:p w14:paraId="10B0BF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10.履约保证金：</w:t>
      </w:r>
    </w:p>
    <w:p w14:paraId="6BD1C3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履约</w:t>
      </w:r>
      <w:r>
        <w:rPr>
          <w:rFonts w:hint="eastAsia" w:ascii="宋体" w:hAnsi="宋体" w:eastAsia="宋体" w:cs="宋体"/>
          <w:b w:val="0"/>
          <w:bCs w:val="0"/>
          <w:color w:val="auto"/>
          <w:sz w:val="24"/>
          <w:szCs w:val="24"/>
          <w:highlight w:val="none"/>
          <w:lang w:val="en-US" w:eastAsia="zh-CN"/>
        </w:rPr>
        <w:t>保证金由采购人统一收取，所属预算相关使用单位不再收取。中标通知书发放后，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rFonts w:hint="eastAsia" w:ascii="宋体" w:hAnsi="宋体" w:eastAsia="宋体" w:cs="宋体"/>
          <w:b w:val="0"/>
          <w:bCs w:val="0"/>
          <w:color w:val="auto"/>
          <w:sz w:val="24"/>
          <w:szCs w:val="24"/>
          <w:highlight w:val="none"/>
          <w:lang w:val="zh-TW"/>
        </w:rPr>
        <w:t>，中标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需要向采购人缴纳履约保证金，缴纳金额为合同金额的5%。履约保证金作为违约金的一部分用于补偿采购人</w:t>
      </w:r>
      <w:r>
        <w:rPr>
          <w:rFonts w:hint="eastAsia" w:ascii="宋体" w:hAnsi="宋体" w:eastAsia="宋体" w:cs="宋体"/>
          <w:b w:val="0"/>
          <w:bCs w:val="0"/>
          <w:color w:val="auto"/>
          <w:sz w:val="24"/>
          <w:szCs w:val="24"/>
          <w:highlight w:val="none"/>
          <w:lang w:val="en-US" w:eastAsia="zh-CN"/>
        </w:rPr>
        <w:t>及所属预算相关使用单位</w:t>
      </w:r>
      <w:r>
        <w:rPr>
          <w:rFonts w:hint="eastAsia" w:ascii="宋体" w:hAnsi="宋体" w:eastAsia="宋体" w:cs="宋体"/>
          <w:b w:val="0"/>
          <w:bCs w:val="0"/>
          <w:color w:val="auto"/>
          <w:sz w:val="24"/>
          <w:szCs w:val="24"/>
          <w:highlight w:val="none"/>
          <w:lang w:val="zh-TW"/>
        </w:rPr>
        <w:t>因中标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不能履行及瑕疵履行合同义务而蒙受的损失。</w:t>
      </w:r>
    </w:p>
    <w:p w14:paraId="3097F0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.2交款方式：</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可以</w:t>
      </w:r>
      <w:r>
        <w:rPr>
          <w:rFonts w:hint="eastAsia" w:ascii="宋体" w:hAnsi="宋体" w:eastAsia="宋体" w:cs="宋体"/>
          <w:b w:val="0"/>
          <w:bCs w:val="0"/>
          <w:color w:val="auto"/>
          <w:sz w:val="24"/>
          <w:szCs w:val="24"/>
          <w:highlight w:val="none"/>
          <w:lang w:val="en-US" w:eastAsia="zh-CN"/>
        </w:rPr>
        <w:t>自主选择</w:t>
      </w:r>
      <w:r>
        <w:rPr>
          <w:rFonts w:hint="eastAsia" w:ascii="宋体" w:hAnsi="宋体" w:eastAsia="宋体" w:cs="宋体"/>
          <w:b w:val="0"/>
          <w:bCs w:val="0"/>
          <w:color w:val="auto"/>
          <w:sz w:val="24"/>
          <w:szCs w:val="24"/>
          <w:highlight w:val="none"/>
          <w:lang w:val="zh-TW"/>
        </w:rPr>
        <w:t>以支票、汇票、本票或者金融机</w:t>
      </w:r>
      <w:r>
        <w:rPr>
          <w:rFonts w:hint="eastAsia" w:ascii="宋体" w:hAnsi="宋体" w:eastAsia="宋体" w:cs="宋体"/>
          <w:b w:val="0"/>
          <w:bCs w:val="0"/>
          <w:color w:val="auto"/>
          <w:sz w:val="24"/>
          <w:szCs w:val="24"/>
          <w:highlight w:val="none"/>
          <w:lang w:val="en-US" w:eastAsia="zh-CN"/>
        </w:rPr>
        <w:t>构</w:t>
      </w:r>
      <w:r>
        <w:rPr>
          <w:rFonts w:hint="eastAsia" w:ascii="宋体" w:hAnsi="宋体" w:eastAsia="宋体" w:cs="宋体"/>
          <w:b w:val="0"/>
          <w:bCs w:val="0"/>
          <w:color w:val="auto"/>
          <w:sz w:val="24"/>
          <w:szCs w:val="24"/>
          <w:highlight w:val="none"/>
          <w:lang w:val="zh-TW" w:eastAsia="zh-CN"/>
        </w:rPr>
        <w:t>、担保机</w:t>
      </w:r>
      <w:r>
        <w:rPr>
          <w:rFonts w:hint="eastAsia" w:ascii="宋体" w:hAnsi="宋体" w:eastAsia="宋体" w:cs="宋体"/>
          <w:b w:val="0"/>
          <w:bCs w:val="0"/>
          <w:color w:val="auto"/>
          <w:sz w:val="24"/>
          <w:szCs w:val="24"/>
          <w:highlight w:val="none"/>
          <w:lang w:val="zh-TW"/>
        </w:rPr>
        <w:t>构出具的保函等非现金形式提交（包括网银转账，电汇等方式），所有提交方式均以到账时间为准。</w:t>
      </w:r>
    </w:p>
    <w:p w14:paraId="04BDBF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注：出具保函的主体应当是金融机构、担保机构等依法成立且具有相关资质和偿付能力的机构，否则</w:t>
      </w:r>
      <w:r>
        <w:rPr>
          <w:rFonts w:hint="eastAsia" w:ascii="宋体" w:hAnsi="宋体" w:eastAsia="宋体" w:cs="宋体"/>
          <w:b w:val="0"/>
          <w:bCs w:val="0"/>
          <w:color w:val="auto"/>
          <w:sz w:val="24"/>
          <w:szCs w:val="24"/>
          <w:highlight w:val="none"/>
          <w:lang w:val="en-US" w:eastAsia="zh-CN"/>
        </w:rPr>
        <w:t>视为中标供应商放弃中标资格</w:t>
      </w:r>
      <w:r>
        <w:rPr>
          <w:rFonts w:hint="eastAsia" w:ascii="宋体" w:hAnsi="宋体" w:eastAsia="宋体" w:cs="宋体"/>
          <w:b w:val="0"/>
          <w:bCs w:val="0"/>
          <w:color w:val="auto"/>
          <w:sz w:val="24"/>
          <w:szCs w:val="24"/>
          <w:highlight w:val="none"/>
          <w:lang w:val="zh-TW"/>
        </w:rPr>
        <w:t>。</w:t>
      </w:r>
    </w:p>
    <w:p w14:paraId="2837FC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收款单位：遂宁市消防救援支队。</w:t>
      </w:r>
    </w:p>
    <w:p w14:paraId="56363A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开 户 行：中国农业银行股份有限公司遂宁河东新区支行。</w:t>
      </w:r>
    </w:p>
    <w:p w14:paraId="70ED0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银行账号：22320201040002807。</w:t>
      </w:r>
    </w:p>
    <w:p w14:paraId="398AAD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出具的保函方式提交履约保证金的，保函必须符合以下规定：</w:t>
      </w:r>
    </w:p>
    <w:p w14:paraId="6AD3DB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a.保函应为</w:t>
      </w:r>
      <w:r>
        <w:rPr>
          <w:rFonts w:hint="eastAsia" w:ascii="宋体" w:hAnsi="宋体" w:eastAsia="宋体" w:cs="宋体"/>
          <w:b w:val="0"/>
          <w:bCs w:val="0"/>
          <w:color w:val="auto"/>
          <w:sz w:val="24"/>
          <w:szCs w:val="24"/>
          <w:highlight w:val="none"/>
          <w:lang w:val="en-US" w:eastAsia="zh-CN"/>
        </w:rPr>
        <w:t>见索即付的独立</w:t>
      </w:r>
      <w:r>
        <w:rPr>
          <w:rFonts w:hint="eastAsia" w:ascii="宋体" w:hAnsi="宋体" w:eastAsia="宋体" w:cs="宋体"/>
          <w:b w:val="0"/>
          <w:bCs w:val="0"/>
          <w:color w:val="auto"/>
          <w:sz w:val="24"/>
          <w:szCs w:val="24"/>
          <w:highlight w:val="none"/>
          <w:lang w:val="zh-TW"/>
        </w:rPr>
        <w:t>保函，并</w:t>
      </w:r>
      <w:r>
        <w:rPr>
          <w:rFonts w:hint="eastAsia" w:ascii="宋体" w:hAnsi="宋体" w:eastAsia="宋体" w:cs="宋体"/>
          <w:b w:val="0"/>
          <w:bCs w:val="0"/>
          <w:color w:val="auto"/>
          <w:sz w:val="24"/>
          <w:szCs w:val="24"/>
          <w:highlight w:val="none"/>
          <w:lang w:val="en-US" w:eastAsia="zh-CN"/>
        </w:rPr>
        <w:t>载明</w:t>
      </w:r>
      <w:r>
        <w:rPr>
          <w:rFonts w:hint="eastAsia" w:ascii="宋体" w:hAnsi="宋体" w:eastAsia="宋体" w:cs="宋体"/>
          <w:b w:val="0"/>
          <w:bCs w:val="0"/>
          <w:color w:val="auto"/>
          <w:sz w:val="24"/>
          <w:szCs w:val="24"/>
          <w:highlight w:val="none"/>
          <w:lang w:val="zh-TW"/>
        </w:rPr>
        <w:t>验证方法；</w:t>
      </w:r>
    </w:p>
    <w:p w14:paraId="43E2F0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b.保函的受益人为遂宁市消防救援支队；</w:t>
      </w:r>
    </w:p>
    <w:p w14:paraId="4932B5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c.保函的内容包括但不限于供应商名称、项目名称（如有分包，载明分包号）、项目编号、</w:t>
      </w:r>
      <w:r>
        <w:rPr>
          <w:rFonts w:hint="eastAsia" w:ascii="宋体" w:hAnsi="宋体" w:eastAsia="宋体" w:cs="宋体"/>
          <w:b w:val="0"/>
          <w:bCs w:val="0"/>
          <w:color w:val="auto"/>
          <w:sz w:val="24"/>
          <w:szCs w:val="24"/>
          <w:highlight w:val="none"/>
          <w:lang w:val="en-US" w:eastAsia="zh-CN"/>
        </w:rPr>
        <w:t>担保</w:t>
      </w:r>
      <w:r>
        <w:rPr>
          <w:rFonts w:hint="eastAsia" w:ascii="宋体" w:hAnsi="宋体" w:eastAsia="宋体" w:cs="宋体"/>
          <w:b w:val="0"/>
          <w:bCs w:val="0"/>
          <w:color w:val="auto"/>
          <w:sz w:val="24"/>
          <w:szCs w:val="24"/>
          <w:highlight w:val="none"/>
          <w:lang w:val="zh-TW"/>
        </w:rPr>
        <w:t>金额、保函的有效期（考虑到交货、验收等不确定因素，采用保函形式提交履约保证金的，保函有效期应不短于提交之日起至全部货物到货验收合格之日起</w:t>
      </w:r>
      <w:r>
        <w:rPr>
          <w:rFonts w:hint="default" w:ascii="宋体" w:hAnsi="宋体" w:eastAsia="宋体" w:cs="宋体"/>
          <w:b w:val="0"/>
          <w:bCs w:val="0"/>
          <w:color w:val="auto"/>
          <w:sz w:val="24"/>
          <w:szCs w:val="24"/>
          <w:highlight w:val="none"/>
          <w:lang w:val="en-US"/>
        </w:rPr>
        <w:t>的第366天</w:t>
      </w:r>
      <w:r>
        <w:rPr>
          <w:rFonts w:hint="eastAsia" w:ascii="宋体" w:hAnsi="宋体" w:eastAsia="宋体" w:cs="宋体"/>
          <w:b w:val="0"/>
          <w:bCs w:val="0"/>
          <w:color w:val="auto"/>
          <w:sz w:val="24"/>
          <w:szCs w:val="24"/>
          <w:highlight w:val="none"/>
          <w:lang w:val="zh-TW"/>
        </w:rPr>
        <w:t>为止）、担保的内容（即：如因供应商原因发生法律法规或合同规定的履约保证金不予退还或扣除的情况，由</w:t>
      </w:r>
      <w:r>
        <w:rPr>
          <w:rFonts w:hint="default" w:ascii="宋体" w:hAnsi="宋体" w:eastAsia="宋体" w:cs="宋体"/>
          <w:b w:val="0"/>
          <w:bCs w:val="0"/>
          <w:color w:val="auto"/>
          <w:sz w:val="24"/>
          <w:szCs w:val="24"/>
          <w:highlight w:val="none"/>
          <w:lang w:val="en-US" w:eastAsia="zh-CN"/>
        </w:rPr>
        <w:t>开立人</w:t>
      </w:r>
      <w:r>
        <w:rPr>
          <w:rFonts w:hint="eastAsia" w:ascii="宋体" w:hAnsi="宋体" w:eastAsia="宋体" w:cs="宋体"/>
          <w:b w:val="0"/>
          <w:bCs w:val="0"/>
          <w:color w:val="auto"/>
          <w:sz w:val="24"/>
          <w:szCs w:val="24"/>
          <w:highlight w:val="none"/>
          <w:lang w:val="zh-TW"/>
        </w:rPr>
        <w:t>向受益人足额支付履约保证金）；</w:t>
      </w:r>
    </w:p>
    <w:p w14:paraId="372F7D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.3履约保证金的退还：</w:t>
      </w:r>
      <w:r>
        <w:rPr>
          <w:rFonts w:hint="eastAsia" w:ascii="宋体" w:hAnsi="宋体" w:eastAsia="宋体" w:cs="宋体"/>
          <w:b w:val="0"/>
          <w:bCs w:val="0"/>
          <w:color w:val="auto"/>
          <w:sz w:val="24"/>
          <w:szCs w:val="24"/>
          <w:highlight w:val="none"/>
          <w:lang w:val="en-US" w:eastAsia="zh-CN"/>
        </w:rPr>
        <w:t>货物验收合格满一年后，</w:t>
      </w:r>
      <w:r>
        <w:rPr>
          <w:rFonts w:hint="eastAsia" w:ascii="宋体" w:hAnsi="宋体" w:eastAsia="宋体" w:cs="宋体"/>
          <w:b w:val="0"/>
          <w:bCs w:val="0"/>
          <w:color w:val="auto"/>
          <w:sz w:val="24"/>
          <w:szCs w:val="24"/>
          <w:highlight w:val="none"/>
          <w:lang w:val="zh-TW"/>
        </w:rPr>
        <w:t>采购人在收到中标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履约保证金退还申请书后14日内无息退还。</w:t>
      </w:r>
    </w:p>
    <w:p w14:paraId="61528A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退还方式：①以网银转账、电汇等方式提交的，履约保证金以网银转账、电汇等方式退至转款账户；②以保函方式提交的，退还保函原件。</w:t>
      </w:r>
    </w:p>
    <w:p w14:paraId="7DA0D2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无论履约保证金、独立保函是否退还，</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随时都有权对由</w:t>
      </w:r>
      <w:r>
        <w:rPr>
          <w:rFonts w:hint="eastAsia" w:ascii="宋体" w:hAnsi="宋体" w:eastAsia="宋体" w:cs="宋体"/>
          <w:b w:val="0"/>
          <w:bCs w:val="0"/>
          <w:color w:val="auto"/>
          <w:sz w:val="24"/>
          <w:szCs w:val="24"/>
          <w:highlight w:val="none"/>
          <w:lang w:val="en-US" w:eastAsia="zh-CN"/>
        </w:rPr>
        <w:t>中标供应商提供的</w:t>
      </w:r>
      <w:r>
        <w:rPr>
          <w:rFonts w:hint="eastAsia" w:ascii="宋体" w:hAnsi="宋体" w:eastAsia="宋体" w:cs="宋体"/>
          <w:b w:val="0"/>
          <w:bCs w:val="0"/>
          <w:color w:val="auto"/>
          <w:sz w:val="24"/>
          <w:szCs w:val="24"/>
          <w:highlight w:val="none"/>
          <w:lang w:val="zh-TW"/>
        </w:rPr>
        <w:t>仍在质量保证期内的产品发生的质量问题向</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主张索赔。</w:t>
      </w:r>
    </w:p>
    <w:p w14:paraId="32D0D5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.4履约保证金不予退还的情形：①</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eastAsia="zh-CN"/>
        </w:rPr>
        <w:t>供应商未履行合同义务的</w:t>
      </w:r>
      <w:r>
        <w:rPr>
          <w:rFonts w:hint="eastAsia" w:ascii="宋体" w:hAnsi="宋体" w:eastAsia="宋体" w:cs="宋体"/>
          <w:b w:val="0"/>
          <w:bCs w:val="0"/>
          <w:color w:val="auto"/>
          <w:sz w:val="24"/>
          <w:szCs w:val="24"/>
          <w:highlight w:val="none"/>
          <w:lang w:val="zh-TW"/>
        </w:rPr>
        <w:t>，履约保证金不予退还，给采购人造成的损失超过履约保证金数额的，还应当对超过部分予以赔偿；②中标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eastAsia="zh-CN"/>
        </w:rPr>
        <w:t>瑕疵履行合同义务而</w:t>
      </w:r>
      <w:r>
        <w:rPr>
          <w:rFonts w:hint="eastAsia" w:ascii="宋体" w:hAnsi="宋体" w:eastAsia="宋体" w:cs="宋体"/>
          <w:b w:val="0"/>
          <w:bCs w:val="0"/>
          <w:color w:val="auto"/>
          <w:sz w:val="24"/>
          <w:szCs w:val="24"/>
          <w:highlight w:val="none"/>
          <w:lang w:val="zh-TW"/>
        </w:rPr>
        <w:t>需承担相应违约责任的，采购人有权直接从履约保证金中扣除相应违约金款项，对于违约金超过履约保证金数额的部分，中标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应</w:t>
      </w:r>
      <w:r>
        <w:rPr>
          <w:rFonts w:hint="eastAsia" w:ascii="宋体" w:hAnsi="宋体" w:eastAsia="宋体" w:cs="宋体"/>
          <w:b w:val="0"/>
          <w:bCs w:val="0"/>
          <w:color w:val="auto"/>
          <w:sz w:val="24"/>
          <w:szCs w:val="24"/>
          <w:highlight w:val="none"/>
          <w:lang w:val="en-US" w:eastAsia="zh-CN"/>
        </w:rPr>
        <w:t>于15日内</w:t>
      </w:r>
      <w:r>
        <w:rPr>
          <w:rFonts w:hint="eastAsia" w:ascii="宋体" w:hAnsi="宋体" w:eastAsia="宋体" w:cs="宋体"/>
          <w:b w:val="0"/>
          <w:bCs w:val="0"/>
          <w:color w:val="auto"/>
          <w:sz w:val="24"/>
          <w:szCs w:val="24"/>
          <w:highlight w:val="none"/>
          <w:lang w:val="zh-TW"/>
        </w:rPr>
        <w:t>予以补足。履约保证金不予退还的，将按照有关规定上缴国库。</w:t>
      </w:r>
    </w:p>
    <w:p w14:paraId="4548DD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.5逾期退还履约保证金的违约责任：采购人无正当理由向中标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逾期退还履约保证金的，每逾期1天，采购人向中标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偿付履约保证金总额的0.1‰违约金，但累计违约金总额不超过履约保证金总额的1％。</w:t>
      </w:r>
    </w:p>
    <w:p w14:paraId="08E001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p>
    <w:p w14:paraId="04851AF7">
      <w:pPr>
        <w:pStyle w:val="2"/>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b/>
          <w:color w:val="auto"/>
          <w:sz w:val="28"/>
          <w:szCs w:val="28"/>
          <w:highlight w:val="none"/>
          <w:lang w:val="zh-TW" w:eastAsia="zh-CN"/>
        </w:rPr>
      </w:pPr>
      <w:r>
        <w:rPr>
          <w:rFonts w:hint="eastAsia" w:ascii="宋体" w:hAnsi="宋体" w:cs="宋体"/>
          <w:b/>
          <w:color w:val="auto"/>
          <w:sz w:val="28"/>
          <w:szCs w:val="28"/>
          <w:highlight w:val="none"/>
          <w:lang w:val="zh-TW" w:eastAsia="zh-CN"/>
        </w:rPr>
        <w:t>四</w:t>
      </w:r>
      <w:r>
        <w:rPr>
          <w:rFonts w:hint="eastAsia" w:ascii="宋体" w:hAnsi="宋体" w:eastAsia="宋体" w:cs="宋体"/>
          <w:b/>
          <w:color w:val="auto"/>
          <w:sz w:val="28"/>
          <w:szCs w:val="28"/>
          <w:highlight w:val="none"/>
          <w:lang w:val="zh-TW" w:eastAsia="zh-CN"/>
        </w:rPr>
        <w:t>、与供应商履约相关的其他要求</w:t>
      </w:r>
    </w:p>
    <w:p w14:paraId="029BA3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1.供应商应结合自身技术能力充分了解项目背景和各项政策，针对本项目提供项目实施方案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内容须</w:t>
      </w:r>
      <w:r>
        <w:rPr>
          <w:rFonts w:hint="eastAsia" w:ascii="宋体" w:hAnsi="宋体" w:eastAsia="宋体" w:cs="宋体"/>
          <w:b w:val="0"/>
          <w:bCs w:val="0"/>
          <w:color w:val="auto"/>
          <w:sz w:val="24"/>
          <w:szCs w:val="24"/>
          <w:highlight w:val="none"/>
          <w:lang w:val="zh-TW"/>
        </w:rPr>
        <w:t>包括</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货源组织及货物运输过程的安全保障措施，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项目管理人员、技术人员配备方案</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交货进度计划保障措施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供货质量保障措施，</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针对项目实施过程中各种突发事件及对应的应急方案</w:t>
      </w:r>
      <w:r>
        <w:rPr>
          <w:rFonts w:hint="eastAsia" w:ascii="宋体" w:hAnsi="宋体" w:eastAsia="宋体" w:cs="宋体"/>
          <w:b w:val="0"/>
          <w:bCs w:val="0"/>
          <w:color w:val="auto"/>
          <w:sz w:val="24"/>
          <w:szCs w:val="24"/>
          <w:highlight w:val="none"/>
          <w:lang w:val="zh-TW"/>
        </w:rPr>
        <w:t>。</w:t>
      </w:r>
    </w:p>
    <w:p w14:paraId="152E12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2.供应商应结合自身技术能力及本项目实际情况，针对本项目提供售后服务方案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内容须</w:t>
      </w:r>
      <w:r>
        <w:rPr>
          <w:rFonts w:hint="eastAsia" w:ascii="宋体" w:hAnsi="宋体" w:eastAsia="宋体" w:cs="宋体"/>
          <w:b w:val="0"/>
          <w:bCs w:val="0"/>
          <w:color w:val="auto"/>
          <w:sz w:val="24"/>
          <w:szCs w:val="24"/>
          <w:highlight w:val="none"/>
          <w:lang w:val="zh-TW"/>
        </w:rPr>
        <w:t>包括</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售后技术支持</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w:t>
      </w:r>
      <w:r>
        <w:rPr>
          <w:rFonts w:hint="eastAsia" w:ascii="宋体" w:hAnsi="宋体" w:eastAsia="宋体" w:cs="宋体"/>
          <w:b w:val="0"/>
          <w:bCs w:val="0"/>
          <w:color w:val="auto"/>
          <w:sz w:val="24"/>
          <w:szCs w:val="24"/>
          <w:highlight w:val="none"/>
          <w:lang w:val="zh-TW"/>
        </w:rPr>
        <w:t>服务响应时间，</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备件（易耗品）供应方案，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售后服务人员</w:t>
      </w:r>
      <w:r>
        <w:rPr>
          <w:rFonts w:hint="eastAsia" w:ascii="宋体" w:hAnsi="宋体" w:eastAsia="宋体" w:cs="宋体"/>
          <w:b w:val="0"/>
          <w:bCs w:val="0"/>
          <w:color w:val="auto"/>
          <w:sz w:val="24"/>
          <w:szCs w:val="24"/>
          <w:highlight w:val="none"/>
          <w:lang w:val="en-US" w:eastAsia="zh-CN"/>
        </w:rPr>
        <w:t>方案（具体需包含售后服务人员姓名、联系方式基本信息）</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售后服务培训方案（具体须包含培训计划、目的、内容及方式）</w:t>
      </w:r>
      <w:r>
        <w:rPr>
          <w:rFonts w:hint="eastAsia" w:ascii="宋体" w:hAnsi="宋体" w:eastAsia="宋体" w:cs="宋体"/>
          <w:b w:val="0"/>
          <w:bCs w:val="0"/>
          <w:color w:val="auto"/>
          <w:sz w:val="24"/>
          <w:szCs w:val="24"/>
          <w:highlight w:val="none"/>
          <w:lang w:val="zh-TW"/>
        </w:rPr>
        <w:t>。</w:t>
      </w:r>
    </w:p>
    <w:p w14:paraId="3CA49D08">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font>
  <w:font w:name="方正仿宋">
    <w:altName w:val="仿宋"/>
    <w:panose1 w:val="03000509000000000000"/>
    <w:charset w:val="86"/>
    <w:family w:val="script"/>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30942FA6"/>
    <w:multiLevelType w:val="singleLevel"/>
    <w:tmpl w:val="30942FA6"/>
    <w:lvl w:ilvl="0" w:tentative="0">
      <w:start w:val="1"/>
      <w:numFmt w:val="decimal"/>
      <w:pStyle w:val="11"/>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248EE"/>
    <w:rsid w:val="196D6102"/>
    <w:rsid w:val="22092BDE"/>
    <w:rsid w:val="258765F3"/>
    <w:rsid w:val="43910DE5"/>
    <w:rsid w:val="4F521E8B"/>
    <w:rsid w:val="635F06D6"/>
    <w:rsid w:val="67A65872"/>
    <w:rsid w:val="6E251EBD"/>
    <w:rsid w:val="70BD202B"/>
    <w:rsid w:val="72D44FFC"/>
    <w:rsid w:val="7D8B6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2"/>
    <w:basedOn w:val="1"/>
    <w:next w:val="1"/>
    <w:qFormat/>
    <w:uiPriority w:val="99"/>
    <w:pPr>
      <w:keepNext/>
      <w:keepLines/>
      <w:spacing w:line="415" w:lineRule="auto"/>
      <w:outlineLvl w:val="1"/>
    </w:pPr>
    <w:rPr>
      <w:rFonts w:ascii="Cambria" w:hAnsi="Cambria" w:cs="Times New Roman"/>
      <w:b/>
      <w:bCs/>
      <w:sz w:val="32"/>
      <w:szCs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next w:val="1"/>
    <w:qFormat/>
    <w:uiPriority w:val="1"/>
    <w:rPr>
      <w:rFonts w:ascii="宋体" w:hAnsi="宋体" w:eastAsia="宋体" w:cs="宋体"/>
      <w:sz w:val="24"/>
      <w:szCs w:val="24"/>
      <w:lang w:val="zh-CN" w:eastAsia="zh-CN" w:bidi="zh-CN"/>
    </w:rPr>
  </w:style>
  <w:style w:type="table" w:styleId="6">
    <w:name w:val="Table Grid"/>
    <w:basedOn w:val="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标题 5（有编号）（绿盟科技）"/>
    <w:basedOn w:val="9"/>
    <w:next w:val="12"/>
    <w:qFormat/>
    <w:uiPriority w:val="0"/>
    <w:pPr>
      <w:keepNext/>
      <w:keepLines/>
      <w:numPr>
        <w:ilvl w:val="4"/>
        <w:numId w:val="1"/>
      </w:numPr>
      <w:spacing w:before="280" w:after="156" w:line="377" w:lineRule="auto"/>
      <w:jc w:val="left"/>
      <w:outlineLvl w:val="4"/>
    </w:pPr>
    <w:rPr>
      <w:rFonts w:ascii="Arial" w:hAnsi="Arial" w:eastAsia="黑体" w:cs="黑体"/>
      <w:b/>
      <w:kern w:val="0"/>
      <w:sz w:val="24"/>
      <w:szCs w:val="28"/>
    </w:rPr>
  </w:style>
  <w:style w:type="paragraph" w:customStyle="1" w:styleId="9">
    <w:name w:val="正文1"/>
    <w:next w:val="10"/>
    <w:qFormat/>
    <w:uiPriority w:val="0"/>
    <w:pPr>
      <w:jc w:val="both"/>
    </w:pPr>
    <w:rPr>
      <w:rFonts w:ascii="Times New Roman" w:hAnsi="Times New Roman" w:eastAsia="宋体" w:cs="Times New Roman"/>
      <w:kern w:val="2"/>
      <w:sz w:val="21"/>
      <w:szCs w:val="21"/>
      <w:lang w:val="en-US" w:eastAsia="zh-CN" w:bidi="ar-SA"/>
    </w:rPr>
  </w:style>
  <w:style w:type="paragraph" w:customStyle="1" w:styleId="10">
    <w:name w:val="正文文本1"/>
    <w:basedOn w:val="11"/>
    <w:next w:val="9"/>
    <w:qFormat/>
    <w:uiPriority w:val="0"/>
    <w:pPr>
      <w:spacing w:beforeLines="0" w:afterLines="50"/>
    </w:pPr>
  </w:style>
  <w:style w:type="paragraph" w:customStyle="1" w:styleId="11">
    <w:name w:val="表格内1"/>
    <w:next w:val="10"/>
    <w:qFormat/>
    <w:uiPriority w:val="0"/>
    <w:pPr>
      <w:widowControl w:val="0"/>
      <w:numPr>
        <w:ilvl w:val="0"/>
        <w:numId w:val="2"/>
      </w:numPr>
      <w:jc w:val="both"/>
    </w:pPr>
    <w:rPr>
      <w:rFonts w:ascii="Calibri" w:hAnsi="Calibri" w:eastAsia="宋体" w:cs="黑体"/>
      <w:b/>
      <w:kern w:val="2"/>
      <w:sz w:val="21"/>
      <w:szCs w:val="22"/>
      <w:lang w:val="en-US" w:eastAsia="zh-CN" w:bidi="ar-SA"/>
    </w:rPr>
  </w:style>
  <w:style w:type="paragraph" w:customStyle="1" w:styleId="12">
    <w:name w:val="正文（绿盟科技）"/>
    <w:basedOn w:val="1"/>
    <w:qFormat/>
    <w:uiPriority w:val="0"/>
    <w:pPr>
      <w:overflowPunct/>
      <w:autoSpaceDE/>
      <w:autoSpaceDN/>
      <w:adjustRightInd/>
      <w:spacing w:line="300" w:lineRule="auto"/>
      <w:jc w:val="left"/>
      <w:textAlignment w:val="auto"/>
    </w:pPr>
    <w:rPr>
      <w:rFonts w:ascii="Arial" w:hAnsi="Arial" w:cs="黑体"/>
    </w:rPr>
  </w:style>
  <w:style w:type="character" w:customStyle="1" w:styleId="13">
    <w:name w:val="font41"/>
    <w:basedOn w:val="7"/>
    <w:qFormat/>
    <w:uiPriority w:val="0"/>
    <w:rPr>
      <w:rFonts w:hint="eastAsia" w:ascii="宋体" w:hAnsi="宋体" w:eastAsia="宋体" w:cs="宋体"/>
      <w:color w:val="000000"/>
      <w:sz w:val="21"/>
      <w:szCs w:val="21"/>
      <w:u w:val="none"/>
      <w:vertAlign w:val="superscript"/>
    </w:rPr>
  </w:style>
  <w:style w:type="character" w:customStyle="1" w:styleId="14">
    <w:name w:val="font31"/>
    <w:basedOn w:val="7"/>
    <w:qFormat/>
    <w:uiPriority w:val="99"/>
    <w:rPr>
      <w:rFonts w:ascii="宋体" w:hAnsi="宋体" w:eastAsia="宋体" w:cs="宋体"/>
      <w:color w:val="000000"/>
      <w:sz w:val="21"/>
      <w:szCs w:val="21"/>
      <w:u w:val="none"/>
      <w:vertAlign w:val="superscript"/>
    </w:rPr>
  </w:style>
  <w:style w:type="character" w:customStyle="1" w:styleId="15">
    <w:name w:val="font11"/>
    <w:basedOn w:val="7"/>
    <w:qFormat/>
    <w:uiPriority w:val="0"/>
    <w:rPr>
      <w:rFonts w:hint="eastAsia" w:ascii="宋体" w:hAnsi="宋体" w:eastAsia="宋体"/>
      <w:color w:val="000000"/>
      <w:sz w:val="28"/>
      <w:szCs w:val="28"/>
      <w:u w:val="none"/>
    </w:rPr>
  </w:style>
  <w:style w:type="character" w:customStyle="1" w:styleId="16">
    <w:name w:val="font21"/>
    <w:basedOn w:val="7"/>
    <w:qFormat/>
    <w:uiPriority w:val="0"/>
    <w:rPr>
      <w:rFonts w:ascii="楷体" w:hAnsi="楷体" w:eastAsia="楷体" w:cs="楷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15257</Words>
  <Characters>17752</Characters>
  <Lines>0</Lines>
  <Paragraphs>0</Paragraphs>
  <TotalTime>0</TotalTime>
  <ScaleCrop>false</ScaleCrop>
  <LinksUpToDate>false</LinksUpToDate>
  <CharactersWithSpaces>17832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2025-03-06T09:33:00Z</dcterms:created>
  <dc:creator>Administrator</dc:creator>
  <cp:lastModifiedBy>秦银</cp:lastModifiedBy>
  <dcterms:modified xsi:type="dcterms:W3CDTF">2025-05-21T09:55:03Z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eyJoZGlkIjoiNTY2N2RhODgwZjcwOTk1MzljOWFkMWYxYjYwOTIyNjMiLCJ1c2VySWQiOiIxNDU1MzcxMjczIn0=</vt:lpwstr>
  </property>
  <property fmtid="{D5CDD505-2E9C-101B-9397-08002B2CF9AE}" pid="4" name="ICV">
    <vt:lpwstr>3F5D1DA966D74FC9B83D0F19A78844F8_12</vt:lpwstr>
  </property>
</Properties>
</file>