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版本号：N510001202600073720260509001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2026年度纸质图书采购项目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N5100012026000737</w:t>
      </w:r>
    </w:p>
    <w:p>
      <w:pPr>
        <w:pStyle w:val="null3"/>
        <w:jc w:val="left"/>
        <w:outlineLvl w:val="2"/>
      </w:pPr>
      <w:r>
        <w:rPr>
          <w:rFonts w:ascii="仿宋_GB2312" w:hAnsi="仿宋_GB2312" w:cs="仿宋_GB2312" w:eastAsia="仿宋_GB2312"/>
          <w:sz w:val="28"/>
          <w:b/>
        </w:rPr>
        <w:t>四川铁道职业学院</w:t>
      </w:r>
    </w:p>
    <w:p>
      <w:pPr>
        <w:pStyle w:val="null3"/>
        <w:jc w:val="center"/>
        <w:outlineLvl w:val="2"/>
      </w:pPr>
      <w:r>
        <w:rPr>
          <w:rFonts w:ascii="仿宋_GB2312" w:hAnsi="仿宋_GB2312" w:cs="仿宋_GB2312" w:eastAsia="仿宋_GB2312"/>
          <w:sz w:val="28"/>
          <w:b/>
        </w:rPr>
        <w:t>四川中意招标有限公司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四川中意招标有限公司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四川铁道职业学院</w:t>
      </w:r>
      <w:r>
        <w:rPr>
          <w:rFonts w:ascii="仿宋_GB2312" w:hAnsi="仿宋_GB2312" w:cs="仿宋_GB2312" w:eastAsia="仿宋_GB2312"/>
        </w:rPr>
        <w:t xml:space="preserve"> 委托，拟对 </w:t>
      </w:r>
      <w:r>
        <w:rPr>
          <w:rFonts w:ascii="仿宋_GB2312" w:hAnsi="仿宋_GB2312" w:cs="仿宋_GB2312" w:eastAsia="仿宋_GB2312"/>
        </w:rPr>
        <w:t>2026年度纸质图书采购项目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N5100012026000737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2026年度纸质图书采购项目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为全面落实《四川省职业学校办学条件达标工程实施方案》要求，依据《中国教育监测与评价统计指标体系（2025）》关于“生均新增纸质图书”的硬件指标规定（每年生均2册），结合我校2026年在校生1万人的规模测算，图书馆2025年度馆藏尚存8322册的年度缺口。为确保办学条件达标，并满足师生日益增长的教学、科研与阅读学习需求，本项目计划2026年度采购纸质图书预估2.83万册。采购图书种类将全面覆盖交通运输、人工智能、经济管理、思想政治、文学艺术、自然科学等主要学科门类，以优化馆藏结构，提升文献资源保障能力，助力学校人才培养与高质量发展。</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1、投标人须提供有效的《出版物经营许可证》（提供扫描件并加盖公章）（描述：投标人须提供有效的《出版物经营许可证》（提供扫描件并加盖公章））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四川铁道职业学院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四川省成都市郫都区安德街道彭温路399号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611732</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陆老师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028-68939875</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四川中意招标有限公司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成都市高新区天府大道1700号新世纪环球中心E3门栋6楼2-1-611-615</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袁女士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028-87050033转2016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采购包1：995,000.00元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 xml:space="preserve">收款单位：四川铁道职业学院  </w:t>
              <w:br/>
              <w:t xml:space="preserve">开 户 行：中国建设银行股份有限公司郫都支行 </w:t>
              <w:br/>
              <w:t>银行账号：5100 1597 2080 5151 3002</w:t>
              <w:br/>
              <w:t>交款时间：合同签订前；</w:t>
              <w:br/>
              <w:t>其他要求：缴纳履约保证金后，需将相关材料加盖供应商财务鲜章交采购人采购与招标管理中心核验和管理登记。</w:t>
              <w:br/>
              <w:t>退还方式、时间：中标供应商向采购人交付的货物经对项目全部资产、服务及相关材料完备验收并合格，学校在收到供应商退还履约保证金的申请及相应财务凭证后20个工作日内，以转账形式一次性无息退还该保证金。履约保证金不予退还情形：未按合同履约的，履约保证金不予退还并将按照有关规定处理。</w:t>
              <w:br/>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按差额定率累进法计算，按中标金额划分费率档次，100万以下按1.5%下浮40%，100-500万元按1.1%下浮40%，各档收费累进之和为收费总额，由中标人承担。支付方式银行转账，交款账号如下：收款单位：四川中意招标有限公司，开户行：平安银行成都金融城支行，银行账号：30205508003823（注：如中标/成交人自愿放弃中标或供应商原因项目废标或质疑投诉取消中标资格等情况发生，由中标/成交人承担相关损失）</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四川铁道职业学院</w:t>
      </w:r>
      <w:r>
        <w:rPr>
          <w:rFonts w:ascii="仿宋_GB2312" w:hAnsi="仿宋_GB2312" w:cs="仿宋_GB2312" w:eastAsia="仿宋_GB2312"/>
        </w:rPr>
        <w:t xml:space="preserve"> 和 </w:t>
      </w:r>
      <w:r>
        <w:rPr>
          <w:rFonts w:ascii="仿宋_GB2312" w:hAnsi="仿宋_GB2312" w:cs="仿宋_GB2312" w:eastAsia="仿宋_GB2312"/>
        </w:rPr>
        <w:t>四川中意招标有限公司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四川铁道职业学院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四川中意招标有限公司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本项目为分批次验收，供应商每次送货后提出验收申请之日起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履约验收时间（因系统固化原因，“七、履约验收时间”不适用本项目，“履约验收时间”以此为准）：本项目为分批次验收，供应商每次送货后提出验收申请之日起，达到验收条件起30日内，验收该批次配送产品。</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按照本项目招标文件及中标人投标文件进行验收。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按照本项目招标文件及中标人投标文件进行验收。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按照《财政部关于进一步加强政府采购需求和履约验收管理的指导意见》（财库[2016]205号）及《货物与服务验收管理办法 (试行)》（川铁职院[2023]37号）的有关规定、本项目招标文件、中标人投标文件开展验收。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四川铁道职业学院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四川中意招标有限公司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四川中意招标有限公司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联系人：陆老师</w:t>
      </w:r>
    </w:p>
    <w:p>
      <w:pPr>
        <w:pStyle w:val="null3"/>
        <w:jc w:val="left"/>
      </w:pPr>
      <w:r>
        <w:rPr>
          <w:rFonts w:ascii="仿宋_GB2312" w:hAnsi="仿宋_GB2312" w:cs="仿宋_GB2312" w:eastAsia="仿宋_GB2312"/>
        </w:rPr>
        <w:t>联系电话：028-68939875</w:t>
      </w:r>
    </w:p>
    <w:p>
      <w:pPr>
        <w:pStyle w:val="null3"/>
        <w:jc w:val="left"/>
      </w:pPr>
      <w:r>
        <w:rPr>
          <w:rFonts w:ascii="仿宋_GB2312" w:hAnsi="仿宋_GB2312" w:cs="仿宋_GB2312" w:eastAsia="仿宋_GB2312"/>
        </w:rPr>
        <w:t>地址：四川省成都市郫都区安德街道彭温路399号</w:t>
      </w:r>
    </w:p>
    <w:p>
      <w:pPr>
        <w:pStyle w:val="null3"/>
        <w:jc w:val="left"/>
      </w:pPr>
      <w:r>
        <w:rPr>
          <w:rFonts w:ascii="仿宋_GB2312" w:hAnsi="仿宋_GB2312" w:cs="仿宋_GB2312" w:eastAsia="仿宋_GB2312"/>
        </w:rPr>
        <w:t>邮编：611732</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联系人：袁女士</w:t>
      </w:r>
    </w:p>
    <w:p>
      <w:pPr>
        <w:pStyle w:val="null3"/>
        <w:jc w:val="left"/>
      </w:pPr>
      <w:r>
        <w:rPr>
          <w:rFonts w:ascii="仿宋_GB2312" w:hAnsi="仿宋_GB2312" w:cs="仿宋_GB2312" w:eastAsia="仿宋_GB2312"/>
        </w:rPr>
        <w:t>联系电话：028-87050033转2016</w:t>
      </w:r>
    </w:p>
    <w:p>
      <w:pPr>
        <w:pStyle w:val="null3"/>
        <w:jc w:val="left"/>
      </w:pPr>
      <w:r>
        <w:rPr>
          <w:rFonts w:ascii="仿宋_GB2312" w:hAnsi="仿宋_GB2312" w:cs="仿宋_GB2312" w:eastAsia="仿宋_GB2312"/>
        </w:rPr>
        <w:t>地址：成都市高新区天府大道1700号新世纪环球中心E3门栋6楼2-1-611-615</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995,000.00</w:t>
      </w:r>
    </w:p>
    <w:p>
      <w:pPr>
        <w:pStyle w:val="null3"/>
        <w:jc w:val="left"/>
      </w:pPr>
      <w:r>
        <w:rPr>
          <w:rFonts w:ascii="仿宋_GB2312" w:hAnsi="仿宋_GB2312" w:cs="仿宋_GB2312" w:eastAsia="仿宋_GB2312"/>
        </w:rPr>
        <w:t>采购包最高限价（元）: 995,000.00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A04010101 书籍、课本</w:t>
            </w:r>
          </w:p>
        </w:tc>
        <w:tc>
          <w:tcPr>
            <w:tcW w:type="dxa" w:w="821"/>
          </w:tcPr>
          <w:p>
            <w:pPr>
              <w:pStyle w:val="null3"/>
              <w:jc w:val="left"/>
            </w:pPr>
            <w:r>
              <w:rPr>
                <w:rFonts w:ascii="仿宋_GB2312" w:hAnsi="仿宋_GB2312" w:cs="仿宋_GB2312" w:eastAsia="仿宋_GB2312"/>
              </w:rPr>
              <w:t>纸质图书</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995,000.00</w:t>
            </w:r>
          </w:p>
        </w:tc>
        <w:tc>
          <w:tcPr>
            <w:tcW w:type="dxa" w:w="821"/>
          </w:tcPr>
          <w:p>
            <w:pPr>
              <w:pStyle w:val="null3"/>
              <w:jc w:val="left"/>
            </w:pPr>
            <w:r>
              <w:rPr>
                <w:rFonts w:ascii="仿宋_GB2312" w:hAnsi="仿宋_GB2312" w:cs="仿宋_GB2312" w:eastAsia="仿宋_GB2312"/>
              </w:rPr>
              <w:t>批发业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纸质图书</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不设定</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在实际结算时采购人将按中标人在投标时所报的百分比进行结算，即：结算单价（实洋）=图书码洋单价×百分比。（如：中标人在投标时的百分比为60%，图书码洋单价为100元，则结算实洋价格为：100元×60%＝60元）。</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A04010101 书籍、课本</w:t>
            </w:r>
          </w:p>
        </w:tc>
        <w:tc>
          <w:tcPr>
            <w:tcW w:type="dxa" w:w="2492"/>
          </w:tcPr>
          <w:p>
            <w:pPr>
              <w:pStyle w:val="null3"/>
              <w:jc w:val="left"/>
            </w:pPr>
            <w:r>
              <w:rPr>
                <w:rFonts w:ascii="仿宋_GB2312" w:hAnsi="仿宋_GB2312" w:cs="仿宋_GB2312" w:eastAsia="仿宋_GB2312"/>
              </w:rPr>
              <w:t>纸质图书</w:t>
            </w:r>
          </w:p>
        </w:tc>
        <w:tc>
          <w:tcPr>
            <w:tcW w:type="dxa" w:w="2492"/>
          </w:tcPr>
          <w:p>
            <w:pPr>
              <w:pStyle w:val="null3"/>
              <w:jc w:val="left"/>
            </w:pPr>
            <w:r>
              <w:rPr>
                <w:rFonts w:ascii="仿宋_GB2312" w:hAnsi="仿宋_GB2312" w:cs="仿宋_GB2312" w:eastAsia="仿宋_GB2312"/>
              </w:rPr>
              <w:t>本项目为订购式图书采购项目，不适用于核心产品的有关规定。</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标的名称：纸质图书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技术参数具体要求</w:t>
            </w:r>
          </w:p>
        </w:tc>
        <w:tc>
          <w:tcPr>
            <w:tcW w:type="dxa" w:w="5814"/>
          </w:tcPr>
          <w:p>
            <w:pPr>
              <w:pStyle w:val="null3"/>
              <w:jc w:val="left"/>
            </w:pPr>
            <w:r>
              <w:rPr>
                <w:rFonts w:ascii="仿宋_GB2312" w:hAnsi="仿宋_GB2312" w:cs="仿宋_GB2312" w:eastAsia="仿宋_GB2312"/>
              </w:rPr>
              <w:t>详见”附件：技术参数具体要求“</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验收与售后服务</w:t>
            </w:r>
          </w:p>
        </w:tc>
        <w:tc>
          <w:tcPr>
            <w:tcW w:type="dxa" w:w="5814"/>
          </w:tcPr>
          <w:p>
            <w:pPr>
              <w:pStyle w:val="null3"/>
              <w:jc w:val="both"/>
            </w:pPr>
            <w:r>
              <w:rPr>
                <w:rFonts w:ascii="仿宋_GB2312" w:hAnsi="仿宋_GB2312" w:cs="仿宋_GB2312" w:eastAsia="仿宋_GB2312"/>
              </w:rPr>
              <w:t>1、供应商提供的图书应当均为符合国家法律法规和发行要求的正版图书；应保证图书的整体外观和装订平整、牢固，无脱胶、无缺页、无散页、无页码倒装、无污损、无错印；图书的版权页和标准书号必须整洁、清晰，纸质好，无损坏、无撕页，字体、图片印刷清晰，无明显透印、重影。</w:t>
            </w:r>
            <w:r>
              <w:br/>
            </w:r>
            <w:r>
              <w:rPr>
                <w:rFonts w:ascii="仿宋_GB2312" w:hAnsi="仿宋_GB2312" w:cs="仿宋_GB2312" w:eastAsia="仿宋_GB2312"/>
              </w:rPr>
              <w:t xml:space="preserve"> 2.每批到馆图书经采购方确认后，进行编目入库，由典藏人员出具书面验收报告并加盖图书馆公章，视为验收合格。</w:t>
            </w:r>
            <w:r>
              <w:br/>
            </w:r>
            <w:r>
              <w:rPr>
                <w:rFonts w:ascii="仿宋_GB2312" w:hAnsi="仿宋_GB2312" w:cs="仿宋_GB2312" w:eastAsia="仿宋_GB2312"/>
              </w:rPr>
              <w:t xml:space="preserve"> 3.供应商除提供图书产品外，还需具备协助采购人开展校园阅读文化建设的服务能力。中标人须在合同期内，提供以下支持，其费用包含在供应商投标报价中：</w:t>
            </w:r>
          </w:p>
          <w:p>
            <w:pPr>
              <w:pStyle w:val="null3"/>
              <w:jc w:val="left"/>
            </w:pPr>
            <w:r>
              <w:rPr>
                <w:rFonts w:ascii="仿宋_GB2312" w:hAnsi="仿宋_GB2312" w:cs="仿宋_GB2312" w:eastAsia="仿宋_GB2312"/>
              </w:rPr>
              <w:t>（1）根据采购人指定的主题，提供1套完整的“读书月”或“阅读推广”活动策划方案。</w:t>
            </w:r>
          </w:p>
          <w:p>
            <w:pPr>
              <w:pStyle w:val="null3"/>
              <w:jc w:val="left"/>
            </w:pPr>
            <w:r>
              <w:rPr>
                <w:rFonts w:ascii="仿宋_GB2312" w:hAnsi="仿宋_GB2312" w:cs="仿宋_GB2312" w:eastAsia="仿宋_GB2312"/>
              </w:rPr>
              <w:t>（2）应采购人要求，派遣专业人员到校开展不少于 1次的现场图书展销、荐书或专题导读活动。</w:t>
            </w:r>
            <w:r>
              <w:br/>
            </w:r>
            <w:r>
              <w:rPr>
                <w:rFonts w:ascii="仿宋_GB2312" w:hAnsi="仿宋_GB2312" w:cs="仿宋_GB2312" w:eastAsia="仿宋_GB2312"/>
              </w:rPr>
              <w:t xml:space="preserve"> （3）配合采购人“读书月”活动，另提供50-100本图书，其费用包含在供应商投标报价中。</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交/送货要求</w:t>
            </w:r>
          </w:p>
        </w:tc>
        <w:tc>
          <w:tcPr>
            <w:tcW w:type="dxa" w:w="5814"/>
          </w:tcPr>
          <w:p>
            <w:pPr>
              <w:pStyle w:val="null3"/>
              <w:jc w:val="both"/>
            </w:pPr>
            <w:r>
              <w:rPr>
                <w:rFonts w:ascii="仿宋_GB2312" w:hAnsi="仿宋_GB2312" w:cs="仿宋_GB2312" w:eastAsia="仿宋_GB2312"/>
              </w:rPr>
              <w:t>1.供应商应将图书送到四川铁道职业学院图书馆指定地点，每包应按《中国图书分类法》图书分类相同的打包，书的外包装上应注明送书批次，包号及号段，且随书提供每包书分包单一式两份，分包单注明该包书的书名、书号、定价、出版社、复本、号段、码洋等详细信息，以便于图书的验收。同时发送图书电子总清单及加工数据， 除了注明与分包单上一样的相关信息外， 还要注明订单号、批次号、本批书种数、册数、号段及码洋。</w:t>
            </w:r>
            <w:r>
              <w:br/>
            </w:r>
            <w:r>
              <w:rPr>
                <w:rFonts w:ascii="仿宋_GB2312" w:hAnsi="仿宋_GB2312" w:cs="仿宋_GB2312" w:eastAsia="仿宋_GB2312"/>
              </w:rPr>
              <w:t xml:space="preserve"> 2.供应商收到采购方学校订购单之日起，书目订单纸质图书应在45天内完成加工送书到指定地点，现采纸质图书应在30天内完成加工送书到指定地点。至2026年7月30日前，首批订单图书到书数量不得低于11320册；至2026年8月30日前，第二批订单图书数量不得低于8490册，剩余的图书在2026年10月31日前完成。若遇零星采购情况，则零星采购的图书须在2026年12月31日前完成。订购图书超过45天未到者，未送达指定地点，采购方学校有权取消订购。由此造成的损失及费用由供应商承担。</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线上图书采购平台演示要求</w:t>
            </w:r>
          </w:p>
        </w:tc>
        <w:tc>
          <w:tcPr>
            <w:tcW w:type="dxa" w:w="5814"/>
          </w:tcPr>
          <w:p>
            <w:pPr>
              <w:pStyle w:val="null3"/>
              <w:ind w:firstLine="240"/>
              <w:jc w:val="left"/>
            </w:pPr>
            <w:r>
              <w:rPr>
                <w:rFonts w:ascii="仿宋_GB2312" w:hAnsi="仿宋_GB2312" w:cs="仿宋_GB2312" w:eastAsia="仿宋_GB2312"/>
              </w:rPr>
              <w:t>（1）投标人需自带电脑现场演示，演示人员不超过2人，每家投标人演示时间不超过10分钟。</w:t>
            </w:r>
          </w:p>
          <w:p>
            <w:pPr>
              <w:pStyle w:val="null3"/>
              <w:jc w:val="left"/>
            </w:pPr>
            <w:r>
              <w:rPr>
                <w:rFonts w:ascii="仿宋_GB2312" w:hAnsi="仿宋_GB2312" w:cs="仿宋_GB2312" w:eastAsia="仿宋_GB2312"/>
              </w:rPr>
              <w:t>（2）演示内容为采购包1评标细则评审内容“供应商需提供功能齐全的专业化线上图书采购平台，可开展线上图采会”的内容，根据演示内容进行综合评分。</w:t>
            </w:r>
          </w:p>
          <w:p>
            <w:pPr>
              <w:pStyle w:val="null3"/>
              <w:jc w:val="left"/>
            </w:pPr>
            <w:r>
              <w:rPr>
                <w:rFonts w:ascii="仿宋_GB2312" w:hAnsi="仿宋_GB2312" w:cs="仿宋_GB2312" w:eastAsia="仿宋_GB2312"/>
              </w:rPr>
              <w:t>（3）演示地点：成都市高新区天府大道1700号新世纪环球中心E3门栋6楼2-1-611-615四川中意招标有限公司本项目会议室； 演示时间：开标当天符合性审查结束后 演示人员现场提供以下证明材料：法定代表人、单位负责人授权委托书原件（格式自拟）；委托代理人身份证复印件。</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合同签订之日起至2026年12月31日。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四川铁道职业学院图书馆指定地点。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1、付款进度安排，结算依据实际验收合格的图书码洋进行，并以实洋支付货款。 2、结算公式：人民币实洋结算金额=图书码洋×约定折扣。 3、交货验收合格、验收材料审核通过且相关数据完成导入，并在收到供应商开具的合规发票之日起，达到付款条件起14日内，据实结算说明为学校以转账方式支付相应货款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采购人按照《财政部关于进一步加强政府采购需求和履约验收管理的指导意见》（财库[2016]205号）及《货物与服务验收管理办法 (试行)》（川铁职院[2023]37号）的有关规定开展验收。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货物质保期：图书质保期一年（自验收合格之日起），质保期内若有与订单不符、重订，或出现质量问题，以及存在盗版、非法出版物或不符合意识形态要求的图书，经查实后供应商均应无条件于15日内退换，并承担相应的经济和法律责任。 2.供应商负责到货图书的上架倒架工作。</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（1）供应商应及时、完全按合同约定履行各项义务。因供应商原因导致合同未能正常履行的或使采购人遭受重大经济损失和社会负面影响的，采购人有权单方面解除合同，并要求供应商赔偿全部损失。 （2）至2026年10月30日，指定书目到书率未达到98%，属于违约；95%≤到书率＜98%，供应商向采购人支付合同金额千分之五违约金；到书率＜95%，供应商出支付上述违约金外，每低一个百分点，供应商向采购人支付违约金10000元；除指定书目以外的其它订单图书，到书率＜90%，每低一个百分点，供应商向采购人支付违约金5000元。 （3）上述违约金的违约金，采购人有权从未支付的货款中直接扣除。 （4）采购方无正当理由拒收货物的，采购方应偿付拒收货物总价10%的违约金； （5）采购方偿付的违约金不足以弥补供应商损失的，还应按供应商损失尚未弥补的部分，据实赔偿给供应商。 2.解决争议的方法： 合同履行期间，若双方发生争议，可协商或由有关部门调解解决，协商或调解不成的 ，由采购人所在地人民法院诉讼解决。违约方应当承担守约方为解决争议而支付的律 师费、保全保险费等实现权利的全部费用。</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供应商应提供图书运至要求的最终目的地所需要的包装，以防止图书在运转中损坏。这类包装应采取防潮、防腐及防止其他损坏的必要保护措施，从而保护图书能够经受多次搬运、装卸及各种长途运输。在采购方接收图书前发生的不可预见的风险均由供应商承担。</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3.4.1本项目为订购式图书采购项目，采购标的及项目履行方式具有特殊性，不适用于核心产品的有关规定。报价表中所涉及填报的“产地、品牌、规格、生产厂家”均填写“纸质图书”即可。 注意：因政采一体化平台固化原因，本章报价要求中“★注：供应商响应产品应当明确品牌和规格型号并指向唯一产品，不能指向唯一产品的，应通过报价表唯一产品说明栏补充说明。”条款无法删除；本项目为订购式图书采购项目，不适用于该规定，供应商无需响应该要求，评审小组亦无需对供应商是否响应或满足此要求进行评审。3.4.2（1） 本项目涉及企业资质、产品认证、人员执业资格、行业标准等描述与国家最新要求不一致时以国家最新要求为准。（2）若采购文件涉及品牌或者供应商，其目的是为了准备清楚说明采购项目的技术标准和要求，其意思表示为“参照或相当于”品牌或者供应商，其品牌或供应商具有可替代性。 3.4.3（1）投标人提供2023年1月1日（含）以来同类采购项目的到书率证明；（2）供应商需提供功能齐全的专业化线上图书采购平台，可开展线上图采会：①平台收录100万种及以上图书数据，并可查看图书作者、出版社、出版时间、ISBN号、价格、中图法分类号等内容；②平台2024年1月1日（包含）至今铁道类、城市轨道交通 、铁道通信与信息化技术、电气自动化、人工智能、旅游管理、市场营销、供应链、会计、保险等全品种新书不低于10万种，且提供平台上2024年1月1日（包含）以来出版的新书目录；③线上采书平台支持读者选书荐购，能提供被荐购图书相关信息下载（包括书目信息和荐购者身份信息等）；④平台须支持中图法大类查询，可批量下载中图法某大类书目，方便师生有目的性勾选书目；⑤支持开展线上图采会（以现场演示为准），并能具备与100家及以上出版单位开展线上图采会的功能；（3）供应商提供的自2023年1月1日（含）以来同类采购项目的业绩；（4）投标人提供≥100家合作出版社的授权书或合作协议（其有效期须覆盖本项目合同履行期限），需另附清单；（5）投标人提供以下采购人所需图书的重点出版社授权书或合作协议（其有效期须覆盖本项目合同履行期限），需另附清单，并加盖供应商公章。中国铁道出版社、机械工业出版社、人民交通出版社、西南交通大学出版社、北京交通大学出版社、电子工业出版社、中国人民大学出版社、人民文学出版社、人民教育出版社、高等教育出版社；（6）投标人提供2022年1月1日（包含）至今合作举办的现场图书馆配会等采选活动证明材料；（7）供应商承诺在中标后为本项目配备专职售后服务人员（不少于2人），并提供人员名单及联系方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响应文件时，按要求填写《投标（响应）函》完成承诺并进行电子签章，同时提供独立承担民事责任能力的证明材料（根据实际情况提供以下材料之一①投标人若为企业法人：提供“营业执照”副本复印件；未换证的提供“营业执照副本、税务登记证副本、组织机构代码证副本”复印件；②若为事业法人：提供“统一社会信用代码法人登记证书”复印件；未换证的提交“事业法人登记证书、组织机构代码证”复印件；③若为其他组织：提供“对应主管部门颁发的准许执业证明文件或营业执照副本”复印件；④若为自然人：提供“身份证明材料”）。【对于银行、保险、电信、邮政、铁路等特殊行业，若为分公司参与，需提供具有独立法人资格的总公司出具对其唯一授权的证明材料（即授权链完整的授权文件）】</w:t>
            </w:r>
          </w:p>
        </w:tc>
        <w:tc>
          <w:tcPr>
            <w:tcW w:type="dxa" w:w="1661"/>
          </w:tcPr>
          <w:p>
            <w:pPr>
              <w:pStyle w:val="null3"/>
              <w:jc w:val="left"/>
            </w:pPr>
            <w:r>
              <w:rPr>
                <w:rFonts w:ascii="仿宋_GB2312" w:hAnsi="仿宋_GB2312" w:cs="仿宋_GB2312" w:eastAsia="仿宋_GB2312"/>
              </w:rPr>
              <w:t>投标人应提交的相关证明材料,投标（响应）文件资格补充材料.docx,投标文件封面,投标（响应）函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根据实际情况提供以下材料之一），①投标人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②投标人注册时间截至响应文件提交截止之日前不足一年的，也可提供在相关主管部门备案的公司章程等证明材料。③非营利性单位或其他机关事业单位以符合财务会计制度为准。④投标人在项目电子化交易系统中按要求填写《投标（响应）函》完成承诺并进行电子签章。注：如为联合体参与，联合体各方均须提供。</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投标人须提供有效的《出版物经营许可证》（提供扫描件并加盖公章）</w:t>
            </w:r>
          </w:p>
        </w:tc>
        <w:tc>
          <w:tcPr>
            <w:tcW w:type="dxa" w:w="3322"/>
          </w:tcPr>
          <w:p>
            <w:pPr>
              <w:pStyle w:val="null3"/>
              <w:jc w:val="left"/>
            </w:pPr>
            <w:r>
              <w:rPr>
                <w:rFonts w:ascii="仿宋_GB2312" w:hAnsi="仿宋_GB2312" w:cs="仿宋_GB2312" w:eastAsia="仿宋_GB2312"/>
              </w:rPr>
              <w:t>投标人须提供有效的《出版物经营许可证》（提供扫描件并加盖公章）</w:t>
            </w:r>
          </w:p>
        </w:tc>
        <w:tc>
          <w:tcPr>
            <w:tcW w:type="dxa" w:w="1661"/>
          </w:tcPr>
          <w:p>
            <w:pPr>
              <w:pStyle w:val="null3"/>
              <w:jc w:val="left"/>
            </w:pPr>
            <w:r>
              <w:rPr>
                <w:rFonts w:ascii="仿宋_GB2312" w:hAnsi="仿宋_GB2312" w:cs="仿宋_GB2312" w:eastAsia="仿宋_GB2312"/>
              </w:rPr>
              <w:t>投标（响应）文件资格补充材料.docx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1实质性要求承诺函-公开招标.docx,投标（响应）函,3C及其他国家强制要求承诺函1.docx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详见2.4.5投标报价异常低价投标审核程序</w:t>
            </w:r>
          </w:p>
        </w:tc>
        <w:tc>
          <w:tcPr>
            <w:tcW w:type="dxa" w:w="1661"/>
          </w:tcPr>
          <w:p>
            <w:pPr>
              <w:pStyle w:val="null3"/>
              <w:jc w:val="left"/>
            </w:pPr>
            <w:r>
              <w:rPr>
                <w:rFonts w:ascii="仿宋_GB2312" w:hAnsi="仿宋_GB2312" w:cs="仿宋_GB2312" w:eastAsia="仿宋_GB2312"/>
              </w:rPr>
              <w:t>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符合采购文件的实质性要求</w:t>
            </w:r>
          </w:p>
        </w:tc>
        <w:tc>
          <w:tcPr>
            <w:tcW w:type="dxa" w:w="3322"/>
          </w:tcPr>
          <w:p>
            <w:pPr>
              <w:pStyle w:val="null3"/>
              <w:jc w:val="left"/>
            </w:pPr>
            <w:r>
              <w:rPr>
                <w:rFonts w:ascii="仿宋_GB2312" w:hAnsi="仿宋_GB2312" w:cs="仿宋_GB2312" w:eastAsia="仿宋_GB2312"/>
              </w:rPr>
              <w:t>是否满足采购文件第三章实质性要求</w:t>
            </w:r>
          </w:p>
        </w:tc>
        <w:tc>
          <w:tcPr>
            <w:tcW w:type="dxa" w:w="1661"/>
          </w:tcPr>
          <w:p>
            <w:pPr>
              <w:pStyle w:val="null3"/>
              <w:jc w:val="left"/>
            </w:pPr>
            <w:r>
              <w:rPr>
                <w:rFonts w:ascii="仿宋_GB2312" w:hAnsi="仿宋_GB2312" w:cs="仿宋_GB2312" w:eastAsia="仿宋_GB2312"/>
              </w:rPr>
              <w:t>产品技术参数响应表,投标（响应）文件其他补充材料.docx,服务应答表,商务应答表.docx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报价</w:t>
            </w:r>
          </w:p>
        </w:tc>
        <w:tc>
          <w:tcPr>
            <w:tcW w:type="dxa" w:w="3322"/>
          </w:tcPr>
          <w:p>
            <w:pPr>
              <w:pStyle w:val="null3"/>
              <w:jc w:val="left"/>
            </w:pPr>
            <w:r>
              <w:rPr>
                <w:rFonts w:ascii="仿宋_GB2312" w:hAnsi="仿宋_GB2312" w:cs="仿宋_GB2312" w:eastAsia="仿宋_GB2312"/>
              </w:rPr>
              <w:t>供应商报价是否超过最高限价</w:t>
            </w:r>
          </w:p>
        </w:tc>
        <w:tc>
          <w:tcPr>
            <w:tcW w:type="dxa" w:w="1661"/>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1.投标人针对招标文件第三章3.2.技术要求中“技术参数与性能指标”的响应得分规则如下：（一般技术参数条款指未标注 “★”的条款） 一般技术参数条款响应得分=（投标人满足一般技术参数条款的数量÷一般技术参数条款的总数量）×30分。 注：（1）标注“★”的条款为本项目实质性要求，不作为本项评审。（2）本招标文件以一级序号数字（如 “1”“2”“3”…）为一条；数字序号下有多级序号的，以最小级数字序号为一条。（3）得分保留两位小数，四舍五入。</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投标（响应）文件其他补充材料.docx</w:t>
            </w:r>
          </w:p>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信誉及现场演示</w:t>
            </w:r>
          </w:p>
        </w:tc>
        <w:tc>
          <w:tcPr>
            <w:tcW w:type="dxa" w:w="2575"/>
          </w:tcPr>
          <w:p>
            <w:pPr>
              <w:pStyle w:val="null3"/>
              <w:jc w:val="left"/>
            </w:pPr>
            <w:r>
              <w:rPr>
                <w:rFonts w:ascii="仿宋_GB2312" w:hAnsi="仿宋_GB2312" w:cs="仿宋_GB2312" w:eastAsia="仿宋_GB2312"/>
              </w:rPr>
              <w:t>1.投标人提供2023年1月1日（含）以来同类采购项目的到书率证明，每提供1家到书率在98%及以上的得0.5分，最高得5分。（注：提供用户出具的到货验收证明或到书率情况说明的扫描件并加盖公章） 2.供应商需提供功能齐全的专业化线上图书采购平台，可开展线上图采会。（投标人需自带电脑现场演示，演示人员不超过2人，每家投标人演示时间不超过10分钟，超时演示部分的内容不得分。演示地点：成都市高新区天府大道1700号新世纪环球中心E3门栋6楼2-1-611-615四川中意招标有限公司本项目会议室； 演示时间：开标当天符合性审查结束后 演示人员现场提供以下证明材料：法定代表人、单位负责人授权委托书原件（格式自拟）；委托代理人身份证复印件。若无法演示或演示不全，扣除相应分值。） （1）平台收录100万种及以上图书数据，并可查看图书作者、出版社、出版时间、ISBN号、价格、中图法分类号等内容的，得1分；不提供或不能提供的此项不得分。（以现场演示为准） （2）平台2024年1月1日（包含）至今铁道类、城市轨道交通 、铁道通信与信息化技术、电气自动化、人工智能、旅游管理、市场营销、供应链、会计、保险等全品种新书不低于10万种，且提供平台上2024年1月1日（包含）以来出版的新书目录。提供并达到要求得1分；达不到要求或不能提供的不得分。（以现场演示为准） （3）线上采书平台支持读者选书荐购，能提供被荐购图书相关信息下载（包括书目信息和荐购者身份信息等）。达到要求，得1分；达不到要求或不能支持的不得分。（以现场演示为准） （4）平台须支持中图法大类查询，可批量下载中图法某大类书目，方便师生有目的性勾选书目，得1分；不支持或不能支持的此项不得分。（以现场演示为准） （5）支持开展线上图采会（以现场演示为准），并能具备与100家及以上出版单位开展线上图采会的功能（提供2024年1月1日（包含）至递交投标文件截止时间以来举办线上图采会的网站截图和新闻、出版社的参会邀请回执复印件证明材料，完全满足得1分，不提供或达不到要求不得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投标（响应）文件其他补充材料.docx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1.根据供应商提供的自2023年1月1日（含）以来同类采购项目的业绩进行评定。每提供1个得1分，最高得5分。 注：需提供合同复印件并加盖公章 2.投标人提供≥100家合作出版社的授权书或合作协议（其有效期须覆盖本项目合同履行期限），需另附清单，并加盖供应商公章的得5分；不提供或者不满足的不得分。（此项100家出版社不包含下条中的10家出版社） 注：①清单以列表方式提供，至少包含“序号、出版社名称、授权或合作时间”）②授权书或合作协议装订顺序与清单保持一致。 3.投标人提供以下采购人所需图书的重点出版社授权书或合作协议（其有效期须覆盖本项目合同履行期限），需另附清单，并加盖供应商公章。中国铁道出版社、机械工业出版社、人民交通出版社、西南交通大学出版社、北京交通大学出版社、电子工业出版社、中国人民大学出版社、人民文学出版社、人民教育出版社、高等教育出版社，每提供1家得1分，最多得10分。 注：①清单以列表方式提供，至少包含“序号、出版社名称、授权或合作时间”）②授权书或合作协议装订顺序与清单保持一致。</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投标（响应）文件其他补充材料.docx</w:t>
            </w:r>
          </w:p>
        </w:tc>
      </w:tr>
      <w:tr>
        <w:tc>
          <w:tcPr>
            <w:tcW w:type="dxa" w:w="831"/>
            <w:vMerge/>
          </w:tcPr>
          <w:p/>
        </w:tc>
        <w:tc>
          <w:tcPr>
            <w:tcW w:type="dxa" w:w="1661"/>
          </w:tcPr>
          <w:p>
            <w:pPr>
              <w:pStyle w:val="null3"/>
              <w:jc w:val="left"/>
            </w:pPr>
            <w:r>
              <w:rPr>
                <w:rFonts w:ascii="仿宋_GB2312" w:hAnsi="仿宋_GB2312" w:cs="仿宋_GB2312" w:eastAsia="仿宋_GB2312"/>
              </w:rPr>
              <w:t>现场采购条件</w:t>
            </w:r>
          </w:p>
        </w:tc>
        <w:tc>
          <w:tcPr>
            <w:tcW w:type="dxa" w:w="2575"/>
          </w:tcPr>
          <w:p>
            <w:pPr>
              <w:pStyle w:val="null3"/>
              <w:jc w:val="left"/>
            </w:pPr>
            <w:r>
              <w:rPr>
                <w:rFonts w:ascii="仿宋_GB2312" w:hAnsi="仿宋_GB2312" w:cs="仿宋_GB2312" w:eastAsia="仿宋_GB2312"/>
              </w:rPr>
              <w:t>1.投标人提供2022年1月1日（包含）至今合作举办的现场图书馆配会等采选活动证明材料（证明材料为投标人与出版协会、新闻出版行政部门等其他单位举办现场图书馆配会签订的协议/合同扫描件）。每提供1份得2分，最多得8分；不提供不得分。</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投标（响应）文件其他补充材料.docx</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1.售后服务（2分）： 供应商承诺在中标后为本项目配备专职售后服务人员（不少于2人），并提供人员名单及联系方式，确保及时响应采购人服务需求的，得2分。 （注：须单独提供承诺函并加盖公章，格式自拟）</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投标（响应）文件其他补充材料.docx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纸质图书</w:t>
            </w:r>
          </w:p>
        </w:tc>
        <w:tc>
          <w:tcPr>
            <w:tcW w:type="dxa" w:w="2575"/>
          </w:tcPr>
          <w:p>
            <w:pPr>
              <w:pStyle w:val="null3"/>
              <w:jc w:val="left"/>
            </w:pPr>
            <w:r>
              <w:rPr>
                <w:rFonts w:ascii="仿宋_GB2312" w:hAnsi="仿宋_GB2312" w:cs="仿宋_GB2312" w:eastAsia="仿宋_GB2312"/>
              </w:rPr>
              <w:t>以本次有效的最低投标报价为基准价，投标报价得分=(基准价／响应报价)*30分*100%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详见附件：1实质性要求承诺函-公开招标.docx</w:t>
      </w:r>
    </w:p>
    <w:p>
      <w:pPr>
        <w:pStyle w:val="null3"/>
        <w:ind w:firstLine="960"/>
        <w:jc w:val="left"/>
      </w:pPr>
      <w:r>
        <w:rPr>
          <w:rFonts w:ascii="仿宋_GB2312" w:hAnsi="仿宋_GB2312" w:cs="仿宋_GB2312" w:eastAsia="仿宋_GB2312"/>
        </w:rPr>
        <w:t>详见附件：3C及其他国家强制要求承诺函1.docx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详见附件：投标（响应）文件其他补充材料.docx</w:t>
      </w:r>
    </w:p>
    <w:p>
      <w:pPr>
        <w:pStyle w:val="null3"/>
        <w:ind w:firstLine="960"/>
        <w:jc w:val="left"/>
      </w:pPr>
      <w:r>
        <w:rPr>
          <w:rFonts w:ascii="仿宋_GB2312" w:hAnsi="仿宋_GB2312" w:cs="仿宋_GB2312" w:eastAsia="仿宋_GB2312"/>
        </w:rPr>
        <w:t>详见附件：投标（响应）文件资格补充材料.docx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