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bookmarkStart w:id="1" w:name="_GoBack"/>
      <w:bookmarkEnd w:id="1"/>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bookmarkStart w:id="0" w:name="OLE_LINK1"/>
      <w:r>
        <w:rPr>
          <w:rFonts w:ascii="仿宋_GB2312" w:hAnsi="仿宋_GB2312" w:eastAsia="仿宋_GB2312" w:cs="仿宋_GB2312"/>
        </w:rPr>
        <w:t>采购包预算金额（元）: 500,000.00</w:t>
      </w:r>
    </w:p>
    <w:p>
      <w:pPr>
        <w:pStyle w:val="4"/>
        <w:jc w:val="left"/>
      </w:pPr>
      <w:r>
        <w:rPr>
          <w:rFonts w:ascii="仿宋_GB2312" w:hAnsi="仿宋_GB2312" w:eastAsia="仿宋_GB2312" w:cs="仿宋_GB2312"/>
        </w:rPr>
        <w:t>采购包最高限价（元）: 500,000.00</w:t>
      </w:r>
      <w:bookmarkEnd w:id="0"/>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C16010302 行业应用软件开发服务</w:t>
            </w:r>
          </w:p>
        </w:tc>
        <w:tc>
          <w:tcPr>
            <w:tcW w:w="821" w:type="dxa"/>
          </w:tcPr>
          <w:p>
            <w:pPr>
              <w:pStyle w:val="4"/>
              <w:jc w:val="left"/>
            </w:pPr>
            <w:r>
              <w:rPr>
                <w:rFonts w:ascii="仿宋_GB2312" w:hAnsi="仿宋_GB2312" w:eastAsia="仿宋_GB2312" w:cs="仿宋_GB2312"/>
              </w:rPr>
              <w:t>磁共振成像加速AI软件</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500,000.00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磁共振成像加速AI软件</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500,000.00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pPr>
        <w:pStyle w:val="4"/>
        <w:jc w:val="left"/>
      </w:pPr>
      <w:r>
        <w:rPr>
          <w:rFonts w:ascii="仿宋_GB2312" w:hAnsi="仿宋_GB2312" w:eastAsia="仿宋_GB2312" w:cs="仿宋_GB2312"/>
          <w:b/>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标的名称：磁共振成像加速AI软件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技术要求</w:t>
            </w:r>
          </w:p>
        </w:tc>
        <w:tc>
          <w:tcPr>
            <w:tcW w:w="5814" w:type="dxa"/>
          </w:tcPr>
          <w:p>
            <w:pPr>
              <w:pStyle w:val="4"/>
              <w:spacing w:before="255" w:after="255"/>
              <w:ind w:firstLine="482"/>
              <w:jc w:val="both"/>
            </w:pPr>
            <w:r>
              <w:rPr>
                <w:rFonts w:ascii="仿宋_GB2312" w:hAnsi="仿宋_GB2312" w:eastAsia="仿宋_GB2312" w:cs="仿宋_GB2312"/>
                <w:b/>
                <w:color w:val="000000"/>
                <w:sz w:val="24"/>
              </w:rPr>
              <w:t>一、软件功能参数要求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0"/>
              <w:gridCol w:w="998"/>
              <w:gridCol w:w="394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序号</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参数要求</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详细说明</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快速磁共振扫描序列参数设置</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★1.1 设置的快速磁共振扫描序列能够使得扫描时间在现有基础上缩短不得少于30%；将各部位扫描时间从原有的8至30分钟缩短至5至20分钟。同时，快速扫描序列所获得的图像经软件处理后质量与医院现有标准序列所获得的图像质量保持一致。</w:t>
                  </w:r>
                </w:p>
                <w:p>
                  <w:pPr>
                    <w:pStyle w:val="4"/>
                    <w:jc w:val="both"/>
                  </w:pPr>
                  <w:r>
                    <w:rPr>
                      <w:rFonts w:ascii="仿宋_GB2312" w:hAnsi="仿宋_GB2312" w:eastAsia="仿宋_GB2312" w:cs="仿宋_GB2312"/>
                      <w:color w:val="000000"/>
                      <w:sz w:val="24"/>
                    </w:rPr>
                    <w:t>▲1.2可支持的扫描部位包括但不限于：头颅、颈椎、胸椎、腰椎、肩关节、肘关节、膝关节、髋关节、骶髂关节、踝关节、腕关节。</w:t>
                  </w:r>
                </w:p>
                <w:p>
                  <w:pPr>
                    <w:pStyle w:val="4"/>
                    <w:jc w:val="both"/>
                  </w:pPr>
                  <w:r>
                    <w:rPr>
                      <w:rFonts w:ascii="仿宋_GB2312" w:hAnsi="仿宋_GB2312" w:eastAsia="仿宋_GB2312" w:cs="仿宋_GB2312"/>
                      <w:color w:val="000000"/>
                      <w:sz w:val="24"/>
                    </w:rPr>
                    <w:t>▲1.3可支持的扫描序列为各种对比度的2D平扫序列（T1加权、T2加权、PD加权、弥散加权、自由水、脂肪等成像序列），主要包括：2D自旋回波序列、反转恢复序列、脂肪抑制序列、自由水抑制序列、快速恢复自旋回波序列、弥散加权成像序列等。</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磁共振图像增强降噪</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2.1提供增强降噪算法，对磁共振快速扫描序列采集的图像进行图像降噪与细节增强操作，达到与医院现有基础序列采集图像的信噪比、病灶显示清晰度相持平，或进一步提升。</w:t>
                  </w:r>
                </w:p>
                <w:p>
                  <w:pPr>
                    <w:pStyle w:val="4"/>
                    <w:jc w:val="both"/>
                  </w:pPr>
                  <w:r>
                    <w:rPr>
                      <w:rFonts w:ascii="仿宋_GB2312" w:hAnsi="仿宋_GB2312" w:eastAsia="仿宋_GB2312" w:cs="仿宋_GB2312"/>
                      <w:color w:val="000000"/>
                      <w:sz w:val="24"/>
                    </w:rPr>
                    <w:t>★2.2软件能够使得算法处理后的磁共振图像信噪比与医院现有标准序列所获得的图像质量保持一致。计算速度上，单个序列的图像处理时间不超过30秒。</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图像传输、浏览、与归档</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3.1图像处理系统能从医院MRI扫描设备中自动获取快速序列采集的DICOM图像，亦可配置手动传输待处理图像；拉取到磁共振快速扫描序列采集的DICOM图像后，运行磁共振图像增强降噪算法，并将降噪增强后的DICOM图像插入数据库，并上传至PACS，上传方式为自动和手动，速度不得低于软件所服务的磁共振设备的图像上传速度；医师可以通过该软件配套的浏览器访问图像处理服务器，并实时查看增强算法运行进度与增强后的磁共振图像，同时能在PACS系统调阅、查看处理后的图像。归档后的增强图像不影响PACS系统的原有图像，即医师可以通过PACS系统实时查阅软件降噪增强后的图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4</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数据存储安全</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★4.1软件采用用户认证方式，控制平台访问，确保数据的安全性；同时建立数据访问权限管理制度，确保只有经过授权的人员才能浏览磁共振图像。</w:t>
                  </w:r>
                </w:p>
              </w:tc>
            </w:tr>
          </w:tbl>
          <w:p>
            <w:pPr>
              <w:pStyle w:val="4"/>
              <w:spacing w:before="255" w:after="255"/>
              <w:jc w:val="left"/>
            </w:pPr>
            <w:r>
              <w:rPr>
                <w:rFonts w:ascii="仿宋_GB2312" w:hAnsi="仿宋_GB2312" w:eastAsia="仿宋_GB2312" w:cs="仿宋_GB2312"/>
                <w:b/>
                <w:color w:val="000000"/>
                <w:sz w:val="24"/>
              </w:rPr>
              <w:t>二、软件服务要求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0"/>
              <w:gridCol w:w="998"/>
              <w:gridCol w:w="394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序号</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服务要求</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详细说明</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1</w:t>
                  </w:r>
                </w:p>
              </w:tc>
              <w:tc>
                <w:tcPr>
                  <w:tcW w:w="9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在磁共振设备设置快速扫描序列</w:t>
                  </w:r>
                </w:p>
              </w:tc>
              <w:tc>
                <w:tcPr>
                  <w:tcW w:w="39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★1.1由中标人派遣部署人员，为医院磁共振设备设置快速扫描序列。支持的设备至少包括西门子MAGNETOM Avanto 1.5T、GE Signa Pionner 3.0T磁共振成像系统。</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2</w:t>
                  </w:r>
                </w:p>
              </w:tc>
              <w:tc>
                <w:tcPr>
                  <w:tcW w:w="9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部署图像处理计算资源和存储资源</w:t>
                  </w:r>
                </w:p>
              </w:tc>
              <w:tc>
                <w:tcPr>
                  <w:tcW w:w="39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★2.1由中标人在院内机房部署图像处理计算资源和存储资源，所产生的全部费用应包含在本次项目报价清单内。</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color w:val="000000"/>
                      <w:sz w:val="24"/>
                    </w:rPr>
                    <w:t>3</w:t>
                  </w:r>
                </w:p>
              </w:tc>
              <w:tc>
                <w:tcPr>
                  <w:tcW w:w="9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软件维护及升级</w:t>
                  </w:r>
                </w:p>
              </w:tc>
              <w:tc>
                <w:tcPr>
                  <w:tcW w:w="39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_GB2312" w:hAnsi="仿宋_GB2312" w:eastAsia="仿宋_GB2312" w:cs="仿宋_GB2312"/>
                      <w:color w:val="000000"/>
                      <w:sz w:val="24"/>
                    </w:rPr>
                    <w:t>3.1在软件运行期间，中标人部署人员能根据医师反馈意见调整快速扫描序列的参数设置，或是增强降噪算法的相关参数，使图像质量满足诊断要求。</w:t>
                  </w:r>
                </w:p>
                <w:p>
                  <w:pPr>
                    <w:pStyle w:val="4"/>
                    <w:jc w:val="both"/>
                  </w:pPr>
                  <w:r>
                    <w:rPr>
                      <w:rFonts w:ascii="仿宋_GB2312" w:hAnsi="仿宋_GB2312" w:eastAsia="仿宋_GB2312" w:cs="仿宋_GB2312"/>
                      <w:color w:val="000000"/>
                      <w:sz w:val="24"/>
                    </w:rPr>
                    <w:t>★3.2不少于每两年一次的软件升级，不断迭代、优化算法。</w:t>
                  </w:r>
                </w:p>
              </w:tc>
            </w:tr>
          </w:tbl>
          <w:p>
            <w:pPr>
              <w:pStyle w:val="4"/>
              <w:jc w:val="left"/>
            </w:pPr>
            <w:r>
              <w:rPr>
                <w:rFonts w:ascii="仿宋_GB2312" w:hAnsi="仿宋_GB2312" w:eastAsia="仿宋_GB2312" w:cs="仿宋_GB2312"/>
                <w:color w:val="000000"/>
                <w:sz w:val="24"/>
              </w:rPr>
              <w:t>★</w:t>
            </w:r>
            <w:r>
              <w:rPr>
                <w:rFonts w:ascii="仿宋_GB2312" w:hAnsi="仿宋_GB2312" w:eastAsia="仿宋_GB2312" w:cs="仿宋_GB2312"/>
                <w:b/>
                <w:color w:val="000000"/>
                <w:sz w:val="24"/>
              </w:rPr>
              <w:t>三、硬件需求</w:t>
            </w:r>
          </w:p>
          <w:p>
            <w:pPr>
              <w:pStyle w:val="4"/>
              <w:ind w:firstLine="480"/>
              <w:jc w:val="both"/>
            </w:pPr>
            <w:r>
              <w:rPr>
                <w:rFonts w:ascii="仿宋_GB2312" w:hAnsi="仿宋_GB2312" w:eastAsia="仿宋_GB2312" w:cs="仿宋_GB2312"/>
                <w:color w:val="000000"/>
                <w:sz w:val="24"/>
              </w:rPr>
              <w:t>1、根据医院项目的需求，提供其对应的产品设计、研发、实施等流程所需要的计算资源服务、存储资源服务等。</w:t>
            </w:r>
          </w:p>
          <w:p>
            <w:pPr>
              <w:pStyle w:val="4"/>
              <w:ind w:firstLine="480"/>
              <w:jc w:val="both"/>
            </w:pPr>
            <w:r>
              <w:rPr>
                <w:rFonts w:ascii="仿宋_GB2312" w:hAnsi="仿宋_GB2312" w:eastAsia="仿宋_GB2312" w:cs="仿宋_GB2312"/>
                <w:color w:val="000000"/>
                <w:sz w:val="24"/>
              </w:rPr>
              <w:t>2、此项目应提供必要的计算、存储资源，作为MRI图像后处理工作站及供MR技师能实时查阅磁共振扫描的所有图像。</w:t>
            </w:r>
          </w:p>
          <w:p>
            <w:pPr>
              <w:pStyle w:val="4"/>
              <w:spacing w:before="255" w:after="255"/>
              <w:jc w:val="both"/>
            </w:pPr>
            <w:r>
              <w:rPr>
                <w:rFonts w:ascii="仿宋_GB2312" w:hAnsi="仿宋_GB2312" w:eastAsia="仿宋_GB2312" w:cs="仿宋_GB2312"/>
                <w:color w:val="000000"/>
                <w:sz w:val="24"/>
              </w:rPr>
              <w:t>★四</w:t>
            </w:r>
            <w:r>
              <w:rPr>
                <w:rFonts w:ascii="仿宋_GB2312" w:hAnsi="仿宋_GB2312" w:eastAsia="仿宋_GB2312" w:cs="仿宋_GB2312"/>
                <w:b/>
                <w:color w:val="000000"/>
                <w:sz w:val="24"/>
              </w:rPr>
              <w:t>、驻场和运维服务要求</w:t>
            </w:r>
          </w:p>
          <w:p>
            <w:pPr>
              <w:pStyle w:val="4"/>
              <w:ind w:firstLine="480"/>
              <w:jc w:val="both"/>
            </w:pPr>
            <w:r>
              <w:rPr>
                <w:rFonts w:ascii="仿宋_GB2312" w:hAnsi="仿宋_GB2312" w:eastAsia="仿宋_GB2312" w:cs="仿宋_GB2312"/>
                <w:color w:val="000000"/>
                <w:sz w:val="24"/>
              </w:rPr>
              <w:t xml:space="preserve">（一）实施阶段需要提供2名人员驻场（装机工程师及磁共振加速序列调试工程师），每日驻场工作时间不得少于8小时，每周不得少于5天。 </w:t>
            </w:r>
          </w:p>
          <w:p>
            <w:pPr>
              <w:pStyle w:val="4"/>
              <w:ind w:firstLine="480"/>
              <w:jc w:val="both"/>
            </w:pPr>
            <w:r>
              <w:rPr>
                <w:rFonts w:ascii="仿宋_GB2312" w:hAnsi="仿宋_GB2312" w:eastAsia="仿宋_GB2312" w:cs="仿宋_GB2312"/>
                <w:color w:val="000000"/>
                <w:sz w:val="24"/>
              </w:rPr>
              <w:t>（二）具体服务要求</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34"/>
              <w:gridCol w:w="4554"/>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single" w:color="404040" w:sz="4" w:space="0"/>
                    <w:left w:val="single" w:color="404040" w:sz="4" w:space="0"/>
                    <w:bottom w:val="single" w:color="404040" w:sz="4" w:space="0"/>
                    <w:right w:val="single" w:color="404040" w:sz="4" w:space="0"/>
                  </w:tcBorders>
                  <w:tcMar>
                    <w:top w:w="0" w:type="dxa"/>
                    <w:left w:w="0" w:type="dxa"/>
                    <w:bottom w:w="0" w:type="dxa"/>
                    <w:right w:w="0" w:type="dxa"/>
                  </w:tcMar>
                  <w:vAlign w:val="top"/>
                </w:tcPr>
                <w:p>
                  <w:pPr>
                    <w:pStyle w:val="4"/>
                    <w:ind w:firstLine="480"/>
                    <w:jc w:val="both"/>
                  </w:pPr>
                  <w:r>
                    <w:rPr>
                      <w:rFonts w:ascii="仿宋_GB2312" w:hAnsi="仿宋_GB2312" w:eastAsia="仿宋_GB2312" w:cs="仿宋_GB2312"/>
                      <w:color w:val="000000"/>
                      <w:sz w:val="24"/>
                    </w:rPr>
                    <w:t>实施阶段驻场人员服务要求</w:t>
                  </w:r>
                </w:p>
              </w:tc>
              <w:tc>
                <w:tcPr>
                  <w:tcW w:w="4657" w:type="dxa"/>
                  <w:tcBorders>
                    <w:top w:val="single" w:color="404040" w:sz="4" w:space="0"/>
                    <w:left w:val="single" w:color="404040" w:sz="4" w:space="0"/>
                    <w:bottom w:val="single" w:color="404040" w:sz="4" w:space="0"/>
                    <w:right w:val="single" w:color="CBCDD1" w:sz="4" w:space="0"/>
                  </w:tcBorders>
                  <w:tcMar>
                    <w:top w:w="0" w:type="dxa"/>
                    <w:left w:w="0" w:type="dxa"/>
                    <w:bottom w:w="0" w:type="dxa"/>
                    <w:right w:w="0" w:type="dxa"/>
                  </w:tcMar>
                  <w:vAlign w:val="top"/>
                </w:tcPr>
                <w:p>
                  <w:pPr>
                    <w:pStyle w:val="4"/>
                    <w:ind w:firstLine="480"/>
                    <w:jc w:val="both"/>
                  </w:pPr>
                  <w:r>
                    <w:rPr>
                      <w:rFonts w:ascii="仿宋_GB2312" w:hAnsi="仿宋_GB2312" w:eastAsia="仿宋_GB2312" w:cs="仿宋_GB2312"/>
                      <w:color w:val="000000"/>
                      <w:sz w:val="24"/>
                    </w:rPr>
                    <w:t>人员要求：</w:t>
                  </w:r>
                </w:p>
                <w:p>
                  <w:pPr>
                    <w:pStyle w:val="4"/>
                    <w:ind w:firstLine="480"/>
                    <w:jc w:val="both"/>
                  </w:pPr>
                  <w:r>
                    <w:rPr>
                      <w:rFonts w:ascii="仿宋_GB2312" w:hAnsi="仿宋_GB2312" w:eastAsia="仿宋_GB2312" w:cs="仿宋_GB2312"/>
                      <w:color w:val="000000"/>
                      <w:sz w:val="24"/>
                    </w:rPr>
                    <w:t>1.中标人需派遣一名装机工程师驻场，将计算资源和存储资源装机进入院内机房，并接入指定的MRI设备（见参数要求），以及PACS系统，确保与MRI设备和PACS系统间的网络联通；将电脑主机与显示器装机进入MR技师扫描办公桌位处，确保电脑主机能连接并正常打开产品自带的浏览器进行MR阅图，和MR图像的手动归档至PACS。</w:t>
                  </w:r>
                </w:p>
                <w:p>
                  <w:pPr>
                    <w:pStyle w:val="4"/>
                    <w:ind w:firstLine="480"/>
                    <w:jc w:val="both"/>
                  </w:pPr>
                  <w:r>
                    <w:rPr>
                      <w:rFonts w:ascii="仿宋_GB2312" w:hAnsi="仿宋_GB2312" w:eastAsia="仿宋_GB2312" w:cs="仿宋_GB2312"/>
                      <w:color w:val="000000"/>
                      <w:sz w:val="24"/>
                    </w:rPr>
                    <w:t>2.中标人需派遣一名磁共振加速序列调试工程师驻场，对医院基础扫描序列的参数调整至加速序列，打通该产品完整扫描加速流程，并对MR技师进行产品使用的操作培训，直至技师能独立使用软件为止。</w:t>
                  </w:r>
                </w:p>
                <w:p>
                  <w:pPr>
                    <w:pStyle w:val="4"/>
                    <w:ind w:firstLine="480"/>
                    <w:jc w:val="both"/>
                  </w:pPr>
                  <w:r>
                    <w:rPr>
                      <w:rFonts w:ascii="仿宋_GB2312" w:hAnsi="仿宋_GB2312" w:eastAsia="仿宋_GB2312" w:cs="仿宋_GB2312"/>
                      <w:color w:val="000000"/>
                      <w:sz w:val="24"/>
                    </w:rPr>
                    <w:t>行为规范要求：</w:t>
                  </w:r>
                </w:p>
                <w:p>
                  <w:pPr>
                    <w:pStyle w:val="4"/>
                    <w:ind w:firstLine="480"/>
                    <w:jc w:val="both"/>
                  </w:pPr>
                  <w:r>
                    <w:rPr>
                      <w:rFonts w:ascii="仿宋_GB2312" w:hAnsi="仿宋_GB2312" w:eastAsia="仿宋_GB2312" w:cs="仿宋_GB2312"/>
                      <w:color w:val="000000"/>
                      <w:sz w:val="24"/>
                    </w:rPr>
                    <w:t>1.每日驻场工作时间不得少于8小时，每周不得少于5天。上、下班按照与采购人约定的时间作息（原则上与采购人作息时间一致）。</w:t>
                  </w:r>
                </w:p>
                <w:p>
                  <w:pPr>
                    <w:pStyle w:val="4"/>
                    <w:ind w:firstLine="480"/>
                    <w:jc w:val="both"/>
                  </w:pPr>
                  <w:r>
                    <w:rPr>
                      <w:rFonts w:ascii="仿宋_GB2312" w:hAnsi="仿宋_GB2312" w:eastAsia="仿宋_GB2312" w:cs="仿宋_GB2312"/>
                      <w:color w:val="000000"/>
                      <w:sz w:val="24"/>
                    </w:rPr>
                    <w:t>2.遵守采购人驻场行为规范，佩戴工号牌上岗，遵守数据变更管控制度。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single" w:color="404040" w:sz="4" w:space="0"/>
                    <w:left w:val="single" w:color="404040" w:sz="4" w:space="0"/>
                    <w:bottom w:val="single" w:color="404040" w:sz="4" w:space="0"/>
                    <w:right w:val="single" w:color="404040" w:sz="4" w:space="0"/>
                  </w:tcBorders>
                  <w:tcMar>
                    <w:top w:w="0" w:type="dxa"/>
                    <w:left w:w="0" w:type="dxa"/>
                    <w:bottom w:w="0" w:type="dxa"/>
                    <w:right w:w="0" w:type="dxa"/>
                  </w:tcMar>
                  <w:vAlign w:val="top"/>
                </w:tcPr>
                <w:p>
                  <w:pPr>
                    <w:pStyle w:val="4"/>
                    <w:jc w:val="both"/>
                  </w:pPr>
                  <w:r>
                    <w:rPr>
                      <w:rFonts w:ascii="仿宋_GB2312" w:hAnsi="仿宋_GB2312" w:eastAsia="仿宋_GB2312" w:cs="仿宋_GB2312"/>
                      <w:color w:val="000000"/>
                      <w:sz w:val="24"/>
                    </w:rPr>
                    <w:t>系统运维与成果转化服务</w:t>
                  </w:r>
                </w:p>
              </w:tc>
              <w:tc>
                <w:tcPr>
                  <w:tcW w:w="4657" w:type="dxa"/>
                  <w:tcBorders>
                    <w:top w:val="single" w:color="404040" w:sz="4" w:space="0"/>
                    <w:left w:val="single" w:color="404040" w:sz="4" w:space="0"/>
                    <w:bottom w:val="single" w:color="404040" w:sz="4" w:space="0"/>
                    <w:right w:val="single" w:color="CBCDD1" w:sz="4" w:space="0"/>
                  </w:tcBorders>
                  <w:tcMar>
                    <w:top w:w="0" w:type="dxa"/>
                    <w:left w:w="0" w:type="dxa"/>
                    <w:bottom w:w="0" w:type="dxa"/>
                    <w:right w:w="0" w:type="dxa"/>
                  </w:tcMar>
                  <w:vAlign w:val="top"/>
                </w:tcPr>
                <w:p>
                  <w:pPr>
                    <w:pStyle w:val="4"/>
                    <w:jc w:val="both"/>
                  </w:pPr>
                  <w:r>
                    <w:rPr>
                      <w:rFonts w:ascii="仿宋_GB2312" w:hAnsi="仿宋_GB2312" w:eastAsia="仿宋_GB2312" w:cs="仿宋_GB2312"/>
                      <w:color w:val="000000"/>
                      <w:sz w:val="24"/>
                    </w:rPr>
                    <w:t>（一）运维服务：</w:t>
                  </w:r>
                </w:p>
                <w:p>
                  <w:pPr>
                    <w:pStyle w:val="4"/>
                    <w:jc w:val="both"/>
                  </w:pPr>
                  <w:r>
                    <w:rPr>
                      <w:rFonts w:ascii="仿宋_GB2312" w:hAnsi="仿宋_GB2312" w:eastAsia="仿宋_GB2312" w:cs="仿宋_GB2312"/>
                      <w:color w:val="000000"/>
                      <w:sz w:val="24"/>
                    </w:rPr>
                    <w:t>1.服务时间和响应：7×24小时全天候运维支持，并及时响应采购人在系统使用中提出的问题；</w:t>
                  </w:r>
                </w:p>
                <w:p>
                  <w:pPr>
                    <w:pStyle w:val="4"/>
                    <w:jc w:val="both"/>
                  </w:pPr>
                  <w:r>
                    <w:rPr>
                      <w:rFonts w:ascii="仿宋_GB2312" w:hAnsi="仿宋_GB2312" w:eastAsia="仿宋_GB2312" w:cs="仿宋_GB2312"/>
                      <w:color w:val="000000"/>
                      <w:sz w:val="24"/>
                    </w:rPr>
                    <w:t>2.运维服务内容：</w:t>
                  </w:r>
                </w:p>
                <w:p>
                  <w:pPr>
                    <w:pStyle w:val="4"/>
                    <w:ind w:firstLine="240"/>
                    <w:jc w:val="both"/>
                  </w:pPr>
                  <w:r>
                    <w:rPr>
                      <w:rFonts w:ascii="仿宋_GB2312" w:hAnsi="仿宋_GB2312" w:eastAsia="仿宋_GB2312" w:cs="仿宋_GB2312"/>
                      <w:color w:val="000000"/>
                      <w:sz w:val="24"/>
                    </w:rPr>
                    <w:t>系统监控：实时监控系统运行状态，及时发现和处理异常；</w:t>
                  </w:r>
                </w:p>
                <w:p>
                  <w:pPr>
                    <w:pStyle w:val="4"/>
                    <w:ind w:firstLine="240"/>
                    <w:jc w:val="both"/>
                  </w:pPr>
                  <w:r>
                    <w:rPr>
                      <w:rFonts w:ascii="仿宋_GB2312" w:hAnsi="仿宋_GB2312" w:eastAsia="仿宋_GB2312" w:cs="仿宋_GB2312"/>
                      <w:color w:val="000000"/>
                      <w:sz w:val="24"/>
                    </w:rPr>
                    <w:t>故障处理：紧急故障：应用系统因非计划的数据库原因或应用系统自身故障原因造成宕机。30分钟内到达现场，2小时内解决或提供解决方案。非紧急故障：24小时内解决，如果远程无法解决的问题，则到现场解决；</w:t>
                  </w:r>
                </w:p>
                <w:p>
                  <w:pPr>
                    <w:pStyle w:val="4"/>
                    <w:ind w:firstLine="240"/>
                    <w:jc w:val="both"/>
                  </w:pPr>
                  <w:r>
                    <w:rPr>
                      <w:rFonts w:ascii="仿宋_GB2312" w:hAnsi="仿宋_GB2312" w:eastAsia="仿宋_GB2312" w:cs="仿宋_GB2312"/>
                      <w:color w:val="000000"/>
                      <w:sz w:val="24"/>
                    </w:rPr>
                    <w:t>性能优化：不少于每两年一次的系统性能分析和优化，提升系统效率；</w:t>
                  </w:r>
                </w:p>
                <w:p>
                  <w:pPr>
                    <w:pStyle w:val="4"/>
                    <w:ind w:firstLine="240"/>
                    <w:jc w:val="both"/>
                  </w:pPr>
                  <w:r>
                    <w:rPr>
                      <w:rFonts w:ascii="仿宋_GB2312" w:hAnsi="仿宋_GB2312" w:eastAsia="仿宋_GB2312" w:cs="仿宋_GB2312"/>
                      <w:color w:val="000000"/>
                      <w:sz w:val="24"/>
                    </w:rPr>
                    <w:t>安全维护：提供系统安全保障，每两周进行一次数据库安全检查，出具检查报告，及时处置异常；收到安全隐患通知后，24小时内处置安全隐患。</w:t>
                  </w:r>
                </w:p>
                <w:p>
                  <w:pPr>
                    <w:pStyle w:val="4"/>
                    <w:ind w:firstLine="240"/>
                    <w:jc w:val="both"/>
                  </w:pPr>
                  <w:r>
                    <w:rPr>
                      <w:rFonts w:ascii="仿宋_GB2312" w:hAnsi="仿宋_GB2312" w:eastAsia="仿宋_GB2312" w:cs="仿宋_GB2312"/>
                      <w:color w:val="000000"/>
                      <w:sz w:val="24"/>
                    </w:rPr>
                    <w:t>数据备份：不少于每半年一次的备份数据库和关键数据，提供数据恢复支持；</w:t>
                  </w:r>
                </w:p>
                <w:p>
                  <w:pPr>
                    <w:pStyle w:val="4"/>
                    <w:ind w:firstLine="240"/>
                    <w:jc w:val="both"/>
                  </w:pPr>
                  <w:r>
                    <w:rPr>
                      <w:rFonts w:ascii="仿宋_GB2312" w:hAnsi="仿宋_GB2312" w:eastAsia="仿宋_GB2312" w:cs="仿宋_GB2312"/>
                      <w:color w:val="000000"/>
                      <w:sz w:val="24"/>
                    </w:rPr>
                    <w:t>技术支持：提供技术咨询和问题解答、数据提取，协助采购人解决使用过程中遇到的问题；</w:t>
                  </w:r>
                </w:p>
                <w:p>
                  <w:pPr>
                    <w:pStyle w:val="4"/>
                    <w:ind w:firstLine="240"/>
                    <w:jc w:val="both"/>
                  </w:pPr>
                  <w:r>
                    <w:rPr>
                      <w:rFonts w:ascii="仿宋_GB2312" w:hAnsi="仿宋_GB2312" w:eastAsia="仿宋_GB2312" w:cs="仿宋_GB2312"/>
                      <w:color w:val="000000"/>
                      <w:sz w:val="24"/>
                    </w:rPr>
                    <w:t xml:space="preserve">  运维文档：运维服务期间产生的文档及时提供给采购人，文档至少包括：关键事件回溯/复盘报告、巡检记录、需求更改记录、系统更新记录、数据库维护及优化记录、培训学习记录、月度服务分析报告、报告总结。</w:t>
                  </w:r>
                </w:p>
                <w:p>
                  <w:pPr>
                    <w:pStyle w:val="4"/>
                    <w:ind w:firstLine="240"/>
                    <w:jc w:val="both"/>
                  </w:pPr>
                  <w:r>
                    <w:rPr>
                      <w:rFonts w:ascii="仿宋_GB2312" w:hAnsi="仿宋_GB2312" w:eastAsia="仿宋_GB2312" w:cs="仿宋_GB2312"/>
                      <w:color w:val="000000"/>
                      <w:sz w:val="24"/>
                    </w:rPr>
                    <w:t>（二）成果转化：</w:t>
                  </w:r>
                </w:p>
                <w:p>
                  <w:pPr>
                    <w:pStyle w:val="4"/>
                    <w:ind w:firstLine="240"/>
                    <w:jc w:val="both"/>
                  </w:pPr>
                  <w:r>
                    <w:rPr>
                      <w:rFonts w:ascii="仿宋_GB2312" w:hAnsi="仿宋_GB2312" w:eastAsia="仿宋_GB2312" w:cs="仿宋_GB2312"/>
                      <w:color w:val="000000"/>
                      <w:sz w:val="24"/>
                    </w:rPr>
                    <w:t>提供协助本系统软件科研成果转化服务，至少包含数据提取、专利撰写、论文协助支持服务。</w:t>
                  </w:r>
                </w:p>
              </w:tc>
            </w:tr>
          </w:tbl>
          <w:p>
            <w:pPr>
              <w:pStyle w:val="4"/>
              <w:spacing w:before="255" w:after="255"/>
              <w:jc w:val="both"/>
            </w:pPr>
            <w:r>
              <w:rPr>
                <w:rFonts w:ascii="仿宋_GB2312" w:hAnsi="仿宋_GB2312" w:eastAsia="仿宋_GB2312" w:cs="仿宋_GB2312"/>
                <w:color w:val="000000"/>
                <w:sz w:val="24"/>
              </w:rPr>
              <w:t>★五</w:t>
            </w:r>
            <w:r>
              <w:rPr>
                <w:rFonts w:ascii="仿宋_GB2312" w:hAnsi="仿宋_GB2312" w:eastAsia="仿宋_GB2312" w:cs="仿宋_GB2312"/>
                <w:b/>
                <w:color w:val="000000"/>
                <w:sz w:val="24"/>
              </w:rPr>
              <w:t>、系统对接服务要求</w:t>
            </w:r>
          </w:p>
          <w:p>
            <w:pPr>
              <w:pStyle w:val="4"/>
              <w:ind w:firstLine="480"/>
              <w:jc w:val="both"/>
            </w:pPr>
            <w:r>
              <w:rPr>
                <w:rFonts w:ascii="仿宋_GB2312" w:hAnsi="仿宋_GB2312" w:eastAsia="仿宋_GB2312" w:cs="仿宋_GB2312"/>
                <w:color w:val="000000"/>
                <w:sz w:val="24"/>
              </w:rPr>
              <w:t>支持满足并完成对接医院现有PACS系统，实现上述软硬件、功能参数操作运行连贯性。所产生的全部费用应包含在本次项目整体报价内。</w:t>
            </w:r>
          </w:p>
          <w:p>
            <w:pPr>
              <w:pStyle w:val="4"/>
              <w:jc w:val="both"/>
            </w:pPr>
            <w:r>
              <w:rPr>
                <w:rFonts w:ascii="仿宋_GB2312" w:hAnsi="仿宋_GB2312" w:eastAsia="仿宋_GB2312" w:cs="仿宋_GB2312"/>
                <w:color w:val="000000"/>
                <w:sz w:val="24"/>
              </w:rPr>
              <w:t>注：PACS系统厂家：（成都成电金盘健康数据技术有限公司）PACS系统接口服务费用不高于人民币8万元）。</w:t>
            </w:r>
          </w:p>
          <w:p>
            <w:pPr>
              <w:pStyle w:val="4"/>
              <w:spacing w:before="255" w:after="255"/>
              <w:jc w:val="left"/>
            </w:pPr>
            <w:r>
              <w:rPr>
                <w:rFonts w:ascii="仿宋_GB2312" w:hAnsi="仿宋_GB2312" w:eastAsia="仿宋_GB2312" w:cs="仿宋_GB2312"/>
                <w:color w:val="000000"/>
                <w:sz w:val="24"/>
              </w:rPr>
              <w:t>★六</w:t>
            </w:r>
            <w:r>
              <w:rPr>
                <w:rFonts w:ascii="仿宋_GB2312" w:hAnsi="仿宋_GB2312" w:eastAsia="仿宋_GB2312" w:cs="仿宋_GB2312"/>
                <w:b/>
                <w:color w:val="000000"/>
                <w:sz w:val="24"/>
              </w:rPr>
              <w:t>、其他服务要求</w:t>
            </w:r>
          </w:p>
          <w:p>
            <w:pPr>
              <w:pStyle w:val="4"/>
              <w:ind w:firstLine="482"/>
              <w:jc w:val="both"/>
            </w:pPr>
            <w:r>
              <w:rPr>
                <w:rFonts w:ascii="仿宋_GB2312" w:hAnsi="仿宋_GB2312" w:eastAsia="仿宋_GB2312" w:cs="仿宋_GB2312"/>
                <w:b/>
                <w:color w:val="000000"/>
                <w:sz w:val="24"/>
              </w:rPr>
              <w:t>计算资源、存储资源：</w:t>
            </w:r>
            <w:r>
              <w:rPr>
                <w:rFonts w:ascii="仿宋_GB2312" w:hAnsi="仿宋_GB2312" w:eastAsia="仿宋_GB2312" w:cs="仿宋_GB2312"/>
                <w:color w:val="000000"/>
                <w:sz w:val="24"/>
              </w:rPr>
              <w:t>本项目实施需要使用服务器、操作系统及数据库，中标供应商应根据本身产品架构和使用需求，提供使用权（至少使用到本项目运行维护期结束）。提供的中央处理器、操作系统和集中式数据库，在“中国信息安全测评中心”或“国家保密科技测评中心”发布的“安全可靠测评结果公告”名单内，或者已取得由国家认定检测机构出具的包含CNAS或CMA资质的信创产品检测合格报告。因使用产生的费用包含在投标报价中。</w:t>
            </w:r>
            <w:r>
              <w:rPr>
                <w:rFonts w:ascii="仿宋_GB2312" w:hAnsi="仿宋_GB2312" w:eastAsia="仿宋_GB2312" w:cs="仿宋_GB2312"/>
                <w:b/>
                <w:color w:val="000000"/>
                <w:sz w:val="24"/>
              </w:rPr>
              <w:t>（供应商需单独提供承诺函，格式自拟，此处不适用符合性审查序号1审查内容，若不提供承诺函则按无效处理）。</w:t>
            </w:r>
          </w:p>
          <w:p>
            <w:pPr>
              <w:pStyle w:val="4"/>
              <w:jc w:val="both"/>
            </w:pPr>
            <w:r>
              <w:rPr>
                <w:rFonts w:ascii="仿宋_GB2312" w:hAnsi="仿宋_GB2312" w:eastAsia="仿宋_GB2312" w:cs="仿宋_GB2312"/>
                <w:color w:val="000000"/>
                <w:sz w:val="24"/>
              </w:rPr>
              <w:t xml:space="preserve">     </w:t>
            </w:r>
            <w:r>
              <w:rPr>
                <w:rFonts w:ascii="仿宋_GB2312" w:hAnsi="仿宋_GB2312" w:eastAsia="仿宋_GB2312" w:cs="仿宋_GB2312"/>
                <w:b/>
                <w:color w:val="000000"/>
                <w:sz w:val="21"/>
              </w:rPr>
              <w:t>系统安全：</w:t>
            </w:r>
            <w:r>
              <w:rPr>
                <w:rFonts w:ascii="仿宋_GB2312" w:hAnsi="仿宋_GB2312" w:eastAsia="仿宋_GB2312" w:cs="仿宋_GB2312"/>
                <w:color w:val="000000"/>
                <w:sz w:val="21"/>
              </w:rPr>
              <w:t>为保证系统数据稳定性及安全性，在系统上线前需通过医院组织的安全评估，合格后方可正式上线运行。服务期内，按照《中华人民共和国网络安全法》、《中华人民共和国保密法》、《信息安全等级保护管理办法》的要求采取相应措施，接受采购人信息安全管理，协助采购人做好信息安全工作，处置安全风险。由此产生的费用包含在投标报价中。</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其他服务要求1</w:t>
            </w:r>
          </w:p>
        </w:tc>
        <w:tc>
          <w:tcPr>
            <w:tcW w:w="5814" w:type="dxa"/>
          </w:tcPr>
          <w:p>
            <w:pPr>
              <w:pStyle w:val="4"/>
              <w:jc w:val="both"/>
            </w:pPr>
            <w:r>
              <w:rPr>
                <w:rFonts w:ascii="仿宋_GB2312" w:hAnsi="仿宋_GB2312" w:eastAsia="仿宋_GB2312" w:cs="仿宋_GB2312"/>
                <w:sz w:val="21"/>
              </w:rPr>
              <w:t>本项目参加政府采购活动的供应商不得具有串标围标等违反《中华人民共和国政府采购法》等相关法律法规规定的情形（供应商需在投标文件中按第六章投标文件格式-《非围标串标承诺函》进行承诺，如果虚假承诺，报同级财政进行处理，此处不适用符合性审查序号1审查内容，若不提供承诺函则按无效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color w:val="000000"/>
                <w:sz w:val="24"/>
              </w:rPr>
              <w:t>（因系统固化原因，3.3.2.商务要求中的付款进度安排不适用本项目，具体付款进度安排以此为准；供应商应答“付款进度安排”时，可仅应答本条要求即可，对于3.3.2商务要求中“付款进度安排”要求的应答不作强制要求）</w:t>
            </w:r>
          </w:p>
          <w:p>
            <w:pPr>
              <w:pStyle w:val="4"/>
              <w:jc w:val="left"/>
            </w:pPr>
            <w:r>
              <w:rPr>
                <w:rFonts w:ascii="仿宋_GB2312" w:hAnsi="仿宋_GB2312" w:eastAsia="仿宋_GB2312" w:cs="仿宋_GB2312"/>
                <w:sz w:val="21"/>
              </w:rPr>
              <w:t>1、合同签订生效且收到供应商开具发票后，达到付款条件起10日内，支付合同总金额的30%。</w:t>
            </w:r>
          </w:p>
          <w:p>
            <w:pPr>
              <w:pStyle w:val="4"/>
              <w:jc w:val="left"/>
            </w:pPr>
            <w:r>
              <w:rPr>
                <w:rFonts w:ascii="仿宋_GB2312" w:hAnsi="仿宋_GB2312" w:eastAsia="仿宋_GB2312" w:cs="仿宋_GB2312"/>
                <w:sz w:val="21"/>
              </w:rPr>
              <w:t>2、系统部署完成，达到试运行条件且初验合格后，收到供应商开具的发票，达到付款条件起10日内，支付合同总金额的40%。</w:t>
            </w:r>
          </w:p>
          <w:p>
            <w:pPr>
              <w:pStyle w:val="4"/>
              <w:jc w:val="left"/>
            </w:pPr>
            <w:r>
              <w:rPr>
                <w:rFonts w:ascii="仿宋_GB2312" w:hAnsi="仿宋_GB2312" w:eastAsia="仿宋_GB2312" w:cs="仿宋_GB2312"/>
                <w:sz w:val="21"/>
              </w:rPr>
              <w:t>3、系统交付并上线运行至少一个月后组织验收，验收合格且收到供应商开具的发票，达到付款条件起10日内，支付合同总金额的20%。</w:t>
            </w:r>
          </w:p>
          <w:p>
            <w:pPr>
              <w:pStyle w:val="4"/>
              <w:jc w:val="left"/>
            </w:pPr>
            <w:r>
              <w:rPr>
                <w:rFonts w:ascii="仿宋_GB2312" w:hAnsi="仿宋_GB2312" w:eastAsia="仿宋_GB2312" w:cs="仿宋_GB2312"/>
                <w:sz w:val="21"/>
              </w:rPr>
              <w:t>4、合同期满且项目最终验收完毕，剩余10%的合同款，根据运行维护服务考核最终得分按比例支付。采购人收到中标供应商开具的发票后10个工作日内，采购人向供应商支付剩余的款项。</w:t>
            </w:r>
          </w:p>
          <w:p>
            <w:pPr>
              <w:pStyle w:val="4"/>
              <w:jc w:val="left"/>
            </w:pPr>
            <w:r>
              <w:rPr>
                <w:rFonts w:ascii="仿宋_GB2312" w:hAnsi="仿宋_GB2312" w:eastAsia="仿宋_GB2312" w:cs="仿宋_GB2312"/>
                <w:sz w:val="21"/>
              </w:rPr>
              <w:t>运行维护服务考核办法：每年考核评分，以运行维护期内的平均分作为最终得分。最终得分和支付比例如下：</w:t>
            </w:r>
          </w:p>
          <w:p>
            <w:pPr>
              <w:pStyle w:val="4"/>
              <w:jc w:val="left"/>
            </w:pPr>
            <w:r>
              <w:rPr>
                <w:rFonts w:ascii="仿宋_GB2312" w:hAnsi="仿宋_GB2312" w:eastAsia="仿宋_GB2312" w:cs="仿宋_GB2312"/>
                <w:sz w:val="21"/>
              </w:rPr>
              <w:t>90~100分，支付合同总额的10%；</w:t>
            </w:r>
          </w:p>
          <w:p>
            <w:pPr>
              <w:pStyle w:val="4"/>
              <w:jc w:val="left"/>
            </w:pPr>
            <w:r>
              <w:rPr>
                <w:rFonts w:ascii="仿宋_GB2312" w:hAnsi="仿宋_GB2312" w:eastAsia="仿宋_GB2312" w:cs="仿宋_GB2312"/>
                <w:sz w:val="21"/>
              </w:rPr>
              <w:t>80~89分，支付合同总额的8%；</w:t>
            </w:r>
          </w:p>
          <w:p>
            <w:pPr>
              <w:pStyle w:val="4"/>
              <w:jc w:val="left"/>
            </w:pPr>
            <w:r>
              <w:rPr>
                <w:rFonts w:ascii="仿宋_GB2312" w:hAnsi="仿宋_GB2312" w:eastAsia="仿宋_GB2312" w:cs="仿宋_GB2312"/>
                <w:sz w:val="21"/>
              </w:rPr>
              <w:t>70~79分，支付合同总额的6%；</w:t>
            </w:r>
          </w:p>
          <w:p>
            <w:pPr>
              <w:pStyle w:val="4"/>
              <w:jc w:val="left"/>
            </w:pPr>
            <w:r>
              <w:rPr>
                <w:rFonts w:ascii="仿宋_GB2312" w:hAnsi="仿宋_GB2312" w:eastAsia="仿宋_GB2312" w:cs="仿宋_GB2312"/>
                <w:sz w:val="21"/>
              </w:rPr>
              <w:t>60~69分，支付合同总额的4%；</w:t>
            </w:r>
          </w:p>
          <w:p>
            <w:pPr>
              <w:pStyle w:val="4"/>
              <w:jc w:val="left"/>
            </w:pPr>
            <w:r>
              <w:rPr>
                <w:rFonts w:ascii="仿宋_GB2312" w:hAnsi="仿宋_GB2312" w:eastAsia="仿宋_GB2312" w:cs="仿宋_GB2312"/>
                <w:sz w:val="21"/>
              </w:rPr>
              <w:t>0~59分，支付合同总额的0%。</w:t>
            </w:r>
          </w:p>
          <w:p>
            <w:pPr>
              <w:pStyle w:val="4"/>
              <w:jc w:val="both"/>
            </w:pPr>
            <w:r>
              <w:rPr>
                <w:rFonts w:ascii="仿宋_GB2312" w:hAnsi="仿宋_GB2312" w:eastAsia="仿宋_GB2312" w:cs="仿宋_GB2312"/>
                <w:sz w:val="21"/>
              </w:rPr>
              <w:t>运行维护服务考核办法：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0"/>
              <w:gridCol w:w="532"/>
              <w:gridCol w:w="1900"/>
              <w:gridCol w:w="430"/>
              <w:gridCol w:w="1015"/>
              <w:gridCol w:w="430"/>
              <w:gridCol w:w="645"/>
              <w:gridCol w:w="21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5512" w:type="dxa"/>
                  <w:gridSpan w:val="7"/>
                  <w:tcBorders>
                    <w:top w:val="nil"/>
                    <w:left w:val="nil"/>
                    <w:bottom w:val="nil"/>
                    <w:right w:val="nil"/>
                  </w:tcBorders>
                  <w:tcMar>
                    <w:top w:w="15" w:type="dxa"/>
                    <w:left w:w="105" w:type="dxa"/>
                    <w:bottom w:w="0" w:type="dxa"/>
                    <w:right w:w="105" w:type="dxa"/>
                  </w:tcMar>
                  <w:vAlign w:val="top"/>
                </w:tcPr>
                <w:p>
                  <w:pPr>
                    <w:pStyle w:val="4"/>
                    <w:jc w:val="center"/>
                  </w:pPr>
                  <w:r>
                    <w:rPr>
                      <w:rFonts w:ascii="仿宋_GB2312" w:hAnsi="仿宋_GB2312" w:eastAsia="仿宋_GB2312" w:cs="仿宋_GB2312"/>
                      <w:color w:val="000000"/>
                      <w:sz w:val="28"/>
                    </w:rPr>
                    <w:t>成都市第二人民医院磁共振成像加速AI软件项目运行维护服务评分表（年度）</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5512" w:type="dxa"/>
                  <w:gridSpan w:val="7"/>
                  <w:tcBorders>
                    <w:top w:val="nil"/>
                    <w:left w:val="nil"/>
                    <w:bottom w:val="single" w:color="000000" w:sz="4" w:space="0"/>
                    <w:right w:val="nil"/>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（周期：    年  月  日-    年  月  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考核类别</w:t>
                  </w:r>
                </w:p>
              </w:tc>
              <w:tc>
                <w:tcPr>
                  <w:tcW w:w="607"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考核项目</w:t>
                  </w:r>
                </w:p>
              </w:tc>
              <w:tc>
                <w:tcPr>
                  <w:tcW w:w="2088"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具体内容</w:t>
                  </w:r>
                </w:p>
              </w:tc>
              <w:tc>
                <w:tcPr>
                  <w:tcW w:w="186"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分值</w:t>
                  </w:r>
                </w:p>
              </w:tc>
              <w:tc>
                <w:tcPr>
                  <w:tcW w:w="1200"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扣分办法</w:t>
                  </w:r>
                </w:p>
              </w:tc>
              <w:tc>
                <w:tcPr>
                  <w:tcW w:w="315"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考核得分</w:t>
                  </w:r>
                </w:p>
              </w:tc>
              <w:tc>
                <w:tcPr>
                  <w:tcW w:w="801" w:type="dxa"/>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扣分原因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both"/>
                  </w:pPr>
                  <w:r>
                    <w:rPr>
                      <w:rFonts w:ascii="仿宋_GB2312" w:hAnsi="仿宋_GB2312" w:eastAsia="仿宋_GB2312" w:cs="仿宋_GB2312"/>
                      <w:color w:val="000000"/>
                      <w:sz w:val="22"/>
                    </w:rPr>
                    <w:t>故障</w:t>
                  </w:r>
                </w:p>
                <w:p>
                  <w:pPr>
                    <w:pStyle w:val="4"/>
                    <w:jc w:val="both"/>
                  </w:pPr>
                  <w:r>
                    <w:rPr>
                      <w:rFonts w:ascii="仿宋_GB2312" w:hAnsi="仿宋_GB2312" w:eastAsia="仿宋_GB2312" w:cs="仿宋_GB2312"/>
                      <w:color w:val="000000"/>
                      <w:sz w:val="22"/>
                    </w:rPr>
                    <w:t>处理</w:t>
                  </w: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紧急故障处理现场服务要求</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ind w:firstLine="220"/>
                    <w:jc w:val="both"/>
                  </w:pPr>
                  <w:r>
                    <w:rPr>
                      <w:rFonts w:ascii="仿宋_GB2312" w:hAnsi="仿宋_GB2312" w:eastAsia="仿宋_GB2312" w:cs="仿宋_GB2312"/>
                      <w:color w:val="000000"/>
                      <w:sz w:val="22"/>
                    </w:rPr>
                    <w:t>系统使用过程中出现紧急故障：应用系统因非计划的数据库原因或应用系统自身故障原因造成宕机。在30分钟内到达现场处理。</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10</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紧急故障超过30分钟到达现场，每出现一次，扣5分，扣完为止。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restart"/>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关键事件</w:t>
                  </w: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P0事件</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1.应用系统因非计划的数据库原因或应用系统自身故障原因造成宕机超过2小时的。</w:t>
                  </w:r>
                  <w:r>
                    <w:br w:type="textWrapping"/>
                  </w:r>
                  <w:r>
                    <w:rPr>
                      <w:rFonts w:ascii="仿宋_GB2312" w:hAnsi="仿宋_GB2312" w:eastAsia="仿宋_GB2312" w:cs="仿宋_GB2312"/>
                      <w:color w:val="000000"/>
                      <w:sz w:val="22"/>
                    </w:rPr>
                    <w:t>2.针对要求服务的内容，投标人服务人员处理态度恶劣拒不执行，经采购人确认属实的。</w:t>
                  </w:r>
                  <w:r>
                    <w:br w:type="textWrapping"/>
                  </w:r>
                  <w:r>
                    <w:rPr>
                      <w:rFonts w:ascii="仿宋_GB2312" w:hAnsi="仿宋_GB2312" w:eastAsia="仿宋_GB2312" w:cs="仿宋_GB2312"/>
                      <w:color w:val="000000"/>
                      <w:sz w:val="22"/>
                    </w:rPr>
                    <w:t>3.对调整参数、算法优化、程序BUG没有响应，或者处理超出双方约定时间段15天仍无法完成的。</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15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每出现一次，扣5分，扣完为止，但仍要完成相应事项。</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P1事件</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1.投标人服务人员处理问题态度恶劣，与采购人工作人员发生争吵，或者故意推诿、拖延的，经采购人确认属实的。</w:t>
                  </w:r>
                  <w:r>
                    <w:br w:type="textWrapping"/>
                  </w:r>
                  <w:r>
                    <w:rPr>
                      <w:rFonts w:ascii="仿宋_GB2312" w:hAnsi="仿宋_GB2312" w:eastAsia="仿宋_GB2312" w:cs="仿宋_GB2312"/>
                      <w:color w:val="000000"/>
                      <w:sz w:val="22"/>
                    </w:rPr>
                    <w:t>2.针对调整参数、算法优化、对采购人经济、生产、安全产生重大影响的BUG处理超出双方约定时间段10天仍无法完成的，对采购人产生影响的。</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8</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每出现一次，扣2分，扣完为止，但仍要完成相应事项。</w:t>
                  </w:r>
                  <w:r>
                    <w:br w:type="textWrapping"/>
                  </w:r>
                  <w:r>
                    <w:rPr>
                      <w:rFonts w:ascii="仿宋_GB2312" w:hAnsi="仿宋_GB2312" w:eastAsia="仿宋_GB2312" w:cs="仿宋_GB2312"/>
                      <w:color w:val="000000"/>
                      <w:sz w:val="22"/>
                    </w:rPr>
                    <w:t>如果P1事件升级为P0事件，按P0事件扣分，不按P1事件扣分。</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P2事件</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除对采购人经济、生产、安全产生重大影响的BUG以外的其余BUG处理超出双方约定时间段10天仍无法完成的，对采购人产生影响的。</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7</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每出现一次，扣1分，扣完为止，但仍要完成相应事项。</w:t>
                  </w:r>
                  <w:r>
                    <w:br w:type="textWrapping"/>
                  </w:r>
                  <w:r>
                    <w:rPr>
                      <w:rFonts w:ascii="仿宋_GB2312" w:hAnsi="仿宋_GB2312" w:eastAsia="仿宋_GB2312" w:cs="仿宋_GB2312"/>
                      <w:color w:val="000000"/>
                      <w:sz w:val="22"/>
                    </w:rPr>
                    <w:t>如果P2事件升级为P0事件，按P0事件扣分，不按P2事件扣分。</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P3事件</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1.在调整参数、算法优化、程序BUG处理时，引入BUG或者造成版本混乱，对采购人产生影响的。</w:t>
                  </w:r>
                  <w:r>
                    <w:br w:type="textWrapping"/>
                  </w:r>
                  <w:r>
                    <w:rPr>
                      <w:rFonts w:ascii="仿宋_GB2312" w:hAnsi="仿宋_GB2312" w:eastAsia="仿宋_GB2312" w:cs="仿宋_GB2312"/>
                      <w:color w:val="000000"/>
                      <w:sz w:val="22"/>
                    </w:rPr>
                    <w:t>2.终端硬件、业务系统、网络及数据中心发生变更时，未及时更新版本，对采购人产生影响的。</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每出现一次，扣1分，扣完为止。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P4事件</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日常运维不符合以下响应要求的。</w:t>
                  </w:r>
                  <w:r>
                    <w:br w:type="textWrapping"/>
                  </w:r>
                  <w:r>
                    <w:rPr>
                      <w:rFonts w:ascii="仿宋_GB2312" w:hAnsi="仿宋_GB2312" w:eastAsia="仿宋_GB2312" w:cs="仿宋_GB2312"/>
                      <w:color w:val="000000"/>
                      <w:sz w:val="22"/>
                    </w:rPr>
                    <w:t>接到系统使用过程中的问题，电话受理或远程服务响应要求：</w:t>
                  </w:r>
                  <w:r>
                    <w:br w:type="textWrapping"/>
                  </w:r>
                  <w:r>
                    <w:rPr>
                      <w:rFonts w:ascii="仿宋_GB2312" w:hAnsi="仿宋_GB2312" w:eastAsia="仿宋_GB2312" w:cs="仿宋_GB2312"/>
                      <w:color w:val="000000"/>
                      <w:sz w:val="22"/>
                    </w:rPr>
                    <w:t>1.周一~周五：07:30~17:29，时间：10分钟以内；</w:t>
                  </w:r>
                  <w:r>
                    <w:br w:type="textWrapping"/>
                  </w:r>
                  <w:r>
                    <w:rPr>
                      <w:rFonts w:ascii="仿宋_GB2312" w:hAnsi="仿宋_GB2312" w:eastAsia="仿宋_GB2312" w:cs="仿宋_GB2312"/>
                      <w:color w:val="000000"/>
                      <w:sz w:val="22"/>
                    </w:rPr>
                    <w:t>2.周一~周五：00:00~07:29或17:30~23:59，时间：20分钟以内；</w:t>
                  </w:r>
                  <w:r>
                    <w:br w:type="textWrapping"/>
                  </w:r>
                  <w:r>
                    <w:rPr>
                      <w:rFonts w:ascii="仿宋_GB2312" w:hAnsi="仿宋_GB2312" w:eastAsia="仿宋_GB2312" w:cs="仿宋_GB2312"/>
                      <w:color w:val="000000"/>
                      <w:sz w:val="22"/>
                    </w:rPr>
                    <w:t>3.周六~周日：00:00~23:59，时间：30分钟以内。</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每出现一次，扣0.5分，扣完为止。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restart"/>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服务和行为规范</w:t>
                  </w: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数据变更管控</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遵守采购人信息数据修改的审批流程进行数据修改，审批记录必须留存。</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未遵守流程修改或未留存记录，每出现一次，扣2.5分，扣完为止。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系统运行</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系统运行稳定，无故障投诉。</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15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因信息系统故障或BUG导致的投诉，经确认为有效投诉的，每出现一次，扣1分，扣完为止。</w:t>
                  </w:r>
                  <w:r>
                    <w:br w:type="textWrapping"/>
                  </w:r>
                  <w:r>
                    <w:rPr>
                      <w:rFonts w:ascii="仿宋_GB2312" w:hAnsi="仿宋_GB2312" w:eastAsia="仿宋_GB2312" w:cs="仿宋_GB2312"/>
                      <w:color w:val="000000"/>
                      <w:sz w:val="22"/>
                    </w:rPr>
                    <w:t>如果引起投诉的故障或BUG为关键事件，投诉和关键事件都扣分。</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安全检查</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每两周做数据库安全检查，生成数据库安全检查报告：如数据库有异常情况，及时告知用户，提出解决方法。</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未及时检查或未及时提供报告，每出现一次，扣1分，扣完为止。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vMerge w:val="continue"/>
                  <w:tcBorders>
                    <w:top w:val="nil"/>
                    <w:left w:val="single" w:color="000000" w:sz="4" w:space="0"/>
                    <w:bottom w:val="single" w:color="000000" w:sz="4" w:space="0"/>
                    <w:right w:val="single" w:color="000000" w:sz="4" w:space="0"/>
                  </w:tcBorders>
                </w:tcP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安全整改</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收到安全隐患通知后，24小时内处置安全隐患。</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5</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超过24小时处置安全隐患的，每出现一次，扣1分，扣完为止。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315" w:type="dxa"/>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文档</w:t>
                  </w:r>
                </w:p>
              </w:tc>
              <w:tc>
                <w:tcPr>
                  <w:tcW w:w="607"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运维文档</w:t>
                  </w:r>
                </w:p>
              </w:tc>
              <w:tc>
                <w:tcPr>
                  <w:tcW w:w="2088"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文档清单：关键事件回溯/复盘报告、巡检记录、需求更改记录、系统更新记录、数据库维护及优化记录、培训学习记录、按月提供服务分析报告和报告总结、按季度反馈算法优化进展。</w:t>
                  </w:r>
                </w:p>
              </w:tc>
              <w:tc>
                <w:tcPr>
                  <w:tcW w:w="186"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right"/>
                  </w:pPr>
                  <w:r>
                    <w:rPr>
                      <w:rFonts w:ascii="仿宋_GB2312" w:hAnsi="仿宋_GB2312" w:eastAsia="仿宋_GB2312" w:cs="仿宋_GB2312"/>
                      <w:color w:val="000000"/>
                      <w:sz w:val="22"/>
                    </w:rPr>
                    <w:t>20</w:t>
                  </w:r>
                </w:p>
              </w:tc>
              <w:tc>
                <w:tcPr>
                  <w:tcW w:w="1200"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缺少文档扣0.5分/(个×次)，文档缺陷扣0.1分/(个×次)，扣完为止。</w:t>
                  </w:r>
                  <w:r>
                    <w:br w:type="textWrapping"/>
                  </w:r>
                  <w:r>
                    <w:rPr>
                      <w:rFonts w:ascii="仿宋_GB2312" w:hAnsi="仿宋_GB2312" w:eastAsia="仿宋_GB2312" w:cs="仿宋_GB2312"/>
                      <w:color w:val="000000"/>
                      <w:sz w:val="22"/>
                    </w:rPr>
                    <w:t>注：缺陷是指存在内容与本报告/记录无关、内容矛盾或存在严重错误、仅有框架、标题或存在内容严重缺失、适用的标准（方法）错误任意一种情形。</w:t>
                  </w:r>
                </w:p>
              </w:tc>
              <w:tc>
                <w:tcPr>
                  <w:tcW w:w="315" w:type="dxa"/>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p>
              </w:tc>
              <w:tc>
                <w:tcPr>
                  <w:tcW w:w="801" w:type="dxa"/>
                  <w:tcBorders>
                    <w:top w:val="nil"/>
                    <w:left w:val="nil"/>
                    <w:bottom w:val="single" w:color="000000" w:sz="4" w:space="0"/>
                    <w:right w:val="single" w:color="000000" w:sz="4" w:space="0"/>
                  </w:tcBorders>
                  <w:tcMar>
                    <w:top w:w="15" w:type="dxa"/>
                    <w:left w:w="105" w:type="dxa"/>
                    <w:bottom w:w="0" w:type="dxa"/>
                    <w:right w:w="105" w:type="dxa"/>
                  </w:tcMar>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16" w:type="dxa"/>
              </w:trPr>
              <w:tc>
                <w:tcPr>
                  <w:tcW w:w="4396" w:type="dxa"/>
                  <w:gridSpan w:val="5"/>
                  <w:vMerge w:val="restart"/>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center"/>
                  </w:pPr>
                  <w:r>
                    <w:rPr>
                      <w:rFonts w:ascii="仿宋_GB2312" w:hAnsi="仿宋_GB2312" w:eastAsia="仿宋_GB2312" w:cs="仿宋_GB2312"/>
                      <w:color w:val="000000"/>
                      <w:sz w:val="22"/>
                    </w:rPr>
                    <w:t>总分</w:t>
                  </w:r>
                </w:p>
              </w:tc>
              <w:tc>
                <w:tcPr>
                  <w:tcW w:w="1116" w:type="dxa"/>
                  <w:gridSpan w:val="2"/>
                  <w:vMerge w:val="restart"/>
                  <w:tcBorders>
                    <w:top w:val="nil"/>
                    <w:left w:val="nil"/>
                    <w:bottom w:val="single" w:color="000000" w:sz="4" w:space="0"/>
                    <w:right w:val="single" w:color="000000" w:sz="4" w:space="0"/>
                  </w:tcBorders>
                  <w:tcMar>
                    <w:top w:w="15" w:type="dxa"/>
                    <w:left w:w="105" w:type="dxa"/>
                    <w:bottom w:w="0" w:type="dxa"/>
                    <w:right w:w="105" w:type="dxa"/>
                  </w:tcMar>
                </w:tcPr>
                <w:p>
                  <w:pPr>
                    <w:pStyle w:val="4"/>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96" w:type="dxa"/>
                  <w:gridSpan w:val="5"/>
                  <w:vMerge w:val="continue"/>
                  <w:tcBorders>
                    <w:top w:val="nil"/>
                    <w:left w:val="single" w:color="000000" w:sz="4" w:space="0"/>
                    <w:bottom w:val="single" w:color="000000" w:sz="4" w:space="0"/>
                    <w:right w:val="single" w:color="000000" w:sz="4" w:space="0"/>
                  </w:tcBorders>
                </w:tcPr>
                <w:p/>
              </w:tc>
              <w:tc>
                <w:tcPr>
                  <w:tcW w:w="1116" w:type="dxa"/>
                  <w:gridSpan w:val="2"/>
                  <w:vMerge w:val="continue"/>
                  <w:tcBorders>
                    <w:top w:val="nil"/>
                    <w:left w:val="nil"/>
                    <w:bottom w:val="single" w:color="000000" w:sz="4" w:space="0"/>
                    <w:right w:val="single" w:color="000000" w:sz="4" w:space="0"/>
                  </w:tcBorders>
                </w:tcPr>
                <w:p/>
              </w:tc>
              <w:tc>
                <w:tcPr>
                  <w:tcW w:w="87" w:type="dxa"/>
                  <w:tcBorders>
                    <w:top w:val="nil"/>
                    <w:left w:val="nil"/>
                    <w:bottom w:val="nil"/>
                    <w:right w:val="nil"/>
                  </w:tcBorders>
                  <w:tcMar>
                    <w:top w:w="15" w:type="dxa"/>
                    <w:left w:w="105" w:type="dxa"/>
                    <w:bottom w:w="0" w:type="dxa"/>
                    <w:right w:w="105" w:type="dxa"/>
                  </w:tcMar>
                  <w:vAlign w:val="top"/>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22" w:type="dxa"/>
                  <w:gridSpan w:val="2"/>
                  <w:tcBorders>
                    <w:top w:val="nil"/>
                    <w:left w:val="single" w:color="000000" w:sz="4" w:space="0"/>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填写科室：</w:t>
                  </w:r>
                </w:p>
              </w:tc>
              <w:tc>
                <w:tcPr>
                  <w:tcW w:w="3474" w:type="dxa"/>
                  <w:gridSpan w:val="3"/>
                  <w:tcBorders>
                    <w:top w:val="nil"/>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填写人员：</w:t>
                  </w:r>
                </w:p>
              </w:tc>
              <w:tc>
                <w:tcPr>
                  <w:tcW w:w="1116" w:type="dxa"/>
                  <w:gridSpan w:val="2"/>
                  <w:tcBorders>
                    <w:top w:val="single" w:color="000000" w:sz="4" w:space="0"/>
                    <w:left w:val="nil"/>
                    <w:bottom w:val="single" w:color="000000" w:sz="4" w:space="0"/>
                    <w:right w:val="single" w:color="000000" w:sz="4" w:space="0"/>
                  </w:tcBorders>
                  <w:tcMar>
                    <w:top w:w="15" w:type="dxa"/>
                    <w:left w:w="105" w:type="dxa"/>
                    <w:bottom w:w="0" w:type="dxa"/>
                    <w:right w:w="105" w:type="dxa"/>
                  </w:tcMar>
                </w:tcPr>
                <w:p>
                  <w:pPr>
                    <w:pStyle w:val="4"/>
                    <w:jc w:val="left"/>
                  </w:pPr>
                  <w:r>
                    <w:rPr>
                      <w:rFonts w:ascii="仿宋_GB2312" w:hAnsi="仿宋_GB2312" w:eastAsia="仿宋_GB2312" w:cs="仿宋_GB2312"/>
                      <w:color w:val="000000"/>
                      <w:sz w:val="22"/>
                    </w:rPr>
                    <w:t>日期：</w:t>
                  </w:r>
                </w:p>
              </w:tc>
              <w:tc>
                <w:tcPr>
                  <w:tcW w:w="87" w:type="dxa"/>
                  <w:tcBorders>
                    <w:top w:val="nil"/>
                    <w:left w:val="nil"/>
                    <w:bottom w:val="nil"/>
                    <w:right w:val="nil"/>
                  </w:tcBorders>
                  <w:tcMar>
                    <w:top w:w="15" w:type="dxa"/>
                    <w:left w:w="105" w:type="dxa"/>
                    <w:bottom w:w="0" w:type="dxa"/>
                    <w:right w:w="105" w:type="dxa"/>
                  </w:tcMar>
                  <w:vAlign w:val="top"/>
                </w:tcPr>
                <w:p>
                  <w:pPr>
                    <w:pStyle w:val="4"/>
                    <w:jc w:val="left"/>
                  </w:pPr>
                </w:p>
              </w:tc>
            </w:tr>
          </w:tbl>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其他服务要求2</w:t>
            </w:r>
          </w:p>
        </w:tc>
        <w:tc>
          <w:tcPr>
            <w:tcW w:w="5814" w:type="dxa"/>
          </w:tcPr>
          <w:p>
            <w:pPr>
              <w:pStyle w:val="4"/>
              <w:jc w:val="both"/>
            </w:pPr>
            <w:r>
              <w:rPr>
                <w:rFonts w:ascii="仿宋_GB2312" w:hAnsi="仿宋_GB2312" w:eastAsia="仿宋_GB2312" w:cs="仿宋_GB2312"/>
                <w:sz w:val="21"/>
              </w:rPr>
              <w:t>维保服务：针对于本次系统建设，所提供的软硬件产品在项目实施完成且验收合格后，维护维修保障服务期限≥2年，自验收合格之日起算。所产生的全部费用应包含在本次项目报价清单内。</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服务期限</w:t>
            </w:r>
          </w:p>
        </w:tc>
        <w:tc>
          <w:tcPr>
            <w:tcW w:w="5814" w:type="dxa"/>
          </w:tcPr>
          <w:p>
            <w:pPr>
              <w:pStyle w:val="4"/>
              <w:jc w:val="left"/>
            </w:pPr>
            <w:r>
              <w:rPr>
                <w:rFonts w:ascii="仿宋_GB2312" w:hAnsi="仿宋_GB2312" w:eastAsia="仿宋_GB2312" w:cs="仿宋_GB2312"/>
              </w:rPr>
              <w:t>自合同签订之日起40日完成系统交付，并上线使用。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服务地点</w:t>
            </w:r>
          </w:p>
        </w:tc>
        <w:tc>
          <w:tcPr>
            <w:tcW w:w="5814" w:type="dxa"/>
          </w:tcPr>
          <w:p>
            <w:pPr>
              <w:pStyle w:val="4"/>
              <w:jc w:val="left"/>
            </w:pPr>
            <w:r>
              <w:rPr>
                <w:rFonts w:ascii="仿宋_GB2312" w:hAnsi="仿宋_GB2312" w:eastAsia="仿宋_GB2312" w:cs="仿宋_GB2312"/>
              </w:rPr>
              <w:t>成都市第二人民医院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（因系统固化原因，具体履约验收内容以此为准，如2.6.6.履约验收方案内容与此处内容有冲突的，以此处要求为准） ①验收组织方式： 采购包1：自行验收 ②是否邀请本项目的其他供应商： 采购包1：否 ③是否邀请专家： 采购包1：否 ④是否邀请服务对象： 采购包1：否 ⑤是否邀请第三方检测机构： 采购包1：否 ⑥履约验收程序： 采购包1：分期验收 ⑦履约验收时间：（1）系统部署完成，达到试运行条件且供应商提出验收申请之日起15日内组织初验；（2）系统交付并上线运行至少一个月后供应商提出验收申请之日起15日内组织验收；（3）运行维护服务期满，供应商提出验收申请之日起15日内组织最终验收。 ⑧验收组织的其他事项： 采购包1：无。 ⑨技术履约验收内容： 采购包1：以招标文件技术要求和中标人投标文件响应情况以及合同条款进行验收。 ⑩商务履约验收内容： 采购包1：以招标文件服务要求和中标人投标文件响应情况以及合同条款进行验收。 ⑪履约验收标准： 采购包1：按照《关于进一步加强政府采购需求和履约验收管理的指导意见》（财库〔2016〕205号）及招标文件技术要求、投标文件响应情况和国家、行业标准进行验收。 ⑫履约验收其他事项： 采购包1：无。 验收主体：成都市第二人民医院。</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1、合同签订生效且收到供应商开具发票后，达到付款条件起10日内，支付合同总金额的30.00%</w:t>
            </w:r>
          </w:p>
          <w:p>
            <w:pPr>
              <w:pStyle w:val="4"/>
              <w:jc w:val="left"/>
            </w:pPr>
            <w:r>
              <w:rPr>
                <w:rFonts w:ascii="仿宋_GB2312" w:hAnsi="仿宋_GB2312" w:eastAsia="仿宋_GB2312" w:cs="仿宋_GB2312"/>
              </w:rPr>
              <w:t>2、系统部署完成，达到试运行条件且初验合格后，收到供应商开具的发票，达到付款条件起10日内，支付合同总金额的40.00%</w:t>
            </w:r>
          </w:p>
          <w:p>
            <w:pPr>
              <w:pStyle w:val="4"/>
              <w:jc w:val="left"/>
            </w:pPr>
            <w:r>
              <w:rPr>
                <w:rFonts w:ascii="仿宋_GB2312" w:hAnsi="仿宋_GB2312" w:eastAsia="仿宋_GB2312" w:cs="仿宋_GB2312"/>
              </w:rPr>
              <w:t>3、系统交付并上线运行至少一个月后组织验收，验收合格且收到供应商开具的发票，达到付款条件起10日内，支付合同总金额的20.00%</w:t>
            </w:r>
          </w:p>
          <w:p>
            <w:pPr>
              <w:pStyle w:val="4"/>
              <w:jc w:val="left"/>
            </w:pPr>
            <w:r>
              <w:rPr>
                <w:rFonts w:ascii="仿宋_GB2312" w:hAnsi="仿宋_GB2312" w:eastAsia="仿宋_GB2312" w:cs="仿宋_GB2312"/>
              </w:rPr>
              <w:t>4、尾款，合同期满且项目最终验收完毕，剩余10%的合同款，根据运行维护服务考核最终得分按比例支付。采购人收到中标供应商开具的发票后10个工作日内，采购人向供应商支付剩余的款项。 运行维护服务考核办法：每年考核评分，以运行维护期内的平均分作为最终得分。（具体详见服务要求中的付款进度安排），达到付款条件起10日内，支付合同总金额的10.00%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注：（以下内容中甲方指采购人，乙方指中标供应商）违约责任：1、甲乙双方必须遵守本合同并执行合同中的各项规定，保证本合同的正常履行。2、如因乙方工作人员在履行职务过程中的疏忽、失职、过错等故意或者过失原因给甲方造成损失或侵害，包括但不限于甲方本身的财产损失、由此而导致的甲方对任何第三方的法律责任等，乙方对此均应承担全部的赔偿责任。3、若因乙方单方原因导致不能根据双方确认的时间进行交付，则每延误一天，按照延迟交付部分金额的0.03%向甲方支付违约金，延误超过30天，甲方有权解除本合同。4、若甲方未能在合同约定的付款期限内支付合同款项，每延误一天按延迟付款部分金额0.03%的标准向乙方支付违约金。因乙方原因未在合同约定的时间范围内提供相应发票或其他资料导致资金支付逾期的，甲方不承担相应的违约责任,且有权拒绝付款。5、若乙方未按照合同约定进行响应，每逾期响应或未响应或响应后未及时完成甲方需求，乙方应支付合同总金额的0.03%违约金。 解决争议的方法：在执行本合同中发生的或与本合同有关的争端，双方应通过友好协商解决，经协商在60天内不能达成协议时，应提交甲方住所地人民法院提起诉讼。可向甲方所在地人民法院提起诉讼。</w:t>
            </w:r>
          </w:p>
        </w:tc>
      </w:tr>
    </w:tbl>
    <w:p>
      <w:pPr>
        <w:pStyle w:val="4"/>
        <w:jc w:val="left"/>
        <w:outlineLvl w:val="2"/>
      </w:pPr>
      <w:r>
        <w:rPr>
          <w:rFonts w:ascii="仿宋_GB2312" w:hAnsi="仿宋_GB2312" w:eastAsia="仿宋_GB2312" w:cs="仿宋_GB2312"/>
          <w:b/>
          <w:sz w:val="28"/>
        </w:rPr>
        <w:t>3.4.其他要求</w:t>
      </w:r>
    </w:p>
    <w:p>
      <w:pPr>
        <w:pStyle w:val="4"/>
        <w:ind w:firstLine="480"/>
        <w:jc w:val="left"/>
      </w:pPr>
      <w:r>
        <w:rPr>
          <w:rFonts w:ascii="仿宋_GB2312" w:hAnsi="仿宋_GB2312" w:eastAsia="仿宋_GB2312" w:cs="仿宋_GB2312"/>
        </w:rPr>
        <w:t>采购包1：</w:t>
      </w:r>
    </w:p>
    <w:p>
      <w:r>
        <w:rPr>
          <w:rFonts w:ascii="仿宋_GB2312" w:hAnsi="仿宋_GB2312" w:eastAsia="仿宋_GB2312" w:cs="仿宋_GB2312"/>
        </w:rPr>
        <w:t>说明（本说明无需供应商进行响应）：1、除技术和服务、商务要求外，供应商还应当根据自身情况提供实施方案，质量保障方案，业绩，具体要求详见综合评分明细表。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mOTMyNWUwZDg0YmViNjVlNmRmZjBmNDE1NWM3MjAifQ=="/>
  </w:docVars>
  <w:rsids>
    <w:rsidRoot w:val="19F94896"/>
    <w:rsid w:val="19F94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2025-06-10T07:50:00Z</dcterms:created>
  <dc:creator>小胡小胡</dc:creator>
  <cp:lastModifiedBy>小胡小胡</cp:lastModifiedBy>
  <dcterms:modified xsi:type="dcterms:W3CDTF">2025-06-10T07:51:09Z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ECD0BEF1A1E0464AAEF30B696D71BBAC</vt:lpwstr>
  </property>
</Properties>
</file>