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440001-2024-43197</w:t>
      </w:r>
    </w:p>
    <w:p>
      <w:pPr>
        <w:pStyle w:val="null3"/>
        <w:jc w:val="center"/>
        <w:outlineLvl w:val="3"/>
      </w:pPr>
      <w:r>
        <w:rPr>
          <w:sz w:val="24"/>
          <w:b/>
        </w:rPr>
        <w:t>采购项目编号：</w:t>
      </w:r>
      <w:r>
        <w:rPr>
          <w:sz w:val="24"/>
          <w:b/>
        </w:rPr>
        <w:t>GZYL24SGGC09049</w:t>
      </w:r>
    </w:p>
    <w:p>
      <w:pPr>
        <w:pStyle w:val="null3"/>
        <w:jc w:val="center"/>
        <w:outlineLvl w:val="3"/>
      </w:pPr>
      <w:r>
        <w:rPr>
          <w:sz w:val="24"/>
          <w:b/>
        </w:rPr>
        <w:t>项目名称：</w:t>
      </w:r>
      <w:r>
        <w:rPr>
          <w:sz w:val="24"/>
          <w:b/>
        </w:rPr>
        <w:t>广东省乳阳林场龙线公路安全整治二期工程</w:t>
      </w:r>
    </w:p>
    <w:p>
      <w:pPr>
        <w:pStyle w:val="null3"/>
        <w:jc w:val="center"/>
        <w:outlineLvl w:val="3"/>
      </w:pPr>
      <w:r>
        <w:rPr>
          <w:sz w:val="24"/>
          <w:b/>
        </w:rPr>
        <w:t>采购人：</w:t>
      </w:r>
      <w:r>
        <w:rPr>
          <w:sz w:val="24"/>
          <w:b/>
        </w:rPr>
        <w:t>广东省乳阳林场（广东南岭国家森林公园管理处）</w:t>
      </w:r>
    </w:p>
    <w:p>
      <w:pPr>
        <w:pStyle w:val="null3"/>
        <w:jc w:val="center"/>
        <w:outlineLvl w:val="3"/>
      </w:pPr>
      <w:r>
        <w:rPr>
          <w:sz w:val="24"/>
          <w:b/>
        </w:rPr>
        <w:t>采购代理机构：</w:t>
      </w:r>
      <w:r>
        <w:rPr>
          <w:sz w:val="24"/>
          <w:b/>
        </w:rPr>
        <w:t>广州宜立工程管理有限公司韶关分公司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广州宜立工程管理有限公司韶关分公司</w:t>
      </w:r>
      <w:r>
        <w:rPr/>
        <w:t>受</w:t>
      </w:r>
      <w:r>
        <w:rPr/>
        <w:t>广东省乳阳林场（广东南岭国家森林公园管理处）</w:t>
      </w:r>
      <w:r>
        <w:rPr/>
        <w:t>的委托，采用</w:t>
      </w:r>
      <w:r>
        <w:rPr/>
        <w:t>竞争性磋商</w:t>
      </w:r>
      <w:r>
        <w:rPr/>
        <w:t>方式组织采购</w:t>
      </w:r>
      <w:r>
        <w:rPr/>
        <w:t>广东省乳阳林场龙线公路安全整治二期工程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广东省乳阳林场龙线公路安全整治二期工程</w:t>
      </w:r>
    </w:p>
    <w:p>
      <w:pPr>
        <w:pStyle w:val="null3"/>
        <w:ind w:firstLine="480"/>
      </w:pPr>
      <w:r>
        <w:rPr/>
        <w:t>采购计划编号：</w:t>
      </w:r>
      <w:r>
        <w:rPr/>
        <w:t>440001-2024-43197</w:t>
      </w:r>
    </w:p>
    <w:p>
      <w:pPr>
        <w:pStyle w:val="null3"/>
        <w:ind w:firstLine="480"/>
      </w:pPr>
      <w:r>
        <w:rPr/>
        <w:t>采购项目编号：</w:t>
      </w:r>
      <w:r>
        <w:rPr/>
        <w:t>GZYL24SGGC09049</w:t>
      </w:r>
    </w:p>
    <w:p>
      <w:pPr>
        <w:pStyle w:val="null3"/>
        <w:ind w:firstLine="480"/>
      </w:pPr>
      <w:r>
        <w:rPr/>
        <w:t>采购方式：</w:t>
      </w:r>
      <w:r>
        <w:rPr/>
        <w:t>竞争性磋商</w:t>
      </w:r>
    </w:p>
    <w:p>
      <w:pPr>
        <w:pStyle w:val="null3"/>
        <w:ind w:firstLine="480"/>
      </w:pPr>
      <w:r>
        <w:rPr/>
        <w:t>预算金额：</w:t>
      </w:r>
      <w:r>
        <w:rPr/>
        <w:t>1,818,140.63</w:t>
      </w:r>
      <w:r>
        <w:rPr/>
        <w:t>元</w:t>
      </w:r>
    </w:p>
    <w:p>
      <w:pPr>
        <w:pStyle w:val="null3"/>
        <w:outlineLvl w:val="3"/>
      </w:pPr>
      <w:r>
        <w:rPr>
          <w:sz w:val="24"/>
          <w:b/>
        </w:rPr>
        <w:t>2.项目内容及需求情况（采购项目技术规格、参数及要求）</w:t>
      </w:r>
    </w:p>
    <w:p>
      <w:pPr>
        <w:pStyle w:val="null3"/>
      </w:pPr>
      <w:r>
        <w:rPr/>
        <w:t>采购包1(广东省乳阳林场龙线公路安全整治二期工程):</w:t>
      </w:r>
    </w:p>
    <w:p>
      <w:pPr>
        <w:pStyle w:val="null3"/>
      </w:pPr>
      <w:r>
        <w:rPr/>
        <w:t>采购包预算金额：1,818,140.63元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公路工程施工</w:t>
            </w:r>
          </w:p>
        </w:tc>
        <w:tc>
          <w:tcPr>
            <w:tcW w:type="dxa" w:w="2052"/>
          </w:tcPr>
          <w:p>
            <w:pPr>
              <w:pStyle w:val="null3"/>
            </w:pPr>
            <w:r>
              <w:rPr/>
              <w:t>广东省乳阳林场龙线公路安全整治二期工程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1,818,140.63</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合同履行期限：自合同生效之日起至合同约定的全部权利义务履行完毕为止。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2）有依法缴纳税收和社会保障资金的良好记录：响应文件中提供《资格条件承诺函》（《资格条件承诺函》格式详见竞争性磋商公告附件）。</w:t>
      </w:r>
    </w:p>
    <w:p>
      <w:pPr>
        <w:pStyle w:val="null3"/>
      </w:pPr>
      <w:r>
        <w:rPr/>
        <w:t>3）具有良好的商业信誉和健全的财务会计制度：响应文件中提供《资格条件承诺函》（《资格条件承诺函》格式详见竞争性磋商公告附件）。</w:t>
      </w:r>
    </w:p>
    <w:p>
      <w:pPr>
        <w:pStyle w:val="null3"/>
      </w:pPr>
      <w:r>
        <w:rPr/>
        <w:t>4）履行合同所必需的设备和专业技术能力：响应文件中提供《资格条件承诺函》（《资格条件承诺函》格式详见竞争性磋商公告附件）。</w:t>
      </w:r>
    </w:p>
    <w:p>
      <w:pPr>
        <w:pStyle w:val="null3"/>
      </w:pPr>
      <w:r>
        <w:rPr/>
        <w:t>5）参加采购活动前3年内，在经营活动中没有重大违法记录：响应文件中提供《资格条件承诺函》（《资格条件承诺函》格式详见竞争性磋商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采购包1（广东省乳阳林场龙线公路安全整治二期工程）：</w:t>
      </w:r>
      <w:r>
        <w:rPr/>
        <w:t>采购包整体专门面向中小企业；监狱企业、残疾人福利单位视同小型、微型企业。（注：中小企业以供应商填写的《中小企业声明函》（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供应商须符合本项目采购标的对应行业的政策划分标准，本项目采购标的按照《中小企业划型标准规定》（工信部联企业[2011]300号）划分行业为：建筑业。</w:t>
      </w:r>
    </w:p>
    <w:p>
      <w:pPr>
        <w:pStyle w:val="null3"/>
        <w:outlineLvl w:val="3"/>
      </w:pPr>
      <w:r>
        <w:rPr>
          <w:sz w:val="24"/>
          <w:b/>
        </w:rPr>
        <w:t>3.本项目特定的资格要求：</w:t>
      </w:r>
    </w:p>
    <w:p>
      <w:pPr>
        <w:pStyle w:val="null3"/>
      </w:pPr>
      <w:r>
        <w:rPr/>
        <w:t>采购包1（广东省乳阳林场龙线公路安全整治二期工程）：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3)供应商必须具备建设行政主管部门颁发的市政公用工程施工总承包三级或以上资质证书， 并具有有效期内建设行政主管部门颁发的安全生产许可证（提供有效的证书复印件）。【注：供应商的企业相关证书到期的，均按该证书的发证机构相关行业主管部门最新文件执行（如自动顺延或推迟办理延期业务的通知），供应商必须将相关文件附在该证书后面中，证明在磋商日继续有效。】</w:t>
      </w:r>
    </w:p>
    <w:p>
      <w:pPr>
        <w:pStyle w:val="null3"/>
      </w:pPr>
      <w:r>
        <w:rPr/>
        <w:t>4)供应商拟委派项目经理必须具有在本公司注册的有效的执业专业为市政工程专业的二级或以上注册建造师执业资格（证书已过有效期的已按规定办理延续注册申请或有效继续教育证明）或建造师临时执业证书【根据广东省住房和城乡建设厅《关于明确省外二级建造师入粤注册和执业有关问题的通知》(粤建市函﹝2011﹞218号)文规定：广东省以外的投标单位拟委派担任本项目的项目经理必须具备该专业的一级注册建造师执业资格】，同时具备相应岗位安全生产考核合格证明（B证，具有有效的安全生产考核合格证或广东省建筑施工企业管理人员安全生产考核系统考核合格信息打印页）</w:t>
      </w:r>
    </w:p>
    <w:p>
      <w:pPr>
        <w:pStyle w:val="null3"/>
      </w:pPr>
      <w:r>
        <w:rPr/>
        <w:t>5)供应商拟委派的专职安全生产管理人员，须具备相应岗位安全生产考核合格证明（C证，具有有效的安全生产考核合格证或广东省建筑施工企业管理人员安全生产考核系统考核合格信息打印页），按《建筑施工企业安全生产管理机构设置及专职安全生产管理人员配备办法》（建质﹝2008﹞91号）的规定，专职安全生产管理人员不少于1人；供应商拟委派担任本项目的项目经理、专职安全生产管理人员，一人不能同时担任两个或以上岗位。</w:t>
      </w:r>
    </w:p>
    <w:p>
      <w:pPr>
        <w:pStyle w:val="null3"/>
      </w:pPr>
      <w:r>
        <w:rPr/>
        <w:t>6)本采购项目不接受联合体投标。</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广州宜立工程管理有限公司官网（http://www.gzylzbdl.com）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广东省乳阳林场（广东南岭国家森林公园管理处）</w:t>
      </w:r>
    </w:p>
    <w:p>
      <w:pPr>
        <w:pStyle w:val="null3"/>
        <w:ind w:firstLine="480"/>
      </w:pPr>
      <w:r>
        <w:rPr/>
        <w:t>地址：</w:t>
      </w:r>
      <w:r>
        <w:rPr/>
        <w:t>广东省韶关市乳源县大桥镇五指山</w:t>
      </w:r>
    </w:p>
    <w:p>
      <w:pPr>
        <w:pStyle w:val="null3"/>
        <w:ind w:firstLine="480"/>
      </w:pPr>
      <w:r>
        <w:rPr/>
        <w:t>联系方式：</w:t>
      </w:r>
      <w:r>
        <w:rPr/>
        <w:t>0751-5232003</w:t>
      </w:r>
    </w:p>
    <w:p>
      <w:pPr>
        <w:pStyle w:val="null3"/>
        <w:outlineLvl w:val="3"/>
      </w:pPr>
      <w:r>
        <w:rPr>
          <w:sz w:val="24"/>
          <w:b/>
        </w:rPr>
        <w:t>2.采购代理机构信息</w:t>
      </w:r>
    </w:p>
    <w:p>
      <w:pPr>
        <w:pStyle w:val="null3"/>
        <w:ind w:firstLine="480"/>
      </w:pPr>
      <w:r>
        <w:rPr/>
        <w:t>名称：</w:t>
      </w:r>
      <w:r>
        <w:rPr/>
        <w:t>广州宜立工程管理有限公司韶关分公司</w:t>
      </w:r>
    </w:p>
    <w:p>
      <w:pPr>
        <w:pStyle w:val="null3"/>
        <w:ind w:firstLine="480"/>
      </w:pPr>
      <w:r>
        <w:rPr/>
        <w:t xml:space="preserve"> 地址：</w:t>
      </w:r>
      <w:r>
        <w:rPr/>
        <w:t>韶关市浈江区良村公路38号良村兴强财富广场A栋15楼C</w:t>
      </w:r>
    </w:p>
    <w:p>
      <w:pPr>
        <w:pStyle w:val="null3"/>
        <w:ind w:firstLine="480"/>
      </w:pPr>
      <w:r>
        <w:rPr/>
        <w:t xml:space="preserve"> 联系方式：</w:t>
      </w:r>
      <w:r>
        <w:rPr/>
        <w:t>0751-8221111</w:t>
      </w:r>
    </w:p>
    <w:p>
      <w:pPr>
        <w:pStyle w:val="null3"/>
        <w:outlineLvl w:val="3"/>
      </w:pPr>
      <w:r>
        <w:rPr>
          <w:sz w:val="24"/>
          <w:b/>
        </w:rPr>
        <w:t xml:space="preserve"> 3.项目联系方式</w:t>
      </w:r>
    </w:p>
    <w:p>
      <w:pPr>
        <w:pStyle w:val="null3"/>
        <w:ind w:firstLine="480"/>
      </w:pPr>
      <w:r>
        <w:rPr/>
        <w:t xml:space="preserve"> 项目联系人：</w:t>
      </w:r>
      <w:r>
        <w:rPr/>
        <w:t>罗雅</w:t>
      </w:r>
    </w:p>
    <w:p>
      <w:pPr>
        <w:pStyle w:val="null3"/>
        <w:ind w:firstLine="480"/>
      </w:pPr>
      <w:r>
        <w:rPr/>
        <w:t xml:space="preserve"> 电话：</w:t>
      </w:r>
      <w:r>
        <w:rPr/>
        <w:t>0751-8221111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广州宜立工程管理有限公司韶关分公司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b/>
        </w:rPr>
        <w:t>项目基本情况</w:t>
      </w:r>
    </w:p>
    <w:p>
      <w:pPr>
        <w:pStyle w:val="null3"/>
        <w:ind w:left="420"/>
        <w:jc w:val="both"/>
      </w:pPr>
      <w:r>
        <w:rPr>
          <w:sz w:val="21"/>
        </w:rPr>
        <w:t>项目编号</w:t>
      </w:r>
      <w:r>
        <w:rPr>
          <w:sz w:val="21"/>
        </w:rPr>
        <w:t>：</w:t>
      </w:r>
      <w:r>
        <w:rPr>
          <w:sz w:val="21"/>
        </w:rPr>
        <w:t>GZYL24SGGC09049</w:t>
      </w:r>
      <w:r>
        <w:br/>
      </w:r>
      <w:r>
        <w:rPr>
          <w:sz w:val="21"/>
        </w:rPr>
        <w:t>项目名称：</w:t>
      </w:r>
      <w:r>
        <w:rPr>
          <w:sz w:val="21"/>
        </w:rPr>
        <w:t>广东省乳阳林场龙线公路安全整治二期工程</w:t>
      </w:r>
      <w:r>
        <w:br/>
      </w:r>
      <w:r>
        <w:rPr>
          <w:sz w:val="21"/>
        </w:rPr>
        <w:t>预算金额（元</w:t>
      </w:r>
      <w:r>
        <w:rPr>
          <w:sz w:val="21"/>
        </w:rPr>
        <w:t>）：</w:t>
      </w:r>
      <w:r>
        <w:rPr>
          <w:sz w:val="21"/>
        </w:rPr>
        <w:t>1</w:t>
      </w:r>
      <w:r>
        <w:rPr>
          <w:sz w:val="21"/>
        </w:rPr>
        <w:t>,</w:t>
      </w:r>
      <w:r>
        <w:rPr>
          <w:sz w:val="21"/>
        </w:rPr>
        <w:t>818</w:t>
      </w:r>
      <w:r>
        <w:rPr>
          <w:sz w:val="21"/>
        </w:rPr>
        <w:t>,</w:t>
      </w:r>
      <w:r>
        <w:rPr>
          <w:sz w:val="21"/>
        </w:rPr>
        <w:t>140</w:t>
      </w:r>
      <w:r>
        <w:rPr>
          <w:sz w:val="21"/>
        </w:rPr>
        <w:t>.</w:t>
      </w:r>
      <w:r>
        <w:rPr>
          <w:sz w:val="21"/>
        </w:rPr>
        <w:t>63</w:t>
      </w:r>
      <w:r>
        <w:rPr>
          <w:sz w:val="21"/>
        </w:rPr>
        <w:t>元</w:t>
      </w:r>
      <w:r>
        <w:br/>
      </w:r>
      <w:r>
        <w:rPr>
          <w:sz w:val="21"/>
        </w:rPr>
        <w:t>采购需求：（包括但不限于标的的名称、数量、简要技术需求或服务要求等）</w:t>
      </w:r>
      <w:r>
        <w:br/>
      </w:r>
      <w:r>
        <w:rPr>
          <w:sz w:val="21"/>
        </w:rPr>
        <w:t>1.标的名称、数量及技术需求或服务要求等：详见采购需求；</w:t>
      </w:r>
      <w:r>
        <w:br/>
      </w:r>
      <w:r>
        <w:rPr>
          <w:sz w:val="21"/>
        </w:rPr>
        <w:t>2.项目属性：</w:t>
      </w:r>
      <w:r>
        <w:rPr>
          <w:sz w:val="21"/>
        </w:rPr>
        <w:t>工程</w:t>
      </w:r>
      <w:r>
        <w:rPr>
          <w:sz w:val="21"/>
        </w:rPr>
        <w:t>；</w:t>
      </w:r>
      <w:r>
        <w:br/>
      </w:r>
      <w:r>
        <w:rPr>
          <w:sz w:val="21"/>
        </w:rPr>
        <w:t>3.品目类别：</w:t>
      </w:r>
      <w:r>
        <w:rPr>
          <w:sz w:val="21"/>
        </w:rPr>
        <w:t>公路工程施工</w:t>
      </w:r>
      <w:r>
        <w:br/>
      </w:r>
      <w:r>
        <w:rPr>
          <w:sz w:val="21"/>
        </w:rPr>
        <w:t>4.最高限价：</w:t>
      </w:r>
      <w:r>
        <w:rPr>
          <w:sz w:val="21"/>
        </w:rPr>
        <w:t>1</w:t>
      </w:r>
      <w:r>
        <w:rPr>
          <w:sz w:val="21"/>
        </w:rPr>
        <w:t>,</w:t>
      </w:r>
      <w:r>
        <w:rPr>
          <w:sz w:val="21"/>
        </w:rPr>
        <w:t>818</w:t>
      </w:r>
      <w:r>
        <w:rPr>
          <w:sz w:val="21"/>
        </w:rPr>
        <w:t>,</w:t>
      </w:r>
      <w:r>
        <w:rPr>
          <w:sz w:val="21"/>
        </w:rPr>
        <w:t>140</w:t>
      </w:r>
      <w:r>
        <w:rPr>
          <w:sz w:val="21"/>
        </w:rPr>
        <w:t>.</w:t>
      </w:r>
      <w:r>
        <w:rPr>
          <w:sz w:val="21"/>
        </w:rPr>
        <w:t>63</w:t>
      </w:r>
      <w:r>
        <w:rPr>
          <w:sz w:val="21"/>
        </w:rPr>
        <w:t>元</w:t>
      </w:r>
    </w:p>
    <w:p>
      <w:pPr>
        <w:pStyle w:val="null3"/>
        <w:ind w:firstLine="420"/>
        <w:jc w:val="both"/>
      </w:pPr>
      <w:r>
        <w:rPr>
          <w:sz w:val="21"/>
        </w:rPr>
        <w:t>5. 落实的政府采购政策</w:t>
      </w:r>
      <w:r>
        <w:br/>
      </w:r>
      <w:r>
        <w:rPr>
          <w:sz w:val="21"/>
        </w:rPr>
        <w:t xml:space="preserve">   </w:t>
      </w:r>
      <w:r>
        <w:rPr>
          <w:sz w:val="21"/>
        </w:rPr>
        <w:t>《政府采购促进中小企业发展管理办法》（财库〔</w:t>
      </w:r>
      <w:r>
        <w:rPr>
          <w:sz w:val="21"/>
        </w:rPr>
        <w:t>2020</w:t>
      </w:r>
      <w:r>
        <w:rPr>
          <w:sz w:val="21"/>
        </w:rPr>
        <w:t>〕</w:t>
      </w:r>
      <w:r>
        <w:rPr>
          <w:sz w:val="21"/>
        </w:rPr>
        <w:t>46</w:t>
      </w:r>
      <w:r>
        <w:rPr>
          <w:sz w:val="21"/>
        </w:rPr>
        <w:t>号）、《关于政府采购支持监狱企业发展有关问题的通知》</w:t>
      </w:r>
      <w:r>
        <w:rPr>
          <w:sz w:val="21"/>
        </w:rPr>
        <w:t>(</w:t>
      </w:r>
      <w:r>
        <w:rPr>
          <w:sz w:val="21"/>
        </w:rPr>
        <w:t>财库〔</w:t>
      </w:r>
      <w:r>
        <w:rPr>
          <w:sz w:val="21"/>
        </w:rPr>
        <w:t>2014</w:t>
      </w:r>
      <w:r>
        <w:rPr>
          <w:sz w:val="21"/>
        </w:rPr>
        <w:t>〕</w:t>
      </w:r>
      <w:r>
        <w:rPr>
          <w:sz w:val="21"/>
        </w:rPr>
        <w:t>68</w:t>
      </w:r>
      <w:r>
        <w:rPr>
          <w:sz w:val="21"/>
        </w:rPr>
        <w:t>号</w:t>
      </w:r>
      <w:r>
        <w:rPr>
          <w:sz w:val="21"/>
        </w:rPr>
        <w:t>)</w:t>
      </w:r>
      <w:r>
        <w:rPr>
          <w:sz w:val="21"/>
        </w:rPr>
        <w:t>、《关于促进残疾人就业政府采购政策的通知》（财库〔</w:t>
      </w:r>
      <w:r>
        <w:rPr>
          <w:sz w:val="21"/>
        </w:rPr>
        <w:t>2017</w:t>
      </w:r>
      <w:r>
        <w:rPr>
          <w:sz w:val="21"/>
        </w:rPr>
        <w:t>〕</w:t>
      </w:r>
      <w:r>
        <w:rPr>
          <w:sz w:val="21"/>
        </w:rPr>
        <w:t>141</w:t>
      </w:r>
      <w:r>
        <w:rPr>
          <w:sz w:val="21"/>
        </w:rPr>
        <w:t>号</w:t>
      </w:r>
      <w:r>
        <w:rPr>
          <w:sz w:val="21"/>
        </w:rPr>
        <w:t>)</w:t>
      </w:r>
      <w:r>
        <w:rPr>
          <w:sz w:val="21"/>
        </w:rPr>
        <w:t>、《财政部 发展改革委 生态环境部 市场监管总局关于调整优化节能产品、环境标志产品政府采购执行机制的通知》（财库〔</w:t>
      </w:r>
      <w:r>
        <w:rPr>
          <w:sz w:val="21"/>
        </w:rPr>
        <w:t>2019</w:t>
      </w:r>
      <w:r>
        <w:rPr>
          <w:sz w:val="21"/>
        </w:rPr>
        <w:t>〕</w:t>
      </w:r>
      <w:r>
        <w:rPr>
          <w:sz w:val="21"/>
        </w:rPr>
        <w:t>9</w:t>
      </w:r>
      <w:r>
        <w:rPr>
          <w:sz w:val="21"/>
        </w:rPr>
        <w:t>号）、《财政部关于进一步加大政府采购支持中小企业力度的通知》（财库【</w:t>
      </w:r>
      <w:r>
        <w:rPr>
          <w:sz w:val="21"/>
        </w:rPr>
        <w:t>2022</w:t>
      </w:r>
      <w:r>
        <w:rPr>
          <w:sz w:val="21"/>
        </w:rPr>
        <w:t>】</w:t>
      </w:r>
      <w:r>
        <w:rPr>
          <w:sz w:val="21"/>
        </w:rPr>
        <w:t>19</w:t>
      </w:r>
      <w:r>
        <w:rPr>
          <w:sz w:val="21"/>
        </w:rPr>
        <w:t>号）等。</w:t>
      </w:r>
      <w:r>
        <w:rPr>
          <w:sz w:val="21"/>
          <w:b/>
          <w:u w:val="single"/>
        </w:rPr>
        <w:t>本项目专门面向中小企业采购。本项目中小企业划分标准所属行业为：</w:t>
      </w:r>
      <w:r>
        <w:rPr>
          <w:sz w:val="21"/>
          <w:b/>
          <w:u w:val="single"/>
        </w:rPr>
        <w:t>建筑业</w:t>
      </w:r>
      <w:r>
        <w:rPr>
          <w:sz w:val="21"/>
          <w:b/>
          <w:u w:val="single"/>
        </w:rPr>
        <w:t>。</w:t>
      </w:r>
    </w:p>
    <w:p>
      <w:pPr>
        <w:pStyle w:val="null3"/>
        <w:ind w:firstLine="211"/>
        <w:jc w:val="both"/>
      </w:pPr>
      <w:r>
        <w:rPr>
          <w:sz w:val="21"/>
          <w:b/>
        </w:rPr>
        <w:t>6.</w:t>
      </w:r>
      <w:r>
        <w:rPr>
          <w:sz w:val="21"/>
          <w:b/>
          <w:color w:val="000000"/>
        </w:rPr>
        <w:t>项目内容</w:t>
      </w:r>
      <w:r>
        <w:rPr>
          <w:sz w:val="21"/>
          <w:b/>
          <w:color w:val="000000"/>
        </w:rPr>
        <w:t>一览表</w:t>
      </w:r>
    </w:p>
    <w:tbl>
      <w:tblPr>
        <w:tblW w:w="0" w:type="auto"/>
        <w:tblBorders>
          <w:top w:val="none" w:color="000000" w:sz="4"/>
          <w:left w:val="none" w:color="000000" w:sz="4"/>
          <w:bottom w:val="none" w:color="000000" w:sz="4"/>
          <w:right w:val="none" w:color="000000" w:sz="4"/>
          <w:insideH w:val="none"/>
          <w:insideV w:val="none"/>
        </w:tblBorders>
      </w:tblPr>
      <w:tblGrid>
        <w:gridCol w:w="881"/>
        <w:gridCol w:w="2024"/>
        <w:gridCol w:w="1046"/>
        <w:gridCol w:w="950"/>
        <w:gridCol w:w="5454"/>
      </w:tblGrid>
      <w:tr>
        <w:tc>
          <w:tcPr>
            <w:tcW w:type="dxa" w:w="881"/>
            <w:tcBorders>
              <w:top w:val="single" w:color="000000" w:sz="8"/>
              <w:left w:val="single" w:color="000000" w:sz="8"/>
              <w:bottom w:val="single" w:color="000000" w:sz="8"/>
              <w:right w:val="single" w:color="000000" w:sz="8"/>
            </w:tcBorders>
            <w:shd w:fill="CCCCCC"/>
            <w:tcMar>
              <w:top w:type="dxa" w:w="0"/>
              <w:left w:type="dxa" w:w="105"/>
              <w:bottom w:type="dxa" w:w="0"/>
              <w:right w:type="dxa" w:w="105"/>
            </w:tcMar>
            <w:vAlign w:val="top"/>
          </w:tcPr>
          <w:p>
            <w:pPr>
              <w:pStyle w:val="null3"/>
              <w:jc w:val="center"/>
            </w:pPr>
            <w:r>
              <w:rPr>
                <w:sz w:val="21"/>
                <w:b/>
              </w:rPr>
              <w:t>序</w:t>
            </w:r>
            <w:r>
              <w:rPr>
                <w:sz w:val="21"/>
                <w:b/>
              </w:rPr>
              <w:t>号</w:t>
            </w:r>
          </w:p>
        </w:tc>
        <w:tc>
          <w:tcPr>
            <w:tcW w:type="dxa" w:w="2024"/>
            <w:tcBorders>
              <w:top w:val="single" w:color="000000" w:sz="8"/>
              <w:left w:val="single" w:color="000000" w:sz="8"/>
              <w:bottom w:val="single" w:color="000000" w:sz="8"/>
              <w:right w:val="single" w:color="000000" w:sz="8"/>
            </w:tcBorders>
            <w:shd w:fill="CCCCCC"/>
            <w:tcMar>
              <w:top w:type="dxa" w:w="0"/>
              <w:left w:type="dxa" w:w="105"/>
              <w:bottom w:type="dxa" w:w="0"/>
              <w:right w:type="dxa" w:w="105"/>
            </w:tcMar>
            <w:vAlign w:val="top"/>
          </w:tcPr>
          <w:p>
            <w:pPr>
              <w:pStyle w:val="null3"/>
              <w:jc w:val="center"/>
            </w:pPr>
            <w:r>
              <w:rPr>
                <w:sz w:val="21"/>
                <w:b/>
              </w:rPr>
              <w:t>采购内容</w:t>
            </w:r>
          </w:p>
        </w:tc>
        <w:tc>
          <w:tcPr>
            <w:tcW w:type="dxa" w:w="1046"/>
            <w:tcBorders>
              <w:top w:val="single" w:color="000000" w:sz="8"/>
              <w:left w:val="single" w:color="000000" w:sz="8"/>
              <w:bottom w:val="single" w:color="000000" w:sz="8"/>
              <w:right w:val="single" w:color="000000" w:sz="8"/>
            </w:tcBorders>
            <w:shd w:fill="CCCCCC"/>
            <w:tcMar>
              <w:top w:type="dxa" w:w="0"/>
              <w:left w:type="dxa" w:w="105"/>
              <w:bottom w:type="dxa" w:w="0"/>
              <w:right w:type="dxa" w:w="105"/>
            </w:tcMar>
            <w:vAlign w:val="top"/>
          </w:tcPr>
          <w:p>
            <w:pPr>
              <w:pStyle w:val="null3"/>
              <w:jc w:val="center"/>
            </w:pPr>
            <w:r>
              <w:rPr>
                <w:sz w:val="21"/>
                <w:b/>
              </w:rPr>
              <w:t>数</w:t>
            </w:r>
            <w:r>
              <w:rPr>
                <w:sz w:val="21"/>
                <w:b/>
              </w:rPr>
              <w:t>量</w:t>
            </w:r>
          </w:p>
        </w:tc>
        <w:tc>
          <w:tcPr>
            <w:tcW w:type="dxa" w:w="950"/>
            <w:tcBorders>
              <w:top w:val="single" w:color="000000" w:sz="8"/>
              <w:left w:val="single" w:color="000000" w:sz="8"/>
              <w:bottom w:val="single" w:color="000000" w:sz="8"/>
              <w:right w:val="single" w:color="000000" w:sz="8"/>
            </w:tcBorders>
            <w:shd w:fill="CCCCCC"/>
            <w:tcMar>
              <w:top w:type="dxa" w:w="0"/>
              <w:left w:type="dxa" w:w="105"/>
              <w:bottom w:type="dxa" w:w="0"/>
              <w:right w:type="dxa" w:w="105"/>
            </w:tcMar>
            <w:vAlign w:val="top"/>
          </w:tcPr>
          <w:p>
            <w:pPr>
              <w:pStyle w:val="null3"/>
              <w:jc w:val="center"/>
            </w:pPr>
            <w:r>
              <w:rPr>
                <w:sz w:val="21"/>
                <w:b/>
              </w:rPr>
              <w:t>单</w:t>
            </w:r>
            <w:r>
              <w:rPr>
                <w:sz w:val="21"/>
                <w:b/>
              </w:rPr>
              <w:t>位</w:t>
            </w:r>
          </w:p>
        </w:tc>
        <w:tc>
          <w:tcPr>
            <w:tcW w:type="dxa" w:w="5454"/>
            <w:tcBorders>
              <w:top w:val="single" w:color="000000" w:sz="8"/>
              <w:left w:val="single" w:color="000000" w:sz="8"/>
              <w:bottom w:val="single" w:color="000000" w:sz="8"/>
              <w:right w:val="single" w:color="000000" w:sz="8"/>
            </w:tcBorders>
            <w:shd w:fill="CCCCCC"/>
            <w:tcMar>
              <w:top w:type="dxa" w:w="0"/>
              <w:left w:type="dxa" w:w="105"/>
              <w:bottom w:type="dxa" w:w="0"/>
              <w:right w:type="dxa" w:w="105"/>
            </w:tcMar>
            <w:vAlign w:val="top"/>
          </w:tcPr>
          <w:p>
            <w:pPr>
              <w:pStyle w:val="null3"/>
              <w:jc w:val="center"/>
            </w:pPr>
            <w:r>
              <w:rPr>
                <w:sz w:val="21"/>
                <w:b/>
              </w:rPr>
              <w:t>预算金额</w:t>
            </w:r>
          </w:p>
        </w:tc>
      </w:tr>
      <w:tr>
        <w:tc>
          <w:tcPr>
            <w:tcW w:type="dxa" w:w="8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202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广东省乳阳林场龙线公路安全整治二期工程</w:t>
            </w:r>
          </w:p>
        </w:tc>
        <w:tc>
          <w:tcPr>
            <w:tcW w:type="dxa" w:w="104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9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45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1</w:t>
            </w:r>
            <w:r>
              <w:rPr>
                <w:sz w:val="21"/>
              </w:rPr>
              <w:t>,</w:t>
            </w:r>
            <w:r>
              <w:rPr>
                <w:sz w:val="21"/>
              </w:rPr>
              <w:t>818</w:t>
            </w:r>
            <w:r>
              <w:rPr>
                <w:sz w:val="21"/>
              </w:rPr>
              <w:t>,</w:t>
            </w:r>
            <w:r>
              <w:rPr>
                <w:sz w:val="21"/>
              </w:rPr>
              <w:t>140</w:t>
            </w:r>
            <w:r>
              <w:rPr>
                <w:sz w:val="21"/>
              </w:rPr>
              <w:t>.</w:t>
            </w:r>
            <w:r>
              <w:rPr>
                <w:sz w:val="21"/>
              </w:rPr>
              <w:t>63</w:t>
            </w:r>
            <w:r>
              <w:rPr>
                <w:sz w:val="21"/>
              </w:rPr>
              <w:t>元</w:t>
            </w:r>
            <w:r>
              <w:rPr>
                <w:sz w:val="21"/>
                <w:b/>
              </w:rPr>
              <w:t>（包括不可竞争性费用：绿色施工安全防护措施费</w:t>
            </w:r>
            <w:r>
              <w:rPr>
                <w:sz w:val="21"/>
                <w:b/>
              </w:rPr>
              <w:t>131,784.66</w:t>
            </w:r>
            <w:r>
              <w:rPr>
                <w:sz w:val="21"/>
                <w:b/>
              </w:rPr>
              <w:t>元，上述报价要求为固定报价，供应商在报价中必须包含且不得更改该金额，否则其投标响应无效。）</w:t>
            </w:r>
          </w:p>
        </w:tc>
      </w:tr>
    </w:tbl>
    <w:p>
      <w:pPr>
        <w:pStyle w:val="null3"/>
        <w:jc w:val="both"/>
      </w:pPr>
      <w:r>
        <w:rPr>
          <w:sz w:val="21"/>
          <w:b/>
        </w:rPr>
        <w:t>（二）项目概况：</w:t>
      </w:r>
    </w:p>
    <w:p>
      <w:pPr>
        <w:pStyle w:val="null3"/>
        <w:ind w:firstLine="630"/>
        <w:jc w:val="both"/>
      </w:pPr>
      <w:r>
        <w:rPr>
          <w:sz w:val="21"/>
        </w:rPr>
        <w:t>根据</w:t>
      </w:r>
      <w:r>
        <w:rPr>
          <w:sz w:val="21"/>
        </w:rPr>
        <w:t>场党委工作部署，森林公园与公路科计划针对管辖区域内的龙线公路（包括横龙北段）存在较大安全隐患的地方开展安全隐患整治工作。通过此项工作的有效推进，切实保障广东省乳阳林场（广东南岭国家森林公园管理处）林区公路的安全畅通。</w:t>
      </w:r>
    </w:p>
    <w:p>
      <w:pPr>
        <w:pStyle w:val="null3"/>
      </w:pPr>
      <w:r>
        <w:rPr/>
        <w:t>采购包1（广东省乳阳林场龙线公路安全整治二期工程）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工期：自签订合同之日起至2024年11月20日前完工。</w:t>
            </w:r>
          </w:p>
        </w:tc>
      </w:tr>
      <w:tr>
        <w:tc>
          <w:tcPr>
            <w:tcW w:type="dxa" w:w="4153"/>
          </w:tcPr>
          <w:p>
            <w:pPr>
              <w:pStyle w:val="null3"/>
            </w:pPr>
            <w:r>
              <w:rPr/>
              <w:t>标的提供的地点</w:t>
            </w:r>
          </w:p>
        </w:tc>
        <w:tc>
          <w:tcPr>
            <w:tcW w:type="dxa" w:w="4153"/>
          </w:tcPr>
          <w:p>
            <w:pPr>
              <w:pStyle w:val="null3"/>
            </w:pPr>
            <w:r>
              <w:rPr/>
              <w:t>乳阳林场龙线公路。</w:t>
            </w:r>
          </w:p>
        </w:tc>
      </w:tr>
      <w:tr>
        <w:tc>
          <w:tcPr>
            <w:tcW w:type="dxa" w:w="4153"/>
          </w:tcPr>
          <w:p>
            <w:pPr>
              <w:pStyle w:val="null3"/>
            </w:pPr>
            <w:r>
              <w:rPr/>
              <w:t>付款方式</w:t>
            </w:r>
          </w:p>
        </w:tc>
        <w:tc>
          <w:tcPr>
            <w:tcW w:type="dxa" w:w="4153"/>
          </w:tcPr>
          <w:p>
            <w:pPr>
              <w:pStyle w:val="null3"/>
            </w:pPr>
            <w:r>
              <w:rPr/>
              <w:t>1期：支付比例30%,签订合同后 5个工作日内，采购人向成交供应商支付合同总金额30%的预付款；</w:t>
            </w:r>
          </w:p>
          <w:p>
            <w:pPr>
              <w:pStyle w:val="null3"/>
            </w:pPr>
            <w:r>
              <w:rPr/>
              <w:t>2期：支付比例50%,工程量完成50%后，采购人向成交供应商支付合同总金额50%的进度款；</w:t>
            </w:r>
          </w:p>
          <w:p>
            <w:pPr>
              <w:pStyle w:val="null3"/>
            </w:pPr>
            <w:r>
              <w:rPr/>
              <w:t>3期：支付比例20%,工程竣工验收合格并取得质量保证函后，采购人于十五个工作日内向成交供应商一次性支付尾款。</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1期：（1）工程完工后，成交供应商应及时向采购人提出竣工验收申请，如若故意拖延或不办理验收的，采购人有权追究成交供应商的法律责任和赔偿经济损失。（2）竣工验收 成交供应商应在工程竣工验收前向采购人提供竣工验收资料和验收报告，否则，采购人有权拒绝验收。成交供应商提供的竣工验收资料和验收申请报告不符合要求的，成交供应商应按采购人要求在规定期限内补充完善并重新提交。采购人应在收到成交供应商提交的符合要求的上述材料后的 7 日内组织验收。 （3）验评标准和规范 ①工程质量符合现行《工程施工质量验收规范》合格标准。 ②采购人组成验收小组按国家有关规定、规范进行验收，必要时邀请相关的专业人员或机构参与验收。因质量问题发生争议时，由采购人选择广东省内的质量技术监督部门鉴定。符合质量技术标准的，鉴定费由采购人承担；否则鉴定费由成交供应商承担。如检验不合格，采购人不予以验收和付款，成交供应商承担一切责任和赔偿采购人损失。</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（1）响应供应商报价不能超过本项目最高限价人民币1,818,140.63元。 （2）响应供应商的投标报价中必须包含工程量清单所包含的全部工程内容，应包含但不限于以下费用：施工费、技术措施费、劳务费、材料费、临时工程费、施工水电费、缺陷修复费、机械进出场费、管理费、利润，验收费、保险费、政策性文件规定费用等完成本项目所需的一切费用。报价风险必须包含工程量清单涵盖内容的所有费用与风险。 （3）响应供应商应按工程量清单中列出的工程项目填报单价和合价，投标中漏项的部分或没有填写的项目，采购人视为已包括在报价中。 （4）本项目按照工程量清单内容，包人工、材料、机械、工期、质量、安全、文明施工，施工临时用水、用电、通讯设施、验收，包保修及本项目维修实施中可能出现其它未知因素而产生的费用和相关服务的方式进行总包干。成交供应商应按照工程量清单、施工合同和有关技术规范要求完成施工，最终结算以财政审核为准。 （5）报价包括不可竞争性费用：绿色施工安全防护措施费131,784.66元，上述报价要求为固定报价，供应商在报价中必须包含且不得更改该金额，否则其投标响应无效。</w:t>
            </w:r>
          </w:p>
        </w:tc>
      </w:tr>
      <w:tr>
        <w:tc>
          <w:tcPr>
            <w:tcW w:type="dxa" w:w="2076"/>
          </w:tcPr>
          <w:p/>
        </w:tc>
        <w:tc>
          <w:tcPr>
            <w:tcW w:type="dxa" w:w="2076"/>
          </w:tcPr>
          <w:p>
            <w:pPr>
              <w:pStyle w:val="null3"/>
              <w:jc w:val="center"/>
            </w:pPr>
            <w:r>
              <w:rPr/>
              <w:t>2</w:t>
            </w:r>
          </w:p>
        </w:tc>
        <w:tc>
          <w:tcPr>
            <w:tcW w:type="dxa" w:w="2076"/>
          </w:tcPr>
          <w:p>
            <w:pPr>
              <w:pStyle w:val="null3"/>
              <w:jc w:val="left"/>
            </w:pPr>
            <w:r>
              <w:rPr/>
              <w:t>质量保修期</w:t>
            </w:r>
          </w:p>
        </w:tc>
        <w:tc>
          <w:tcPr>
            <w:tcW w:type="dxa" w:w="2076"/>
          </w:tcPr>
          <w:p>
            <w:pPr>
              <w:pStyle w:val="null3"/>
              <w:jc w:val="left"/>
            </w:pPr>
            <w:r>
              <w:rPr/>
              <w:t>（1）质量保修期：自工程竣工验收合格之日起一年。在保修范围和保修期限内采购人正常使用下有质量问题的，成交供应商应当履行保修义务，并对造成的损失承担赔偿责任。 （2）质量保修响应时间： 1)属于保修范围的项目，在保修期内成交供应商应在接到采购人通知后的24小时内派人保修。成交供应商未能在规定时间内派人保修的，采购人可自行或委托第三方保修，由此产生的费用由成交供应商承担。 2）发生紧急抢修事故的，成交供应商在接到通知后，应及时到达事故现场抢修。</w:t>
            </w:r>
          </w:p>
        </w:tc>
      </w:tr>
      <w:tr>
        <w:tc>
          <w:tcPr>
            <w:tcW w:type="dxa" w:w="2076"/>
          </w:tcPr>
          <w:p/>
        </w:tc>
        <w:tc>
          <w:tcPr>
            <w:tcW w:type="dxa" w:w="2076"/>
          </w:tcPr>
          <w:p>
            <w:pPr>
              <w:pStyle w:val="null3"/>
              <w:jc w:val="center"/>
            </w:pPr>
            <w:r>
              <w:rPr/>
              <w:t>3</w:t>
            </w:r>
          </w:p>
        </w:tc>
        <w:tc>
          <w:tcPr>
            <w:tcW w:type="dxa" w:w="2076"/>
          </w:tcPr>
          <w:p>
            <w:pPr>
              <w:pStyle w:val="null3"/>
              <w:jc w:val="left"/>
            </w:pPr>
            <w:r>
              <w:rPr/>
              <w:t>缺陷责任期</w:t>
            </w:r>
          </w:p>
        </w:tc>
        <w:tc>
          <w:tcPr>
            <w:tcW w:type="dxa" w:w="2076"/>
          </w:tcPr>
          <w:p>
            <w:pPr>
              <w:pStyle w:val="null3"/>
              <w:jc w:val="left"/>
            </w:pPr>
            <w:r>
              <w:rPr/>
              <w:t>（1）本项目缺陷责任期为12个月（自通过交工验收之日起计）。（2）缺陷责任期内，由成交供应商原因造成的缺陷，成交供应商应负责维修，并承担鉴定及维修费用。如果成交供应商不维修也不承担费用，采购人可按合同约定从质量保证中扣除，维修费用超出保证金额的，采购人可按合同约定向成交供应商进行索赔。成交供应商维修并承担相应费用后，不免除对工程的损失赔偿责任。 由他人原因造成的缺陷，采购人负责组织维修，成交供应商不承担费用，且采购人不得从质量保证中扣除费用。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公路工程施工</w:t>
            </w:r>
          </w:p>
        </w:tc>
        <w:tc>
          <w:tcPr>
            <w:tcW w:type="dxa" w:w="933"/>
          </w:tcPr>
          <w:p>
            <w:pPr>
              <w:pStyle w:val="null3"/>
              <w:jc w:val="left"/>
            </w:pPr>
            <w:r>
              <w:rPr/>
              <w:t>广东省乳阳林场龙线公路安全整治二期工程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1,818,140.63</w:t>
            </w:r>
          </w:p>
        </w:tc>
        <w:tc>
          <w:tcPr>
            <w:tcW w:type="dxa" w:w="933"/>
          </w:tcPr>
          <w:p>
            <w:pPr>
              <w:pStyle w:val="null3"/>
              <w:jc w:val="right"/>
            </w:pPr>
            <w:r>
              <w:rPr/>
              <w:t>1,818,140.63</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广东省乳阳林场龙线公路安全整治二期工程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项目内容</w:t>
            </w:r>
          </w:p>
          <w:p>
            <w:pPr>
              <w:pStyle w:val="null3"/>
              <w:ind w:firstLine="420"/>
              <w:jc w:val="both"/>
            </w:pPr>
            <w:r>
              <w:rPr>
                <w:sz w:val="21"/>
              </w:rPr>
              <w:t>项目实施内容主要有：回填路肩、</w:t>
            </w:r>
            <w:r>
              <w:rPr>
                <w:sz w:val="21"/>
              </w:rPr>
              <w:t>M10水泥砂浆砌毛石挡土墙、钢筋混凝土防撞护栏、混凝土仿木栏杆以及相关的措施项目等。</w:t>
            </w:r>
          </w:p>
          <w:p>
            <w:pPr>
              <w:pStyle w:val="null3"/>
              <w:jc w:val="both"/>
            </w:pPr>
            <w:r>
              <w:rPr>
                <w:sz w:val="21"/>
                <w:b/>
              </w:rPr>
              <w:t>（二）</w:t>
            </w:r>
            <w:r>
              <w:rPr>
                <w:sz w:val="21"/>
                <w:b/>
              </w:rPr>
              <w:t>采购项目技术要求</w:t>
            </w:r>
          </w:p>
          <w:p>
            <w:pPr>
              <w:pStyle w:val="null3"/>
              <w:ind w:firstLine="420"/>
              <w:jc w:val="both"/>
            </w:pPr>
            <w:r>
              <w:rPr>
                <w:sz w:val="21"/>
              </w:rPr>
              <w:t>1、</w:t>
            </w:r>
            <w:r>
              <w:rPr>
                <w:sz w:val="21"/>
              </w:rPr>
              <w:t>详见本项目工程量清单的全部内容（公告附件）。</w:t>
            </w:r>
          </w:p>
          <w:p>
            <w:pPr>
              <w:pStyle w:val="null3"/>
              <w:ind w:firstLine="420"/>
              <w:jc w:val="both"/>
            </w:pPr>
            <w:r>
              <w:rPr>
                <w:sz w:val="21"/>
              </w:rPr>
              <w:t>2、 成交供应商应严格按照采购人提供的工程量清单及国家、地区、行业现行的施工标准，验收规范进行施工，工程竣工验收需达到国家有关施工质量验收规范的合格标准，且竣工验收合格</w:t>
            </w:r>
            <w:r>
              <w:rPr>
                <w:sz w:val="21"/>
              </w:rPr>
              <w:t>。</w:t>
            </w:r>
          </w:p>
          <w:p>
            <w:pPr>
              <w:pStyle w:val="null3"/>
              <w:ind w:firstLine="420"/>
              <w:jc w:val="both"/>
            </w:pPr>
            <w:r>
              <w:rPr>
                <w:sz w:val="21"/>
              </w:rPr>
              <w:t>3</w:t>
            </w:r>
            <w:r>
              <w:rPr>
                <w:sz w:val="21"/>
              </w:rPr>
              <w:t>、所有材料均应符合相关国家标准以及行业标准，对不符合要求的材料不得进入施工现场。</w:t>
            </w:r>
          </w:p>
          <w:p>
            <w:pPr>
              <w:pStyle w:val="null3"/>
              <w:jc w:val="both"/>
            </w:pPr>
            <w:r>
              <w:rPr>
                <w:sz w:val="21"/>
                <w:b/>
              </w:rPr>
              <w:t>（三）质量、安全及其他要求</w:t>
            </w:r>
          </w:p>
          <w:p>
            <w:pPr>
              <w:pStyle w:val="null3"/>
              <w:ind w:firstLine="422"/>
              <w:jc w:val="both"/>
            </w:pPr>
            <w:r>
              <w:rPr>
                <w:sz w:val="21"/>
                <w:b/>
              </w:rPr>
              <w:t>1、质量要求</w:t>
            </w:r>
          </w:p>
          <w:p>
            <w:pPr>
              <w:pStyle w:val="null3"/>
              <w:ind w:firstLine="420"/>
              <w:jc w:val="both"/>
            </w:pPr>
            <w:r>
              <w:rPr>
                <w:sz w:val="21"/>
              </w:rPr>
              <w:t>（</w:t>
            </w:r>
            <w:r>
              <w:rPr>
                <w:sz w:val="21"/>
              </w:rPr>
              <w:t>1）</w:t>
            </w:r>
            <w:r>
              <w:rPr>
                <w:sz w:val="21"/>
              </w:rPr>
              <w:t>材料质量：所用材料必须符合国家产品质量要求，不得使用假冒伪劣产品，且需提供材料质量证明文件。</w:t>
            </w:r>
          </w:p>
          <w:p>
            <w:pPr>
              <w:pStyle w:val="null3"/>
              <w:ind w:firstLine="420"/>
              <w:jc w:val="both"/>
            </w:pPr>
            <w:r>
              <w:rPr>
                <w:sz w:val="21"/>
              </w:rPr>
              <w:t>（</w:t>
            </w:r>
            <w:r>
              <w:rPr>
                <w:sz w:val="21"/>
              </w:rPr>
              <w:t>2）</w:t>
            </w:r>
            <w:r>
              <w:rPr>
                <w:sz w:val="21"/>
              </w:rPr>
              <w:t>施工工艺：按照设计要求和有关行业规范进行施工，严格控制施工工艺流程。</w:t>
            </w:r>
          </w:p>
          <w:p>
            <w:pPr>
              <w:pStyle w:val="null3"/>
              <w:ind w:firstLine="420"/>
              <w:jc w:val="both"/>
            </w:pPr>
            <w:r>
              <w:rPr>
                <w:sz w:val="21"/>
              </w:rPr>
              <w:t>（</w:t>
            </w:r>
            <w:r>
              <w:rPr>
                <w:sz w:val="21"/>
              </w:rPr>
              <w:t>3）</w:t>
            </w:r>
            <w:r>
              <w:rPr>
                <w:sz w:val="21"/>
              </w:rPr>
              <w:t>质量检验：定期或不定期进行质量检查，包括自检、互检和专检</w:t>
            </w:r>
            <w:r>
              <w:rPr>
                <w:sz w:val="21"/>
              </w:rPr>
              <w:t>，及时发现问题并整改。</w:t>
            </w:r>
          </w:p>
          <w:p>
            <w:pPr>
              <w:pStyle w:val="null3"/>
              <w:ind w:firstLine="420"/>
              <w:jc w:val="both"/>
            </w:pPr>
            <w:r>
              <w:rPr>
                <w:sz w:val="21"/>
              </w:rPr>
              <w:t>（</w:t>
            </w:r>
            <w:r>
              <w:rPr>
                <w:sz w:val="21"/>
              </w:rPr>
              <w:t>4）成交供应商应当建立健全工程质量保证体系，制定质量管理制度，强化工程质量管理措施，完善工程质量目标保障机制；严格遵守国家有关法律、法规和规章，严格执行公路工程强制性技术标准、各类技术规范及规程，全面履行工程合同义务。</w:t>
            </w:r>
          </w:p>
          <w:p>
            <w:pPr>
              <w:pStyle w:val="null3"/>
              <w:ind w:firstLine="420"/>
              <w:jc w:val="both"/>
            </w:pPr>
            <w:r>
              <w:rPr>
                <w:sz w:val="21"/>
              </w:rPr>
              <w:t>（</w:t>
            </w:r>
            <w:r>
              <w:rPr>
                <w:sz w:val="21"/>
              </w:rPr>
              <w:t>5）成交供应商对工程施工质量负责，应当配备工程技术人员和质量管理人员，落实工程施工质量责任制。</w:t>
            </w:r>
          </w:p>
          <w:p>
            <w:pPr>
              <w:pStyle w:val="null3"/>
              <w:ind w:firstLine="422"/>
              <w:jc w:val="both"/>
            </w:pPr>
            <w:r>
              <w:rPr>
                <w:sz w:val="21"/>
                <w:b/>
              </w:rPr>
              <w:t>2、</w:t>
            </w:r>
            <w:r>
              <w:rPr>
                <w:sz w:val="21"/>
                <w:b/>
              </w:rPr>
              <w:t>安全要求</w:t>
            </w:r>
          </w:p>
          <w:p>
            <w:pPr>
              <w:pStyle w:val="null3"/>
              <w:ind w:firstLine="420"/>
              <w:jc w:val="both"/>
            </w:pPr>
            <w:r>
              <w:rPr>
                <w:sz w:val="21"/>
              </w:rPr>
              <w:t>（</w:t>
            </w:r>
            <w:r>
              <w:rPr>
                <w:sz w:val="21"/>
              </w:rPr>
              <w:t>1</w:t>
            </w:r>
            <w:r>
              <w:rPr>
                <w:sz w:val="21"/>
              </w:rPr>
              <w:t>）</w:t>
            </w:r>
            <w:r>
              <w:rPr>
                <w:sz w:val="21"/>
              </w:rPr>
              <w:t>成交供应商必须严格遵守各项施工安全操作规范，若发生任何安全事故，概与采购人无关，由成交供应商自负。</w:t>
            </w:r>
          </w:p>
          <w:p>
            <w:pPr>
              <w:pStyle w:val="null3"/>
              <w:ind w:firstLine="420"/>
              <w:jc w:val="both"/>
            </w:pPr>
            <w:r>
              <w:rPr>
                <w:sz w:val="21"/>
              </w:rPr>
              <w:t>（</w:t>
            </w:r>
            <w:r>
              <w:rPr>
                <w:sz w:val="21"/>
              </w:rPr>
              <w:t>2）</w:t>
            </w:r>
            <w:r>
              <w:rPr>
                <w:sz w:val="21"/>
              </w:rPr>
              <w:t>成交供应商在施工期间必须服从采购方业务主管部门及安全生产应急管理部门的管理，严禁在野外吸烟、违章使用火源等，否则按相关法律法规追究责任。</w:t>
            </w:r>
          </w:p>
          <w:p>
            <w:pPr>
              <w:pStyle w:val="null3"/>
              <w:ind w:firstLine="420"/>
              <w:jc w:val="both"/>
            </w:pPr>
            <w:r>
              <w:rPr>
                <w:sz w:val="21"/>
              </w:rPr>
              <w:t>（</w:t>
            </w:r>
            <w:r>
              <w:rPr>
                <w:sz w:val="21"/>
              </w:rPr>
              <w:t>3）</w:t>
            </w:r>
            <w:r>
              <w:rPr>
                <w:sz w:val="21"/>
              </w:rPr>
              <w:t>成交供应商在施工期间负责施工范围内全过程的安全生产和森林防火工作，配合采购人做好生物病虫害防治工作，不得在林区范围内使用松木制造的板材、方条等。</w:t>
            </w:r>
          </w:p>
          <w:p>
            <w:pPr>
              <w:pStyle w:val="null3"/>
              <w:ind w:firstLine="420"/>
              <w:jc w:val="both"/>
            </w:pPr>
            <w:r>
              <w:rPr>
                <w:sz w:val="21"/>
              </w:rPr>
              <w:t>（</w:t>
            </w:r>
            <w:r>
              <w:rPr>
                <w:sz w:val="21"/>
              </w:rPr>
              <w:t>4）</w:t>
            </w:r>
            <w:r>
              <w:rPr>
                <w:sz w:val="21"/>
              </w:rPr>
              <w:t>施工作业人员必须全程佩戴安全帽或按行业要求穿戴安全防护用品，违者责任自负。</w:t>
            </w:r>
          </w:p>
          <w:p>
            <w:pPr>
              <w:pStyle w:val="null3"/>
              <w:ind w:firstLine="420"/>
              <w:jc w:val="both"/>
            </w:pPr>
            <w:r>
              <w:rPr>
                <w:sz w:val="21"/>
              </w:rPr>
              <w:t>（</w:t>
            </w:r>
            <w:r>
              <w:rPr>
                <w:sz w:val="21"/>
              </w:rPr>
              <w:t>5）</w:t>
            </w:r>
            <w:r>
              <w:rPr>
                <w:sz w:val="21"/>
              </w:rPr>
              <w:t>特种作业人员必须持有效证件上岗。</w:t>
            </w:r>
          </w:p>
          <w:p>
            <w:pPr>
              <w:pStyle w:val="null3"/>
              <w:ind w:firstLine="420"/>
              <w:jc w:val="both"/>
            </w:pPr>
            <w:r>
              <w:rPr>
                <w:sz w:val="21"/>
              </w:rPr>
              <w:t>（</w:t>
            </w:r>
            <w:r>
              <w:rPr>
                <w:sz w:val="21"/>
              </w:rPr>
              <w:t>6）</w:t>
            </w:r>
            <w:r>
              <w:rPr>
                <w:sz w:val="21"/>
              </w:rPr>
              <w:t>施工单位必须为施工现场作业人员购买安全生产责任保险。</w:t>
            </w:r>
          </w:p>
          <w:p>
            <w:pPr>
              <w:pStyle w:val="null3"/>
              <w:ind w:firstLine="422"/>
              <w:jc w:val="both"/>
            </w:pPr>
            <w:r>
              <w:rPr>
                <w:sz w:val="21"/>
                <w:b/>
              </w:rPr>
              <w:t>3、其他要求</w:t>
            </w:r>
          </w:p>
          <w:p>
            <w:pPr>
              <w:pStyle w:val="null3"/>
              <w:ind w:firstLine="420"/>
              <w:jc w:val="both"/>
            </w:pPr>
            <w:r>
              <w:rPr>
                <w:sz w:val="21"/>
              </w:rPr>
              <w:t>（</w:t>
            </w:r>
            <w:r>
              <w:rPr>
                <w:sz w:val="21"/>
              </w:rPr>
              <w:t>1）</w:t>
            </w:r>
            <w:r>
              <w:rPr>
                <w:sz w:val="21"/>
              </w:rPr>
              <w:t>成交供应商在施工期间必须注意环境保护，建筑余料必须清理干净，并堆放到指定地点，严禁随意随地倾倒碴料等。</w:t>
            </w:r>
          </w:p>
          <w:p>
            <w:pPr>
              <w:pStyle w:val="null3"/>
              <w:ind w:firstLine="420"/>
              <w:jc w:val="both"/>
            </w:pPr>
            <w:r>
              <w:rPr>
                <w:sz w:val="21"/>
              </w:rPr>
              <w:t>（</w:t>
            </w:r>
            <w:r>
              <w:rPr>
                <w:sz w:val="21"/>
              </w:rPr>
              <w:t>2）</w:t>
            </w:r>
            <w:r>
              <w:rPr>
                <w:sz w:val="21"/>
              </w:rPr>
              <w:t>成交供应商委派的项目经理及安全生员不得担任其他在建设工程项目的任何职务（包括已中标未开工、已建成未竣工的），项目经理及安全生员每月签到率不得低于</w:t>
            </w:r>
            <w:r>
              <w:rPr>
                <w:sz w:val="21"/>
              </w:rPr>
              <w:t>40%以上，否则除每天每人次扣减工程款2000元外，采购人有权单方面无条件解除合同。</w:t>
            </w:r>
          </w:p>
          <w:p>
            <w:pPr>
              <w:pStyle w:val="null3"/>
              <w:ind w:firstLine="420"/>
              <w:jc w:val="both"/>
            </w:pPr>
            <w:r>
              <w:rPr>
                <w:sz w:val="21"/>
              </w:rPr>
              <w:t>（</w:t>
            </w:r>
            <w:r>
              <w:rPr>
                <w:sz w:val="21"/>
              </w:rPr>
              <w:t>3）</w:t>
            </w:r>
            <w:r>
              <w:rPr>
                <w:sz w:val="21"/>
              </w:rPr>
              <w:t>本项目不允许分包和转包。如成交供应商违反此要求，视为违约，采购人有权解除合同并追究供应商法律责任及赔偿。</w:t>
            </w:r>
          </w:p>
          <w:p>
            <w:pPr>
              <w:pStyle w:val="null3"/>
              <w:spacing w:before="90" w:after="30"/>
              <w:jc w:val="left"/>
            </w:pPr>
            <w:r>
              <w:rPr>
                <w:sz w:val="21"/>
                <w:b/>
              </w:rPr>
              <w:t>（四）</w:t>
            </w:r>
            <w:r>
              <w:rPr>
                <w:sz w:val="21"/>
                <w:b/>
              </w:rPr>
              <w:t>施工现场条件及现场踏勘</w:t>
            </w:r>
          </w:p>
          <w:p>
            <w:pPr>
              <w:pStyle w:val="null3"/>
              <w:ind w:firstLine="420"/>
              <w:jc w:val="both"/>
            </w:pPr>
            <w:r>
              <w:rPr>
                <w:sz w:val="21"/>
              </w:rPr>
              <w:t>1、成交供应商自行解决本工程临时用地（包括办公场所、生活场所、预制场地、加工场地、材料堆场、周转材堆场、机械设备存放场地等），所产生的费用均由成交供应商承担。</w:t>
            </w:r>
          </w:p>
          <w:p>
            <w:pPr>
              <w:pStyle w:val="null3"/>
              <w:ind w:firstLine="420"/>
              <w:jc w:val="both"/>
            </w:pPr>
            <w:r>
              <w:rPr>
                <w:sz w:val="21"/>
              </w:rPr>
              <w:t>2、采购人不组织现场踏勘，供应商需要了解现场情况的，可自行进行现场踏勘。</w:t>
            </w:r>
          </w:p>
          <w:p>
            <w:pPr>
              <w:pStyle w:val="null3"/>
              <w:ind w:firstLine="420"/>
              <w:jc w:val="both"/>
            </w:pPr>
            <w:r>
              <w:rPr>
                <w:sz w:val="21"/>
              </w:rPr>
              <w:t>3、在现场踏勘过程中，供应商应确保自身安全，供应商如果发生人身伤亡、财物或其他损失，法律法规有规定的按有关规定处理，没有规定的由供应商自行负责。</w:t>
            </w:r>
          </w:p>
          <w:p>
            <w:pPr>
              <w:pStyle w:val="null3"/>
              <w:jc w:val="both"/>
            </w:pPr>
            <w:r>
              <w:rPr>
                <w:sz w:val="21"/>
              </w:rPr>
              <w:t xml:space="preserve">       4、现场踏勘期间的交通、食宿</w:t>
            </w:r>
            <w:r>
              <w:rPr>
                <w:sz w:val="21"/>
              </w:rPr>
              <w:t>由供应商自行安排，费用自理。</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1.采购代理机构：本项目是指广州宜立工程管理有限公司韶关分公司，负责整个采购活动的组织，依法负责编制和发布磋商文件，对磋商文件拥有最终的解释权，不以任何身份出任磋商小组成员。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广东省乳阳林场（广东南岭国家森林公园管理处）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采购机构代理服务收费标准：供应商在领取《成交通知书》之前须向采购代理机构交纳招标代理费，招标代理费以本项目的采购预算金额为基准，按差额定率累进法计算，具体收费标准按 下表计算，费用不足8000元的，按8000元收取。采购预算金额（万元） 费率 100以下 1.5％ 100-500 1.3％ 500-1000 1.2％ 1000-5000 1.0％ 1）招标代理费以人民币支付 。 2) 招标代理费。支付方式：一次性以银行转账形式支付。</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广州宜立工程管理有限公司韶关分公司</w:t>
      </w:r>
      <w:r>
        <w:rPr/>
        <w:t>代收。具体操作要求详见</w:t>
      </w:r>
      <w:r>
        <w:rPr/>
        <w:t>广州宜立工程管理有限公司韶关分公司</w:t>
      </w:r>
      <w:r>
        <w:rPr/>
        <w:t>有关指引，递交事宜请自行咨询</w:t>
      </w:r>
      <w:r>
        <w:rPr/>
        <w:t>广州宜立工程管理有限公司韶关分公司</w:t>
      </w:r>
      <w:r>
        <w:rPr/>
        <w:t>；请各供应商在响应文件递交截止时间前按须知前附表规定的金额递交至</w:t>
      </w:r>
      <w:r>
        <w:rPr/>
        <w:t>广州宜立工程管理有限公司韶关分公司</w:t>
      </w:r>
      <w:r>
        <w:rPr/>
        <w:t>，到账情况以开启时</w:t>
      </w:r>
      <w:r>
        <w:rPr/>
        <w:t>广州宜立工程管理有限公司韶关分公司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广州宜立工程管理有限公司官网（http://www.gzylzbdl.com）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广州宜立工程管理有限公司官网（http://www.gzylzbdl.com）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p>
    <w:p>
      <w:pPr>
        <w:pStyle w:val="null3"/>
        <w:ind w:firstLine="480"/>
      </w:pPr>
      <w:r>
        <w:rPr/>
        <w:t>电话：</w:t>
      </w:r>
    </w:p>
    <w:p>
      <w:pPr>
        <w:pStyle w:val="null3"/>
        <w:ind w:firstLine="480"/>
      </w:pPr>
      <w:r>
        <w:rPr/>
        <w:t>传真：</w:t>
      </w:r>
    </w:p>
    <w:p>
      <w:pPr>
        <w:pStyle w:val="null3"/>
        <w:ind w:firstLine="480"/>
      </w:pPr>
      <w:r>
        <w:rPr/>
        <w:t>邮箱：</w:t>
      </w:r>
    </w:p>
    <w:p>
      <w:pPr>
        <w:pStyle w:val="null3"/>
        <w:ind w:firstLine="480"/>
      </w:pPr>
      <w:r>
        <w:rPr/>
        <w:t>地址：</w:t>
      </w:r>
    </w:p>
    <w:p>
      <w:pPr>
        <w:pStyle w:val="null3"/>
        <w:ind w:firstLine="480"/>
      </w:pPr>
      <w:r>
        <w:rPr/>
        <w:t>邮编：</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省乳阳林场龙线公路安全整治二期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广州宜立工程管理有限公司韶关分公司</w:t>
      </w:r>
      <w:r>
        <w:rPr/>
        <w:t>统一对外发布。</w:t>
      </w:r>
    </w:p>
    <w:p>
      <w:pPr>
        <w:pStyle w:val="null3"/>
        <w:ind w:firstLine="480"/>
      </w:pPr>
      <w:r>
        <w:rPr/>
        <w:t>（2）对</w:t>
      </w:r>
      <w:r>
        <w:rPr/>
        <w:t>广州宜立工程管理有限公司韶关分公司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采购包1（广东省乳阳林场龙线公路安全整治二期工程）：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采购包1（广东省乳阳林场龙线公路安全整治二期工程）：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响应文件中提供《资格条件承诺函》（《资格条件承诺函》格式详见竞争性磋商公告附件）。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响应文件中提供《资格条件承诺函》（《资格条件承诺函》格式详见竞争性磋商公告附件）。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响应文件中提供《资格条件承诺函》（《资格条件承诺函》格式详见竞争性磋商公告附件）。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资格条件承诺函》（《资格条件承诺函》格式详见竞争性磋商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供应商必须具备建设行政主管部门颁发的市政公用工程施工总承包三级或以上资质证书， 并具有有效期内建设行政主管部门颁发的安全生产许可证（提供有效的证书复印件）。【注：供应商的企业相关证书到期的，均按该证书的发证机构相关行业主管部门最新文件执行（如自动顺延或推迟办理延期业务的通知），供应商必须将相关文件附在该证书后面中，证明在磋商日继续有效。】</w:t>
            </w:r>
          </w:p>
        </w:tc>
        <w:tc>
          <w:tcPr>
            <w:tcW w:type="dxa" w:w="4238"/>
          </w:tcPr>
          <w:p>
            <w:pPr>
              <w:pStyle w:val="null3"/>
            </w:pPr>
            <w:r>
              <w:rPr/>
              <w:t>供应商必须具备建设行政主管部门颁发的市政公用工程施工总承包三级或以上资质证书， 并具有有效期内建设行政主管部门颁发的安全生产许可证（提供有效的证书复印件）。【注：供应商的企业相关证书到期的，均按该证书的发证机构相关行业主管部门最新文件执行（如自动顺延或推迟办理延期业务的通知），供应商必须将相关文件附在该证书后面中，证明在磋商日继续有效。】</w:t>
            </w:r>
          </w:p>
        </w:tc>
      </w:tr>
      <w:tr>
        <w:tc>
          <w:tcPr>
            <w:tcW w:type="dxa" w:w="890"/>
          </w:tcPr>
          <w:p>
            <w:pPr>
              <w:pStyle w:val="null3"/>
            </w:pPr>
            <w:r>
              <w:rPr/>
              <w:t>9</w:t>
            </w:r>
          </w:p>
        </w:tc>
        <w:tc>
          <w:tcPr>
            <w:tcW w:type="dxa" w:w="3178"/>
          </w:tcPr>
          <w:p>
            <w:pPr>
              <w:pStyle w:val="null3"/>
            </w:pPr>
            <w:r>
              <w:rPr/>
              <w:t>供应商拟委派项目经理必须具有在本公司注册的有效的执业专业为市政工程专业的二级或以上注册建造师执业资格（证书已过有效期的已按规定办理延续注册申请或有效继续教育证明）或建造师临时执业证书【根据广东省住房和城乡建设厅《关于明确省外二级建造师入粤注册和执业有关问题的通知》(粤建市函﹝2011﹞218号)文规定：广东省以外的投标单位拟委派担任本项目的项目经理必须具备该专业的一级注册建造师执业资格】，同时具备相应岗位安全生产考核合格证明（B证，具有有效的安全生产考核合格证或广东省建筑施工企业管理人员安全生产考核系统考核合格信息打印页）</w:t>
            </w:r>
          </w:p>
        </w:tc>
        <w:tc>
          <w:tcPr>
            <w:tcW w:type="dxa" w:w="4238"/>
          </w:tcPr>
          <w:p>
            <w:pPr>
              <w:pStyle w:val="null3"/>
            </w:pPr>
            <w:r>
              <w:rPr/>
              <w:t>供应商拟委派项目经理必须具有在本公司注册的有效的执业专业为市政工程专业的二级或以上注册建造师执业资格（证书已过有效期的已按规定办理延续注册申请或有效继续教育证明）或建造师临时执业证书【根据广东省住房和城乡建设厅《关于明确省外二级建造师入粤注册和执业有关问题的通知》(粤建市函﹝2011﹞218号)文规定：广东省以外的投标单位拟委派担任本项目的项目经理必须具备该专业的一级注册建造师执业资格】，同时具备相应岗位安全生产考核合格证明（B证，具有有效的安全生产考核合格证或广东省建筑施工企业管理人员安全生产考核系统考核合格信息打印页）</w:t>
            </w:r>
          </w:p>
        </w:tc>
      </w:tr>
      <w:tr>
        <w:tc>
          <w:tcPr>
            <w:tcW w:type="dxa" w:w="890"/>
          </w:tcPr>
          <w:p>
            <w:pPr>
              <w:pStyle w:val="null3"/>
            </w:pPr>
            <w:r>
              <w:rPr/>
              <w:t>10</w:t>
            </w:r>
          </w:p>
        </w:tc>
        <w:tc>
          <w:tcPr>
            <w:tcW w:type="dxa" w:w="3178"/>
          </w:tcPr>
          <w:p>
            <w:pPr>
              <w:pStyle w:val="null3"/>
            </w:pPr>
            <w:r>
              <w:rPr/>
              <w:t>供应商拟委派的专职安全生产管理人员，须具备相应岗位安全生产考核合格证明（C证，具有有效的安全生产考核合格证或广东省建筑施工企业管理人员安全生产考核系统考核合格信息打印页），按《建筑施工企业安全生产管理机构设置及专职安全生产管理人员配备办法》（建质﹝2008﹞91号）的规定，专职安全生产管理人员不少于1人；供应商拟委派担任本项目的项目经理、专职安全生产管理人员，一人不能同时担任两个或以上岗位。</w:t>
            </w:r>
          </w:p>
        </w:tc>
        <w:tc>
          <w:tcPr>
            <w:tcW w:type="dxa" w:w="4238"/>
          </w:tcPr>
          <w:p>
            <w:pPr>
              <w:pStyle w:val="null3"/>
            </w:pPr>
            <w:r>
              <w:rPr/>
              <w:t>供应商拟委派的专职安全生产管理人员，须具备相应岗位安全生产考核合格证明（C证，具有有效的安全生产考核合格证或广东省建筑施工企业管理人员安全生产考核系统考核合格信息打印页），按《建筑施工企业安全生产管理机构设置及专职安全生产管理人员配备办法》（建质﹝2008﹞91号）的规定，专职安全生产管理人员不少于1人；供应商拟委派担任本项目的项目经理、专职安全生产管理人员，一人不能同时担任两个或以上岗位。</w:t>
            </w:r>
          </w:p>
        </w:tc>
      </w:tr>
      <w:tr>
        <w:tc>
          <w:tcPr>
            <w:tcW w:type="dxa" w:w="890"/>
          </w:tcPr>
          <w:p>
            <w:pPr>
              <w:pStyle w:val="null3"/>
            </w:pPr>
            <w:r>
              <w:rPr/>
              <w:t>11</w:t>
            </w:r>
          </w:p>
        </w:tc>
        <w:tc>
          <w:tcPr>
            <w:tcW w:type="dxa" w:w="3178"/>
          </w:tcPr>
          <w:p>
            <w:pPr>
              <w:pStyle w:val="null3"/>
            </w:pPr>
            <w:r>
              <w:rPr/>
              <w:t>本采购项目不接受联合体投标。</w:t>
            </w:r>
          </w:p>
        </w:tc>
        <w:tc>
          <w:tcPr>
            <w:tcW w:type="dxa" w:w="4238"/>
          </w:tcPr>
          <w:p>
            <w:pPr>
              <w:pStyle w:val="null3"/>
            </w:pPr>
            <w:r>
              <w:rPr/>
              <w:t>本采购项目不接受联合体投标。</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采购包整体专门面向中小企业；监狱企业、残疾人福利单位视同小型、微型企业。（注：中小企业以供应商填写的《中小企业声明函》（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供应商须符合本项目采购标的对应行业的政策划分标准，本项目采购标的按照《中小企业划型标准规定》（工信部联企业[2011]300号）划分行业为：建筑业。</w:t>
            </w:r>
          </w:p>
        </w:tc>
      </w:tr>
    </w:tbl>
    <w:p>
      <w:pPr>
        <w:pStyle w:val="null3"/>
        <w:ind w:firstLine="480"/>
      </w:pPr>
      <w:r>
        <w:rPr/>
        <w:t>表二符合性审查表：</w:t>
      </w:r>
    </w:p>
    <w:p>
      <w:pPr>
        <w:pStyle w:val="null3"/>
      </w:pPr>
      <w:r>
        <w:rPr/>
        <w:t>采购包1（广东省乳阳林场龙线公路安全整治二期工程）：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响应文件有效性</w:t>
            </w:r>
          </w:p>
        </w:tc>
        <w:tc>
          <w:tcPr>
            <w:tcW w:type="dxa" w:w="4238"/>
          </w:tcPr>
          <w:p>
            <w:pPr>
              <w:pStyle w:val="null3"/>
            </w:pPr>
            <w:r>
              <w:rPr/>
              <w:t>按照竞争性磋商文件规定要求签署、盖章且响应文件有法定代表人签字或签章，或签字人有法定代表人有效授权书的。</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响应承诺函已提交并符合竞争性磋商文件要求的。</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报价是固定唯一价，对服务内容的关键、主要部分没有报价漏项；报价没有超出采购预算金额或最高限价。</w:t>
            </w:r>
          </w:p>
        </w:tc>
      </w:tr>
      <w:tr>
        <w:tc>
          <w:tcPr>
            <w:tcW w:type="dxa" w:w="890"/>
          </w:tcPr>
          <w:p>
            <w:pPr>
              <w:pStyle w:val="null3"/>
            </w:pPr>
            <w:r>
              <w:rPr/>
              <w:t>4</w:t>
            </w:r>
          </w:p>
        </w:tc>
        <w:tc>
          <w:tcPr>
            <w:tcW w:type="dxa" w:w="3178"/>
          </w:tcPr>
          <w:p>
            <w:pPr>
              <w:pStyle w:val="null3"/>
            </w:pPr>
            <w:r>
              <w:rPr/>
              <w:t>报价合理性</w:t>
            </w:r>
          </w:p>
        </w:tc>
        <w:tc>
          <w:tcPr>
            <w:tcW w:type="dxa" w:w="4238"/>
          </w:tcPr>
          <w:p>
            <w:pPr>
              <w:pStyle w:val="null3"/>
            </w:pPr>
            <w:r>
              <w:rPr/>
              <w:t>磋商小组认为响应供应商的报价明显低于其他通过符合性审查响应供应商的报价，有可能影响产品质量或者不能诚信履约的，将要求其在评审现场合理的时间内提供书面说明，必要时提交相关证明材料。</w:t>
            </w:r>
          </w:p>
        </w:tc>
      </w:tr>
      <w:tr>
        <w:tc>
          <w:tcPr>
            <w:tcW w:type="dxa" w:w="890"/>
          </w:tcPr>
          <w:p>
            <w:pPr>
              <w:pStyle w:val="null3"/>
            </w:pPr>
            <w:r>
              <w:rPr/>
              <w:t>5</w:t>
            </w:r>
          </w:p>
        </w:tc>
        <w:tc>
          <w:tcPr>
            <w:tcW w:type="dxa" w:w="3178"/>
          </w:tcPr>
          <w:p>
            <w:pPr>
              <w:pStyle w:val="null3"/>
            </w:pPr>
            <w:r>
              <w:rPr/>
              <w:t>响应文件未含有采购人不能接受的附加条件的</w:t>
            </w:r>
          </w:p>
        </w:tc>
        <w:tc>
          <w:tcPr>
            <w:tcW w:type="dxa" w:w="4238"/>
          </w:tcPr>
          <w:p>
            <w:pPr>
              <w:pStyle w:val="null3"/>
            </w:pPr>
            <w:r>
              <w:rPr/>
              <w:t>响应文件未含有采购人不能接受的附加条件的。</w:t>
            </w:r>
          </w:p>
        </w:tc>
      </w:tr>
      <w:tr>
        <w:tc>
          <w:tcPr>
            <w:tcW w:type="dxa" w:w="890"/>
          </w:tcPr>
          <w:p>
            <w:pPr>
              <w:pStyle w:val="null3"/>
            </w:pPr>
            <w:r>
              <w:rPr/>
              <w:t>6</w:t>
            </w:r>
          </w:p>
        </w:tc>
        <w:tc>
          <w:tcPr>
            <w:tcW w:type="dxa" w:w="3178"/>
          </w:tcPr>
          <w:p>
            <w:pPr>
              <w:pStyle w:val="null3"/>
            </w:pPr>
            <w:r>
              <w:rPr/>
              <w:t>响应文件没有竞争性磋商文 件中规定的被视为无效响应的其它条款的</w:t>
            </w:r>
          </w:p>
        </w:tc>
        <w:tc>
          <w:tcPr>
            <w:tcW w:type="dxa" w:w="4238"/>
          </w:tcPr>
          <w:p>
            <w:pPr>
              <w:pStyle w:val="null3"/>
            </w:pPr>
            <w:r>
              <w:rPr/>
              <w:t>响应文件没有竞争性磋商文件中规定的被视为无效响应的其它条款的。</w:t>
            </w:r>
          </w:p>
        </w:tc>
      </w:tr>
      <w:tr>
        <w:tc>
          <w:tcPr>
            <w:tcW w:type="dxa" w:w="890"/>
          </w:tcPr>
          <w:p>
            <w:pPr>
              <w:pStyle w:val="null3"/>
            </w:pPr>
            <w:r>
              <w:rPr/>
              <w:t>7</w:t>
            </w:r>
          </w:p>
        </w:tc>
        <w:tc>
          <w:tcPr>
            <w:tcW w:type="dxa" w:w="3178"/>
          </w:tcPr>
          <w:p>
            <w:pPr>
              <w:pStyle w:val="null3"/>
            </w:pPr>
            <w:r>
              <w:rPr/>
              <w:t>其它</w:t>
            </w:r>
          </w:p>
        </w:tc>
        <w:tc>
          <w:tcPr>
            <w:tcW w:type="dxa" w:w="4238"/>
          </w:tcPr>
          <w:p>
            <w:pPr>
              <w:pStyle w:val="null3"/>
            </w:pPr>
            <w:r>
              <w:rPr/>
              <w:t>没有违反有关法律、法规、规章要求，被视为磋商响应无效的其他情况。</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采购包1(广东省乳阳林场龙线公路安全整治二期工程):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施工组织方案 (15.0分)</w:t>
            </w:r>
            <w:r>
              <w:rPr/>
              <w:t>，（等次分值选择：</w:t>
            </w:r>
            <w:r>
              <w:rPr/>
              <w:t>0.0;</w:t>
            </w:r>
            <w:r>
              <w:rPr/>
              <w:t>1.0;</w:t>
            </w:r>
            <w:r>
              <w:rPr/>
              <w:t>5.0;</w:t>
            </w:r>
            <w:r>
              <w:rPr/>
              <w:t>10.0;</w:t>
            </w:r>
            <w:r>
              <w:rPr/>
              <w:t>15.0;</w:t>
            </w:r>
            <w:r>
              <w:rPr/>
              <w:t>）</w:t>
            </w:r>
          </w:p>
        </w:tc>
        <w:tc>
          <w:tcPr>
            <w:tcW w:type="dxa" w:w="5076"/>
          </w:tcPr>
          <w:p>
            <w:pPr>
              <w:pStyle w:val="null3"/>
              <w:jc w:val="left"/>
            </w:pPr>
            <w:r>
              <w:rPr/>
              <w:t>根据响应供应商提供的施工组织方案（包括但不限于对本项目工程了解情况、总体部署可行、合理性）进行综合评审： 1.对本项目工程情况了解透彻、施工组织方案可行、合理的，得15分； 2.对本项目工程情况较了解、施工组织方案较可行、较合理的，得10分； 3.对本项目工程情况基本了解、施工组织方案基本可行、基本合理的，得5分； 4.对本项目工程情况不了解，施工组织方案不明确的，得1分； 5.不提供或其他不得分。</w:t>
            </w:r>
          </w:p>
        </w:tc>
      </w:tr>
      <w:tr>
        <w:tc>
          <w:tcPr>
            <w:tcW w:type="dxa" w:w="922"/>
            <w:gridSpan w:val="2"/>
            <w:vMerge/>
          </w:tcPr>
          <w:p/>
        </w:tc>
        <w:tc>
          <w:tcPr>
            <w:tcW w:type="dxa" w:w="2307"/>
          </w:tcPr>
          <w:p>
            <w:pPr>
              <w:pStyle w:val="null3"/>
              <w:jc w:val="left"/>
            </w:pPr>
            <w:r>
              <w:rPr/>
              <w:t>施工总进度计划 (10.0分)</w:t>
            </w:r>
            <w:r>
              <w:rPr/>
              <w:t>，（等次分值选择：</w:t>
            </w:r>
            <w:r>
              <w:rPr/>
              <w:t>0.0;</w:t>
            </w:r>
            <w:r>
              <w:rPr/>
              <w:t>1.0;</w:t>
            </w:r>
            <w:r>
              <w:rPr/>
              <w:t>4.0;</w:t>
            </w:r>
            <w:r>
              <w:rPr/>
              <w:t>7.0;</w:t>
            </w:r>
            <w:r>
              <w:rPr/>
              <w:t>10.0;</w:t>
            </w:r>
            <w:r>
              <w:rPr/>
              <w:t>）</w:t>
            </w:r>
          </w:p>
        </w:tc>
        <w:tc>
          <w:tcPr>
            <w:tcW w:type="dxa" w:w="5076"/>
          </w:tcPr>
          <w:p>
            <w:pPr>
              <w:pStyle w:val="null3"/>
              <w:jc w:val="left"/>
            </w:pPr>
            <w:r>
              <w:rPr/>
              <w:t>根据响应供应商提供的施工总进度计划（包括但不限于施工过程工期计划安排和进度保证措施等）进行综合评审： 1.施工工期计划目标明确具体、工期进度计划具有逻辑性、可行性，进度保证措施科学、合理的，得10分； 2.施工工期计划目标比较明确具体，工期进度计划较有逻辑性、较可行、较合理，进度保证措施较科学、较合理的，得7分； 3.施工工期计划目标基本明确具体，工期进度计划基本具有逻辑性、基本可行，进度保证措施基本科学、基本合理的，得4分； 4.施工工期计划目标不明确具体，工期进度计划不具有逻辑性，进度保证措施不合理的，得1分； 5.不提供或其他不得分。 注：施工总进度计划中响应供应商可暂时约定开工日期，实际开工日期以采购人或监理出具的开工令为准。</w:t>
            </w:r>
          </w:p>
        </w:tc>
      </w:tr>
      <w:tr>
        <w:tc>
          <w:tcPr>
            <w:tcW w:type="dxa" w:w="922"/>
            <w:gridSpan w:val="2"/>
            <w:vMerge/>
          </w:tcPr>
          <w:p/>
        </w:tc>
        <w:tc>
          <w:tcPr>
            <w:tcW w:type="dxa" w:w="2307"/>
          </w:tcPr>
          <w:p>
            <w:pPr>
              <w:pStyle w:val="null3"/>
              <w:jc w:val="left"/>
            </w:pPr>
            <w:r>
              <w:rPr/>
              <w:t>安全文明施工措施 (10.0分)</w:t>
            </w:r>
            <w:r>
              <w:rPr/>
              <w:t>，（等次分值选择：</w:t>
            </w:r>
            <w:r>
              <w:rPr/>
              <w:t>0.0;</w:t>
            </w:r>
            <w:r>
              <w:rPr/>
              <w:t>1.0;</w:t>
            </w:r>
            <w:r>
              <w:rPr/>
              <w:t>4.0;</w:t>
            </w:r>
            <w:r>
              <w:rPr/>
              <w:t>7.0;</w:t>
            </w:r>
            <w:r>
              <w:rPr/>
              <w:t>10.0;</w:t>
            </w:r>
            <w:r>
              <w:rPr/>
              <w:t>）</w:t>
            </w:r>
          </w:p>
        </w:tc>
        <w:tc>
          <w:tcPr>
            <w:tcW w:type="dxa" w:w="5076"/>
          </w:tcPr>
          <w:p>
            <w:pPr>
              <w:pStyle w:val="null3"/>
              <w:jc w:val="left"/>
            </w:pPr>
            <w:r>
              <w:rPr/>
              <w:t>根据响应供应商提供的安全文明施工措施（包含但不限于施工各个环节、安全文明施工管理制度和操作规程、现场管控等）进行综合评审： 1.确保不发生等级安全事故，安全文明施工措施完整、具体、可行、合理的，得10分。 2.确保不发生等级安全事故，安全文明施工措施较完整、较可行、较合理的，得7分。 3.确保不发生等级安全事故，安全文明施工措施基本可行、基本合理的，得4分。 4.确保不发生等级安全事故，安全文明施工措施不可行、不合理的，得1分。 5.不提供或其他不得分。</w:t>
            </w:r>
          </w:p>
        </w:tc>
      </w:tr>
      <w:tr>
        <w:tc>
          <w:tcPr>
            <w:tcW w:type="dxa" w:w="922"/>
            <w:gridSpan w:val="2"/>
            <w:vMerge/>
          </w:tcPr>
          <w:p/>
        </w:tc>
        <w:tc>
          <w:tcPr>
            <w:tcW w:type="dxa" w:w="2307"/>
          </w:tcPr>
          <w:p>
            <w:pPr>
              <w:pStyle w:val="null3"/>
              <w:jc w:val="left"/>
            </w:pPr>
            <w:r>
              <w:rPr/>
              <w:t>施工质量保证措施 (10.0分)</w:t>
            </w:r>
            <w:r>
              <w:rPr/>
              <w:t>，（等次分值选择：</w:t>
            </w:r>
            <w:r>
              <w:rPr/>
              <w:t>0.0;</w:t>
            </w:r>
            <w:r>
              <w:rPr/>
              <w:t>1.0;</w:t>
            </w:r>
            <w:r>
              <w:rPr/>
              <w:t>4.0;</w:t>
            </w:r>
            <w:r>
              <w:rPr/>
              <w:t>7.0;</w:t>
            </w:r>
            <w:r>
              <w:rPr/>
              <w:t>10.0;</w:t>
            </w:r>
            <w:r>
              <w:rPr/>
              <w:t>）</w:t>
            </w:r>
          </w:p>
        </w:tc>
        <w:tc>
          <w:tcPr>
            <w:tcW w:type="dxa" w:w="5076"/>
          </w:tcPr>
          <w:p>
            <w:pPr>
              <w:pStyle w:val="null3"/>
              <w:jc w:val="left"/>
            </w:pPr>
            <w:r>
              <w:rPr/>
              <w:t>根据供应商提供的施工质量保证措施（包含但不限于工程技术管理、施工管理等）进行综合评审： 1.施工质量保证措施明确、具体、可行、各项措施落实，针对性及准确性强的，得10分； 2.施工质量保证措施较明确、较具体，各项措施基本能落实，针对性及准确性较强的，得7分； 3.施工质量保证措施不够明确、各项措施响应不够充分，针对性及准确性一般的，得4分； 4.施工质量保证措施不明确、各项措施响应不充分，针对性及准确性差的，得1分； 5.不提供或其他不得分。</w:t>
            </w:r>
          </w:p>
        </w:tc>
      </w:tr>
      <w:tr>
        <w:tc>
          <w:tcPr>
            <w:tcW w:type="dxa" w:w="922"/>
            <w:gridSpan w:val="2"/>
            <w:vMerge/>
          </w:tcPr>
          <w:p/>
        </w:tc>
        <w:tc>
          <w:tcPr>
            <w:tcW w:type="dxa" w:w="2307"/>
          </w:tcPr>
          <w:p>
            <w:pPr>
              <w:pStyle w:val="null3"/>
              <w:jc w:val="left"/>
            </w:pPr>
            <w:r>
              <w:rPr/>
              <w:t>机械设备、劳动力投入计划 (5.0分)</w:t>
            </w:r>
            <w:r>
              <w:rPr/>
              <w:t>，（等次分值选择：</w:t>
            </w:r>
            <w:r>
              <w:rPr/>
              <w:t>0.0;</w:t>
            </w:r>
            <w:r>
              <w:rPr/>
              <w:t>1.0;</w:t>
            </w:r>
            <w:r>
              <w:rPr/>
              <w:t>3.0;</w:t>
            </w:r>
            <w:r>
              <w:rPr/>
              <w:t>5.0;</w:t>
            </w:r>
            <w:r>
              <w:rPr/>
              <w:t>）</w:t>
            </w:r>
          </w:p>
        </w:tc>
        <w:tc>
          <w:tcPr>
            <w:tcW w:type="dxa" w:w="5076"/>
          </w:tcPr>
          <w:p>
            <w:pPr>
              <w:pStyle w:val="null3"/>
              <w:jc w:val="left"/>
            </w:pPr>
            <w:r>
              <w:rPr/>
              <w:t>根据供应商对本项目投入的机械设备、劳动力情况进行评分： 1.劳动力和机械设备投入丰富，计划详细、合理，能满足本项目工期要求的，得5分； 2.劳动力和机械设备投入较丰富，计划较详细、较合理，能满足本项目工期要求的，得3分； 3.劳动力和机械设备投入差，计划详细性、合理性差，不能满足本项目工期要求的，得1分。 4.不提供或其他不得分。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(9.0分)</w:t>
            </w:r>
          </w:p>
        </w:tc>
        <w:tc>
          <w:tcPr>
            <w:tcW w:type="dxa" w:w="5076"/>
          </w:tcPr>
          <w:p>
            <w:pPr>
              <w:pStyle w:val="null3"/>
              <w:jc w:val="left"/>
            </w:pPr>
            <w:r>
              <w:rPr/>
              <w:t>响应供应商自2020年1月1日起至提交响应文件截止时间（以合同签订时间为准）承接过同类项目业绩的（公路工程类施工），每提供一份有效业绩得3分，本项最高得9分。 注：附上合同关键页（含签订合同双方的单位名称、合同项目名称、项目金额与含签订合同双方的落款盖章、签订日期的关键页）扫描件并加盖响应供应商公章作为同类业绩评价证明资料，未按要求提供证明材料不得分。</w:t>
            </w:r>
          </w:p>
        </w:tc>
      </w:tr>
      <w:tr>
        <w:tc>
          <w:tcPr>
            <w:tcW w:type="dxa" w:w="922"/>
            <w:gridSpan w:val="2"/>
            <w:vMerge/>
          </w:tcPr>
          <w:p/>
        </w:tc>
        <w:tc>
          <w:tcPr>
            <w:tcW w:type="dxa" w:w="2307"/>
          </w:tcPr>
          <w:p>
            <w:pPr>
              <w:pStyle w:val="null3"/>
              <w:jc w:val="left"/>
            </w:pPr>
            <w:r>
              <w:rPr/>
              <w:t>项目技术负责人 (8.0分)</w:t>
            </w:r>
          </w:p>
        </w:tc>
        <w:tc>
          <w:tcPr>
            <w:tcW w:type="dxa" w:w="5076"/>
          </w:tcPr>
          <w:p>
            <w:pPr>
              <w:pStyle w:val="null3"/>
              <w:jc w:val="left"/>
            </w:pPr>
            <w:r>
              <w:rPr/>
              <w:t>根据供应商拟投入本项目的项目技术负责人（1人）进行评分：1.具有市政路桥施工高级工程师或以上职称，得5分；具有市政路桥施工工程师职称，得2分。 2.具有注册安全工程师的得3分。 注：须提供身份证扫描件、证书扫描件、提交响应文件截止前六个月内任意一个月在投标单位购买社会保险证明文件，并加盖供应商公章。</w:t>
            </w:r>
          </w:p>
        </w:tc>
      </w:tr>
      <w:tr>
        <w:tc>
          <w:tcPr>
            <w:tcW w:type="dxa" w:w="922"/>
            <w:gridSpan w:val="2"/>
            <w:vMerge/>
          </w:tcPr>
          <w:p/>
        </w:tc>
        <w:tc>
          <w:tcPr>
            <w:tcW w:type="dxa" w:w="2307"/>
          </w:tcPr>
          <w:p>
            <w:pPr>
              <w:pStyle w:val="null3"/>
              <w:jc w:val="left"/>
            </w:pPr>
            <w:r>
              <w:rPr/>
              <w:t>技术人员的配备情况 (10.0分)</w:t>
            </w:r>
          </w:p>
        </w:tc>
        <w:tc>
          <w:tcPr>
            <w:tcW w:type="dxa" w:w="5076"/>
          </w:tcPr>
          <w:p>
            <w:pPr>
              <w:pStyle w:val="null3"/>
              <w:jc w:val="left"/>
            </w:pPr>
            <w:r>
              <w:rPr/>
              <w:t>响应供应商拟投入本项目施工队伍人员中具备施工员、质量员、资料员、材料员并能提供岗位证的，每提供1个得2.5分，本项最高得10分。 注： 1.拟投入各岗位的人员不得重复，一人只计一个证书，不重复计分。 2.需提供相应人员岗位证书及最近一个月在本单位购买的社保证明材料扫描件并加盖响应供应商公章作为评审依据，不提供不得分。</w:t>
            </w:r>
          </w:p>
        </w:tc>
      </w:tr>
      <w:tr>
        <w:tc>
          <w:tcPr>
            <w:tcW w:type="dxa" w:w="922"/>
            <w:gridSpan w:val="2"/>
            <w:vMerge/>
          </w:tcPr>
          <w:p/>
        </w:tc>
        <w:tc>
          <w:tcPr>
            <w:tcW w:type="dxa" w:w="2307"/>
          </w:tcPr>
          <w:p>
            <w:pPr>
              <w:pStyle w:val="null3"/>
              <w:jc w:val="left"/>
            </w:pPr>
            <w:r>
              <w:rPr/>
              <w:t>体系认证证书 (3.0分)</w:t>
            </w:r>
          </w:p>
        </w:tc>
        <w:tc>
          <w:tcPr>
            <w:tcW w:type="dxa" w:w="5076"/>
          </w:tcPr>
          <w:p>
            <w:pPr>
              <w:pStyle w:val="null3"/>
              <w:jc w:val="left"/>
            </w:pPr>
            <w:r>
              <w:rPr/>
              <w:t>供应商具有：（1）质量管理体系认证证书； （2）职业健康安全管理体系认证证书； （3）环境管理体系认证证书； 每提供其中一项证书得1分，本项最高得3分。 注：须提供在全国认证认可信息公共服务平台上http://cx.cnca.cn查询结果的截图并加盖响应供应商公章，证书状态必须为“有效”，未提供不得分。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竞争性磋商文件要求且投标价格最低的投标报价为评标基准价。】最低报价不是中标的唯一依据。因落实政府采购政策进行价格调整的，以调整后的价格计算评标基准价和投标报价。 2.根据《关于优化政府采购信用评价工作的通知》（韶财采购[2024]5号）要求，对供应商的诚信状况（普通失信行为）进行评审，具体计算公式：响应供应商评审报价=供应商最后一轮报价+供应商最后一轮报价×〔（诚信基础得分一诚信记录得分）÷诚信基础得分〕×5%，实际合同成交价仍为供应商最后一轮报价。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按技术部分得分由高到低的顺序排列确定。技术部分得分且相同的，由磋商小组采取随机抽取方式确定。排名第一的响应供应商为第一成交候选人，排名第二的响应供应商为第二成交候选人，排名第三的响应供应商为第三成交候选人（提供相同品牌产品（非单一产品采购，以核心产品为准。多个核心产品的，有一种产品品牌相同，即视为提供相同品牌产品），评审后得分最高的同品牌响应供应商获得成交候选人推荐资格；评审得分相同的，由磋商小组采取随机抽取方式确定，其他同品牌响应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27"/>
          <w:b/>
        </w:rPr>
        <w:t xml:space="preserve"> </w:t>
      </w:r>
    </w:p>
    <w:p>
      <w:pPr>
        <w:pStyle w:val="null3"/>
        <w:spacing w:before="0" w:after="0"/>
        <w:ind w:left="0" w:right="0"/>
        <w:jc w:val="center"/>
      </w:pPr>
      <w:r>
        <w:rPr>
          <w:sz w:val="27"/>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7"/>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sz w:val="27"/>
          <w:b/>
          <w:color w:val="222222"/>
          <w:u w:val="single"/>
        </w:rPr>
        <w:t>440001-2024-43197</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sz w:val="28"/>
          <w:b/>
          <w:color w:val="222222"/>
          <w:u w:val="single"/>
        </w:rPr>
        <w:t>GZYL24SGGC09049</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sz w:val="28"/>
          <w:b/>
          <w:color w:val="222222"/>
          <w:u w:val="single"/>
        </w:rPr>
        <w:t>广东省乳阳林场龙线公路安全整治二期工程</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r>
        <w:rPr>
          <w:sz w:val="24"/>
          <w:b/>
          <w:color w:val="222222"/>
        </w:rPr>
        <w:t>注：本合同仅为合同的参考文本，合同签订双方可根据项目的具体要求进行修订，但不得更改项目实质性内容。</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b/>
        </w:rPr>
        <w:t>甲方：</w:t>
      </w:r>
      <w:r>
        <w:rPr>
          <w:b/>
          <w:u w:val="single"/>
        </w:rPr>
        <w:t>广东省乳阳林场（广东南岭国家森林公园管理处）</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jc w:val="both"/>
      </w:pPr>
      <w:r>
        <w:rPr>
          <w:sz w:val="21"/>
        </w:rPr>
        <w:t>合同性质：</w:t>
      </w:r>
      <w:r>
        <w:rPr>
          <w:sz w:val="21"/>
          <w:u w:val="single"/>
        </w:rPr>
        <w:t>本合同为中小企业预留合同</w:t>
      </w:r>
    </w:p>
    <w:p>
      <w:pPr>
        <w:pStyle w:val="null3"/>
        <w:jc w:val="both"/>
      </w:pPr>
      <w:r>
        <w:rPr/>
        <w:t xml:space="preserve"> </w:t>
      </w:r>
    </w:p>
    <w:p>
      <w:pPr>
        <w:pStyle w:val="null3"/>
        <w:ind w:firstLine="420"/>
        <w:jc w:val="both"/>
      </w:pPr>
      <w:r>
        <w:rPr>
          <w:sz w:val="24"/>
        </w:rPr>
        <w:t>根据</w:t>
      </w:r>
      <w:r>
        <w:rPr>
          <w:sz w:val="24"/>
          <w:b/>
          <w:u w:val="single"/>
        </w:rPr>
        <w:t>广东省乳阳林场龙线公路安全整治二期工程</w:t>
      </w:r>
      <w:r>
        <w:rPr>
          <w:sz w:val="24"/>
          <w:b/>
          <w:u w:val="single"/>
        </w:rPr>
        <w:t>（项目编号：</w:t>
      </w:r>
      <w:r>
        <w:rPr>
          <w:sz w:val="24"/>
          <w:b/>
          <w:u w:val="single"/>
        </w:rPr>
        <w:t>GZYL24SGGC09049</w:t>
      </w:r>
      <w:r>
        <w:rPr>
          <w:sz w:val="24"/>
          <w:b/>
          <w:u w:val="single"/>
        </w:rPr>
        <w:t>）</w:t>
      </w:r>
      <w:r>
        <w:rPr>
          <w:sz w:val="24"/>
        </w:rPr>
        <w:t>的采购结果，按照《中华人民共和国政府采购法》、《中华人民共和国民法典》的规定，经双方协商，本着平等互利和诚实信用的原则，一致同意签订本合同如下。</w:t>
      </w:r>
    </w:p>
    <w:p>
      <w:pPr>
        <w:pStyle w:val="null3"/>
      </w:pPr>
      <w:r>
        <w:rPr>
          <w:sz w:val="24"/>
          <w:b/>
          <w:color w:val="000000"/>
          <w:shd w:fill="FFFFFF" w:val="clear"/>
        </w:rPr>
        <w:t>一、项目概况</w:t>
      </w:r>
    </w:p>
    <w:p>
      <w:pPr>
        <w:pStyle w:val="null3"/>
        <w:ind w:firstLine="420"/>
      </w:pPr>
      <w:r>
        <w:rPr>
          <w:sz w:val="24"/>
          <w:color w:val="000000"/>
        </w:rPr>
        <w:t>项目实施地点：</w:t>
      </w:r>
      <w:r>
        <w:rPr>
          <w:sz w:val="24"/>
        </w:rPr>
        <w:t>采购人指定地点</w:t>
      </w:r>
    </w:p>
    <w:p>
      <w:pPr>
        <w:pStyle w:val="null3"/>
        <w:ind w:firstLine="420"/>
      </w:pPr>
      <w:r>
        <w:rPr>
          <w:sz w:val="24"/>
          <w:color w:val="000000"/>
        </w:rPr>
        <w:t>资金来源：</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color w:val="000000"/>
        </w:rPr>
        <w:t>。</w:t>
      </w:r>
    </w:p>
    <w:p>
      <w:pPr>
        <w:pStyle w:val="null3"/>
        <w:ind w:firstLine="420"/>
      </w:pPr>
      <w:r>
        <w:rPr>
          <w:sz w:val="24"/>
          <w:color w:val="000000"/>
        </w:rPr>
        <w:t>项目实施内容：</w:t>
      </w:r>
      <w:r>
        <w:rPr>
          <w:sz w:val="24"/>
          <w:color w:val="000000"/>
        </w:rPr>
        <w:t>详见本项目工程量清单内容。</w:t>
      </w:r>
    </w:p>
    <w:p>
      <w:pPr>
        <w:pStyle w:val="null3"/>
      </w:pPr>
      <w:r>
        <w:rPr>
          <w:sz w:val="24"/>
          <w:b/>
          <w:color w:val="000000"/>
          <w:shd w:fill="FFFFFF" w:val="clear"/>
        </w:rPr>
        <w:t>二、项目承包方式</w:t>
      </w:r>
    </w:p>
    <w:p>
      <w:pPr>
        <w:pStyle w:val="null3"/>
        <w:ind w:firstLine="420"/>
        <w:jc w:val="both"/>
      </w:pPr>
      <w:r>
        <w:rPr>
          <w:sz w:val="24"/>
        </w:rPr>
        <w:t>项目承包方式：包工、包材料、包质量、包工期、包安全。</w:t>
      </w:r>
    </w:p>
    <w:p>
      <w:pPr>
        <w:pStyle w:val="null3"/>
        <w:ind w:firstLine="420"/>
        <w:jc w:val="both"/>
      </w:pPr>
      <w:r>
        <w:rPr>
          <w:sz w:val="24"/>
        </w:rPr>
        <w:t>工程承包范围：</w:t>
      </w:r>
      <w:r>
        <w:rPr>
          <w:sz w:val="24"/>
          <w:u w:val="single"/>
        </w:rPr>
        <w:t xml:space="preserve">                                                </w:t>
      </w:r>
      <w:r>
        <w:rPr>
          <w:sz w:val="24"/>
        </w:rPr>
        <w:t>。</w:t>
      </w:r>
    </w:p>
    <w:p>
      <w:pPr>
        <w:pStyle w:val="null3"/>
      </w:pPr>
      <w:r>
        <w:rPr>
          <w:sz w:val="24"/>
          <w:b/>
          <w:shd w:fill="FFFFFF" w:val="clear"/>
        </w:rPr>
        <w:t>三、项目合同完工期</w:t>
      </w:r>
    </w:p>
    <w:p>
      <w:pPr>
        <w:pStyle w:val="null3"/>
        <w:ind w:firstLine="420"/>
      </w:pPr>
      <w:r>
        <w:rPr>
          <w:sz w:val="24"/>
        </w:rPr>
        <w:t>自签订合同之日起至2024年11月20日前完工。</w:t>
      </w:r>
    </w:p>
    <w:p>
      <w:pPr>
        <w:pStyle w:val="null3"/>
      </w:pPr>
      <w:r>
        <w:rPr>
          <w:sz w:val="24"/>
          <w:b/>
          <w:color w:val="000000"/>
          <w:shd w:fill="FFFFFF" w:val="clear"/>
        </w:rPr>
        <w:t>四、质量</w:t>
      </w:r>
      <w:r>
        <w:rPr>
          <w:sz w:val="24"/>
          <w:b/>
          <w:color w:val="000000"/>
          <w:shd w:fill="FFFFFF" w:val="clear"/>
        </w:rPr>
        <w:t>要求</w:t>
      </w:r>
    </w:p>
    <w:p>
      <w:pPr>
        <w:pStyle w:val="null3"/>
        <w:jc w:val="both"/>
      </w:pPr>
      <w:r>
        <w:rPr>
          <w:sz w:val="24"/>
        </w:rPr>
        <w:t xml:space="preserve"> </w:t>
      </w:r>
      <w:r>
        <w:rPr>
          <w:sz w:val="24"/>
          <w:color w:val="000000"/>
        </w:rPr>
        <w:t xml:space="preserve">   （1）符合行业工程施工质量验收规范合格标准。</w:t>
      </w:r>
    </w:p>
    <w:p>
      <w:pPr>
        <w:pStyle w:val="null3"/>
        <w:ind w:firstLine="420"/>
        <w:jc w:val="both"/>
      </w:pPr>
      <w:r>
        <w:rPr>
          <w:sz w:val="24"/>
          <w:color w:val="000000"/>
        </w:rPr>
        <w:t>（2）工程竣工验收的质量评定：合格。</w:t>
      </w:r>
    </w:p>
    <w:p>
      <w:pPr>
        <w:pStyle w:val="null3"/>
        <w:ind w:left="420"/>
      </w:pPr>
      <w:r>
        <w:rPr>
          <w:sz w:val="24"/>
          <w:color w:val="000000"/>
        </w:rPr>
        <w:t>（3）工程质量验收按合同约定验收标准执行。</w:t>
      </w:r>
    </w:p>
    <w:p>
      <w:pPr>
        <w:pStyle w:val="null3"/>
        <w:jc w:val="both"/>
      </w:pPr>
      <w:r>
        <w:rPr>
          <w:sz w:val="24"/>
          <w:b/>
        </w:rPr>
        <w:t>五、合同金额及价格调整</w:t>
      </w:r>
    </w:p>
    <w:p>
      <w:pPr>
        <w:pStyle w:val="null3"/>
        <w:ind w:firstLine="420"/>
        <w:jc w:val="both"/>
      </w:pPr>
      <w:r>
        <w:rPr>
          <w:sz w:val="24"/>
        </w:rPr>
        <w:t>合同金额为￥_______________元（大写：人民币_________________元）。</w:t>
      </w:r>
    </w:p>
    <w:p>
      <w:pPr>
        <w:pStyle w:val="null3"/>
        <w:ind w:firstLine="420"/>
        <w:jc w:val="both"/>
      </w:pPr>
      <w:r>
        <w:rPr>
          <w:sz w:val="24"/>
        </w:rPr>
        <w:t>若在施工过程中由于甲方的设计变更而导致工程量的增加或减少时按以下原则处理：</w:t>
      </w:r>
      <w:r>
        <w:rPr>
          <w:sz w:val="24"/>
          <w:u w:val="single"/>
        </w:rPr>
        <w:t xml:space="preserve">          </w:t>
      </w:r>
      <w:r>
        <w:rPr>
          <w:sz w:val="24"/>
        </w:rPr>
        <w:t>。</w:t>
      </w:r>
    </w:p>
    <w:p>
      <w:pPr>
        <w:pStyle w:val="null3"/>
        <w:jc w:val="both"/>
      </w:pPr>
      <w:r>
        <w:rPr>
          <w:sz w:val="24"/>
          <w:b/>
        </w:rPr>
        <w:t>六、甲方乙方的权利和义务</w:t>
      </w:r>
    </w:p>
    <w:p>
      <w:pPr>
        <w:pStyle w:val="null3"/>
        <w:ind w:firstLine="200"/>
        <w:jc w:val="both"/>
      </w:pPr>
      <w:r>
        <w:rPr>
          <w:sz w:val="24"/>
        </w:rPr>
        <w:t>（一） 甲方的权利和义务</w:t>
      </w:r>
    </w:p>
    <w:p>
      <w:pPr>
        <w:pStyle w:val="null3"/>
        <w:ind w:firstLine="420"/>
        <w:jc w:val="left"/>
      </w:pPr>
      <w:r>
        <w:rPr>
          <w:sz w:val="24"/>
          <w:color w:val="000000"/>
          <w:shd w:fill="FFFFFF" w:val="clear"/>
        </w:rPr>
        <w:t>1、甲方承诺按照法律规定履行项目审批手续、筹集项目资金并按照合同约定的期限和方式支付合同价款。</w:t>
      </w:r>
    </w:p>
    <w:p>
      <w:pPr>
        <w:pStyle w:val="null3"/>
        <w:ind w:firstLine="420"/>
        <w:jc w:val="both"/>
      </w:pPr>
      <w:r>
        <w:rPr>
          <w:sz w:val="24"/>
        </w:rPr>
        <w:t>…</w:t>
      </w:r>
    </w:p>
    <w:p>
      <w:pPr>
        <w:pStyle w:val="null3"/>
        <w:ind w:firstLine="200"/>
        <w:jc w:val="both"/>
      </w:pPr>
      <w:r>
        <w:rPr>
          <w:sz w:val="24"/>
        </w:rPr>
        <w:t>（二） 乙方的权利和义务</w:t>
      </w:r>
    </w:p>
    <w:p>
      <w:pPr>
        <w:pStyle w:val="null3"/>
        <w:ind w:firstLine="420"/>
        <w:jc w:val="both"/>
      </w:pPr>
      <w:r>
        <w:rPr>
          <w:sz w:val="24"/>
        </w:rPr>
        <w:t>1、乙方承诺按照法律规定及合同约定组织完成工程施工，确保工程质量和安全，不进行转包及违法分包，并在缺陷责任期及保修期内承担相应的工程维修责任。</w:t>
      </w:r>
    </w:p>
    <w:p>
      <w:pPr>
        <w:pStyle w:val="null3"/>
        <w:ind w:firstLine="420"/>
        <w:jc w:val="both"/>
      </w:pPr>
      <w:r>
        <w:rPr>
          <w:sz w:val="24"/>
        </w:rPr>
        <w:t>…</w:t>
      </w:r>
    </w:p>
    <w:p>
      <w:pPr>
        <w:pStyle w:val="null3"/>
        <w:jc w:val="both"/>
      </w:pPr>
      <w:r>
        <w:rPr>
          <w:sz w:val="24"/>
          <w:b/>
        </w:rPr>
        <w:t>七、付款方式：</w:t>
      </w:r>
    </w:p>
    <w:p>
      <w:pPr>
        <w:pStyle w:val="null3"/>
        <w:ind w:firstLine="210"/>
        <w:jc w:val="both"/>
      </w:pPr>
      <w:r>
        <w:rPr>
          <w:sz w:val="24"/>
        </w:rPr>
        <w:t>1期：支付比例30%，签订合同后5个工作日内，甲方向乙方支付合同总金额30%的预付款；</w:t>
      </w:r>
    </w:p>
    <w:p>
      <w:pPr>
        <w:pStyle w:val="null3"/>
        <w:ind w:firstLine="210"/>
        <w:jc w:val="both"/>
      </w:pPr>
      <w:r>
        <w:rPr>
          <w:sz w:val="24"/>
        </w:rPr>
        <w:t>2期：支付比例50%，工程量完成50%后，甲方向乙方支付合同总金额50%的进度款；</w:t>
      </w:r>
    </w:p>
    <w:p>
      <w:pPr>
        <w:pStyle w:val="null3"/>
        <w:ind w:firstLine="210"/>
        <w:jc w:val="both"/>
      </w:pPr>
      <w:r>
        <w:rPr>
          <w:sz w:val="24"/>
        </w:rPr>
        <w:t>3期：支付比例20%，工程竣工验收合格并取得质量保证函后，甲方于十五个工作日内向乙方一次性支付尾款。</w:t>
      </w:r>
    </w:p>
    <w:p>
      <w:pPr>
        <w:pStyle w:val="null3"/>
        <w:jc w:val="both"/>
      </w:pPr>
      <w:r>
        <w:rPr>
          <w:sz w:val="24"/>
          <w:b/>
        </w:rPr>
        <w:t>八、验收要求</w:t>
      </w:r>
    </w:p>
    <w:p>
      <w:pPr>
        <w:pStyle w:val="null3"/>
        <w:ind w:firstLine="420"/>
        <w:jc w:val="both"/>
      </w:pPr>
      <w:r>
        <w:rPr>
          <w:sz w:val="24"/>
        </w:rPr>
        <w:t>（1）工程完工后，乙方应及时向甲方提出竣工验收申请，如若故意拖延或不办理验收的，甲方有权追究乙方的法律责任和赔偿经济损失。</w:t>
      </w:r>
    </w:p>
    <w:p>
      <w:pPr>
        <w:pStyle w:val="null3"/>
        <w:ind w:firstLine="420"/>
        <w:jc w:val="both"/>
      </w:pPr>
      <w:r>
        <w:rPr>
          <w:sz w:val="24"/>
        </w:rPr>
        <w:t>（2）竣工验收 乙方应在工程竣工验收前向甲方提供竣工验收资料和验收报告，否则，甲方有权拒绝验收。乙方提供的竣工验收资料和验收申请报告不符合要求的，乙方应按甲方要求在规定期限内补充完善并重新提交。甲方应在收到乙方提交的符合要求的上述材料后的 7 日内组织验收。</w:t>
      </w:r>
    </w:p>
    <w:p>
      <w:pPr>
        <w:pStyle w:val="null3"/>
        <w:ind w:firstLine="420"/>
        <w:jc w:val="both"/>
      </w:pPr>
      <w:r>
        <w:rPr>
          <w:sz w:val="24"/>
        </w:rPr>
        <w:t>（3）验评标准和规范  ①工程质量符合现行《工程施工质量验收规范》合格标准。 ②甲方组成验收小组按国家有关规定、规范进行验收，必要时邀请相关的专业人员或机构参与验收。因质量问题发生争议时，由甲方选择广东省内的质量技术监督部门鉴定。符合质量技术标准的，鉴定费由甲方承担；否则鉴定费由乙方承担。如检验不合格，甲方不予以验收和付款，乙方承担一切责任和赔偿甲方损失。</w:t>
      </w:r>
    </w:p>
    <w:p>
      <w:pPr>
        <w:pStyle w:val="null3"/>
        <w:jc w:val="both"/>
      </w:pPr>
      <w:r>
        <w:rPr>
          <w:sz w:val="24"/>
          <w:b/>
        </w:rPr>
        <w:t>九、质量保修期</w:t>
      </w:r>
    </w:p>
    <w:p>
      <w:pPr>
        <w:pStyle w:val="null3"/>
        <w:jc w:val="both"/>
      </w:pPr>
      <w:r>
        <w:rPr>
          <w:sz w:val="24"/>
        </w:rPr>
        <w:t>（1）质量保修期：自工程竣工验收合格之日起一年。在保修范围和保修期限内甲方正常使用下有质量问题的，乙方应当履行保修义务，并对造成的损失承担赔偿责任。</w:t>
      </w:r>
    </w:p>
    <w:p>
      <w:pPr>
        <w:pStyle w:val="null3"/>
        <w:jc w:val="both"/>
      </w:pPr>
      <w:r>
        <w:rPr>
          <w:sz w:val="24"/>
        </w:rPr>
        <w:t>（2）质量保修响应时间：</w:t>
      </w:r>
    </w:p>
    <w:p>
      <w:pPr>
        <w:pStyle w:val="null3"/>
        <w:ind w:firstLine="210"/>
        <w:jc w:val="both"/>
      </w:pPr>
      <w:r>
        <w:rPr>
          <w:sz w:val="24"/>
        </w:rPr>
        <w:t>1）属于保修范围的项目，在保修期内乙方应在接到甲方通知后的24小时内派人保修。乙方未能在规定时间内派人保修的，甲方可自行或委托第三方保修，由此产生的费用由乙方承担。</w:t>
      </w:r>
    </w:p>
    <w:p>
      <w:pPr>
        <w:pStyle w:val="null3"/>
        <w:ind w:firstLine="210"/>
        <w:jc w:val="both"/>
      </w:pPr>
      <w:r>
        <w:rPr>
          <w:sz w:val="24"/>
        </w:rPr>
        <w:t>2）发生紧急抢修事故的，乙方在接到通知后，应及时到达事故现场抢修。</w:t>
      </w:r>
    </w:p>
    <w:p>
      <w:pPr>
        <w:pStyle w:val="null3"/>
        <w:jc w:val="both"/>
      </w:pPr>
      <w:r>
        <w:rPr>
          <w:sz w:val="24"/>
          <w:b/>
        </w:rPr>
        <w:t>十、缺陷责任期</w:t>
      </w:r>
    </w:p>
    <w:p>
      <w:pPr>
        <w:pStyle w:val="null3"/>
        <w:ind w:firstLine="420"/>
        <w:jc w:val="both"/>
      </w:pPr>
      <w:r>
        <w:rPr>
          <w:sz w:val="24"/>
        </w:rPr>
        <w:t>（1）本项目缺陷责任期为12个月（自通过交工验收之日起计）。</w:t>
      </w:r>
    </w:p>
    <w:p>
      <w:pPr>
        <w:pStyle w:val="null3"/>
        <w:ind w:firstLine="420"/>
        <w:jc w:val="both"/>
      </w:pPr>
      <w:r>
        <w:rPr>
          <w:sz w:val="24"/>
        </w:rPr>
        <w:t>（2）缺陷责任期内，由乙方原因造成的缺陷，乙方应负责维修，并承担鉴定及维修费用。如果乙方不维修也不承担费用，甲方可按合同约定从质量保证中扣除，维修费用超出保证金额的，甲方可按合同约定向乙方进行索赔。乙方维修并承担相应费用后，不免除对工程的损失赔偿责任。 由他人原因造成的缺陷，甲方负责组织维修，乙方不承担费用，且甲方不得从质量保证中扣除费用。</w:t>
      </w:r>
    </w:p>
    <w:p>
      <w:pPr>
        <w:pStyle w:val="null3"/>
        <w:jc w:val="both"/>
      </w:pPr>
      <w:r>
        <w:rPr>
          <w:sz w:val="24"/>
          <w:b/>
        </w:rPr>
        <w:t>十一、违约责任与赔偿损失</w:t>
      </w:r>
    </w:p>
    <w:p>
      <w:pPr>
        <w:pStyle w:val="null3"/>
        <w:ind w:firstLine="420"/>
        <w:jc w:val="both"/>
      </w:pPr>
      <w:r>
        <w:rPr>
          <w:sz w:val="24"/>
        </w:rPr>
        <w:t>1) 乙方提供的服务不符合磋商文件、响应文件或本合同规定的，甲方有权拒收，并且乙方须向甲方支付本合同总价5%的违约金。</w:t>
      </w:r>
    </w:p>
    <w:p>
      <w:pPr>
        <w:pStyle w:val="null3"/>
        <w:ind w:firstLine="420"/>
        <w:jc w:val="both"/>
      </w:pPr>
      <w:r>
        <w:rPr>
          <w:sz w:val="24"/>
        </w:rPr>
        <w:t>2) 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both"/>
      </w:pPr>
      <w:r>
        <w:rPr>
          <w:sz w:val="24"/>
        </w:rPr>
        <w:t>3) 甲方无正当理由拒绝接受服务，到期拒付服务款项的，甲方向乙方偿付本合同总价的5%的违约金。甲方仍逾期付款的，则每日按本合同总价的3‰向乙方偿付违约金。</w:t>
      </w:r>
    </w:p>
    <w:p>
      <w:pPr>
        <w:pStyle w:val="null3"/>
        <w:ind w:firstLine="420"/>
        <w:jc w:val="both"/>
      </w:pPr>
      <w:r>
        <w:rPr>
          <w:sz w:val="24"/>
        </w:rPr>
        <w:t>4) 其他违约责任按《中华人民共和国民法典》处理。</w:t>
      </w:r>
    </w:p>
    <w:p>
      <w:pPr>
        <w:pStyle w:val="null3"/>
        <w:jc w:val="both"/>
      </w:pPr>
      <w:r>
        <w:rPr>
          <w:sz w:val="24"/>
          <w:b/>
        </w:rPr>
        <w:t>十二、争端的解决</w:t>
      </w:r>
    </w:p>
    <w:p>
      <w:pPr>
        <w:pStyle w:val="null3"/>
        <w:ind w:firstLine="420"/>
        <w:jc w:val="both"/>
      </w:pPr>
      <w:r>
        <w:rPr>
          <w:sz w:val="24"/>
        </w:rPr>
        <w:t>合同执行过程中发生的任何争议，如双方不能通过友好协商解决，按相关法律法规处理。</w:t>
      </w:r>
    </w:p>
    <w:p>
      <w:pPr>
        <w:pStyle w:val="null3"/>
        <w:jc w:val="both"/>
      </w:pPr>
      <w:r>
        <w:rPr>
          <w:sz w:val="24"/>
          <w:b/>
        </w:rPr>
        <w:t>十三、不可抗力</w:t>
      </w:r>
    </w:p>
    <w:p>
      <w:pPr>
        <w:pStyle w:val="null3"/>
        <w:ind w:firstLine="42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十四、税费</w:t>
      </w:r>
    </w:p>
    <w:p>
      <w:pPr>
        <w:pStyle w:val="null3"/>
        <w:ind w:firstLine="420"/>
        <w:jc w:val="both"/>
      </w:pPr>
      <w:r>
        <w:rPr>
          <w:sz w:val="24"/>
        </w:rPr>
        <w:t>在中国境内、外发生的与本合同执行有关的一切税费均由乙方负担。</w:t>
      </w:r>
    </w:p>
    <w:p>
      <w:pPr>
        <w:pStyle w:val="null3"/>
        <w:jc w:val="both"/>
      </w:pPr>
      <w:r>
        <w:rPr>
          <w:sz w:val="24"/>
          <w:b/>
        </w:rPr>
        <w:t>十五、其他</w:t>
      </w:r>
    </w:p>
    <w:p>
      <w:pPr>
        <w:pStyle w:val="null3"/>
        <w:ind w:firstLine="420"/>
        <w:jc w:val="both"/>
      </w:pPr>
      <w:r>
        <w:rPr>
          <w:sz w:val="24"/>
        </w:rPr>
        <w:t>1) 本合同所有附件、磋商文件、响应文件、成交通知书均为合同的有效组成部分，与本合同具有同等法律效力。</w:t>
      </w:r>
    </w:p>
    <w:p>
      <w:pPr>
        <w:pStyle w:val="null3"/>
        <w:ind w:firstLine="420"/>
        <w:jc w:val="both"/>
      </w:pPr>
      <w:r>
        <w:rPr>
          <w:sz w:val="24"/>
        </w:rPr>
        <w:t>2) 在执行本合同的过程中，所有经双方签署确认的文件（包括会议纪要、补充协议、往来信函）即成为本合同的有效组成部分。</w:t>
      </w:r>
    </w:p>
    <w:p>
      <w:pPr>
        <w:pStyle w:val="null3"/>
        <w:ind w:firstLine="420"/>
        <w:jc w:val="both"/>
      </w:pPr>
      <w:r>
        <w:rPr>
          <w:sz w:val="24"/>
        </w:rPr>
        <w:t>3) 如一方地址、电话、传真号码有变更，应在变更当日内书面通知对方，否则，应承担相应责任。</w:t>
      </w:r>
    </w:p>
    <w:p>
      <w:pPr>
        <w:pStyle w:val="null3"/>
        <w:ind w:firstLine="420"/>
        <w:jc w:val="both"/>
      </w:pPr>
      <w:r>
        <w:rPr>
          <w:sz w:val="24"/>
        </w:rPr>
        <w:t>4) 除甲方事先书面同意外，乙方不得部分或全部转让其应履行的合同项下的义务。</w:t>
      </w:r>
    </w:p>
    <w:p>
      <w:pPr>
        <w:pStyle w:val="null3"/>
        <w:jc w:val="both"/>
      </w:pPr>
      <w:r>
        <w:rPr>
          <w:sz w:val="24"/>
          <w:b/>
        </w:rPr>
        <w:t>十六、合同生效</w:t>
      </w:r>
    </w:p>
    <w:p>
      <w:pPr>
        <w:pStyle w:val="null3"/>
        <w:ind w:firstLine="420"/>
        <w:jc w:val="both"/>
      </w:pPr>
      <w:r>
        <w:rPr>
          <w:sz w:val="24"/>
        </w:rPr>
        <w:t>1）本合同在甲、乙双方法定代表人或其授权代表签字盖章后生效。</w:t>
      </w:r>
    </w:p>
    <w:p>
      <w:pPr>
        <w:pStyle w:val="null3"/>
        <w:ind w:firstLine="420"/>
        <w:jc w:val="both"/>
      </w:pPr>
      <w:r>
        <w:rPr>
          <w:sz w:val="24"/>
        </w:rPr>
        <w:t>2）合同一式份，甲方执</w:t>
      </w:r>
      <w:r>
        <w:rPr>
          <w:sz w:val="24"/>
          <w:u w:val="single"/>
        </w:rPr>
        <w:t xml:space="preserve">  </w:t>
      </w:r>
      <w:r>
        <w:rPr>
          <w:sz w:val="24"/>
        </w:rPr>
        <w:t>份，乙方执</w:t>
      </w:r>
      <w:r>
        <w:rPr>
          <w:sz w:val="24"/>
          <w:u w:val="single"/>
        </w:rPr>
        <w:t xml:space="preserve">   </w:t>
      </w:r>
      <w:r>
        <w:rPr>
          <w:sz w:val="24"/>
        </w:rPr>
        <w:t>份，具有同等法律效力。</w:t>
      </w:r>
    </w:p>
    <w:p>
      <w:pPr>
        <w:pStyle w:val="null3"/>
        <w:ind w:firstLine="420"/>
        <w:jc w:val="both"/>
      </w:pPr>
      <w:r>
        <w:rPr>
          <w:sz w:val="24"/>
        </w:rPr>
        <w:t>3）未尽事宜，双方另行友好协商解决。</w:t>
      </w:r>
    </w:p>
    <w:p>
      <w:pPr>
        <w:pStyle w:val="null3"/>
        <w:ind w:firstLine="420"/>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5263"/>
        <w:gridCol w:w="4923"/>
        <w:gridCol w:w="182"/>
      </w:tblGrid>
      <w:tr>
        <w:tc>
          <w:tcPr>
            <w:tcW w:type="dxa" w:w="5263"/>
            <w:tcBorders>
              <w:top w:val="none" w:color="000000" w:sz="4"/>
              <w:left w:val="none" w:color="000000" w:sz="4"/>
              <w:bottom w:val="none" w:color="000000" w:sz="4"/>
              <w:right w:val="dashed" w:color="000000" w:sz="8"/>
            </w:tcBorders>
            <w:tcMar>
              <w:top w:type="dxa" w:w="0"/>
              <w:left w:type="dxa" w:w="105"/>
              <w:bottom w:type="dxa" w:w="0"/>
              <w:right w:type="dxa" w:w="105"/>
            </w:tcMar>
            <w:vAlign w:val="top"/>
          </w:tcPr>
          <w:p>
            <w:pPr>
              <w:pStyle w:val="null3"/>
            </w:pPr>
            <w:r>
              <w:rPr>
                <w:sz w:val="24"/>
                <w:b/>
                <w:shd w:fill="FFFFFF" w:val="clear"/>
              </w:rPr>
              <w:t>甲方（盖章）：</w:t>
            </w:r>
          </w:p>
          <w:p>
            <w:pPr>
              <w:pStyle w:val="null3"/>
            </w:pPr>
            <w:r>
              <w:rPr>
                <w:sz w:val="24"/>
                <w:shd w:fill="FFFFFF" w:val="clear"/>
              </w:rPr>
              <w:t>法定代表人</w:t>
            </w:r>
            <w:r>
              <w:rPr>
                <w:sz w:val="24"/>
                <w:shd w:fill="FFFFFF" w:val="clear"/>
              </w:rPr>
              <w:t>：</w:t>
            </w:r>
            <w:r>
              <w:rPr>
                <w:sz w:val="24"/>
                <w:u w:val="single"/>
              </w:rPr>
              <w:t xml:space="preserve">                              </w:t>
            </w:r>
            <w:r>
              <w:rPr>
                <w:sz w:val="24"/>
              </w:rPr>
              <w:t xml:space="preserve"> </w:t>
            </w:r>
          </w:p>
          <w:p>
            <w:pPr>
              <w:pStyle w:val="null3"/>
            </w:pPr>
            <w:r>
              <w:rPr>
                <w:sz w:val="24"/>
                <w:shd w:fill="FFFFFF" w:val="clear"/>
              </w:rPr>
              <w:t>地址：</w:t>
            </w:r>
          </w:p>
          <w:p>
            <w:pPr>
              <w:pStyle w:val="null3"/>
            </w:pPr>
            <w:r>
              <w:rPr>
                <w:sz w:val="24"/>
                <w:shd w:fill="FFFFFF" w:val="clear"/>
              </w:rPr>
              <w:t>电话：</w:t>
            </w:r>
          </w:p>
          <w:p>
            <w:pPr>
              <w:pStyle w:val="null3"/>
            </w:pPr>
            <w:r>
              <w:rPr>
                <w:sz w:val="24"/>
                <w:shd w:fill="FFFFFF" w:val="clear"/>
              </w:rPr>
              <w:t>传真：</w:t>
            </w:r>
          </w:p>
          <w:p>
            <w:pPr>
              <w:pStyle w:val="null3"/>
            </w:pPr>
            <w:r>
              <w:rPr>
                <w:sz w:val="24"/>
                <w:shd w:fill="FFFFFF" w:val="clear"/>
              </w:rPr>
              <w:t>日期：</w:t>
            </w:r>
            <w:r>
              <w:rPr>
                <w:sz w:val="24"/>
              </w:rPr>
              <w:t xml:space="preserve">           </w:t>
            </w:r>
            <w:r>
              <w:rPr>
                <w:sz w:val="24"/>
                <w:shd w:fill="FFFFFF" w:val="clear"/>
              </w:rPr>
              <w:t>年</w:t>
            </w:r>
            <w:r>
              <w:rPr>
                <w:sz w:val="24"/>
              </w:rPr>
              <w:t xml:space="preserve">     </w:t>
            </w:r>
            <w:r>
              <w:rPr>
                <w:sz w:val="24"/>
                <w:shd w:fill="FFFFFF" w:val="clear"/>
              </w:rPr>
              <w:t>月</w:t>
            </w:r>
            <w:r>
              <w:rPr>
                <w:sz w:val="24"/>
              </w:rPr>
              <w:t xml:space="preserve">    </w:t>
            </w:r>
            <w:r>
              <w:rPr>
                <w:sz w:val="24"/>
                <w:shd w:fill="FFFFFF" w:val="clear"/>
              </w:rPr>
              <w:t>日</w:t>
            </w:r>
          </w:p>
        </w:tc>
        <w:tc>
          <w:tcPr>
            <w:tcW w:type="dxa" w:w="49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shd w:fill="FFFFFF" w:val="clear"/>
              </w:rPr>
              <w:t>乙方（盖章）：</w:t>
            </w:r>
          </w:p>
          <w:p>
            <w:pPr>
              <w:pStyle w:val="null3"/>
            </w:pPr>
            <w:r>
              <w:rPr>
                <w:sz w:val="24"/>
                <w:shd w:fill="FFFFFF" w:val="clear"/>
              </w:rPr>
              <w:t>代表：</w:t>
            </w:r>
            <w:r>
              <w:rPr>
                <w:sz w:val="24"/>
                <w:u w:val="single"/>
              </w:rPr>
              <w:t xml:space="preserve">                           </w:t>
            </w:r>
          </w:p>
          <w:p>
            <w:pPr>
              <w:pStyle w:val="null3"/>
            </w:pPr>
            <w:r>
              <w:rPr>
                <w:sz w:val="24"/>
                <w:shd w:fill="FFFFFF" w:val="clear"/>
              </w:rPr>
              <w:t>地址：</w:t>
            </w:r>
          </w:p>
          <w:p>
            <w:pPr>
              <w:pStyle w:val="null3"/>
            </w:pPr>
            <w:r>
              <w:rPr>
                <w:sz w:val="24"/>
                <w:shd w:fill="FFFFFF" w:val="clear"/>
              </w:rPr>
              <w:t>电话：</w:t>
            </w:r>
          </w:p>
          <w:p>
            <w:pPr>
              <w:pStyle w:val="null3"/>
            </w:pPr>
            <w:r>
              <w:rPr>
                <w:sz w:val="24"/>
                <w:shd w:fill="FFFFFF" w:val="clear"/>
              </w:rPr>
              <w:t>传真：</w:t>
            </w:r>
          </w:p>
          <w:p>
            <w:pPr>
              <w:pStyle w:val="null3"/>
            </w:pPr>
            <w:r>
              <w:rPr>
                <w:sz w:val="24"/>
                <w:shd w:fill="FFFFFF" w:val="clear"/>
              </w:rPr>
              <w:t>日期：</w:t>
            </w:r>
            <w:r>
              <w:rPr>
                <w:sz w:val="24"/>
              </w:rPr>
              <w:t xml:space="preserve">        </w:t>
            </w:r>
            <w:r>
              <w:rPr>
                <w:sz w:val="24"/>
                <w:shd w:fill="FFFFFF" w:val="clear"/>
              </w:rPr>
              <w:t>年</w:t>
            </w:r>
            <w:r>
              <w:rPr>
                <w:sz w:val="24"/>
              </w:rPr>
              <w:t xml:space="preserve">     </w:t>
            </w:r>
            <w:r>
              <w:rPr>
                <w:sz w:val="24"/>
                <w:shd w:fill="FFFFFF" w:val="clear"/>
              </w:rPr>
              <w:t>月</w:t>
            </w:r>
            <w:r>
              <w:rPr>
                <w:sz w:val="24"/>
              </w:rPr>
              <w:t xml:space="preserve">     </w:t>
            </w:r>
            <w:r>
              <w:rPr>
                <w:sz w:val="24"/>
                <w:shd w:fill="FFFFFF" w:val="clear"/>
              </w:rPr>
              <w:t>日</w:t>
            </w:r>
          </w:p>
        </w:tc>
        <w:tc>
          <w:tcPr>
            <w:tcW w:type="dxa" w:w="182"/>
            <w:tcBorders>
              <w:top w:val="none" w:color="000000" w:sz="4"/>
              <w:left w:val="none" w:color="000000" w:sz="4"/>
              <w:bottom w:val="none" w:color="000000" w:sz="4"/>
              <w:right w:val="none" w:color="000000" w:sz="4"/>
            </w:tcBorders>
          </w:tcPr>
          <w:p>
            <w:pPr>
              <w:pStyle w:val="null3"/>
            </w:pPr>
          </w:p>
        </w:tc>
      </w:tr>
      <w:tr>
        <w:tc>
          <w:tcPr>
            <w:tcW w:type="dxa" w:w="5263"/>
            <w:tcBorders>
              <w:top w:val="none" w:color="000000" w:sz="4"/>
              <w:left w:val="none" w:color="000000" w:sz="4"/>
              <w:bottom w:val="single" w:color="FFFFFF" w:sz="8"/>
              <w:right w:val="dashed" w:color="000000" w:sz="8"/>
            </w:tcBorders>
            <w:tcMar>
              <w:top w:type="dxa" w:w="0"/>
              <w:left w:type="dxa" w:w="105"/>
              <w:bottom w:type="dxa" w:w="0"/>
              <w:right w:type="dxa" w:w="105"/>
            </w:tcMar>
            <w:vAlign w:val="top"/>
          </w:tcPr>
          <w:p/>
        </w:tc>
        <w:tc>
          <w:tcPr>
            <w:tcW w:type="dxa" w:w="5105"/>
            <w:gridSpan w:val="2"/>
            <w:tcBorders>
              <w:top w:val="none" w:color="000000" w:sz="4"/>
              <w:left w:val="none" w:color="000000" w:sz="4"/>
              <w:bottom w:val="single" w:color="FFFFFF" w:sz="8"/>
              <w:right w:val="none" w:color="000000" w:sz="4"/>
            </w:tcBorders>
            <w:tcMar>
              <w:top w:type="dxa" w:w="0"/>
              <w:left w:type="dxa" w:w="105"/>
              <w:bottom w:type="dxa" w:w="0"/>
              <w:right w:type="dxa" w:w="105"/>
            </w:tcMar>
            <w:vAlign w:val="top"/>
          </w:tcPr>
          <w:p>
            <w:pPr>
              <w:pStyle w:val="null3"/>
            </w:pPr>
            <w:r>
              <w:rPr>
                <w:sz w:val="21"/>
              </w:rPr>
              <w:t xml:space="preserve"> </w:t>
            </w:r>
          </w:p>
          <w:p>
            <w:pPr>
              <w:pStyle w:val="null3"/>
            </w:pPr>
            <w:r>
              <w:rPr>
                <w:sz w:val="24"/>
                <w:b/>
                <w:shd w:fill="FFFFFF" w:val="clear"/>
              </w:rPr>
              <w:t>收款方、开票方须与乙方一致，专户为：</w:t>
            </w:r>
          </w:p>
          <w:p>
            <w:pPr>
              <w:pStyle w:val="null3"/>
            </w:pPr>
            <w:r>
              <w:rPr>
                <w:sz w:val="24"/>
                <w:shd w:fill="FFFFFF" w:val="clear"/>
              </w:rPr>
              <w:t>开户名称：</w:t>
            </w:r>
          </w:p>
          <w:p>
            <w:pPr>
              <w:pStyle w:val="null3"/>
            </w:pPr>
            <w:r>
              <w:rPr>
                <w:sz w:val="24"/>
                <w:shd w:fill="FFFFFF" w:val="clear"/>
              </w:rPr>
              <w:t>银行账号：</w:t>
            </w:r>
          </w:p>
          <w:p>
            <w:pPr>
              <w:pStyle w:val="null3"/>
            </w:pPr>
            <w:r>
              <w:rPr>
                <w:sz w:val="24"/>
                <w:shd w:fill="FFFFFF" w:val="clear"/>
              </w:rPr>
              <w:t>开</w:t>
            </w:r>
            <w:r>
              <w:rPr>
                <w:sz w:val="24"/>
              </w:rPr>
              <w:t xml:space="preserve"> </w:t>
            </w:r>
            <w:r>
              <w:rPr>
                <w:sz w:val="24"/>
                <w:shd w:fill="FFFFFF" w:val="clear"/>
              </w:rPr>
              <w:t>户</w:t>
            </w:r>
            <w:r>
              <w:rPr>
                <w:sz w:val="24"/>
              </w:rPr>
              <w:t xml:space="preserve"> </w:t>
            </w:r>
            <w:r>
              <w:rPr>
                <w:sz w:val="24"/>
                <w:shd w:fill="FFFFFF" w:val="clear"/>
              </w:rPr>
              <w:t>行：</w:t>
            </w:r>
          </w:p>
        </w:tc>
      </w:tr>
    </w:tbl>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440001-2024-43197</w:t>
      </w:r>
    </w:p>
    <w:p>
      <w:pPr>
        <w:pStyle w:val="null3"/>
        <w:jc w:val="center"/>
        <w:outlineLvl w:val="3"/>
      </w:pPr>
      <w:r>
        <w:rPr>
          <w:sz w:val="24"/>
          <w:b/>
        </w:rPr>
        <w:t>采购项目编号：</w:t>
      </w:r>
      <w:r>
        <w:rPr>
          <w:sz w:val="24"/>
          <w:b/>
        </w:rPr>
        <w:t>GZYL24SGGC09049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广州宜立工程管理有限公司韶关分公司</w:t>
      </w:r>
    </w:p>
    <w:p>
      <w:pPr>
        <w:pStyle w:val="null3"/>
        <w:ind w:firstLine="480"/>
      </w:pPr>
      <w:r>
        <w:rPr/>
        <w:t xml:space="preserve"> 你方组织的</w:t>
      </w:r>
      <w:r>
        <w:rPr>
          <w:u w:val="single"/>
        </w:rPr>
        <w:t>“</w:t>
      </w:r>
      <w:r>
        <w:rPr>
          <w:u w:val="single"/>
        </w:rPr>
        <w:t>广东省乳阳林场龙线公路安全整治二期工程</w:t>
      </w:r>
      <w:r>
        <w:rPr>
          <w:u w:val="single"/>
        </w:rPr>
        <w:t>”</w:t>
      </w:r>
      <w:r>
        <w:rPr/>
        <w:t>项目的竞争性磋商[采购项目编号为：</w:t>
      </w:r>
      <w:r>
        <w:rPr>
          <w:u w:val="single"/>
        </w:rPr>
        <w:t>GZYL24SGGC09049</w:t>
      </w:r>
      <w:r>
        <w:rPr/>
        <w:t>]，我方愿参与响应。</w:t>
      </w:r>
    </w:p>
    <w:p>
      <w:pPr>
        <w:pStyle w:val="null3"/>
        <w:ind w:firstLine="480"/>
      </w:pPr>
      <w:r>
        <w:rPr/>
        <w:t>我方确认收到贵方提供的</w:t>
      </w:r>
      <w:r>
        <w:rPr>
          <w:u w:val="single"/>
        </w:rPr>
        <w:t>“</w:t>
      </w:r>
      <w:r>
        <w:rPr>
          <w:u w:val="single"/>
        </w:rPr>
        <w:t>广东省乳阳林场龙线公路安全整治二期工程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广州宜立工程管理有限公司韶关分公司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广东省乳阳林场龙线公路安全整治二期工程</w:t>
      </w:r>
      <w:r>
        <w:rPr/>
        <w:t>”项目采购[采购项目编号为</w:t>
      </w:r>
      <w:r>
        <w:rPr/>
        <w:t>GZYL24SGGC09049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广东省乳阳林场（广东南岭国家森林公园管理处）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广州宜立工程管理有限公司韶关分公司</w:t>
      </w:r>
    </w:p>
    <w:p>
      <w:pPr>
        <w:pStyle w:val="null3"/>
        <w:ind w:firstLine="480"/>
      </w:pPr>
      <w:r>
        <w:rPr/>
        <w:t>我单位参加贵公司组织的</w:t>
      </w:r>
      <w:r>
        <w:rPr/>
        <w:t>广东省乳阳林场龙线公路安全整治二期工程</w:t>
      </w:r>
      <w:r>
        <w:rPr/>
        <w:t>（采购项目编号：</w:t>
      </w:r>
      <w:r>
        <w:rPr/>
        <w:t>GZYL24SGGC09049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广州宜立工程管理有限公司韶关分公司</w:t>
      </w:r>
    </w:p>
    <w:p>
      <w:pPr>
        <w:pStyle w:val="null3"/>
        <w:ind w:firstLine="480"/>
      </w:pPr>
      <w:r>
        <w:rPr/>
        <w:t>我单位已登记并准备参与“</w:t>
      </w:r>
      <w:r>
        <w:rPr/>
        <w:t>广东省乳阳林场龙线公路安全整治二期工程</w:t>
      </w:r>
      <w:r>
        <w:rPr/>
        <w:t>”项目（采购项目编号：</w:t>
      </w:r>
      <w:r>
        <w:rPr/>
        <w:t>GZYL24SGGC09049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