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版本号：241017001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西安市公安局运动场馆及周边安保信息化视频监控系统续用及运维服务项目</w:t>
      </w:r>
    </w:p>
    <w:p>
      <w:pPr>
        <w:pStyle w:val="null3"/>
        <w:jc w:val="center"/>
        <w:outlineLvl w:val="2"/>
      </w:pPr>
      <w:r>
        <w:rPr>
          <w:sz w:val="28"/>
          <w:b/>
        </w:rPr>
        <w:t>采购项目编号：</w:t>
      </w:r>
      <w:r>
        <w:rPr>
          <w:sz w:val="28"/>
          <w:b/>
        </w:rPr>
        <w:t>HCJT[2024政采]第024号</w:t>
      </w:r>
      <w:r>
        <w:br/>
      </w:r>
      <w:r>
        <w:br/>
      </w:r>
      <w:r>
        <w:br/>
      </w:r>
    </w:p>
    <w:p>
      <w:pPr>
        <w:pStyle w:val="null3"/>
        <w:jc w:val="center"/>
        <w:outlineLvl w:val="2"/>
      </w:pPr>
      <w:r>
        <w:rPr>
          <w:sz w:val="28"/>
          <w:b/>
        </w:rPr>
        <w:t>西安市公安局（本级）</w:t>
      </w:r>
    </w:p>
    <w:p>
      <w:pPr>
        <w:pStyle w:val="null3"/>
        <w:jc w:val="center"/>
        <w:outlineLvl w:val="2"/>
      </w:pPr>
      <w:r>
        <w:rPr>
          <w:sz w:val="28"/>
          <w:b/>
        </w:rPr>
        <w:t>陕西华辰景天工程项目管理有限公司</w:t>
      </w:r>
      <w:r>
        <w:rPr>
          <w:sz w:val="28"/>
          <w:b/>
        </w:rPr>
        <w:t>共同编制</w:t>
      </w:r>
    </w:p>
    <w:p>
      <w:pPr>
        <w:pStyle w:val="null3"/>
        <w:jc w:val="center"/>
        <w:outlineLvl w:val="2"/>
      </w:pPr>
      <w:r>
        <w:rPr>
          <w:sz w:val="28"/>
          <w:b/>
        </w:rPr>
        <w:t>2024年10月18日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陕西华辰景天工程项目管理有限公司</w:t>
      </w:r>
      <w:r>
        <w:rPr/>
        <w:t>（以下简称“代理机构”）受</w:t>
      </w:r>
      <w:r>
        <w:rPr/>
        <w:t>西安市公安局（本级）</w:t>
      </w:r>
      <w:r>
        <w:rPr/>
        <w:t>委托，拟对</w:t>
      </w:r>
      <w:r>
        <w:rPr/>
        <w:t>西安市公安局运动场馆及周边安保信息化视频监控系统续用及运维服务项目</w:t>
      </w:r>
      <w:r>
        <w:rPr/>
        <w:t>采用竞争性磋商采购方式进行采购，兹邀请供应商参加本项目的竞争性磋商。</w:t>
      </w:r>
    </w:p>
    <w:p>
      <w:pPr>
        <w:pStyle w:val="null3"/>
        <w:outlineLvl w:val="2"/>
      </w:pPr>
      <w:r>
        <w:rPr>
          <w:sz w:val="28"/>
          <w:b/>
        </w:rPr>
        <w:t>一、项目编号：</w:t>
      </w:r>
      <w:r>
        <w:rPr>
          <w:sz w:val="28"/>
          <w:b/>
        </w:rPr>
        <w:t>HCJT[2024政采]第024号</w:t>
      </w:r>
    </w:p>
    <w:p>
      <w:pPr>
        <w:pStyle w:val="null3"/>
        <w:outlineLvl w:val="2"/>
      </w:pPr>
      <w:r>
        <w:rPr>
          <w:sz w:val="28"/>
          <w:b/>
        </w:rPr>
        <w:t>二、项目名称：</w:t>
      </w:r>
      <w:r>
        <w:rPr>
          <w:sz w:val="28"/>
          <w:b/>
        </w:rPr>
        <w:t>西安市公安局运动场馆及周边安保信息化视频监控系统续用及运维服务项目</w:t>
      </w:r>
    </w:p>
    <w:p>
      <w:pPr>
        <w:pStyle w:val="null3"/>
        <w:outlineLvl w:val="2"/>
      </w:pPr>
      <w:r>
        <w:rPr>
          <w:sz w:val="28"/>
          <w:b/>
        </w:rPr>
        <w:t>三、磋商项目简介</w:t>
      </w:r>
    </w:p>
    <w:p>
      <w:pPr>
        <w:pStyle w:val="null3"/>
        <w:ind w:firstLine="480"/>
      </w:pPr>
      <w:r>
        <w:rPr/>
        <w:t>西安市公安局运动场馆及周边安保信息化视频监控系统续用及运维服务项目，其中西安市公安局“第十四届全运会安保信息化视频监控系统”所涉及的软硬件系统平台，提供7*24小时统一运维服务1年，保障各业务子系统的正常稳定运行，有效支撑业务正常开展。</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采购包1（西安市公安局运动场馆及周边安保信息化视频监控系统续用及运维服务项目）：属于专门面向中小企业采购。</w:t>
      </w:r>
    </w:p>
    <w:p>
      <w:pPr>
        <w:pStyle w:val="null3"/>
        <w:ind w:firstLine="480"/>
      </w:pPr>
      <w:r>
        <w:rPr/>
        <w:t>（三）本项目的特定资格要求：</w:t>
      </w:r>
    </w:p>
    <w:p>
      <w:pPr>
        <w:pStyle w:val="null3"/>
      </w:pPr>
      <w:r>
        <w:rPr/>
        <w:t>采购包1：</w:t>
      </w:r>
    </w:p>
    <w:p>
      <w:pPr>
        <w:pStyle w:val="null3"/>
      </w:pPr>
      <w:r>
        <w:rPr/>
        <w:t>1、有效的投标主体：具有独立承担民事责任能力的法人、其他组织或自然人，并出具合法有效的营业执照或事业单位法人证书等国家规定的相关证明，自然人参与的提供其身份证明。供应商提交相关资格证明材料需进行电子签章。</w:t>
      </w:r>
    </w:p>
    <w:p>
      <w:pPr>
        <w:pStyle w:val="null3"/>
      </w:pPr>
      <w:r>
        <w:rPr/>
        <w:t>2、信用记录：供应商不得为“信用中国”网站(wwm.creditchina.goy.cn)中列入“失信被执行人(中国执行信息公开网http://zxgk,court.goy.cn/shixin/)”和“重大税收违法失信主体”的供应商，不得为中国政府采购网(www.ccgp.gov.cn)政府采 购“严重违法失信行为记录名单”中被财政部门禁止参加政府采购活动的供应商；以开标当天查询为准。供应商提交相关资格证明材料需进行电子签章。</w:t>
      </w:r>
    </w:p>
    <w:p>
      <w:pPr>
        <w:pStyle w:val="null3"/>
      </w:pPr>
      <w:r>
        <w:rPr/>
        <w:t>3、法定代表人授权书/法定代表人身份证明：法定代表人授权代表参加投标的，提供法定代表人授权委托书及被授权人身份证复印件或扫描件；法定代表人参加投标时,提供法定代表人身份证明书及法定代表人身份证复印件或扫描件。供应商提交相关资格证明材料需进行电子签章。</w:t>
      </w:r>
    </w:p>
    <w:p>
      <w:pPr>
        <w:pStyle w:val="null3"/>
      </w:pPr>
      <w:r>
        <w:rPr/>
        <w:t>4、非联合体投标：本项目不接受联合体投标。供应商提交相关资格证明材料需进行电子签章。</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西安市公安局（本级）</w:t>
      </w:r>
    </w:p>
    <w:p>
      <w:pPr>
        <w:pStyle w:val="null3"/>
      </w:pPr>
      <w:r>
        <w:rPr/>
        <w:t xml:space="preserve"> 地址： </w:t>
      </w:r>
      <w:r>
        <w:rPr/>
        <w:t>西安市西大街63号</w:t>
      </w:r>
    </w:p>
    <w:p>
      <w:pPr>
        <w:pStyle w:val="null3"/>
      </w:pPr>
      <w:r>
        <w:rPr/>
        <w:t xml:space="preserve"> 邮编： </w:t>
      </w:r>
      <w:r>
        <w:rPr/>
        <w:t>710000</w:t>
      </w:r>
    </w:p>
    <w:p>
      <w:pPr>
        <w:pStyle w:val="null3"/>
      </w:pPr>
      <w:r>
        <w:rPr/>
        <w:t xml:space="preserve"> 联系人： </w:t>
      </w:r>
      <w:r>
        <w:rPr/>
        <w:t>黄文</w:t>
      </w:r>
    </w:p>
    <w:p>
      <w:pPr>
        <w:pStyle w:val="null3"/>
      </w:pPr>
      <w:r>
        <w:rPr/>
        <w:t xml:space="preserve"> 联系电话： </w:t>
      </w:r>
      <w:r>
        <w:rPr/>
        <w:t>029-86751132</w:t>
      </w:r>
    </w:p>
    <w:p>
      <w:pPr>
        <w:pStyle w:val="null3"/>
        <w:outlineLvl w:val="3"/>
      </w:pPr>
      <w:r>
        <w:rPr>
          <w:sz w:val="24"/>
          <w:b/>
        </w:rPr>
        <w:t>代理机构：</w:t>
      </w:r>
      <w:r>
        <w:rPr>
          <w:sz w:val="24"/>
          <w:b/>
        </w:rPr>
        <w:t>陕西华辰景天工程项目管理有限公司</w:t>
      </w:r>
    </w:p>
    <w:p>
      <w:pPr>
        <w:pStyle w:val="null3"/>
      </w:pPr>
      <w:r>
        <w:rPr/>
        <w:t xml:space="preserve"> 地址： </w:t>
      </w:r>
      <w:r>
        <w:rPr/>
        <w:t>西安市高新区科技路 48 号创业广场B座1701室</w:t>
      </w:r>
    </w:p>
    <w:p>
      <w:pPr>
        <w:pStyle w:val="null3"/>
      </w:pPr>
      <w:r>
        <w:rPr/>
        <w:t xml:space="preserve"> 邮编： </w:t>
      </w:r>
      <w:r>
        <w:rPr/>
        <w:t>710000</w:t>
      </w:r>
    </w:p>
    <w:p>
      <w:pPr>
        <w:pStyle w:val="null3"/>
      </w:pPr>
      <w:r>
        <w:rPr/>
        <w:t xml:space="preserve"> 联系人： </w:t>
      </w:r>
      <w:r>
        <w:rPr/>
        <w:t>腾芸鹏、杨晨昱、王芳</w:t>
      </w:r>
    </w:p>
    <w:p>
      <w:pPr>
        <w:pStyle w:val="null3"/>
      </w:pPr>
      <w:r>
        <w:rPr/>
        <w:t xml:space="preserve"> 联系电话： </w:t>
      </w:r>
      <w:r>
        <w:rPr/>
        <w:t>029-89381506</w:t>
      </w:r>
    </w:p>
    <w:p>
      <w:pPr>
        <w:pStyle w:val="null3"/>
        <w:outlineLvl w:val="3"/>
      </w:pPr>
      <w:r>
        <w:rPr>
          <w:sz w:val="24"/>
          <w:b/>
        </w:rPr>
        <w:t>采购监督机构：</w:t>
      </w:r>
      <w:r>
        <w:rPr>
          <w:sz w:val="24"/>
          <w:b/>
        </w:rPr>
        <w:t>西安市财政局政府采购管理处</w:t>
      </w:r>
    </w:p>
    <w:p>
      <w:pPr>
        <w:pStyle w:val="null3"/>
        <w:ind w:firstLine="480"/>
      </w:pPr>
      <w:r>
        <w:rPr/>
        <w:t>联系人：</w:t>
      </w:r>
      <w:r>
        <w:rPr/>
        <w:t>杜新星</w:t>
      </w:r>
    </w:p>
    <w:p>
      <w:pPr>
        <w:pStyle w:val="null3"/>
        <w:ind w:firstLine="480"/>
      </w:pPr>
      <w:r>
        <w:rPr/>
        <w:t>联系电话：</w:t>
      </w:r>
      <w:r>
        <w:rPr/>
        <w:t>029-89821846</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采购包1：1,453,841.50元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代理服务费收费标准：1、参照国家计委计价格[2002]1980号及发改办价格[2003]857号通知规定，由成交供应商支付招标代理服务费。 2、成交单位在领取成交通知书前，须向采购代理机构支付招标代理服务费。 招标代理服务费交纳信息： 银行户名：陕西华辰景天工程项目管理有限公司 纳税人识别号：91610000790776670Y 地址：陕西省西安市高新区科技路48号创业广场1幢2单元B1701室 电话：17792582317 开户银行：浙商银行西安分行营业部 账 号：7910000010120100657419 3、本项目属性：服务招标。</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西安市公安局（本级）</w:t>
      </w:r>
      <w:r>
        <w:rPr/>
        <w:t>和</w:t>
      </w:r>
      <w:r>
        <w:rPr/>
        <w:t>陕西华辰景天工程项目管理有限公司</w:t>
      </w:r>
      <w:r>
        <w:rPr/>
        <w:t>享有。对磋商文件中供应商参加本次政府采购活动应当具备的条件，磋商项目技术、服务、商务及其他要求，评审细则及标准由</w:t>
      </w:r>
      <w:r>
        <w:rPr/>
        <w:t>西安市公安局（本级）</w:t>
      </w:r>
      <w:r>
        <w:rPr/>
        <w:t>负责解释。除上述磋商文件内容，其他内容由</w:t>
      </w:r>
      <w:r>
        <w:rPr/>
        <w:t>陕西华辰景天工程项目管理有限公司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西安市公安局（本级）</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陕西华辰景天工程项目管理有限公司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按照相关合同规定执行</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陕西华辰景天工程项目管理有限公司</w:t>
      </w:r>
      <w:r>
        <w:rPr/>
        <w:t xml:space="preserve"> 负责答复；供应商对除采购需求外的采购文件的询问、质疑由</w:t>
      </w:r>
      <w:r>
        <w:rPr/>
        <w:t>陕西华辰景天工程项目管理有限公司</w:t>
      </w:r>
      <w:r>
        <w:rPr/>
        <w:t xml:space="preserve"> 负责答复；供应商对采购过程、采购结果的询问、质疑由 </w:t>
      </w:r>
      <w:r>
        <w:rPr/>
        <w:t>陕西华辰景天工程项目管理有限公司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联系人：腾芸鹏</w:t>
      </w:r>
    </w:p>
    <w:p>
      <w:pPr>
        <w:pStyle w:val="null3"/>
      </w:pPr>
      <w:r>
        <w:rPr/>
        <w:t>联系电话：029-89381506</w:t>
      </w:r>
    </w:p>
    <w:p>
      <w:pPr>
        <w:pStyle w:val="null3"/>
      </w:pPr>
      <w:r>
        <w:rPr/>
        <w:t>地址：西安市科技路48路创业广场B座1701室</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详见采购文件</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1,453,841.50</w:t>
      </w:r>
    </w:p>
    <w:p>
      <w:pPr>
        <w:pStyle w:val="null3"/>
      </w:pPr>
      <w:r>
        <w:rPr/>
        <w:t>采购包最高限价（元）: 1,453,841.50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服务</w:t>
            </w:r>
          </w:p>
        </w:tc>
        <w:tc>
          <w:tcPr>
            <w:tcW w:type="dxa" w:w="831"/>
          </w:tcPr>
          <w:p>
            <w:pPr>
              <w:pStyle w:val="null3"/>
              <w:jc w:val="right"/>
            </w:pPr>
            <w:r>
              <w:rPr/>
              <w:t>1.00</w:t>
            </w:r>
          </w:p>
        </w:tc>
        <w:tc>
          <w:tcPr>
            <w:tcW w:type="dxa" w:w="831"/>
          </w:tcPr>
          <w:p>
            <w:pPr>
              <w:pStyle w:val="null3"/>
              <w:jc w:val="right"/>
            </w:pPr>
            <w:r>
              <w:rPr/>
              <w:t>1,453,841.50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4"/>
              </w:rPr>
              <w:t>一、技术、服务标准和要求：</w:t>
            </w:r>
          </w:p>
          <w:p>
            <w:pPr>
              <w:pStyle w:val="null3"/>
              <w:jc w:val="both"/>
            </w:pPr>
            <w:r>
              <w:rPr>
                <w:rFonts w:ascii="宋体" w:hAnsi="宋体" w:cs="宋体" w:eastAsia="宋体"/>
                <w:sz w:val="24"/>
              </w:rPr>
              <w:t>（</w:t>
            </w:r>
            <w:r>
              <w:rPr>
                <w:rFonts w:ascii="宋体" w:hAnsi="宋体" w:cs="宋体" w:eastAsia="宋体"/>
                <w:sz w:val="24"/>
              </w:rPr>
              <w:t>一</w:t>
            </w:r>
            <w:r>
              <w:rPr>
                <w:rFonts w:ascii="宋体" w:hAnsi="宋体" w:cs="宋体" w:eastAsia="宋体"/>
                <w:sz w:val="24"/>
              </w:rPr>
              <w:t>）</w:t>
            </w:r>
            <w:r>
              <w:rPr>
                <w:rFonts w:ascii="宋体" w:hAnsi="宋体" w:cs="宋体" w:eastAsia="宋体"/>
                <w:sz w:val="24"/>
              </w:rPr>
              <w:t>项目概况</w:t>
            </w:r>
          </w:p>
          <w:p>
            <w:pPr>
              <w:pStyle w:val="null3"/>
              <w:ind w:firstLine="480"/>
              <w:jc w:val="both"/>
            </w:pPr>
            <w:r>
              <w:rPr>
                <w:rFonts w:ascii="宋体" w:hAnsi="宋体" w:cs="宋体" w:eastAsia="宋体"/>
                <w:sz w:val="24"/>
              </w:rPr>
              <w:t>西安市公安局第十四届全运会安保信息化视频监控系统运维服务项目本次运维服务主要包括：硬件运维（包括前端摄像头和数据中心硬件设备），软件系统运维、数据治理服务、网络安全服务、技术咨询及系统优化等。</w:t>
            </w:r>
          </w:p>
          <w:p>
            <w:pPr>
              <w:pStyle w:val="null3"/>
              <w:jc w:val="both"/>
            </w:pPr>
            <w:r>
              <w:rPr>
                <w:rFonts w:ascii="宋体" w:hAnsi="宋体" w:cs="宋体" w:eastAsia="宋体"/>
                <w:sz w:val="24"/>
              </w:rPr>
              <w:t>（</w:t>
            </w:r>
            <w:r>
              <w:rPr>
                <w:rFonts w:ascii="宋体" w:hAnsi="宋体" w:cs="宋体" w:eastAsia="宋体"/>
                <w:sz w:val="24"/>
              </w:rPr>
              <w:t>二</w:t>
            </w:r>
            <w:r>
              <w:rPr>
                <w:rFonts w:ascii="宋体" w:hAnsi="宋体" w:cs="宋体" w:eastAsia="宋体"/>
                <w:sz w:val="24"/>
              </w:rPr>
              <w:t>）服务内容及要求</w:t>
            </w:r>
          </w:p>
          <w:p>
            <w:pPr>
              <w:pStyle w:val="null3"/>
              <w:ind w:firstLine="480"/>
              <w:jc w:val="both"/>
            </w:pPr>
            <w:r>
              <w:rPr>
                <w:rFonts w:ascii="宋体" w:hAnsi="宋体" w:cs="宋体" w:eastAsia="宋体"/>
                <w:sz w:val="24"/>
              </w:rPr>
              <w:t>1、</w:t>
            </w:r>
            <w:r>
              <w:rPr>
                <w:rFonts w:ascii="宋体" w:hAnsi="宋体" w:cs="宋体" w:eastAsia="宋体"/>
                <w:sz w:val="24"/>
              </w:rPr>
              <w:t>运维范围</w:t>
            </w:r>
          </w:p>
          <w:p>
            <w:pPr>
              <w:pStyle w:val="null3"/>
              <w:ind w:firstLine="480"/>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w:t>
            </w:r>
            <w:r>
              <w:rPr>
                <w:rFonts w:ascii="宋体" w:hAnsi="宋体" w:cs="宋体" w:eastAsia="宋体"/>
                <w:sz w:val="24"/>
              </w:rPr>
              <w:t>数据中心设备分布</w:t>
            </w:r>
          </w:p>
          <w:tbl>
            <w:tblPr>
              <w:tblBorders>
                <w:top w:val="none" w:color="000000" w:sz="4"/>
                <w:left w:val="none" w:color="000000" w:sz="4"/>
                <w:bottom w:val="none" w:color="000000" w:sz="4"/>
                <w:right w:val="none" w:color="000000" w:sz="4"/>
                <w:insideH w:val="none"/>
                <w:insideV w:val="none"/>
              </w:tblBorders>
            </w:tblPr>
            <w:tblGrid>
              <w:gridCol w:w="417"/>
              <w:gridCol w:w="2136"/>
            </w:tblGrid>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序号</w:t>
                  </w:r>
                </w:p>
              </w:tc>
              <w:tc>
                <w:tcPr>
                  <w:tcW w:type="dxa" w:w="2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十四运后端设备分布数据中心</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西咸新区</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临潼区</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碑林区（</w:t>
                  </w:r>
                  <w:r>
                    <w:rPr>
                      <w:rFonts w:ascii="宋体" w:hAnsi="宋体" w:cs="宋体" w:eastAsia="宋体"/>
                      <w:sz w:val="24"/>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碑林区（</w:t>
                  </w:r>
                  <w:r>
                    <w:rPr>
                      <w:rFonts w:ascii="宋体" w:hAnsi="宋体" w:cs="宋体" w:eastAsia="宋体"/>
                      <w:sz w:val="24"/>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港务区</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高新区</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高陵区</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未央区（</w:t>
                  </w:r>
                  <w:r>
                    <w:rPr>
                      <w:rFonts w:ascii="宋体" w:hAnsi="宋体" w:cs="宋体" w:eastAsia="宋体"/>
                      <w:sz w:val="24"/>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未央区（</w:t>
                  </w:r>
                  <w:r>
                    <w:rPr>
                      <w:rFonts w:ascii="宋体" w:hAnsi="宋体" w:cs="宋体" w:eastAsia="宋体"/>
                      <w:sz w:val="24"/>
                    </w:rPr>
                    <w:t>2）</w:t>
                  </w:r>
                </w:p>
              </w:tc>
            </w:tr>
          </w:tbl>
          <w:p>
            <w:pPr>
              <w:pStyle w:val="null3"/>
              <w:ind w:firstLine="480"/>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w:t>
            </w:r>
            <w:r>
              <w:rPr>
                <w:rFonts w:ascii="宋体" w:hAnsi="宋体" w:cs="宋体" w:eastAsia="宋体"/>
                <w:sz w:val="24"/>
              </w:rPr>
              <w:t>运维内容包括：</w:t>
            </w:r>
          </w:p>
          <w:p>
            <w:pPr>
              <w:pStyle w:val="null3"/>
              <w:ind w:firstLine="480"/>
              <w:jc w:val="both"/>
            </w:pPr>
            <w:r>
              <w:rPr>
                <w:rFonts w:ascii="宋体" w:hAnsi="宋体" w:cs="宋体" w:eastAsia="宋体"/>
                <w:sz w:val="24"/>
              </w:rPr>
              <w:t>设备运维：包括资产统计梳理、系统设备、网络设备、安全设备等日常巡检及维护，确保系统所有设备正常运行。</w:t>
            </w:r>
          </w:p>
          <w:p>
            <w:pPr>
              <w:pStyle w:val="null3"/>
              <w:ind w:firstLine="480"/>
              <w:jc w:val="both"/>
            </w:pPr>
            <w:r>
              <w:rPr>
                <w:rFonts w:ascii="宋体" w:hAnsi="宋体" w:cs="宋体" w:eastAsia="宋体"/>
                <w:sz w:val="24"/>
              </w:rPr>
              <w:t>机柜租赁费：机柜租赁费包含在本次项目总费用中，需对接各个机房运营商对设备机柜租赁费进行按时缴纳并输出管理台账。</w:t>
            </w:r>
          </w:p>
          <w:p>
            <w:pPr>
              <w:pStyle w:val="null3"/>
              <w:ind w:firstLine="480"/>
              <w:jc w:val="both"/>
            </w:pPr>
            <w:r>
              <w:rPr>
                <w:rFonts w:ascii="宋体" w:hAnsi="宋体" w:cs="宋体" w:eastAsia="宋体"/>
                <w:sz w:val="24"/>
              </w:rPr>
              <w:t>设备电费：设备用电费用包含在本次项目总费用中，需对接各个机房单位进行电费按时缴纳并输出管理台账。</w:t>
            </w:r>
          </w:p>
          <w:p>
            <w:pPr>
              <w:pStyle w:val="null3"/>
              <w:ind w:firstLine="480"/>
              <w:jc w:val="both"/>
            </w:pPr>
            <w:r>
              <w:rPr>
                <w:rFonts w:ascii="宋体" w:hAnsi="宋体" w:cs="宋体" w:eastAsia="宋体"/>
                <w:sz w:val="24"/>
              </w:rPr>
              <w:t>（</w:t>
            </w:r>
            <w:r>
              <w:rPr>
                <w:rFonts w:ascii="宋体" w:hAnsi="宋体" w:cs="宋体" w:eastAsia="宋体"/>
                <w:sz w:val="24"/>
              </w:rPr>
              <w:t>1）硬件运维内容</w:t>
            </w:r>
          </w:p>
          <w:p>
            <w:pPr>
              <w:pStyle w:val="null3"/>
              <w:ind w:firstLine="480"/>
              <w:jc w:val="both"/>
            </w:pPr>
            <w:r>
              <w:rPr>
                <w:rFonts w:ascii="宋体" w:hAnsi="宋体" w:cs="宋体" w:eastAsia="宋体"/>
                <w:sz w:val="24"/>
              </w:rPr>
              <w:t>1）主要包括监控与巡检、故障响应与处置、清洁保养、信息资产管理、运维资料管理几方面提供服务，具体如下：</w:t>
            </w:r>
          </w:p>
          <w:tbl>
            <w:tblPr>
              <w:tblBorders>
                <w:top w:val="none" w:color="000000" w:sz="4"/>
                <w:left w:val="none" w:color="000000" w:sz="4"/>
                <w:bottom w:val="none" w:color="000000" w:sz="4"/>
                <w:right w:val="none" w:color="000000" w:sz="4"/>
                <w:insideH w:val="none"/>
                <w:insideV w:val="none"/>
              </w:tblBorders>
            </w:tblPr>
            <w:tblGrid>
              <w:gridCol w:w="194"/>
              <w:gridCol w:w="617"/>
              <w:gridCol w:w="1121"/>
              <w:gridCol w:w="215"/>
              <w:gridCol w:w="194"/>
              <w:gridCol w:w="211"/>
            </w:tblGrid>
            <w:tr>
              <w:tc>
                <w:tcPr>
                  <w:tcW w:type="dxa" w:w="19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序号</w:t>
                  </w:r>
                </w:p>
              </w:tc>
              <w:tc>
                <w:tcPr>
                  <w:tcW w:type="dxa" w:w="6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产品名称</w:t>
                  </w:r>
                </w:p>
              </w:tc>
              <w:tc>
                <w:tcPr>
                  <w:tcW w:type="dxa" w:w="112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规格、品牌</w:t>
                  </w:r>
                </w:p>
              </w:tc>
              <w:tc>
                <w:tcPr>
                  <w:tcW w:type="dxa" w:w="21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单位</w:t>
                  </w:r>
                </w:p>
              </w:tc>
              <w:tc>
                <w:tcPr>
                  <w:tcW w:type="dxa" w:w="19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数量</w:t>
                  </w:r>
                </w:p>
              </w:tc>
              <w:tc>
                <w:tcPr>
                  <w:tcW w:type="dxa" w:w="21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备注</w:t>
                  </w:r>
                </w:p>
              </w:tc>
            </w:tr>
            <w:tr>
              <w:tc>
                <w:tcPr>
                  <w:tcW w:type="dxa" w:w="194"/>
                  <w:vMerge/>
                  <w:tcBorders>
                    <w:top w:val="single" w:color="000000" w:sz="4"/>
                    <w:left w:val="single" w:color="000000" w:sz="4"/>
                    <w:bottom w:val="single" w:color="000000" w:sz="4"/>
                    <w:right w:val="single" w:color="000000" w:sz="4"/>
                  </w:tcBorders>
                </w:tcPr>
                <w:p/>
              </w:tc>
              <w:tc>
                <w:tcPr>
                  <w:tcW w:type="dxa" w:w="617"/>
                  <w:vMerge/>
                  <w:tcBorders>
                    <w:top w:val="single" w:color="000000" w:sz="4"/>
                    <w:left w:val="single" w:color="000000" w:sz="4"/>
                    <w:bottom w:val="single" w:color="000000" w:sz="4"/>
                    <w:right w:val="single" w:color="000000" w:sz="4"/>
                  </w:tcBorders>
                </w:tcPr>
                <w:p/>
              </w:tc>
              <w:tc>
                <w:tcPr>
                  <w:tcW w:type="dxa" w:w="1121"/>
                  <w:vMerge/>
                  <w:tcBorders>
                    <w:top w:val="single" w:color="000000" w:sz="4"/>
                    <w:left w:val="single" w:color="000000" w:sz="4"/>
                    <w:bottom w:val="single" w:color="000000" w:sz="4"/>
                    <w:right w:val="single" w:color="000000" w:sz="4"/>
                  </w:tcBorders>
                </w:tcPr>
                <w:p/>
              </w:tc>
              <w:tc>
                <w:tcPr>
                  <w:tcW w:type="dxa" w:w="215"/>
                  <w:vMerge/>
                  <w:tcBorders>
                    <w:top w:val="single" w:color="000000" w:sz="4"/>
                    <w:left w:val="single" w:color="000000" w:sz="4"/>
                    <w:bottom w:val="single" w:color="000000" w:sz="4"/>
                    <w:right w:val="single" w:color="000000" w:sz="4"/>
                  </w:tcBorders>
                </w:tcPr>
                <w:p/>
              </w:tc>
              <w:tc>
                <w:tcPr>
                  <w:tcW w:type="dxa" w:w="194"/>
                  <w:vMerge/>
                  <w:tcBorders>
                    <w:top w:val="single" w:color="000000" w:sz="4"/>
                    <w:left w:val="single" w:color="000000" w:sz="4"/>
                    <w:bottom w:val="single" w:color="000000" w:sz="4"/>
                    <w:right w:val="single" w:color="000000" w:sz="4"/>
                  </w:tcBorders>
                </w:tcPr>
                <w:p/>
              </w:tc>
              <w:tc>
                <w:tcPr>
                  <w:tcW w:type="dxa" w:w="211"/>
                  <w:vMerge/>
                  <w:tcBorders>
                    <w:top w:val="single" w:color="000000" w:sz="4"/>
                    <w:left w:val="single" w:color="000000" w:sz="4"/>
                    <w:bottom w:val="single" w:color="000000" w:sz="4"/>
                    <w:right w:val="single" w:color="000000" w:sz="4"/>
                  </w:tcBorders>
                </w:tcP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一、前端维护</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1</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人脸抓拍摄像机</w:t>
                  </w:r>
                </w:p>
              </w:tc>
              <w:tc>
                <w:tcPr>
                  <w:tcW w:type="dxa" w:w="1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海康威视</w:t>
                  </w:r>
                  <w:r>
                    <w:rPr>
                      <w:rFonts w:ascii="宋体" w:hAnsi="宋体" w:cs="宋体" w:eastAsia="宋体"/>
                      <w:sz w:val="24"/>
                    </w:rPr>
                    <w:t>DS-2CD7U44MWDXZ/JM(11-40/4)</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181</w:t>
                  </w:r>
                </w:p>
              </w:tc>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智能球机</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海康威视</w:t>
                  </w:r>
                  <w:r>
                    <w:rPr>
                      <w:rFonts w:ascii="宋体" w:hAnsi="宋体" w:cs="宋体" w:eastAsia="宋体"/>
                      <w:sz w:val="24"/>
                    </w:rPr>
                    <w:t>iDS-2DF8C435MHSAFW/SP(T5)</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61</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3</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全景智能摄像机</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海康威视</w:t>
                  </w:r>
                  <w:r>
                    <w:rPr>
                      <w:rFonts w:ascii="宋体" w:hAnsi="宋体" w:cs="宋体" w:eastAsia="宋体"/>
                      <w:sz w:val="24"/>
                    </w:rPr>
                    <w:t>iDS-2DP3218Z1XS-D/845/AR(FO)(P4)</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28</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4</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人员密度检测摄像机</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海康威视</w:t>
                  </w:r>
                  <w:r>
                    <w:rPr>
                      <w:rFonts w:ascii="宋体" w:hAnsi="宋体" w:cs="宋体" w:eastAsia="宋体"/>
                      <w:sz w:val="24"/>
                    </w:rPr>
                    <w:t>DS-2CD6944F-IHS(B)</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5</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智能卡口相机</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海康威视</w:t>
                  </w:r>
                  <w:r>
                    <w:rPr>
                      <w:rFonts w:ascii="宋体" w:hAnsi="宋体" w:cs="宋体" w:eastAsia="宋体"/>
                      <w:sz w:val="24"/>
                    </w:rPr>
                    <w:t>iDS-TCV900-BEF/50</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26</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6</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车辆补光灯</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海康威视</w:t>
                  </w:r>
                  <w:r>
                    <w:rPr>
                      <w:rFonts w:ascii="宋体" w:hAnsi="宋体" w:cs="宋体" w:eastAsia="宋体"/>
                      <w:sz w:val="24"/>
                    </w:rPr>
                    <w:t>CXBG-2-MC-DSTL3000B-I</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26</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7</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卡口全景相机</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海康威视</w:t>
                  </w:r>
                  <w:r>
                    <w:rPr>
                      <w:rFonts w:ascii="宋体" w:hAnsi="宋体" w:cs="宋体" w:eastAsia="宋体"/>
                      <w:sz w:val="24"/>
                    </w:rPr>
                    <w:t>iDS-TCM400-A-N/1140(国内标配)</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57</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8</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环境补光灯</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海康威视</w:t>
                  </w:r>
                  <w:r>
                    <w:rPr>
                      <w:rFonts w:ascii="宋体" w:hAnsi="宋体" w:cs="宋体" w:eastAsia="宋体"/>
                      <w:sz w:val="24"/>
                    </w:rPr>
                    <w:t>CXBG-1-CX-DS</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57</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9</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摄像机支架</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海康威视</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362</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10</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防雷接地配套</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89</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11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卡口防雷接地配套</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12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监控立杆基础</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44</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13</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设备箱</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100</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14</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检修井</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55</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15</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卡口检修井</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19</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16</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治安监控立杆</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44</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17</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卡口立杆配套安装</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18</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卡口立杆</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二、硬件设备运维服务</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终端服务器</w:t>
                  </w:r>
                </w:p>
              </w:tc>
              <w:tc>
                <w:tcPr>
                  <w:tcW w:type="dxa" w:w="1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TL2000C-N海康威视DS-TP50-12E(16T)(国内标配)</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存储资源扩容</w:t>
                  </w:r>
                  <w:r>
                    <w:rPr>
                      <w:rFonts w:ascii="宋体" w:hAnsi="宋体" w:cs="宋体" w:eastAsia="宋体"/>
                      <w:sz w:val="24"/>
                    </w:rPr>
                    <w:t>(48 位)</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海康威视</w:t>
                  </w:r>
                  <w:r>
                    <w:rPr>
                      <w:rFonts w:ascii="宋体" w:hAnsi="宋体" w:cs="宋体" w:eastAsia="宋体"/>
                      <w:sz w:val="24"/>
                    </w:rPr>
                    <w:t>DS-A72048RH-ICVS/6TB</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存储资源扩容</w:t>
                  </w:r>
                  <w:r>
                    <w:rPr>
                      <w:rFonts w:ascii="宋体" w:hAnsi="宋体" w:cs="宋体" w:eastAsia="宋体"/>
                      <w:sz w:val="24"/>
                    </w:rPr>
                    <w:t>(24 盘位)</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海康威视</w:t>
                  </w:r>
                  <w:r>
                    <w:rPr>
                      <w:rFonts w:ascii="宋体" w:hAnsi="宋体" w:cs="宋体" w:eastAsia="宋体"/>
                      <w:sz w:val="24"/>
                    </w:rPr>
                    <w:t>DS-A72024RH-ICVS/6T</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计算资源扩容产品</w:t>
                  </w:r>
                  <w:r>
                    <w:rPr>
                      <w:rFonts w:ascii="宋体" w:hAnsi="宋体" w:cs="宋体" w:eastAsia="宋体"/>
                      <w:sz w:val="24"/>
                    </w:rPr>
                    <w:t>(核心产品)</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海康威视</w:t>
                  </w:r>
                  <w:r>
                    <w:rPr>
                      <w:rFonts w:ascii="宋体" w:hAnsi="宋体" w:cs="宋体" w:eastAsia="宋体"/>
                      <w:sz w:val="24"/>
                    </w:rPr>
                    <w:t>DS-VE22S-B(310803609)</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解析资源扩容</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海康威视</w:t>
                  </w:r>
                  <w:r>
                    <w:rPr>
                      <w:rFonts w:ascii="宋体" w:hAnsi="宋体" w:cs="宋体" w:eastAsia="宋体"/>
                      <w:sz w:val="24"/>
                    </w:rPr>
                    <w:t>DS-IF2002-A3H/NF</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解析资源扩容</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海康威视</w:t>
                  </w:r>
                  <w:r>
                    <w:rPr>
                      <w:rFonts w:ascii="宋体" w:hAnsi="宋体" w:cs="宋体" w:eastAsia="宋体"/>
                      <w:sz w:val="24"/>
                    </w:rPr>
                    <w:t>DS-IF2006-A3H/NF</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三、网络安全系统运维</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交换机</w:t>
                  </w:r>
                </w:p>
              </w:tc>
              <w:tc>
                <w:tcPr>
                  <w:tcW w:type="dxa" w:w="1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海康威视</w:t>
                  </w:r>
                  <w:r>
                    <w:rPr>
                      <w:rFonts w:ascii="宋体" w:hAnsi="宋体" w:cs="宋体" w:eastAsia="宋体"/>
                      <w:sz w:val="24"/>
                    </w:rPr>
                    <w:t>DS-3E3752-H</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数据摆渡</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海康威视</w:t>
                  </w:r>
                  <w:r>
                    <w:rPr>
                      <w:rFonts w:ascii="宋体" w:hAnsi="宋体" w:cs="宋体" w:eastAsia="宋体"/>
                      <w:sz w:val="24"/>
                    </w:rPr>
                    <w:t>DS-VE22S-B(310803602)</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万兆防火墙</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启明星辰天清汉马</w:t>
                  </w:r>
                  <w:r>
                    <w:rPr>
                      <w:rFonts w:ascii="宋体" w:hAnsi="宋体" w:cs="宋体" w:eastAsia="宋体"/>
                      <w:sz w:val="24"/>
                    </w:rPr>
                    <w:t>USG 防火墙</w:t>
                  </w:r>
                  <w:r>
                    <w:br/>
                  </w:r>
                  <w:r>
                    <w:rPr>
                      <w:rFonts w:ascii="宋体" w:hAnsi="宋体" w:cs="宋体" w:eastAsia="宋体"/>
                      <w:sz w:val="24"/>
                    </w:rPr>
                    <w:t>万兆</w:t>
                  </w:r>
                  <w:r>
                    <w:rPr>
                      <w:rFonts w:ascii="宋体" w:hAnsi="宋体" w:cs="宋体" w:eastAsia="宋体"/>
                      <w:sz w:val="24"/>
                    </w:rPr>
                    <w:t>/V2.6</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万兆入侵检测</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启明星辰天闻入侵检测与管理系统</w:t>
                  </w:r>
                  <w:r>
                    <w:rPr>
                      <w:rFonts w:ascii="宋体" w:hAnsi="宋体" w:cs="宋体" w:eastAsia="宋体"/>
                      <w:sz w:val="24"/>
                    </w:rPr>
                    <w:t>V7.0(万兆)</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集控探针</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天行网安</w:t>
                  </w:r>
                  <w:r>
                    <w:rPr>
                      <w:rFonts w:ascii="宋体" w:hAnsi="宋体" w:cs="宋体" w:eastAsia="宋体"/>
                      <w:sz w:val="24"/>
                    </w:rPr>
                    <w:t>TZ-IR (Topwalk-TZ)</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万兆交换机</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锐捷</w:t>
                  </w:r>
                  <w:r>
                    <w:rPr>
                      <w:rFonts w:ascii="宋体" w:hAnsi="宋体" w:cs="宋体" w:eastAsia="宋体"/>
                      <w:sz w:val="24"/>
                    </w:rPr>
                    <w:t>RG-S5760C-24GT8XS-X</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视频安全接入系统</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天行网安</w:t>
                  </w:r>
                  <w:r>
                    <w:rPr>
                      <w:rFonts w:ascii="宋体" w:hAnsi="宋体" w:cs="宋体" w:eastAsia="宋体"/>
                      <w:sz w:val="24"/>
                    </w:rPr>
                    <w:t>TMS5089-R/UMS5089-R(Topwalk-MTP)/TG9289-R(Topwalk-GAP)</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监测审计设备</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天行网安</w:t>
                  </w:r>
                  <w:r>
                    <w:rPr>
                      <w:rFonts w:ascii="宋体" w:hAnsi="宋体" w:cs="宋体" w:eastAsia="宋体"/>
                      <w:sz w:val="24"/>
                    </w:rPr>
                    <w:t>TZ-IR (Topwalk-TZ)</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边界监测审计系统</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天行网安</w:t>
                  </w:r>
                  <w:r>
                    <w:rPr>
                      <w:rFonts w:ascii="宋体" w:hAnsi="宋体" w:cs="宋体" w:eastAsia="宋体"/>
                      <w:sz w:val="24"/>
                    </w:rPr>
                    <w:t>ALSA-9089-R(Topwalk-3AS)</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宋体" w:hAnsi="宋体" w:cs="宋体" w:eastAsia="宋体"/>
                <w:sz w:val="24"/>
              </w:rPr>
              <w:t>2）硬件运维服务</w:t>
            </w:r>
          </w:p>
          <w:p>
            <w:pPr>
              <w:pStyle w:val="null3"/>
              <w:ind w:firstLine="480"/>
              <w:jc w:val="both"/>
            </w:pPr>
            <w:r>
              <w:rPr>
                <w:rFonts w:ascii="宋体" w:hAnsi="宋体" w:cs="宋体" w:eastAsia="宋体"/>
                <w:sz w:val="24"/>
              </w:rPr>
              <w:t>此项基础服务中的基本服务，包含在运行维护服务中，旨在对现有的信息资产情况进行了解，更好的提供系统的运行维护服务。</w:t>
            </w:r>
          </w:p>
          <w:p>
            <w:pPr>
              <w:pStyle w:val="null3"/>
              <w:ind w:firstLine="480"/>
              <w:jc w:val="both"/>
            </w:pPr>
            <w:r>
              <w:rPr>
                <w:rFonts w:ascii="宋体" w:hAnsi="宋体" w:cs="宋体" w:eastAsia="宋体"/>
                <w:sz w:val="24"/>
              </w:rPr>
              <w:t>服务内容包括：</w:t>
            </w:r>
          </w:p>
          <w:p>
            <w:pPr>
              <w:pStyle w:val="null3"/>
              <w:numPr>
                <w:ilvl w:val="0"/>
                <w:numId w:val="1"/>
              </w:numPr>
              <w:ind w:left="240"/>
              <w:jc w:val="both"/>
            </w:pPr>
            <w:r>
              <w:rPr>
                <w:rFonts w:ascii="宋体" w:hAnsi="宋体" w:cs="宋体" w:eastAsia="宋体"/>
                <w:sz w:val="24"/>
              </w:rPr>
              <w:t>前端设备型号、数量及配套设备信息统计记录</w:t>
            </w:r>
          </w:p>
          <w:p>
            <w:pPr>
              <w:pStyle w:val="null3"/>
              <w:numPr>
                <w:ilvl w:val="0"/>
                <w:numId w:val="1"/>
              </w:numPr>
              <w:ind w:left="240"/>
              <w:jc w:val="both"/>
            </w:pPr>
            <w:r>
              <w:rPr>
                <w:rFonts w:ascii="宋体" w:hAnsi="宋体" w:cs="宋体" w:eastAsia="宋体"/>
                <w:sz w:val="24"/>
              </w:rPr>
              <w:t>机房硬件设备型号、数量、版本等信息统计记录</w:t>
            </w:r>
          </w:p>
          <w:p>
            <w:pPr>
              <w:pStyle w:val="null3"/>
              <w:numPr>
                <w:ilvl w:val="0"/>
                <w:numId w:val="1"/>
              </w:numPr>
              <w:ind w:left="240"/>
              <w:jc w:val="both"/>
            </w:pPr>
            <w:r>
              <w:rPr>
                <w:rFonts w:ascii="宋体" w:hAnsi="宋体" w:cs="宋体" w:eastAsia="宋体"/>
                <w:sz w:val="24"/>
              </w:rPr>
              <w:t>软件产品型号、版本和补丁等信息统计记录</w:t>
            </w:r>
          </w:p>
          <w:p>
            <w:pPr>
              <w:pStyle w:val="null3"/>
              <w:numPr>
                <w:ilvl w:val="0"/>
                <w:numId w:val="1"/>
              </w:numPr>
              <w:ind w:left="240"/>
              <w:jc w:val="both"/>
            </w:pPr>
            <w:r>
              <w:rPr>
                <w:rFonts w:ascii="宋体" w:hAnsi="宋体" w:cs="宋体" w:eastAsia="宋体"/>
                <w:sz w:val="24"/>
              </w:rPr>
              <w:t>网络结构、网络路由、网络</w:t>
            </w:r>
            <w:r>
              <w:rPr>
                <w:rFonts w:ascii="宋体" w:hAnsi="宋体" w:cs="宋体" w:eastAsia="宋体"/>
                <w:sz w:val="24"/>
              </w:rPr>
              <w:t>IP地址统计记录</w:t>
            </w:r>
          </w:p>
          <w:p>
            <w:pPr>
              <w:pStyle w:val="null3"/>
              <w:numPr>
                <w:ilvl w:val="0"/>
                <w:numId w:val="1"/>
              </w:numPr>
              <w:ind w:left="240"/>
              <w:jc w:val="both"/>
            </w:pPr>
            <w:r>
              <w:rPr>
                <w:rFonts w:ascii="宋体" w:hAnsi="宋体" w:cs="宋体" w:eastAsia="宋体"/>
                <w:sz w:val="24"/>
              </w:rPr>
              <w:t>其它附属设备的统计记录</w:t>
            </w:r>
          </w:p>
          <w:p>
            <w:pPr>
              <w:pStyle w:val="null3"/>
              <w:ind w:firstLine="480"/>
              <w:jc w:val="both"/>
            </w:pPr>
            <w:r>
              <w:rPr>
                <w:rFonts w:ascii="宋体" w:hAnsi="宋体" w:cs="宋体" w:eastAsia="宋体"/>
                <w:sz w:val="24"/>
              </w:rPr>
              <w:t>（</w:t>
            </w:r>
            <w:r>
              <w:rPr>
                <w:rFonts w:ascii="宋体" w:hAnsi="宋体" w:cs="宋体" w:eastAsia="宋体"/>
                <w:sz w:val="24"/>
              </w:rPr>
              <w:t>2）软件运维内容</w:t>
            </w:r>
          </w:p>
          <w:tbl>
            <w:tblPr>
              <w:tblBorders>
                <w:top w:val="none" w:color="000000" w:sz="4"/>
                <w:left w:val="none" w:color="000000" w:sz="4"/>
                <w:bottom w:val="none" w:color="000000" w:sz="4"/>
                <w:right w:val="none" w:color="000000" w:sz="4"/>
                <w:insideH w:val="none"/>
                <w:insideV w:val="none"/>
              </w:tblBorders>
            </w:tblPr>
            <w:tblGrid>
              <w:gridCol w:w="195"/>
              <w:gridCol w:w="613"/>
              <w:gridCol w:w="1122"/>
              <w:gridCol w:w="215"/>
              <w:gridCol w:w="195"/>
              <w:gridCol w:w="211"/>
            </w:tblGrid>
            <w:tr>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序号</w:t>
                  </w: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产品名称</w:t>
                  </w:r>
                </w:p>
              </w:tc>
              <w:tc>
                <w:tcPr>
                  <w:tcW w:type="dxa" w:w="1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规格、品牌</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单位</w:t>
                  </w:r>
                </w:p>
              </w:tc>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数量</w:t>
                  </w:r>
                </w:p>
              </w:tc>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备注</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一、系统平台运维</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分局平台接入扩</w:t>
                  </w:r>
                </w:p>
              </w:tc>
              <w:tc>
                <w:tcPr>
                  <w:tcW w:type="dxa" w:w="1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海康威视</w:t>
                  </w:r>
                  <w:r>
                    <w:rPr>
                      <w:rFonts w:ascii="宋体" w:hAnsi="宋体" w:cs="宋体" w:eastAsia="宋体"/>
                      <w:sz w:val="24"/>
                    </w:rPr>
                    <w:t>InfovisionIoT CAMNUM</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云存储管理软件许可扩容</w:t>
                  </w:r>
                </w:p>
              </w:tc>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海康威视</w:t>
                  </w:r>
                  <w:r>
                    <w:rPr>
                      <w:rFonts w:ascii="宋体" w:hAnsi="宋体" w:cs="宋体" w:eastAsia="宋体"/>
                      <w:sz w:val="24"/>
                    </w:rPr>
                    <w:t>iDataCloud VCS SVM</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解析管理软件许可扩容</w:t>
                  </w:r>
                </w:p>
              </w:tc>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海日康威视</w:t>
                  </w:r>
                  <w:r>
                    <w:rPr>
                      <w:rFonts w:ascii="宋体" w:hAnsi="宋体" w:cs="宋体" w:eastAsia="宋体"/>
                      <w:sz w:val="24"/>
                    </w:rPr>
                    <w:t>DS-IF0100-AI(标配)_全分析节点数</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人脸算法许可扩容</w:t>
                  </w:r>
                </w:p>
              </w:tc>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海康威视</w:t>
                  </w:r>
                  <w:r>
                    <w:rPr>
                      <w:rFonts w:ascii="宋体" w:hAnsi="宋体" w:cs="宋体" w:eastAsia="宋体"/>
                      <w:sz w:val="24"/>
                    </w:rPr>
                    <w:t>DS-IF0100-A1(标配)_全分析人脸图片</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车辆算法许可扩容</w:t>
                  </w:r>
                </w:p>
              </w:tc>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海康威祝</w:t>
                  </w:r>
                  <w:r>
                    <w:rPr>
                      <w:rFonts w:ascii="宋体" w:hAnsi="宋体" w:cs="宋体" w:eastAsia="宋体"/>
                      <w:sz w:val="24"/>
                    </w:rPr>
                    <w:t>DS-IF0100-AI(标配)_全分析卡口车辆图片</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视频解析算法许可扩容</w:t>
                  </w:r>
                </w:p>
              </w:tc>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海康威视</w:t>
                  </w:r>
                  <w:r>
                    <w:rPr>
                      <w:rFonts w:ascii="宋体" w:hAnsi="宋体" w:cs="宋体" w:eastAsia="宋体"/>
                      <w:sz w:val="24"/>
                    </w:rPr>
                    <w:t>DS-IF0100-AI(标配)_全分析治安(人+车)视频</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态势分析算法许可扩容</w:t>
                  </w:r>
                </w:p>
              </w:tc>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海康威视</w:t>
                  </w:r>
                  <w:r>
                    <w:rPr>
                      <w:rFonts w:ascii="宋体" w:hAnsi="宋体" w:cs="宋体" w:eastAsia="宋体"/>
                      <w:sz w:val="24"/>
                    </w:rPr>
                    <w:t>DS-IF0100-AI(标配)_全分析态势视频</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宋体" w:hAnsi="宋体" w:cs="宋体" w:eastAsia="宋体"/>
                <w:sz w:val="24"/>
              </w:rPr>
              <w:t>1）软件运维服务</w:t>
            </w:r>
          </w:p>
          <w:tbl>
            <w:tblPr>
              <w:tblBorders>
                <w:top w:val="none" w:color="000000" w:sz="4"/>
                <w:left w:val="none" w:color="000000" w:sz="4"/>
                <w:bottom w:val="none" w:color="000000" w:sz="4"/>
                <w:right w:val="none" w:color="000000" w:sz="4"/>
                <w:insideH w:val="none"/>
                <w:insideV w:val="none"/>
              </w:tblBorders>
            </w:tblPr>
            <w:tblGrid>
              <w:gridCol w:w="266"/>
              <w:gridCol w:w="599"/>
              <w:gridCol w:w="1238"/>
              <w:gridCol w:w="449"/>
            </w:tblGrid>
            <w:tr>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序号</w:t>
                  </w:r>
                </w:p>
              </w:tc>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服务模块</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内容描述</w:t>
                  </w:r>
                </w:p>
              </w:tc>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提供方</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补丁服务</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消除软件漏洞给系统带来的安全隐患，并对安装补丁所引起的系统连锁反应进行合理的平衡。</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升级服务</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对系统进行软件的升级，以改进、完善现有系统或消除现有系统的</w:t>
                  </w:r>
                  <w:r>
                    <w:rPr>
                      <w:rFonts w:ascii="宋体" w:hAnsi="宋体" w:cs="宋体" w:eastAsia="宋体"/>
                      <w:sz w:val="24"/>
                    </w:rPr>
                    <w:t>bug。</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现场服务</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7×24小时</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电话远程技术支持</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7×24小时</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问题管理</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对遇到的问题进行汇总、优化，处理</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宋体" w:hAnsi="宋体" w:cs="宋体" w:eastAsia="宋体"/>
                <w:sz w:val="24"/>
              </w:rPr>
              <w:t>2）数据库系统运维服务</w:t>
            </w:r>
          </w:p>
          <w:p>
            <w:pPr>
              <w:pStyle w:val="null3"/>
              <w:ind w:firstLine="480"/>
              <w:jc w:val="both"/>
            </w:pPr>
            <w:r>
              <w:rPr>
                <w:rFonts w:ascii="宋体" w:hAnsi="宋体" w:cs="宋体" w:eastAsia="宋体"/>
                <w:sz w:val="24"/>
              </w:rPr>
              <w:t>数据库运行维护服务是包括主动数据库性能管理，数据库的主动性能管理对系统运维非常重要。通过主动式性能管理可了解数据库的日常运行状态，识别数据库的性能问题发生在什么地方，有针对性地进行性能优化。同时，密切注意数据库系统的变化，主动地预防可能发生的问题。</w:t>
            </w:r>
          </w:p>
          <w:p>
            <w:pPr>
              <w:pStyle w:val="null3"/>
              <w:ind w:firstLine="480"/>
              <w:jc w:val="both"/>
            </w:pPr>
            <w:r>
              <w:rPr>
                <w:rFonts w:ascii="宋体" w:hAnsi="宋体" w:cs="宋体" w:eastAsia="宋体"/>
                <w:sz w:val="24"/>
              </w:rPr>
              <w:t>数据库运行维护服务还包括快速发现、诊断和解决性能问题，在出现问题时，及时找出性能瓶颈，解决数据库性能问题，维护高效的应用系统。</w:t>
            </w:r>
          </w:p>
          <w:p>
            <w:pPr>
              <w:pStyle w:val="null3"/>
              <w:ind w:firstLine="480"/>
              <w:jc w:val="both"/>
            </w:pPr>
            <w:r>
              <w:rPr>
                <w:rFonts w:ascii="宋体" w:hAnsi="宋体" w:cs="宋体" w:eastAsia="宋体"/>
                <w:sz w:val="24"/>
              </w:rPr>
              <w:t>数据库运行维护服务，主要工作是使用技术手段来达到管理的目标，以系统最终的运行维护为目标，提高用户的工作效率。</w:t>
            </w:r>
          </w:p>
          <w:p>
            <w:pPr>
              <w:pStyle w:val="null3"/>
              <w:ind w:firstLine="480"/>
              <w:jc w:val="both"/>
            </w:pPr>
            <w:r>
              <w:rPr>
                <w:rFonts w:ascii="宋体" w:hAnsi="宋体" w:cs="宋体" w:eastAsia="宋体"/>
                <w:sz w:val="24"/>
              </w:rPr>
              <w:t>具体数据库运行维护监控的基本服务内容包括：</w:t>
            </w:r>
          </w:p>
          <w:tbl>
            <w:tblPr>
              <w:tblBorders>
                <w:top w:val="none" w:color="000000" w:sz="4"/>
                <w:left w:val="none" w:color="000000" w:sz="4"/>
                <w:bottom w:val="none" w:color="000000" w:sz="4"/>
                <w:right w:val="none" w:color="000000" w:sz="4"/>
                <w:insideH w:val="none"/>
                <w:insideV w:val="none"/>
              </w:tblBorders>
            </w:tblPr>
            <w:tblGrid>
              <w:gridCol w:w="217"/>
              <w:gridCol w:w="571"/>
              <w:gridCol w:w="1349"/>
              <w:gridCol w:w="416"/>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序号</w:t>
                  </w:r>
                </w:p>
              </w:tc>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服务模块</w:t>
                  </w:r>
                </w:p>
              </w:tc>
              <w:tc>
                <w:tcPr>
                  <w:tcW w:type="dxa" w:w="1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内容描述</w:t>
                  </w:r>
                </w:p>
              </w:tc>
              <w:tc>
                <w:tcPr>
                  <w:tcW w:type="dxa" w:w="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提供方</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数据库</w:t>
                  </w:r>
                </w:p>
                <w:p>
                  <w:pPr>
                    <w:pStyle w:val="null3"/>
                    <w:jc w:val="left"/>
                  </w:pPr>
                  <w:r>
                    <w:rPr>
                      <w:rFonts w:ascii="宋体" w:hAnsi="宋体" w:cs="宋体" w:eastAsia="宋体"/>
                      <w:sz w:val="24"/>
                    </w:rPr>
                    <w:t>7*24电话支持服务</w:t>
                  </w:r>
                </w:p>
              </w:tc>
              <w:tc>
                <w:tcPr>
                  <w:tcW w:type="dxa" w:w="1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每周</w:t>
                  </w:r>
                  <w:r>
                    <w:rPr>
                      <w:rFonts w:ascii="宋体" w:hAnsi="宋体" w:cs="宋体" w:eastAsia="宋体"/>
                      <w:sz w:val="24"/>
                    </w:rPr>
                    <w:t>7天，每天24小时支持中心电话，电子邮件答询，以满足业务发展的需要。</w:t>
                  </w:r>
                </w:p>
                <w:p>
                  <w:pPr>
                    <w:pStyle w:val="null3"/>
                    <w:jc w:val="left"/>
                  </w:pPr>
                  <w:r>
                    <w:rPr>
                      <w:rFonts w:ascii="宋体" w:hAnsi="宋体" w:cs="宋体" w:eastAsia="宋体"/>
                      <w:sz w:val="24"/>
                    </w:rPr>
                    <w:t>根据问题的严重程度，将优先解决客户认为是关键而紧急的任务。</w:t>
                  </w:r>
                </w:p>
                <w:p>
                  <w:pPr>
                    <w:pStyle w:val="null3"/>
                    <w:jc w:val="left"/>
                  </w:pPr>
                  <w:r>
                    <w:rPr>
                      <w:rFonts w:ascii="宋体" w:hAnsi="宋体" w:cs="宋体" w:eastAsia="宋体"/>
                      <w:sz w:val="24"/>
                    </w:rPr>
                    <w:t>对客户提出的一般性问题进行技术咨询、指导。</w:t>
                  </w:r>
                </w:p>
                <w:p>
                  <w:pPr>
                    <w:pStyle w:val="null3"/>
                    <w:jc w:val="left"/>
                  </w:pPr>
                  <w:r>
                    <w:rPr>
                      <w:rFonts w:ascii="宋体" w:hAnsi="宋体" w:cs="宋体" w:eastAsia="宋体"/>
                      <w:sz w:val="24"/>
                    </w:rPr>
                    <w:t>定期的客户管理报告</w:t>
                  </w:r>
                  <w:r>
                    <w:rPr>
                      <w:rFonts w:ascii="宋体" w:hAnsi="宋体" w:cs="宋体" w:eastAsia="宋体"/>
                      <w:sz w:val="24"/>
                    </w:rPr>
                    <w:t>, 避免问题再度发生。</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数据库产品</w:t>
                  </w:r>
                </w:p>
                <w:p>
                  <w:pPr>
                    <w:pStyle w:val="null3"/>
                    <w:jc w:val="left"/>
                  </w:pPr>
                  <w:r>
                    <w:rPr>
                      <w:rFonts w:ascii="宋体" w:hAnsi="宋体" w:cs="宋体" w:eastAsia="宋体"/>
                      <w:sz w:val="24"/>
                    </w:rPr>
                    <w:t>现场服务响应</w:t>
                  </w:r>
                </w:p>
              </w:tc>
              <w:tc>
                <w:tcPr>
                  <w:tcW w:type="dxa" w:w="1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数据库宕机</w:t>
                  </w:r>
                </w:p>
                <w:p>
                  <w:pPr>
                    <w:pStyle w:val="null3"/>
                    <w:jc w:val="left"/>
                  </w:pPr>
                  <w:r>
                    <w:rPr>
                      <w:rFonts w:ascii="宋体" w:hAnsi="宋体" w:cs="宋体" w:eastAsia="宋体"/>
                      <w:sz w:val="24"/>
                    </w:rPr>
                    <w:t>数据坏块</w:t>
                  </w:r>
                </w:p>
                <w:p>
                  <w:pPr>
                    <w:pStyle w:val="null3"/>
                    <w:jc w:val="left"/>
                  </w:pPr>
                  <w:r>
                    <w:rPr>
                      <w:rFonts w:ascii="宋体" w:hAnsi="宋体" w:cs="宋体" w:eastAsia="宋体"/>
                      <w:sz w:val="24"/>
                    </w:rPr>
                    <w:t>影响业务不能进行的产品问题</w:t>
                  </w:r>
                </w:p>
                <w:p>
                  <w:pPr>
                    <w:pStyle w:val="null3"/>
                    <w:jc w:val="left"/>
                  </w:pPr>
                  <w:r>
                    <w:rPr>
                      <w:rFonts w:ascii="宋体" w:hAnsi="宋体" w:cs="宋体" w:eastAsia="宋体"/>
                      <w:sz w:val="24"/>
                    </w:rPr>
                    <w:t>软件产品的更新及维护。</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数据库产品</w:t>
                  </w:r>
                </w:p>
                <w:p>
                  <w:pPr>
                    <w:pStyle w:val="null3"/>
                    <w:jc w:val="left"/>
                  </w:pPr>
                  <w:r>
                    <w:rPr>
                      <w:rFonts w:ascii="宋体" w:hAnsi="宋体" w:cs="宋体" w:eastAsia="宋体"/>
                      <w:sz w:val="24"/>
                    </w:rPr>
                    <w:t>系统健康检查</w:t>
                  </w:r>
                </w:p>
              </w:tc>
              <w:tc>
                <w:tcPr>
                  <w:tcW w:type="dxa" w:w="1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对系统的配置及运作框架提出建议，以帮助您得到一个更坚强可靠的运作环境</w:t>
                  </w:r>
                </w:p>
                <w:p>
                  <w:pPr>
                    <w:pStyle w:val="null3"/>
                    <w:jc w:val="left"/>
                  </w:pPr>
                  <w:r>
                    <w:rPr>
                      <w:rFonts w:ascii="宋体" w:hAnsi="宋体" w:cs="宋体" w:eastAsia="宋体"/>
                      <w:sz w:val="24"/>
                    </w:rPr>
                    <w:t>降低系统潜在的风险，包括数据丢失、安全漏洞、系统崩溃、性能降低及资源紧张</w:t>
                  </w:r>
                </w:p>
                <w:p>
                  <w:pPr>
                    <w:pStyle w:val="null3"/>
                    <w:jc w:val="left"/>
                  </w:pPr>
                  <w:r>
                    <w:rPr>
                      <w:rFonts w:ascii="宋体" w:hAnsi="宋体" w:cs="宋体" w:eastAsia="宋体"/>
                      <w:sz w:val="24"/>
                    </w:rPr>
                    <w:t>检查并分析系统日志及跟踪文件，发现并排除数据库系统错误隐患</w:t>
                  </w:r>
                </w:p>
                <w:p>
                  <w:pPr>
                    <w:pStyle w:val="null3"/>
                    <w:jc w:val="left"/>
                  </w:pPr>
                  <w:r>
                    <w:rPr>
                      <w:rFonts w:ascii="宋体" w:hAnsi="宋体" w:cs="宋体" w:eastAsia="宋体"/>
                      <w:sz w:val="24"/>
                    </w:rPr>
                    <w:t>检查数据库系统是否需要应用最新的补丁集</w:t>
                  </w:r>
                </w:p>
                <w:p>
                  <w:pPr>
                    <w:pStyle w:val="null3"/>
                    <w:jc w:val="left"/>
                  </w:pPr>
                  <w:r>
                    <w:rPr>
                      <w:rFonts w:ascii="宋体" w:hAnsi="宋体" w:cs="宋体" w:eastAsia="宋体"/>
                      <w:sz w:val="24"/>
                    </w:rPr>
                    <w:t>检查数据库空间的使用情况</w:t>
                  </w:r>
                </w:p>
                <w:p>
                  <w:pPr>
                    <w:pStyle w:val="null3"/>
                    <w:jc w:val="left"/>
                  </w:pPr>
                  <w:r>
                    <w:rPr>
                      <w:rFonts w:ascii="宋体" w:hAnsi="宋体" w:cs="宋体" w:eastAsia="宋体"/>
                      <w:sz w:val="24"/>
                    </w:rPr>
                    <w:t>检查数据库备份的完整性</w:t>
                  </w:r>
                </w:p>
                <w:p>
                  <w:pPr>
                    <w:pStyle w:val="null3"/>
                    <w:jc w:val="left"/>
                  </w:pPr>
                  <w:r>
                    <w:rPr>
                      <w:rFonts w:ascii="宋体" w:hAnsi="宋体" w:cs="宋体" w:eastAsia="宋体"/>
                      <w:sz w:val="24"/>
                    </w:rPr>
                    <w:t>监控数据库性能</w:t>
                  </w:r>
                </w:p>
                <w:p>
                  <w:pPr>
                    <w:pStyle w:val="null3"/>
                    <w:jc w:val="left"/>
                  </w:pPr>
                  <w:r>
                    <w:rPr>
                      <w:rFonts w:ascii="宋体" w:hAnsi="宋体" w:cs="宋体" w:eastAsia="宋体"/>
                      <w:sz w:val="24"/>
                    </w:rPr>
                    <w:t>通过改善系统环境的稳定性来降低潜在的系统宕机时间</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数据库产品</w:t>
                  </w:r>
                </w:p>
                <w:p>
                  <w:pPr>
                    <w:pStyle w:val="null3"/>
                    <w:jc w:val="left"/>
                  </w:pPr>
                  <w:r>
                    <w:rPr>
                      <w:rFonts w:ascii="宋体" w:hAnsi="宋体" w:cs="宋体" w:eastAsia="宋体"/>
                      <w:sz w:val="24"/>
                    </w:rPr>
                    <w:t>性能调优</w:t>
                  </w:r>
                </w:p>
              </w:tc>
              <w:tc>
                <w:tcPr>
                  <w:tcW w:type="dxa" w:w="1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分析用户的应用类型和用户行为</w:t>
                  </w:r>
                </w:p>
                <w:p>
                  <w:pPr>
                    <w:pStyle w:val="null3"/>
                    <w:jc w:val="left"/>
                  </w:pPr>
                  <w:r>
                    <w:rPr>
                      <w:rFonts w:ascii="宋体" w:hAnsi="宋体" w:cs="宋体" w:eastAsia="宋体"/>
                      <w:sz w:val="24"/>
                    </w:rPr>
                    <w:t>评价并修改数据库的参数设置</w:t>
                  </w:r>
                </w:p>
                <w:p>
                  <w:pPr>
                    <w:pStyle w:val="null3"/>
                    <w:jc w:val="left"/>
                  </w:pPr>
                  <w:r>
                    <w:rPr>
                      <w:rFonts w:ascii="宋体" w:hAnsi="宋体" w:cs="宋体" w:eastAsia="宋体"/>
                      <w:sz w:val="24"/>
                    </w:rPr>
                    <w:t>评价并调整数据库的数据分布</w:t>
                  </w:r>
                </w:p>
                <w:p>
                  <w:pPr>
                    <w:pStyle w:val="null3"/>
                    <w:jc w:val="left"/>
                  </w:pPr>
                  <w:r>
                    <w:rPr>
                      <w:rFonts w:ascii="宋体" w:hAnsi="宋体" w:cs="宋体" w:eastAsia="宋体"/>
                      <w:sz w:val="24"/>
                    </w:rPr>
                    <w:t>评价应用对硬件和系统的使用情况，并提出建议</w:t>
                  </w:r>
                </w:p>
                <w:p>
                  <w:pPr>
                    <w:pStyle w:val="null3"/>
                    <w:jc w:val="left"/>
                  </w:pPr>
                  <w:r>
                    <w:rPr>
                      <w:rFonts w:ascii="宋体" w:hAnsi="宋体" w:cs="宋体" w:eastAsia="宋体"/>
                      <w:sz w:val="24"/>
                    </w:rPr>
                    <w:t>利用先进的性能调整工具实施数据库的性能调整</w:t>
                  </w:r>
                </w:p>
                <w:p>
                  <w:pPr>
                    <w:pStyle w:val="null3"/>
                    <w:jc w:val="left"/>
                  </w:pPr>
                  <w:r>
                    <w:rPr>
                      <w:rFonts w:ascii="宋体" w:hAnsi="宋体" w:cs="宋体" w:eastAsia="宋体"/>
                      <w:sz w:val="24"/>
                    </w:rPr>
                    <w:t>培训用户有关性能调整的概念</w:t>
                  </w:r>
                </w:p>
                <w:p>
                  <w:pPr>
                    <w:pStyle w:val="null3"/>
                    <w:jc w:val="left"/>
                  </w:pPr>
                  <w:r>
                    <w:rPr>
                      <w:rFonts w:ascii="宋体" w:hAnsi="宋体" w:cs="宋体" w:eastAsia="宋体"/>
                      <w:sz w:val="24"/>
                    </w:rPr>
                    <w:t>提供用户完整的性能调整报告和解决方法</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宋体" w:hAnsi="宋体" w:cs="宋体" w:eastAsia="宋体"/>
                <w:sz w:val="24"/>
              </w:rPr>
              <w:t>3）</w:t>
            </w:r>
            <w:r>
              <w:rPr>
                <w:rFonts w:ascii="宋体" w:hAnsi="宋体" w:cs="宋体" w:eastAsia="宋体"/>
                <w:sz w:val="24"/>
              </w:rPr>
              <w:t>中间件运维服务</w:t>
            </w:r>
          </w:p>
          <w:p>
            <w:pPr>
              <w:pStyle w:val="null3"/>
              <w:ind w:firstLine="480"/>
              <w:jc w:val="both"/>
            </w:pPr>
            <w:r>
              <w:rPr>
                <w:rFonts w:ascii="宋体" w:hAnsi="宋体" w:cs="宋体" w:eastAsia="宋体"/>
                <w:sz w:val="24"/>
              </w:rPr>
              <w:t>中间件管理是指对久其中间件的日常维护管理和监控工作，提高对中间件平台事件的分析解决能力，确保中间件平台持续稳定运行。中间件监控指标包括配置信息管理、故障监控、性能监控。</w:t>
            </w:r>
          </w:p>
          <w:p>
            <w:pPr>
              <w:pStyle w:val="null3"/>
              <w:numPr>
                <w:ilvl w:val="0"/>
                <w:numId w:val="2"/>
              </w:numPr>
              <w:jc w:val="both"/>
            </w:pPr>
            <w:r>
              <w:rPr>
                <w:rFonts w:ascii="宋体" w:hAnsi="宋体" w:cs="宋体" w:eastAsia="宋体"/>
                <w:sz w:val="24"/>
              </w:rPr>
              <w:t>执行线程：监控中间件配置执行线程的空闲数量。</w:t>
            </w:r>
          </w:p>
          <w:p>
            <w:pPr>
              <w:pStyle w:val="null3"/>
              <w:numPr>
                <w:ilvl w:val="0"/>
                <w:numId w:val="2"/>
              </w:numPr>
              <w:jc w:val="both"/>
            </w:pPr>
            <w:r>
              <w:rPr>
                <w:rFonts w:ascii="宋体" w:hAnsi="宋体" w:cs="宋体" w:eastAsia="宋体"/>
                <w:sz w:val="24"/>
              </w:rPr>
              <w:t>JVM内存：JVM内存曲线正常，能够及时的进行内存空间回收。</w:t>
            </w:r>
          </w:p>
          <w:p>
            <w:pPr>
              <w:pStyle w:val="null3"/>
              <w:numPr>
                <w:ilvl w:val="0"/>
                <w:numId w:val="2"/>
              </w:numPr>
              <w:jc w:val="both"/>
            </w:pPr>
            <w:r>
              <w:rPr>
                <w:rFonts w:ascii="宋体" w:hAnsi="宋体" w:cs="宋体" w:eastAsia="宋体"/>
                <w:sz w:val="24"/>
              </w:rPr>
              <w:t>JDBC连接池：连接池的初始容量和最大容量应该设置为相等，并且至少等于执行线程的数量，以避免在运行过程中创建数据库连接所带来的性能消耗。</w:t>
            </w:r>
          </w:p>
          <w:p>
            <w:pPr>
              <w:pStyle w:val="null3"/>
              <w:numPr>
                <w:ilvl w:val="0"/>
                <w:numId w:val="2"/>
              </w:numPr>
              <w:jc w:val="both"/>
            </w:pPr>
            <w:r>
              <w:rPr>
                <w:rFonts w:ascii="宋体" w:hAnsi="宋体" w:cs="宋体" w:eastAsia="宋体"/>
                <w:sz w:val="24"/>
              </w:rPr>
              <w:t>检查日志文件是否有异常报错</w:t>
            </w:r>
          </w:p>
          <w:p>
            <w:pPr>
              <w:pStyle w:val="null3"/>
              <w:ind w:firstLine="480"/>
              <w:jc w:val="both"/>
            </w:pPr>
            <w:r>
              <w:rPr>
                <w:rFonts w:ascii="宋体" w:hAnsi="宋体" w:cs="宋体" w:eastAsia="宋体"/>
                <w:sz w:val="24"/>
              </w:rPr>
              <w:t>检查中间件集群的配置是否正常。</w:t>
            </w:r>
          </w:p>
          <w:p>
            <w:pPr>
              <w:pStyle w:val="null3"/>
              <w:ind w:firstLine="480"/>
              <w:jc w:val="both"/>
            </w:pPr>
            <w:r>
              <w:rPr>
                <w:rFonts w:ascii="宋体" w:hAnsi="宋体" w:cs="宋体" w:eastAsia="宋体"/>
                <w:sz w:val="24"/>
              </w:rPr>
              <w:t>2</w:t>
            </w:r>
            <w:r>
              <w:rPr>
                <w:rFonts w:ascii="宋体" w:hAnsi="宋体" w:cs="宋体" w:eastAsia="宋体"/>
                <w:sz w:val="24"/>
              </w:rPr>
              <w:t>、前端设备分布</w:t>
            </w:r>
          </w:p>
          <w:p>
            <w:pPr>
              <w:pStyle w:val="null3"/>
              <w:ind w:firstLine="480"/>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w:t>
            </w:r>
            <w:r>
              <w:rPr>
                <w:rFonts w:ascii="宋体" w:hAnsi="宋体" w:cs="宋体" w:eastAsia="宋体"/>
                <w:sz w:val="24"/>
              </w:rPr>
              <w:t>前端设备分布场所如下：</w:t>
            </w:r>
          </w:p>
          <w:tbl>
            <w:tblPr>
              <w:tblBorders>
                <w:top w:val="none" w:color="000000" w:sz="4"/>
                <w:left w:val="none" w:color="000000" w:sz="4"/>
                <w:bottom w:val="none" w:color="000000" w:sz="4"/>
                <w:right w:val="none" w:color="000000" w:sz="4"/>
                <w:insideH w:val="none"/>
                <w:insideV w:val="none"/>
              </w:tblBorders>
            </w:tblPr>
            <w:tblGrid>
              <w:gridCol w:w="262"/>
              <w:gridCol w:w="2290"/>
            </w:tblGrid>
            <w:tr>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序号</w:t>
                  </w:r>
                </w:p>
              </w:tc>
              <w:tc>
                <w:tcPr>
                  <w:tcW w:type="dxa" w:w="2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十四运项目前端点位分布地点</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陕西省体育场</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2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陕西省奥体中心、陕西省体育训练中心、赛事指挥中心和新闻中心</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2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西安秦岭高尔夫俱乐部</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2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常宁生态体育训练比赛基地</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2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西安城市运动公园</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2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阎良区富阎综合户外攀岩、动滑板运动场地</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2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西北大学长安校区</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2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西北工业大学翱翔体育馆</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2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西安体育学院</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2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西安电子科技大学南校区</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2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西安中学体育馆</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2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临潼区西安工程大学文体楼</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w:t>
                  </w:r>
                </w:p>
              </w:tc>
              <w:tc>
                <w:tcPr>
                  <w:tcW w:type="dxa" w:w="2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西安北站</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w:t>
                  </w:r>
                </w:p>
              </w:tc>
              <w:tc>
                <w:tcPr>
                  <w:tcW w:type="dxa" w:w="2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鄠邑站</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w:t>
                  </w:r>
                </w:p>
              </w:tc>
              <w:tc>
                <w:tcPr>
                  <w:tcW w:type="dxa" w:w="2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引镇站</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16</w:t>
                  </w:r>
                </w:p>
              </w:tc>
              <w:tc>
                <w:tcPr>
                  <w:tcW w:type="dxa" w:w="2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西安站</w:t>
                  </w:r>
                </w:p>
              </w:tc>
            </w:tr>
          </w:tbl>
          <w:p>
            <w:pPr>
              <w:pStyle w:val="null3"/>
              <w:ind w:firstLine="480"/>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w:t>
            </w:r>
            <w:r>
              <w:rPr>
                <w:rFonts w:ascii="宋体" w:hAnsi="宋体" w:cs="宋体" w:eastAsia="宋体"/>
                <w:sz w:val="24"/>
              </w:rPr>
              <w:t>设备巡检：</w:t>
            </w:r>
          </w:p>
          <w:p>
            <w:pPr>
              <w:pStyle w:val="null3"/>
              <w:ind w:firstLine="480"/>
              <w:jc w:val="both"/>
            </w:pPr>
            <w:r>
              <w:rPr>
                <w:rFonts w:ascii="宋体" w:hAnsi="宋体" w:cs="宋体" w:eastAsia="宋体"/>
                <w:sz w:val="24"/>
              </w:rPr>
              <w:t>1）结构完整，安装符合技术规范要求，部件齐全，设备清洁；</w:t>
            </w:r>
          </w:p>
          <w:p>
            <w:pPr>
              <w:pStyle w:val="null3"/>
              <w:ind w:firstLine="480"/>
              <w:jc w:val="both"/>
            </w:pPr>
            <w:r>
              <w:rPr>
                <w:rFonts w:ascii="宋体" w:hAnsi="宋体" w:cs="宋体" w:eastAsia="宋体"/>
                <w:sz w:val="24"/>
              </w:rPr>
              <w:t>2）监视网络传输设备的负载状况，包括各端口的负载状况；</w:t>
            </w:r>
          </w:p>
          <w:p>
            <w:pPr>
              <w:pStyle w:val="null3"/>
              <w:ind w:firstLine="480"/>
              <w:jc w:val="both"/>
            </w:pPr>
            <w:r>
              <w:rPr>
                <w:rFonts w:ascii="宋体" w:hAnsi="宋体" w:cs="宋体" w:eastAsia="宋体"/>
                <w:sz w:val="24"/>
              </w:rPr>
              <w:t>3）根据网管监控设备实时告警信息，发现异常状况，及时处理；</w:t>
            </w:r>
          </w:p>
          <w:p>
            <w:pPr>
              <w:pStyle w:val="null3"/>
              <w:ind w:firstLine="480"/>
              <w:jc w:val="both"/>
            </w:pPr>
            <w:r>
              <w:rPr>
                <w:rFonts w:ascii="宋体" w:hAnsi="宋体" w:cs="宋体" w:eastAsia="宋体"/>
                <w:sz w:val="24"/>
              </w:rPr>
              <w:t>4）对租用链路需监视租用网络的负载状况，包括各端口的负载状况；</w:t>
            </w:r>
          </w:p>
          <w:p>
            <w:pPr>
              <w:pStyle w:val="null3"/>
              <w:ind w:firstLine="480"/>
              <w:jc w:val="both"/>
            </w:pPr>
            <w:r>
              <w:rPr>
                <w:rFonts w:ascii="宋体" w:hAnsi="宋体" w:cs="宋体" w:eastAsia="宋体"/>
                <w:sz w:val="24"/>
              </w:rPr>
              <w:t>5）检查租用网络性能，应符合运营商承诺的技术指标要求，达不到技术指标要求时，及时与运营商联系解决。</w:t>
            </w:r>
          </w:p>
          <w:p>
            <w:pPr>
              <w:pStyle w:val="null3"/>
              <w:ind w:firstLine="480"/>
              <w:jc w:val="both"/>
            </w:pPr>
            <w:r>
              <w:rPr>
                <w:rFonts w:ascii="宋体" w:hAnsi="宋体" w:cs="宋体" w:eastAsia="宋体"/>
                <w:sz w:val="24"/>
              </w:rPr>
              <w:t>（</w:t>
            </w:r>
            <w:r>
              <w:rPr>
                <w:rFonts w:ascii="宋体" w:hAnsi="宋体" w:cs="宋体" w:eastAsia="宋体"/>
                <w:sz w:val="24"/>
              </w:rPr>
              <w:t>3</w:t>
            </w:r>
            <w:r>
              <w:rPr>
                <w:rFonts w:ascii="宋体" w:hAnsi="宋体" w:cs="宋体" w:eastAsia="宋体"/>
                <w:sz w:val="24"/>
              </w:rPr>
              <w:t>）</w:t>
            </w:r>
            <w:r>
              <w:rPr>
                <w:rFonts w:ascii="宋体" w:hAnsi="宋体" w:cs="宋体" w:eastAsia="宋体"/>
                <w:sz w:val="24"/>
              </w:rPr>
              <w:t>设备运维：</w:t>
            </w:r>
          </w:p>
          <w:p>
            <w:pPr>
              <w:pStyle w:val="null3"/>
              <w:ind w:firstLine="480"/>
              <w:jc w:val="both"/>
            </w:pPr>
            <w:r>
              <w:rPr>
                <w:rFonts w:ascii="宋体" w:hAnsi="宋体" w:cs="宋体" w:eastAsia="宋体"/>
                <w:sz w:val="24"/>
              </w:rPr>
              <w:t>通过运维平台对其前端进行状态监测，主要包括：部分离线、二次离线态、频繁离线、图像质量等维度进行监测。对其点位信息更具不同情况进行数据统计分析。主要包括设备故障、机箱故障、链路故障、其他技术故障、资产损坏。</w:t>
            </w:r>
          </w:p>
          <w:p>
            <w:pPr>
              <w:pStyle w:val="null3"/>
              <w:ind w:firstLine="480"/>
              <w:jc w:val="both"/>
            </w:pPr>
            <w:r>
              <w:rPr>
                <w:rFonts w:ascii="宋体" w:hAnsi="宋体" w:cs="宋体" w:eastAsia="宋体"/>
                <w:sz w:val="24"/>
              </w:rPr>
              <w:t>前端电费：前端设备用电费用包含在本次项目总费中，主要包括对前端设备用电单位，主要包括私户、物业、学校、车站、国网等单位进行对接，按时缴纳前端设备用电电费并输出相关管理台账。</w:t>
            </w:r>
          </w:p>
          <w:p>
            <w:pPr>
              <w:pStyle w:val="null3"/>
              <w:ind w:firstLine="480"/>
              <w:jc w:val="both"/>
            </w:pPr>
            <w:r>
              <w:rPr>
                <w:rFonts w:ascii="宋体" w:hAnsi="宋体" w:cs="宋体" w:eastAsia="宋体"/>
                <w:sz w:val="24"/>
              </w:rPr>
              <w:t>前端网络链路租赁费：链路租赁费用包含在本次项目总费用中，主要包括对前端设备网络链路租用管理及费用缴纳，；对接移动、电信、联通运营商管理前端设备网络链路管理及费用按时缴纳并输出相关管理台账。</w:t>
            </w:r>
          </w:p>
          <w:p>
            <w:pPr>
              <w:pStyle w:val="null3"/>
              <w:ind w:firstLine="480"/>
              <w:jc w:val="both"/>
            </w:pPr>
            <w:r>
              <w:rPr>
                <w:rFonts w:ascii="宋体" w:hAnsi="宋体" w:cs="宋体" w:eastAsia="宋体"/>
                <w:sz w:val="24"/>
              </w:rPr>
              <w:t>3</w:t>
            </w:r>
            <w:r>
              <w:rPr>
                <w:rFonts w:ascii="宋体" w:hAnsi="宋体" w:cs="宋体" w:eastAsia="宋体"/>
                <w:sz w:val="24"/>
              </w:rPr>
              <w:t>、驻场服务要求</w:t>
            </w:r>
          </w:p>
          <w:p>
            <w:pPr>
              <w:pStyle w:val="null3"/>
              <w:ind w:firstLine="480"/>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w:t>
            </w:r>
            <w:r>
              <w:rPr>
                <w:rFonts w:ascii="宋体" w:hAnsi="宋体" w:cs="宋体" w:eastAsia="宋体"/>
                <w:sz w:val="24"/>
              </w:rPr>
              <w:t>运维服务商提供不少于</w:t>
            </w:r>
            <w:r>
              <w:rPr>
                <w:rFonts w:ascii="宋体" w:hAnsi="宋体" w:cs="宋体" w:eastAsia="宋体"/>
                <w:sz w:val="24"/>
              </w:rPr>
              <w:t>2名经验丰富的运维服务工程师7x12小时现场值守服务（含周六和周日）。</w:t>
            </w:r>
          </w:p>
          <w:p>
            <w:pPr>
              <w:pStyle w:val="null3"/>
              <w:ind w:firstLine="480"/>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w:t>
            </w:r>
            <w:r>
              <w:rPr>
                <w:rFonts w:ascii="宋体" w:hAnsi="宋体" w:cs="宋体" w:eastAsia="宋体"/>
                <w:sz w:val="24"/>
              </w:rPr>
              <w:t>在驻场服务期间，按照我方指定地点进行现场办公，随时响应现场需求，对系统运行状态进行巡检维护、定期监测、数据维护、软件升级、硬件故障定位及排除、规范驻场运维服务操作流程等。</w:t>
            </w:r>
          </w:p>
          <w:p>
            <w:pPr>
              <w:pStyle w:val="null3"/>
              <w:ind w:firstLine="480"/>
              <w:jc w:val="both"/>
            </w:pPr>
            <w:r>
              <w:rPr>
                <w:rFonts w:ascii="宋体" w:hAnsi="宋体" w:cs="宋体" w:eastAsia="宋体"/>
                <w:sz w:val="24"/>
              </w:rPr>
              <w:t>（</w:t>
            </w:r>
            <w:r>
              <w:rPr>
                <w:rFonts w:ascii="宋体" w:hAnsi="宋体" w:cs="宋体" w:eastAsia="宋体"/>
                <w:sz w:val="24"/>
              </w:rPr>
              <w:t>3</w:t>
            </w:r>
            <w:r>
              <w:rPr>
                <w:rFonts w:ascii="宋体" w:hAnsi="宋体" w:cs="宋体" w:eastAsia="宋体"/>
                <w:sz w:val="24"/>
              </w:rPr>
              <w:t>）</w:t>
            </w:r>
            <w:r>
              <w:rPr>
                <w:rFonts w:ascii="宋体" w:hAnsi="宋体" w:cs="宋体" w:eastAsia="宋体"/>
                <w:sz w:val="24"/>
              </w:rPr>
              <w:t>配合完成市局其他和本项目相关的支撑工作。</w:t>
            </w:r>
          </w:p>
          <w:p>
            <w:pPr>
              <w:pStyle w:val="null3"/>
              <w:ind w:firstLine="480"/>
              <w:jc w:val="both"/>
            </w:pPr>
            <w:r>
              <w:rPr>
                <w:rFonts w:ascii="宋体" w:hAnsi="宋体" w:cs="宋体" w:eastAsia="宋体"/>
                <w:sz w:val="24"/>
              </w:rPr>
              <w:t>（</w:t>
            </w:r>
            <w:r>
              <w:rPr>
                <w:rFonts w:ascii="宋体" w:hAnsi="宋体" w:cs="宋体" w:eastAsia="宋体"/>
                <w:sz w:val="24"/>
              </w:rPr>
              <w:t>4</w:t>
            </w:r>
            <w:r>
              <w:rPr>
                <w:rFonts w:ascii="宋体" w:hAnsi="宋体" w:cs="宋体" w:eastAsia="宋体"/>
                <w:sz w:val="24"/>
              </w:rPr>
              <w:t>）</w:t>
            </w:r>
            <w:r>
              <w:rPr>
                <w:rFonts w:ascii="宋体" w:hAnsi="宋体" w:cs="宋体" w:eastAsia="宋体"/>
                <w:sz w:val="24"/>
              </w:rPr>
              <w:t>统筹项目运维团队，包括数据中心和前端运维人员工作，按月进行汇报并形成运维报告。</w:t>
            </w:r>
          </w:p>
          <w:p>
            <w:pPr>
              <w:pStyle w:val="null3"/>
              <w:ind w:firstLine="480"/>
              <w:jc w:val="both"/>
            </w:pPr>
            <w:r>
              <w:rPr>
                <w:rFonts w:ascii="宋体" w:hAnsi="宋体" w:cs="宋体" w:eastAsia="宋体"/>
                <w:sz w:val="24"/>
              </w:rPr>
              <w:t>4</w:t>
            </w:r>
            <w:r>
              <w:rPr>
                <w:rFonts w:ascii="宋体" w:hAnsi="宋体" w:cs="宋体" w:eastAsia="宋体"/>
                <w:sz w:val="24"/>
              </w:rPr>
              <w:t>、响应时间</w:t>
            </w:r>
          </w:p>
          <w:p>
            <w:pPr>
              <w:pStyle w:val="null3"/>
              <w:ind w:firstLine="480"/>
              <w:jc w:val="both"/>
            </w:pPr>
            <w:r>
              <w:rPr>
                <w:rFonts w:ascii="宋体" w:hAnsi="宋体" w:cs="宋体" w:eastAsia="宋体"/>
                <w:sz w:val="24"/>
              </w:rPr>
              <w:t>运维单位需组织多人的专业团队，提供本项目</w:t>
            </w:r>
            <w:r>
              <w:rPr>
                <w:rFonts w:ascii="宋体" w:hAnsi="宋体" w:cs="宋体" w:eastAsia="宋体"/>
                <w:sz w:val="24"/>
              </w:rPr>
              <w:t>1年期 7*24小时服务，由西安市公安局根据项目运维情况组织进行考核。</w:t>
            </w:r>
          </w:p>
          <w:p>
            <w:pPr>
              <w:pStyle w:val="null3"/>
              <w:ind w:firstLine="480"/>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w:t>
            </w:r>
            <w:r>
              <w:rPr>
                <w:rFonts w:ascii="宋体" w:hAnsi="宋体" w:cs="宋体" w:eastAsia="宋体"/>
                <w:sz w:val="24"/>
              </w:rPr>
              <w:t>考核评价范围</w:t>
            </w:r>
          </w:p>
          <w:p>
            <w:pPr>
              <w:pStyle w:val="null3"/>
              <w:ind w:firstLine="480"/>
              <w:jc w:val="both"/>
            </w:pPr>
            <w:r>
              <w:rPr>
                <w:rFonts w:ascii="宋体" w:hAnsi="宋体" w:cs="宋体" w:eastAsia="宋体"/>
                <w:sz w:val="24"/>
              </w:rPr>
              <w:t>包括本项目所有运维服务内容。运营维护绩效考核周期以季度为单位。</w:t>
            </w:r>
          </w:p>
          <w:p>
            <w:pPr>
              <w:pStyle w:val="null3"/>
              <w:ind w:firstLine="480"/>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w:t>
            </w:r>
            <w:r>
              <w:rPr>
                <w:rFonts w:ascii="宋体" w:hAnsi="宋体" w:cs="宋体" w:eastAsia="宋体"/>
                <w:sz w:val="24"/>
              </w:rPr>
              <w:t>整体运维</w:t>
            </w:r>
            <w:r>
              <w:rPr>
                <w:rFonts w:ascii="宋体" w:hAnsi="宋体" w:cs="宋体" w:eastAsia="宋体"/>
                <w:sz w:val="24"/>
              </w:rPr>
              <w:t>指标要求</w:t>
            </w:r>
          </w:p>
          <w:p>
            <w:pPr>
              <w:pStyle w:val="null3"/>
              <w:ind w:firstLine="480"/>
              <w:jc w:val="both"/>
            </w:pPr>
            <w:r>
              <w:rPr>
                <w:rFonts w:ascii="宋体" w:hAnsi="宋体" w:cs="宋体" w:eastAsia="宋体"/>
                <w:sz w:val="24"/>
              </w:rPr>
              <w:t>1）</w:t>
            </w:r>
            <w:r>
              <w:rPr>
                <w:rFonts w:ascii="宋体" w:hAnsi="宋体" w:cs="宋体" w:eastAsia="宋体"/>
                <w:sz w:val="24"/>
              </w:rPr>
              <w:t>在线率要求</w:t>
            </w:r>
          </w:p>
          <w:p>
            <w:pPr>
              <w:pStyle w:val="null3"/>
              <w:ind w:firstLine="480"/>
              <w:jc w:val="both"/>
            </w:pPr>
            <w:r>
              <w:rPr>
                <w:rFonts w:ascii="宋体" w:hAnsi="宋体" w:cs="宋体" w:eastAsia="宋体"/>
                <w:sz w:val="24"/>
              </w:rPr>
              <w:t>前端设备在线率要求不低于</w:t>
            </w:r>
            <w:r>
              <w:rPr>
                <w:rFonts w:ascii="宋体" w:hAnsi="宋体" w:cs="宋体" w:eastAsia="宋体"/>
                <w:sz w:val="24"/>
              </w:rPr>
              <w:t>95%。</w:t>
            </w:r>
          </w:p>
          <w:p>
            <w:pPr>
              <w:pStyle w:val="null3"/>
              <w:ind w:firstLine="480"/>
              <w:jc w:val="both"/>
            </w:pPr>
            <w:r>
              <w:rPr>
                <w:rFonts w:ascii="宋体" w:hAnsi="宋体" w:cs="宋体" w:eastAsia="宋体"/>
                <w:sz w:val="24"/>
              </w:rPr>
              <w:t>2）</w:t>
            </w:r>
            <w:r>
              <w:rPr>
                <w:rFonts w:ascii="宋体" w:hAnsi="宋体" w:cs="宋体" w:eastAsia="宋体"/>
                <w:sz w:val="24"/>
              </w:rPr>
              <w:t>完好率要求</w:t>
            </w:r>
          </w:p>
          <w:p>
            <w:pPr>
              <w:pStyle w:val="null3"/>
              <w:ind w:firstLine="480"/>
              <w:jc w:val="both"/>
            </w:pPr>
            <w:r>
              <w:rPr>
                <w:rFonts w:ascii="宋体" w:hAnsi="宋体" w:cs="宋体" w:eastAsia="宋体"/>
                <w:sz w:val="24"/>
              </w:rPr>
              <w:t>所有在线的设备要求完好率不低于</w:t>
            </w:r>
            <w:r>
              <w:rPr>
                <w:rFonts w:ascii="宋体" w:hAnsi="宋体" w:cs="宋体" w:eastAsia="宋体"/>
                <w:sz w:val="24"/>
              </w:rPr>
              <w:t>98%。</w:t>
            </w:r>
          </w:p>
          <w:p>
            <w:pPr>
              <w:pStyle w:val="null3"/>
              <w:ind w:firstLine="480"/>
              <w:jc w:val="both"/>
            </w:pPr>
            <w:r>
              <w:rPr>
                <w:rFonts w:ascii="宋体" w:hAnsi="宋体" w:cs="宋体" w:eastAsia="宋体"/>
                <w:sz w:val="24"/>
              </w:rPr>
              <w:t>3）</w:t>
            </w:r>
            <w:r>
              <w:rPr>
                <w:rFonts w:ascii="宋体" w:hAnsi="宋体" w:cs="宋体" w:eastAsia="宋体"/>
                <w:sz w:val="24"/>
              </w:rPr>
              <w:t>其他指标要求</w:t>
            </w:r>
          </w:p>
          <w:p>
            <w:pPr>
              <w:pStyle w:val="null3"/>
              <w:ind w:firstLine="480"/>
              <w:jc w:val="both"/>
            </w:pPr>
            <w:r>
              <w:rPr>
                <w:rFonts w:ascii="宋体" w:hAnsi="宋体" w:cs="宋体" w:eastAsia="宋体"/>
                <w:sz w:val="24"/>
              </w:rPr>
              <w:t>满足各项标准规范要求和实际使用要求。</w:t>
            </w:r>
          </w:p>
          <w:p>
            <w:pPr>
              <w:pStyle w:val="null3"/>
              <w:ind w:firstLine="480"/>
              <w:jc w:val="both"/>
            </w:pPr>
            <w:r>
              <w:rPr>
                <w:rFonts w:ascii="宋体" w:hAnsi="宋体" w:cs="宋体" w:eastAsia="宋体"/>
                <w:sz w:val="24"/>
              </w:rPr>
              <w:t>4）</w:t>
            </w:r>
            <w:r>
              <w:rPr>
                <w:rFonts w:ascii="宋体" w:hAnsi="宋体" w:cs="宋体" w:eastAsia="宋体"/>
                <w:sz w:val="24"/>
              </w:rPr>
              <w:t>故障排除时间要求</w:t>
            </w:r>
          </w:p>
          <w:tbl>
            <w:tblPr>
              <w:tblBorders>
                <w:top w:val="none" w:color="000000" w:sz="4"/>
                <w:left w:val="none" w:color="000000" w:sz="4"/>
                <w:bottom w:val="none" w:color="000000" w:sz="4"/>
                <w:right w:val="none" w:color="000000" w:sz="4"/>
                <w:insideH w:val="none"/>
                <w:insideV w:val="none"/>
              </w:tblBorders>
            </w:tblPr>
            <w:tblGrid>
              <w:gridCol w:w="1009"/>
              <w:gridCol w:w="510"/>
              <w:gridCol w:w="552"/>
              <w:gridCol w:w="482"/>
            </w:tblGrid>
            <w:tr>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故障级别</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响应时间</w:t>
                  </w:r>
                </w:p>
              </w:tc>
              <w:tc>
                <w:tcPr>
                  <w:tcW w:type="dxa" w:w="5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到达现场时间</w:t>
                  </w:r>
                </w:p>
              </w:tc>
              <w:tc>
                <w:tcPr>
                  <w:tcW w:type="dxa" w:w="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修复时间</w:t>
                  </w:r>
                </w:p>
              </w:tc>
            </w:tr>
            <w:tr>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I级:属于重特大故障:其具体现象为:设备、线路全面瘫痪。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10分钟</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1个小时</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4个小时</w:t>
                  </w:r>
                </w:p>
              </w:tc>
            </w:tr>
            <w:tr>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II级:属于严重问题;其具体现象为:部分设备、线路发生故障或小面积瘫痪但不影响系统整体运行。</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30分钟</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2个小时</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8个小时</w:t>
                  </w:r>
                </w:p>
              </w:tc>
            </w:tr>
            <w:tr>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III级:属于普通问题;其具体现象为:小部分设备、线路故障或出现报错、告警或故障。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1个小时</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2个小时</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24个小时</w:t>
                  </w:r>
                </w:p>
              </w:tc>
            </w:tr>
            <w:tr>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IV级:属于轻微问题:其具体现象为:前端监控点单个摄像机故障、前端监控点传输设备或线路故障。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1个小时</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2个小时</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24个小时</w:t>
                  </w:r>
                </w:p>
              </w:tc>
            </w:tr>
          </w:tbl>
          <w:p>
            <w:pPr>
              <w:pStyle w:val="null3"/>
              <w:ind w:firstLine="480"/>
              <w:jc w:val="both"/>
            </w:pPr>
            <w:r>
              <w:rPr>
                <w:rFonts w:ascii="宋体" w:hAnsi="宋体" w:cs="宋体" w:eastAsia="宋体"/>
                <w:sz w:val="24"/>
              </w:rPr>
              <w:t>I~III级故障处理完毕后，应在三日内向采购人提交书面的故障处理报告</w:t>
            </w:r>
          </w:p>
          <w:p>
            <w:pPr>
              <w:pStyle w:val="null3"/>
              <w:ind w:firstLine="480"/>
              <w:jc w:val="both"/>
            </w:pPr>
            <w:r>
              <w:rPr>
                <w:rFonts w:ascii="宋体" w:hAnsi="宋体" w:cs="宋体" w:eastAsia="宋体"/>
                <w:sz w:val="24"/>
              </w:rPr>
              <w:t>5</w:t>
            </w:r>
            <w:r>
              <w:rPr>
                <w:rFonts w:ascii="宋体" w:hAnsi="宋体" w:cs="宋体" w:eastAsia="宋体"/>
                <w:sz w:val="24"/>
              </w:rPr>
              <w:t>、备品备件</w:t>
            </w:r>
          </w:p>
          <w:p>
            <w:pPr>
              <w:pStyle w:val="null3"/>
              <w:ind w:firstLine="480"/>
              <w:jc w:val="both"/>
            </w:pPr>
            <w:r>
              <w:rPr>
                <w:rFonts w:ascii="宋体" w:hAnsi="宋体" w:cs="宋体" w:eastAsia="宋体"/>
                <w:sz w:val="24"/>
              </w:rPr>
              <w:t>为系统的业务连续性、持续有效性、针对项目运维的前端设备需运维服务商具备本地化备品备件库，以满足设备发生故障后，有相同功能设备进行快速更换，确保重点布控区域有效布放的连续性。</w:t>
            </w:r>
          </w:p>
          <w:p>
            <w:pPr>
              <w:pStyle w:val="null3"/>
              <w:ind w:firstLine="480"/>
              <w:jc w:val="both"/>
            </w:pPr>
            <w:r>
              <w:rPr>
                <w:rFonts w:ascii="宋体" w:hAnsi="宋体" w:cs="宋体" w:eastAsia="宋体"/>
                <w:sz w:val="24"/>
              </w:rPr>
              <w:t>（</w:t>
            </w:r>
            <w:r>
              <w:rPr>
                <w:rFonts w:ascii="宋体" w:hAnsi="宋体" w:cs="宋体" w:eastAsia="宋体"/>
                <w:sz w:val="24"/>
              </w:rPr>
              <w:t>三</w:t>
            </w:r>
            <w:r>
              <w:rPr>
                <w:rFonts w:ascii="宋体" w:hAnsi="宋体" w:cs="宋体" w:eastAsia="宋体"/>
                <w:sz w:val="24"/>
              </w:rPr>
              <w:t>）编制依据</w:t>
            </w:r>
          </w:p>
          <w:p>
            <w:pPr>
              <w:pStyle w:val="null3"/>
              <w:ind w:firstLine="480"/>
              <w:jc w:val="both"/>
            </w:pPr>
            <w:r>
              <w:rPr>
                <w:rFonts w:ascii="宋体" w:hAnsi="宋体" w:cs="宋体" w:eastAsia="宋体"/>
                <w:sz w:val="24"/>
              </w:rPr>
              <w:t>第十四届全国运动会陕西省筹备委员会《第十四届全国运动会信息化建设要求与技术规范》</w:t>
            </w:r>
          </w:p>
          <w:p>
            <w:pPr>
              <w:pStyle w:val="null3"/>
              <w:ind w:firstLine="480"/>
              <w:jc w:val="both"/>
            </w:pPr>
            <w:r>
              <w:rPr>
                <w:rFonts w:ascii="宋体" w:hAnsi="宋体" w:cs="宋体" w:eastAsia="宋体"/>
                <w:sz w:val="24"/>
              </w:rPr>
              <w:t>ITSS 信息技术服务标准</w:t>
            </w:r>
          </w:p>
          <w:p>
            <w:pPr>
              <w:pStyle w:val="null3"/>
              <w:ind w:firstLine="480"/>
              <w:jc w:val="both"/>
            </w:pPr>
            <w:r>
              <w:rPr>
                <w:rFonts w:ascii="宋体" w:hAnsi="宋体" w:cs="宋体" w:eastAsia="宋体"/>
                <w:sz w:val="24"/>
              </w:rPr>
              <w:t>GB/T 19001-2000 质量管理体系要求</w:t>
            </w:r>
          </w:p>
          <w:p>
            <w:pPr>
              <w:pStyle w:val="null3"/>
              <w:ind w:firstLine="480"/>
              <w:jc w:val="both"/>
            </w:pPr>
            <w:r>
              <w:rPr>
                <w:rFonts w:ascii="宋体" w:hAnsi="宋体" w:cs="宋体" w:eastAsia="宋体"/>
                <w:sz w:val="24"/>
              </w:rPr>
              <w:t>GB/T 37961-2019 信息技术服务-服务基本要求</w:t>
            </w:r>
          </w:p>
          <w:p>
            <w:pPr>
              <w:pStyle w:val="null3"/>
              <w:ind w:firstLine="480"/>
              <w:jc w:val="both"/>
            </w:pPr>
            <w:r>
              <w:rPr>
                <w:rFonts w:ascii="宋体" w:hAnsi="宋体" w:cs="宋体" w:eastAsia="宋体"/>
                <w:sz w:val="24"/>
              </w:rPr>
              <w:t>GB/T 33850-2017 信息技术服务-质量评价指标体系</w:t>
            </w:r>
          </w:p>
          <w:p>
            <w:pPr>
              <w:pStyle w:val="null3"/>
              <w:ind w:firstLine="480"/>
              <w:jc w:val="both"/>
            </w:pPr>
            <w:r>
              <w:rPr>
                <w:rFonts w:ascii="宋体" w:hAnsi="宋体" w:cs="宋体" w:eastAsia="宋体"/>
                <w:sz w:val="24"/>
              </w:rPr>
              <w:t>GB/T 36074.2-2018 信息技术服务-服务管理-第2部分：实施指南</w:t>
            </w:r>
          </w:p>
          <w:p>
            <w:pPr>
              <w:pStyle w:val="null3"/>
              <w:ind w:firstLine="480"/>
              <w:jc w:val="both"/>
            </w:pPr>
            <w:r>
              <w:rPr>
                <w:rFonts w:ascii="宋体" w:hAnsi="宋体" w:cs="宋体" w:eastAsia="宋体"/>
                <w:sz w:val="24"/>
              </w:rPr>
              <w:t>GB/T 36074.3-2019 信息技术服务-服务管理-第3部分：技术要求</w:t>
            </w:r>
          </w:p>
          <w:p>
            <w:pPr>
              <w:pStyle w:val="null3"/>
              <w:ind w:firstLine="480"/>
              <w:jc w:val="both"/>
            </w:pPr>
            <w:r>
              <w:rPr>
                <w:rFonts w:ascii="宋体" w:hAnsi="宋体" w:cs="宋体" w:eastAsia="宋体"/>
                <w:sz w:val="24"/>
              </w:rPr>
              <w:t>GB/T 22080-2016 信息技术-安全技术-信息安全管理体系要求</w:t>
            </w:r>
          </w:p>
          <w:p>
            <w:pPr>
              <w:pStyle w:val="null3"/>
              <w:ind w:firstLine="480"/>
              <w:jc w:val="both"/>
            </w:pPr>
            <w:r>
              <w:rPr>
                <w:rFonts w:ascii="宋体" w:hAnsi="宋体" w:cs="宋体" w:eastAsia="宋体"/>
                <w:sz w:val="24"/>
              </w:rPr>
              <w:t>GB/T 28827.1-2012 信息技术服务-运行维护-第1部分：通用要求</w:t>
            </w:r>
          </w:p>
          <w:p>
            <w:pPr>
              <w:pStyle w:val="null3"/>
              <w:ind w:firstLine="480"/>
              <w:jc w:val="both"/>
            </w:pPr>
            <w:r>
              <w:rPr>
                <w:rFonts w:ascii="宋体" w:hAnsi="宋体" w:cs="宋体" w:eastAsia="宋体"/>
                <w:sz w:val="24"/>
              </w:rPr>
              <w:t>GB/T 28827.2-2012 信息技术服务-运行维护-第2部分：交付规范</w:t>
            </w:r>
          </w:p>
          <w:p>
            <w:pPr>
              <w:pStyle w:val="null3"/>
              <w:ind w:firstLine="480"/>
              <w:jc w:val="both"/>
            </w:pPr>
            <w:r>
              <w:rPr>
                <w:rFonts w:ascii="宋体" w:hAnsi="宋体" w:cs="宋体" w:eastAsia="宋体"/>
                <w:sz w:val="24"/>
              </w:rPr>
              <w:t>GB/T 28827.3-2012 信息技术服务-运行维护-第3部分：应急响应规范</w:t>
            </w:r>
          </w:p>
          <w:p>
            <w:pPr>
              <w:pStyle w:val="null3"/>
              <w:ind w:firstLine="480"/>
              <w:jc w:val="both"/>
            </w:pPr>
            <w:r>
              <w:rPr>
                <w:rFonts w:ascii="宋体" w:hAnsi="宋体" w:cs="宋体" w:eastAsia="宋体"/>
                <w:sz w:val="24"/>
              </w:rPr>
              <w:t>GB/T 28827.4-2019 信息技术服务-运行维护-第4部分：数据中心服务要求</w:t>
            </w:r>
          </w:p>
          <w:p>
            <w:pPr>
              <w:pStyle w:val="null3"/>
              <w:ind w:firstLine="480"/>
              <w:jc w:val="both"/>
            </w:pPr>
            <w:r>
              <w:rPr>
                <w:rFonts w:ascii="宋体" w:hAnsi="宋体" w:cs="宋体" w:eastAsia="宋体"/>
                <w:sz w:val="24"/>
              </w:rPr>
              <w:t>GB/T 36626-2018 信息安全技术-信息系统安全运维管理指南</w:t>
            </w:r>
          </w:p>
        </w:tc>
      </w:tr>
    </w:tbl>
    <w:p>
      <w:pPr>
        <w:pStyle w:val="null3"/>
        <w:outlineLvl w:val="2"/>
      </w:pPr>
      <w:r>
        <w:rPr>
          <w:sz w:val="28"/>
          <w:b/>
        </w:rPr>
        <w:t>3.2.3人员配置要求</w:t>
      </w:r>
    </w:p>
    <w:p>
      <w:pPr>
        <w:pStyle w:val="null3"/>
      </w:pPr>
      <w:r>
        <w:rPr/>
        <w:t>采购包1：</w:t>
      </w:r>
    </w:p>
    <w:p>
      <w:pPr>
        <w:pStyle w:val="null3"/>
      </w:pPr>
      <w:r>
        <w:rPr/>
        <w:t>/</w:t>
      </w:r>
    </w:p>
    <w:p>
      <w:pPr>
        <w:pStyle w:val="null3"/>
        <w:outlineLvl w:val="2"/>
      </w:pPr>
      <w:r>
        <w:rPr>
          <w:sz w:val="28"/>
          <w:b/>
        </w:rPr>
        <w:t>3.2.4设施设备要求</w:t>
      </w:r>
    </w:p>
    <w:p>
      <w:pPr>
        <w:pStyle w:val="null3"/>
      </w:pPr>
      <w:r>
        <w:rPr/>
        <w:t>采购包1：</w:t>
      </w:r>
    </w:p>
    <w:p>
      <w:pPr>
        <w:pStyle w:val="null3"/>
      </w:pPr>
      <w:r>
        <w:rPr/>
        <w:t>/</w:t>
      </w:r>
    </w:p>
    <w:p>
      <w:pPr>
        <w:pStyle w:val="null3"/>
        <w:outlineLvl w:val="2"/>
      </w:pPr>
      <w:r>
        <w:rPr>
          <w:sz w:val="28"/>
          <w:b/>
        </w:rPr>
        <w:t>3.2.5其他要求</w:t>
      </w:r>
    </w:p>
    <w:p>
      <w:pPr>
        <w:pStyle w:val="null3"/>
      </w:pPr>
      <w:r>
        <w:rPr/>
        <w:t>采购包1：</w:t>
      </w:r>
    </w:p>
    <w:p>
      <w:pPr>
        <w:pStyle w:val="null3"/>
      </w:pPr>
      <w:r>
        <w:rPr/>
        <w:t>详见采购文件</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运维服务期：一年（自合同签订日起计算）</w:t>
      </w:r>
    </w:p>
    <w:p>
      <w:pPr>
        <w:pStyle w:val="null3"/>
        <w:outlineLvl w:val="3"/>
      </w:pPr>
      <w:r>
        <w:rPr>
          <w:sz w:val="24"/>
          <w:b/>
        </w:rPr>
        <w:t>3.3.2服务地点</w:t>
      </w:r>
    </w:p>
    <w:p>
      <w:pPr>
        <w:pStyle w:val="null3"/>
      </w:pPr>
      <w:r>
        <w:rPr/>
        <w:t>采购包1：</w:t>
      </w:r>
    </w:p>
    <w:p>
      <w:pPr>
        <w:pStyle w:val="null3"/>
      </w:pPr>
      <w:r>
        <w:rPr/>
        <w:t>采购人指定地点</w:t>
      </w:r>
    </w:p>
    <w:p>
      <w:pPr>
        <w:pStyle w:val="null3"/>
        <w:outlineLvl w:val="3"/>
      </w:pPr>
      <w:r>
        <w:rPr>
          <w:sz w:val="24"/>
          <w:b/>
        </w:rPr>
        <w:t>3.3.3考核（验收）标准和方法</w:t>
      </w:r>
    </w:p>
    <w:p>
      <w:pPr>
        <w:pStyle w:val="null3"/>
      </w:pPr>
      <w:r>
        <w:rPr/>
        <w:t>采购包1：</w:t>
      </w:r>
    </w:p>
    <w:p>
      <w:pPr>
        <w:pStyle w:val="null3"/>
      </w:pPr>
      <w:r>
        <w:rPr/>
        <w:t>按照相关规定执行</w:t>
      </w:r>
    </w:p>
    <w:p>
      <w:pPr>
        <w:pStyle w:val="null3"/>
        <w:outlineLvl w:val="3"/>
      </w:pPr>
      <w:r>
        <w:rPr>
          <w:sz w:val="24"/>
          <w:b/>
        </w:rPr>
        <w:t>3.3.4支付方式</w:t>
      </w:r>
    </w:p>
    <w:p>
      <w:pPr>
        <w:pStyle w:val="null3"/>
      </w:pPr>
      <w:r>
        <w:rPr/>
        <w:t>采购包1：</w:t>
      </w:r>
    </w:p>
    <w:p>
      <w:pPr>
        <w:pStyle w:val="null3"/>
      </w:pPr>
      <w:r>
        <w:rPr/>
        <w:t>一次付清</w:t>
      </w:r>
    </w:p>
    <w:p>
      <w:pPr>
        <w:pStyle w:val="null3"/>
        <w:outlineLvl w:val="3"/>
      </w:pPr>
      <w:r>
        <w:rPr>
          <w:sz w:val="24"/>
          <w:b/>
        </w:rPr>
        <w:t>3.3.5支付约定</w:t>
      </w:r>
    </w:p>
    <w:p>
      <w:pPr>
        <w:pStyle w:val="null3"/>
      </w:pPr>
      <w:r>
        <w:rPr/>
        <w:t>采购包1：</w:t>
      </w:r>
      <w:r>
        <w:rPr/>
        <w:t xml:space="preserve"> 付款条件说明： </w:t>
      </w:r>
      <w:r>
        <w:rPr/>
        <w:t>合同签订后60日历天</w:t>
      </w:r>
      <w:r>
        <w:rPr/>
        <w:t xml:space="preserve"> ，达到付款条件起 </w:t>
      </w:r>
      <w:r>
        <w:rPr/>
        <w:t>60</w:t>
      </w:r>
      <w:r>
        <w:rPr/>
        <w:t xml:space="preserve"> 日内，支付合同总金额的 </w:t>
      </w:r>
      <w:r>
        <w:rPr/>
        <w:t>100.00</w:t>
      </w:r>
      <w:r>
        <w:rPr/>
        <w:t>%。</w:t>
      </w:r>
    </w:p>
    <w:p>
      <w:pPr>
        <w:pStyle w:val="null3"/>
        <w:outlineLvl w:val="3"/>
      </w:pPr>
      <w:r>
        <w:rPr>
          <w:sz w:val="24"/>
          <w:b/>
        </w:rPr>
        <w:t>3.3.6违约责任及解决争议的方法</w:t>
      </w:r>
    </w:p>
    <w:p>
      <w:pPr>
        <w:pStyle w:val="null3"/>
      </w:pPr>
      <w:r>
        <w:rPr/>
        <w:t>采购包1：</w:t>
      </w:r>
    </w:p>
    <w:p>
      <w:pPr>
        <w:pStyle w:val="null3"/>
      </w:pPr>
      <w:r>
        <w:rPr/>
        <w:t>按照合同约定执行，详见合同附件</w:t>
      </w:r>
    </w:p>
    <w:p>
      <w:pPr>
        <w:pStyle w:val="null3"/>
        <w:outlineLvl w:val="2"/>
      </w:pPr>
      <w:r>
        <w:rPr>
          <w:sz w:val="28"/>
          <w:b/>
        </w:rPr>
        <w:t>3.4其他要求</w:t>
      </w:r>
    </w:p>
    <w:p>
      <w:pPr>
        <w:pStyle w:val="null3"/>
      </w:pPr>
      <w:r>
        <w:rPr/>
        <w:t>（1）财政部、国家发展和改革委员会关于印发《节能产品政府采购实施意见》的通知（财库[2004]185号）； （2）财政部、国家环保总局联合印发《关于环境标志产品政府采购实施的意见》(财库[2006]90号)； （3）国务院办公厅关于建立政府强制采购节能产品制度的通知国办发〔2007〕51号； （4）财政部、发展改革委、生态环境部、市场监管总局关于调整优化节能产品、环境标志产品政府采购执行机制的通知（财库〔2019〕9号）； （5）财政部、国务院扶贫办关于运用政府采购政策支持脱贫攻坚的通知（财库〔2019〕27号）； （6）财政部、司法部关于政府采购支持监狱企业发展有关问题的通知(财库〔2014〕68号)； （7）财政部、民政部、中国残疾人联合会关于促进残疾人就业政府采购政策的通知（财库〔2017〕141号）； （8）财政部关于在政府采购活动中查询及使用信用记录有关问题的通知（财库〔2016〕125号）； （9）陕西省财政厅关于印发《陕西省中小企业政府采购信用融资办法》（陕财办采〔2018〕23号）； （10）《政府采购促进中小企业发展管理办法》（财库〔2020〕46号）； （11）陕西省财政厅关于进一步加大政府采购支持中小企业力度的通知（陕财办采〔2022〕5号）； （12）陕西省财政厅关于落实政府采购支持中小企业政策有关事项的通知（陕财办采函〔2022〕10号）； （13）《财政部关于进一步加大政府采购支持中小企业力度的通知》（财库〔2022〕19号）； （14）其他需要落实的政府采购政策。 （15）其它说明内容： 1）为顺利推进政府采购电子化交易平台试点 应用工作，供应商需要在线提交所有通过电子化交易平台实施的政府采购项目的投标文件。供应商中标后，线下提交纸质投标文件正本壹份、副本贰份、电子版壹份【U盘1个，（签字盖章后pdf和可编辑电子版）】。递交地址：西安市科技路48号创业广场B座1701室。</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 （2）具有良好的商业信誉和健全的财务会计制度的证明材料（须提供 2023年度经第三方审计的财务报告，至少包括三表一注，即资产负债表、利润表、现金流量表及其附注 (成立时间至提交响应文件截止时间不足一年的可提供成立后任意时段的资产负债表) ；或其响应文件递交截止时间前三个月内基本存款账户开户银行出具的资信证明及开户银行许可证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3）社会保障资金缴纳证明：提供截止至响应文件递交截止时间前六个月内任一个月份的社会保障资金缴存单据或社保机构开具的社会保险参保缴费情况证明，依法不需要缴纳社会保障资金的单位应提供相关证明材料。 （4）税收缴纳证明：提供截止至响应文件递交时间前六个月内任一个月份的纳税证明或完税证明，纳税证明或完税证明上应有代收机构或税务机关的公章或业务专用章。依法免税的供应商应提供相关文件证明。 （5）无重大违法记录声明：参加政府采购活动前三年内在经营活动中没有重大违法记录的书面声明。 （6）书面声明：具有履行本合同所必需的设备和专业技术能力的书面声明供应商需在项目电子化交易系统中按要求填写《响应函》完成承诺并进行电子签章。</w:t>
            </w:r>
          </w:p>
        </w:tc>
        <w:tc>
          <w:tcPr>
            <w:tcW w:type="dxa" w:w="1661"/>
          </w:tcPr>
          <w:p>
            <w:pPr>
              <w:pStyle w:val="null3"/>
            </w:pPr>
            <w:r>
              <w:rPr/>
              <w:t>响应文件封面 服务内容及服务邀请应答表 供应商应提交的相关资格证明材料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2023年度经审计的财务报告（成立时间至提交竞争性磋商响应文件截止时间不足一年的可提供成立以来的资产负债表），或其基本存款账户开户银行出具的资信证明及基本存款账户开户许可证（基本账户信息表），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供应商应提交的相关资格证明材料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有效的投标主体</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具有独立承担民事责任能力的法人、其他组织或自然人，并出具合法有效的营业执照或事业单位法人证书等国家规定的相关证明，自然人参与的提供其身份证明。供应商提交相关资格证明材料需进行电子签章。</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信用记录</w:t>
            </w:r>
          </w:p>
        </w:tc>
        <w:tc>
          <w:tcPr>
            <w:tcW w:type="dxa" w:w="3322"/>
          </w:tcPr>
          <w:p>
            <w:pPr>
              <w:pStyle w:val="null3"/>
            </w:pPr>
            <w:r>
              <w:rPr/>
              <w:t>供应商不得为“信用中国”网站(wwm.creditchina.goy.cn)中列入“失信被执行人(中国执行信息公开网http://zxgk,court.goy.cn/shixin/)”和“重大税收违法失信主体”的供应商，不得为中国政府采购网(www.ccgp.gov.cn)政府采 购“严重违法失信行为记录名单”中被财政部门禁止参加政府采购活动的供应商；以开标当天查询为准。供应商提交相关资格证明材料需进行电子签章。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法定代表人授权书/法定代表人身份证明</w:t>
            </w:r>
          </w:p>
        </w:tc>
        <w:tc>
          <w:tcPr>
            <w:tcW w:type="dxa" w:w="3322"/>
          </w:tcPr>
          <w:p>
            <w:pPr>
              <w:pStyle w:val="null3"/>
            </w:pPr>
            <w:r>
              <w:rPr/>
              <w:t>法定代表人授权代表参加投标的，提供法定代表人授权委托书及被授权人身份证复印件或扫描件；法定代表人参加投标时,提供法定代表人身份证明书及法定代表人身份证复印件或扫描件。供应商提交相关资格证明材料需进行电子签章。</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非联合体投标</w:t>
            </w:r>
          </w:p>
        </w:tc>
        <w:tc>
          <w:tcPr>
            <w:tcW w:type="dxa" w:w="3322"/>
          </w:tcPr>
          <w:p>
            <w:pPr>
              <w:pStyle w:val="null3"/>
            </w:pPr>
            <w:r>
              <w:rPr/>
              <w:t>本项目不接受联合体投标。供应商提交相关资格证明材料需进行电子签章。</w:t>
            </w:r>
          </w:p>
        </w:tc>
        <w:tc>
          <w:tcPr>
            <w:tcW w:type="dxa" w:w="1661"/>
          </w:tcPr>
          <w:p>
            <w:pPr>
              <w:pStyle w:val="null3"/>
            </w:pPr>
            <w:r>
              <w:rPr/>
              <w:t>供应商应提交的相关资格证明材料</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响应报价是否超过采购预算或者最高限价</w:t>
            </w:r>
          </w:p>
        </w:tc>
        <w:tc>
          <w:tcPr>
            <w:tcW w:type="dxa" w:w="3322"/>
          </w:tcPr>
          <w:p>
            <w:pPr>
              <w:pStyle w:val="null3"/>
            </w:pPr>
            <w:r>
              <w:rPr/>
              <w:t>响应报价未超过采购预算或最高限价 (合格) ，响应报价超过采购预算或最高限价(不合格 )</w:t>
            </w:r>
          </w:p>
        </w:tc>
        <w:tc>
          <w:tcPr>
            <w:tcW w:type="dxa" w:w="1661"/>
          </w:tcPr>
          <w:p>
            <w:pPr>
              <w:pStyle w:val="null3"/>
            </w:pPr>
            <w:r>
              <w:rPr/>
              <w:t>响应文件封面 商务应答表 标的清单 报价表</w:t>
            </w:r>
          </w:p>
        </w:tc>
      </w:tr>
      <w:tr>
        <w:tc>
          <w:tcPr>
            <w:tcW w:type="dxa" w:w="831"/>
          </w:tcPr>
          <w:p>
            <w:pPr>
              <w:pStyle w:val="null3"/>
            </w:pPr>
            <w:r>
              <w:rPr/>
              <w:t>3</w:t>
            </w:r>
          </w:p>
        </w:tc>
        <w:tc>
          <w:tcPr>
            <w:tcW w:type="dxa" w:w="2492"/>
          </w:tcPr>
          <w:p>
            <w:pPr>
              <w:pStyle w:val="null3"/>
            </w:pPr>
            <w:r>
              <w:rPr/>
              <w:t>运维服务期</w:t>
            </w:r>
          </w:p>
        </w:tc>
        <w:tc>
          <w:tcPr>
            <w:tcW w:type="dxa" w:w="3322"/>
          </w:tcPr>
          <w:p>
            <w:pPr>
              <w:pStyle w:val="null3"/>
            </w:pPr>
            <w:r>
              <w:rPr/>
              <w:t>运维服务期满足采购文件要求 (合格)，运维服务期不满足采购文件要求(不合格)</w:t>
            </w:r>
          </w:p>
        </w:tc>
        <w:tc>
          <w:tcPr>
            <w:tcW w:type="dxa" w:w="1661"/>
          </w:tcPr>
          <w:p>
            <w:pPr>
              <w:pStyle w:val="null3"/>
            </w:pPr>
            <w:r>
              <w:rPr/>
              <w:t>响应文件封面 商务应答表</w:t>
            </w:r>
          </w:p>
        </w:tc>
      </w:tr>
      <w:tr>
        <w:tc>
          <w:tcPr>
            <w:tcW w:type="dxa" w:w="831"/>
          </w:tcPr>
          <w:p>
            <w:pPr>
              <w:pStyle w:val="null3"/>
            </w:pPr>
            <w:r>
              <w:rPr/>
              <w:t>4</w:t>
            </w:r>
          </w:p>
        </w:tc>
        <w:tc>
          <w:tcPr>
            <w:tcW w:type="dxa" w:w="2492"/>
          </w:tcPr>
          <w:p>
            <w:pPr>
              <w:pStyle w:val="null3"/>
            </w:pPr>
            <w:r>
              <w:rPr/>
              <w:t>响应文件有无响应有效期或有效期是否可以达到竞争性磋商文件要求</w:t>
            </w:r>
          </w:p>
        </w:tc>
        <w:tc>
          <w:tcPr>
            <w:tcW w:type="dxa" w:w="3322"/>
          </w:tcPr>
          <w:p>
            <w:pPr>
              <w:pStyle w:val="null3"/>
            </w:pPr>
            <w:r>
              <w:rPr/>
              <w:t>响应有效期满足采购文件要求(合格)，响应文件无响应有效期或有效期不满足采购文件要求(不合格)</w:t>
            </w:r>
          </w:p>
        </w:tc>
        <w:tc>
          <w:tcPr>
            <w:tcW w:type="dxa" w:w="1661"/>
          </w:tcPr>
          <w:p>
            <w:pPr>
              <w:pStyle w:val="null3"/>
            </w:pPr>
            <w:r>
              <w:rPr/>
              <w:t>响应文件封面 响应函</w:t>
            </w:r>
          </w:p>
        </w:tc>
      </w:tr>
      <w:tr>
        <w:tc>
          <w:tcPr>
            <w:tcW w:type="dxa" w:w="831"/>
          </w:tcPr>
          <w:p>
            <w:pPr>
              <w:pStyle w:val="null3"/>
            </w:pPr>
            <w:r>
              <w:rPr/>
              <w:t>5</w:t>
            </w:r>
          </w:p>
        </w:tc>
        <w:tc>
          <w:tcPr>
            <w:tcW w:type="dxa" w:w="2492"/>
          </w:tcPr>
          <w:p>
            <w:pPr>
              <w:pStyle w:val="null3"/>
            </w:pPr>
            <w:r>
              <w:rPr/>
              <w:t>响应文件是否含有采购人不能接受的附加条件的</w:t>
            </w:r>
          </w:p>
        </w:tc>
        <w:tc>
          <w:tcPr>
            <w:tcW w:type="dxa" w:w="3322"/>
          </w:tcPr>
          <w:p>
            <w:pPr>
              <w:pStyle w:val="null3"/>
            </w:pPr>
            <w:r>
              <w:rPr/>
              <w:t>响应文件未含有采购人不能接受的附加条件的（合格），响应文件含有采购人不能接受的附加条件的（不合格）</w:t>
            </w:r>
          </w:p>
        </w:tc>
        <w:tc>
          <w:tcPr>
            <w:tcW w:type="dxa" w:w="1661"/>
          </w:tcPr>
          <w:p>
            <w:pPr>
              <w:pStyle w:val="null3"/>
            </w:pPr>
            <w:r>
              <w:rPr/>
              <w:t>响应文件封面 服务内容及服务邀请应答表 服务方案</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详细评审80.0000分</w:t>
            </w:r>
          </w:p>
          <w:p>
            <w:pPr>
              <w:pStyle w:val="null3"/>
            </w:pPr>
            <w:r>
              <w:rPr/>
              <w:t>报价得分20.0000分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运维方案</w:t>
            </w:r>
          </w:p>
        </w:tc>
        <w:tc>
          <w:tcPr>
            <w:tcW w:type="dxa" w:w="2492"/>
          </w:tcPr>
          <w:p>
            <w:pPr>
              <w:pStyle w:val="null3"/>
            </w:pPr>
            <w:r>
              <w:rPr/>
              <w:t>对项目运维内容、规模理解透彻，针对本项目制定规范化的运维方案，组织架构完整、人员搭配合理、服务计划可操作性强、备品备件清单和运维工具清单明确。 a.运维方案详实全面，各方面有详细说明，得7.1-10分 ； b.运维方案全面，各方面有说明但说明表述不清晰，得3.1-7分； c.运维方案不够全面，但各方面有基本说明，得 0-3分。 未提供不得分。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p>
            <w:pPr>
              <w:pStyle w:val="null3"/>
            </w:pPr>
            <w:r>
              <w:rPr/>
              <w:t>响应文件封面</w:t>
            </w:r>
          </w:p>
        </w:tc>
      </w:tr>
      <w:tr>
        <w:tc>
          <w:tcPr>
            <w:tcW w:type="dxa" w:w="831"/>
            <w:vMerge/>
          </w:tcPr>
          <w:p/>
        </w:tc>
        <w:tc>
          <w:tcPr>
            <w:tcW w:type="dxa" w:w="1661"/>
          </w:tcPr>
          <w:p>
            <w:pPr>
              <w:pStyle w:val="null3"/>
            </w:pPr>
            <w:r>
              <w:rPr/>
              <w:t>运行维护管理体系</w:t>
            </w:r>
          </w:p>
        </w:tc>
        <w:tc>
          <w:tcPr>
            <w:tcW w:type="dxa" w:w="2492"/>
          </w:tcPr>
          <w:p>
            <w:pPr>
              <w:pStyle w:val="null3"/>
            </w:pPr>
            <w:r>
              <w:rPr/>
              <w:t>a.具备完善的运行维护管理体系，提供强大的运行维护管理工具和手段，能够确保系统运行可靠、稳定，性能充分发挥，得7.1-10分； b.具备基本的运行维护管理模式，基本可满足系统正常运行要求，得3.1-7分； c.不具备运行维护管理体系或模式或体系模式无法确保系统正常运行，得0-3分。 未提供不计分。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响应文件封面</w:t>
            </w:r>
          </w:p>
          <w:p>
            <w:pPr>
              <w:pStyle w:val="null3"/>
            </w:pPr>
            <w:r>
              <w:rPr/>
              <w:t>服务方案</w:t>
            </w:r>
          </w:p>
        </w:tc>
      </w:tr>
      <w:tr>
        <w:tc>
          <w:tcPr>
            <w:tcW w:type="dxa" w:w="831"/>
            <w:vMerge/>
          </w:tcPr>
          <w:p/>
        </w:tc>
        <w:tc>
          <w:tcPr>
            <w:tcW w:type="dxa" w:w="1661"/>
          </w:tcPr>
          <w:p>
            <w:pPr>
              <w:pStyle w:val="null3"/>
            </w:pPr>
            <w:r>
              <w:rPr/>
              <w:t>运行维护安全体系</w:t>
            </w:r>
          </w:p>
        </w:tc>
        <w:tc>
          <w:tcPr>
            <w:tcW w:type="dxa" w:w="2492"/>
          </w:tcPr>
          <w:p>
            <w:pPr>
              <w:pStyle w:val="null3"/>
            </w:pPr>
            <w:r>
              <w:rPr/>
              <w:t>供应商的运行维护工作必须遵循并优化现有的安全体系，必须在现有安全体制下提出确保系统安全可靠的安全策略、措施和步骤，根据响应方案的优劣程。 a.具备完善的运行维护安全体系，得7.1-10分； b.具备基本的运行维护安全体系，得3.1-7分； c.不具备运行维护安全体系或不完善，得 0-3分。 未提供不得分。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响应文件封面</w:t>
            </w:r>
          </w:p>
          <w:p>
            <w:pPr>
              <w:pStyle w:val="null3"/>
            </w:pPr>
            <w:r>
              <w:rPr/>
              <w:t>服务方案</w:t>
            </w:r>
          </w:p>
        </w:tc>
      </w:tr>
      <w:tr>
        <w:tc>
          <w:tcPr>
            <w:tcW w:type="dxa" w:w="831"/>
            <w:vMerge/>
          </w:tcPr>
          <w:p/>
        </w:tc>
        <w:tc>
          <w:tcPr>
            <w:tcW w:type="dxa" w:w="1661"/>
          </w:tcPr>
          <w:p>
            <w:pPr>
              <w:pStyle w:val="null3"/>
            </w:pPr>
            <w:r>
              <w:rPr/>
              <w:t>应急方案</w:t>
            </w:r>
          </w:p>
        </w:tc>
        <w:tc>
          <w:tcPr>
            <w:tcW w:type="dxa" w:w="2492"/>
          </w:tcPr>
          <w:p>
            <w:pPr>
              <w:pStyle w:val="null3"/>
            </w:pPr>
            <w:r>
              <w:rPr/>
              <w:t>为确保信息系统的正常良好运行，供应商对服务范围内设备制订应急处置方案，要评估运维中可能发生的突然状况，并制定行之有效、详细具体的故障处理方案及故障响应时间。 a.具备详细的应急方案，得 7.1-10分； b.具备较详细的应急方案，得3.1-7分； c.不具备应急方案或较差的，得0-3分。 未提供不得分。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响应文件封面</w:t>
            </w:r>
          </w:p>
          <w:p>
            <w:pPr>
              <w:pStyle w:val="null3"/>
            </w:pPr>
            <w:r>
              <w:rPr/>
              <w:t>服务方案</w:t>
            </w:r>
          </w:p>
        </w:tc>
      </w:tr>
      <w:tr>
        <w:tc>
          <w:tcPr>
            <w:tcW w:type="dxa" w:w="831"/>
            <w:vMerge/>
          </w:tcPr>
          <w:p/>
        </w:tc>
        <w:tc>
          <w:tcPr>
            <w:tcW w:type="dxa" w:w="1661"/>
          </w:tcPr>
          <w:p>
            <w:pPr>
              <w:pStyle w:val="null3"/>
            </w:pPr>
            <w:r>
              <w:rPr/>
              <w:t>培训方案</w:t>
            </w:r>
          </w:p>
        </w:tc>
        <w:tc>
          <w:tcPr>
            <w:tcW w:type="dxa" w:w="2492"/>
          </w:tcPr>
          <w:p>
            <w:pPr>
              <w:pStyle w:val="null3"/>
            </w:pPr>
            <w:r>
              <w:rPr/>
              <w:t>培训计划包括：培训目标、培训对象、培训内容、培训方式、培训时长及次数、培训管理及考核等： a.培训方案详细全面、合理，与项目实施的配合程度高，得4.1-6分； b.培训方案较全面，较合理，与项目实施的配合程度一般，得2.1-4分； c.培训方案较简单，与项目实施的配合程度低，得0-2 分。 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响应文件封面</w:t>
            </w:r>
          </w:p>
          <w:p>
            <w:pPr>
              <w:pStyle w:val="null3"/>
            </w:pPr>
            <w:r>
              <w:rPr/>
              <w:t>服务方案</w:t>
            </w:r>
          </w:p>
        </w:tc>
      </w:tr>
      <w:tr>
        <w:tc>
          <w:tcPr>
            <w:tcW w:type="dxa" w:w="831"/>
            <w:vMerge/>
          </w:tcPr>
          <w:p/>
        </w:tc>
        <w:tc>
          <w:tcPr>
            <w:tcW w:type="dxa" w:w="1661"/>
          </w:tcPr>
          <w:p>
            <w:pPr>
              <w:pStyle w:val="null3"/>
            </w:pPr>
            <w:r>
              <w:rPr/>
              <w:t>廉洁从业措施及保密保障措施</w:t>
            </w:r>
          </w:p>
        </w:tc>
        <w:tc>
          <w:tcPr>
            <w:tcW w:type="dxa" w:w="2492"/>
          </w:tcPr>
          <w:p>
            <w:pPr>
              <w:pStyle w:val="null3"/>
            </w:pPr>
            <w:r>
              <w:rPr/>
              <w:t>项目负责人相关技术人员及供应商对廉洁从业，保密措施、保障措施包含但不限于企业的廉洁从业和保密制度，及对参与本项目人员的管理等： a.廉洁从业措施及保密保障措施详实全面，各方面有详细说明得 4.1-6分； b.廉洁从业措施及保密保障措施全面，各方面有说明但说明表述不清晰得 2.1-4分； c.廉洁从业措施及保密保障措施不够全面，但各方面有基本说明，得 0-2分。 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p>
            <w:pPr>
              <w:pStyle w:val="null3"/>
            </w:pPr>
            <w:r>
              <w:rPr/>
              <w:t>响应文件封面</w:t>
            </w:r>
          </w:p>
        </w:tc>
      </w:tr>
      <w:tr>
        <w:tc>
          <w:tcPr>
            <w:tcW w:type="dxa" w:w="831"/>
            <w:vMerge/>
          </w:tcPr>
          <w:p/>
        </w:tc>
        <w:tc>
          <w:tcPr>
            <w:tcW w:type="dxa" w:w="1661"/>
          </w:tcPr>
          <w:p>
            <w:pPr>
              <w:pStyle w:val="null3"/>
            </w:pPr>
            <w:r>
              <w:rPr/>
              <w:t>合理化建议</w:t>
            </w:r>
          </w:p>
        </w:tc>
        <w:tc>
          <w:tcPr>
            <w:tcW w:type="dxa" w:w="2492"/>
          </w:tcPr>
          <w:p>
            <w:pPr>
              <w:pStyle w:val="null3"/>
            </w:pPr>
            <w:r>
              <w:rPr/>
              <w:t>提供针对本项目的合理化建议，对于录像存储时间要求满足国家标准有具体可行的措施。 a.合理化建议内容可行、合理得3.1-4分； b.合理化建议内容基本可行、较合理得1.1-3分； c.合理化建议内容可行性、合理性较略得为0-1分。 未提供不得分。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响应文件封面</w:t>
            </w:r>
          </w:p>
          <w:p>
            <w:pPr>
              <w:pStyle w:val="null3"/>
            </w:pPr>
            <w:r>
              <w:rPr/>
              <w:t>服务方案</w:t>
            </w:r>
          </w:p>
        </w:tc>
      </w:tr>
      <w:tr>
        <w:tc>
          <w:tcPr>
            <w:tcW w:type="dxa" w:w="831"/>
            <w:vMerge/>
          </w:tcPr>
          <w:p/>
        </w:tc>
        <w:tc>
          <w:tcPr>
            <w:tcW w:type="dxa" w:w="1661"/>
          </w:tcPr>
          <w:p>
            <w:pPr>
              <w:pStyle w:val="null3"/>
            </w:pPr>
            <w:r>
              <w:rPr/>
              <w:t>提供拟投入本项目维护所需的设备</w:t>
            </w:r>
          </w:p>
        </w:tc>
        <w:tc>
          <w:tcPr>
            <w:tcW w:type="dxa" w:w="2492"/>
          </w:tcPr>
          <w:p>
            <w:pPr>
              <w:pStyle w:val="null3"/>
            </w:pPr>
            <w:r>
              <w:rPr/>
              <w:t>提供拟投入本项目维护所需的设备。 a.工具等清单，清单完整，能保证正常维护的得2.1-4分， b.清单所列内容不完整，不利于项目顺利实施的得0-2分。 未提供不得分。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人员配备</w:t>
            </w:r>
          </w:p>
        </w:tc>
        <w:tc>
          <w:tcPr>
            <w:tcW w:type="dxa" w:w="2492"/>
          </w:tcPr>
          <w:p>
            <w:pPr>
              <w:pStyle w:val="null3"/>
            </w:pPr>
            <w:r>
              <w:rPr/>
              <w:t>负责人及人员配备安排的实施方案，为保证运维服务质量，人员配备总人数不少于10人，其中，技术团队不少于5人，售后服务不少于5人。针对本项目的项目负责人和项目组成人员有丰富的同类项目工作经验。 a.人员分配合理，责任分工明确，得7.1-10分； b.有人员安排及人员配备说明得4.1-7分； c.人员分配不明确，责任划分模糊的得0-4分。 （备注：以上人员均需提供至投标截至日期前至少三个月在供应商本单位缴存的社保缴纳证明）。</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响应文件封面</w:t>
            </w:r>
          </w:p>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提供2021年1月至今具有类似项目业绩，提供业绩列表及对应合同，每提供1个符合要求的业绩得2分，本项最高为10分。以合同签订时间为准。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响应文件封面</w:t>
            </w:r>
          </w:p>
          <w:p>
            <w:pPr>
              <w:pStyle w:val="null3"/>
            </w:pPr>
            <w:r>
              <w:rPr/>
              <w:t>服务方案</w:t>
            </w:r>
          </w:p>
        </w:tc>
      </w:tr>
      <w:tr>
        <w:tc>
          <w:tcPr>
            <w:tcW w:type="dxa" w:w="831"/>
          </w:tcPr>
          <w:p>
            <w:pPr>
              <w:pStyle w:val="null3"/>
            </w:pPr>
            <w:r>
              <w:rPr/>
              <w:t>价格分</w:t>
            </w:r>
          </w:p>
        </w:tc>
        <w:tc>
          <w:tcPr>
            <w:tcW w:type="dxa" w:w="1661"/>
          </w:tcPr>
          <w:p>
            <w:pPr>
              <w:pStyle w:val="null3"/>
            </w:pPr>
            <w:r>
              <w:rPr/>
              <w:t>投标价格得分</w:t>
            </w:r>
          </w:p>
        </w:tc>
        <w:tc>
          <w:tcPr>
            <w:tcW w:type="dxa" w:w="2492"/>
          </w:tcPr>
          <w:p>
            <w:pPr>
              <w:pStyle w:val="null3"/>
            </w:pPr>
            <w:r>
              <w:rPr/>
              <w:t xml:space="preserve"> 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响应文件封面</w:t>
            </w:r>
          </w:p>
          <w:p>
            <w:pPr>
              <w:pStyle w:val="null3"/>
            </w:pPr>
            <w:r>
              <w:rPr/>
              <w:t>响应函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详见附件：合同示范文本.docx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lowerLetter"/>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