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440001-2026-23645</w:t>
      </w:r>
    </w:p>
    <w:p>
      <w:pPr>
        <w:pStyle w:val="null3"/>
        <w:jc w:val="center"/>
        <w:outlineLvl w:val="3"/>
      </w:pPr>
      <w:r>
        <w:rPr>
          <w:sz w:val="24"/>
          <w:b/>
        </w:rPr>
        <w:t>采购项目编号：</w:t>
      </w:r>
      <w:r>
        <w:rPr>
          <w:sz w:val="24"/>
          <w:b/>
        </w:rPr>
        <w:t>YDZB26ZJ011</w:t>
      </w:r>
    </w:p>
    <w:p>
      <w:pPr>
        <w:pStyle w:val="null3"/>
        <w:jc w:val="center"/>
        <w:outlineLvl w:val="3"/>
      </w:pPr>
      <w:r>
        <w:rPr>
          <w:sz w:val="24"/>
          <w:b/>
        </w:rPr>
        <w:t>项目名称：</w:t>
      </w:r>
      <w:r>
        <w:rPr>
          <w:sz w:val="24"/>
          <w:b/>
        </w:rPr>
        <w:t>广东海洋大学南海海洋灾害监测预警技术创新中心建设项目</w:t>
      </w:r>
    </w:p>
    <w:p>
      <w:pPr>
        <w:pStyle w:val="null3"/>
        <w:jc w:val="center"/>
        <w:outlineLvl w:val="3"/>
      </w:pPr>
      <w:r>
        <w:rPr>
          <w:sz w:val="24"/>
          <w:b/>
        </w:rPr>
        <w:t>采购人：</w:t>
      </w:r>
      <w:r>
        <w:rPr>
          <w:sz w:val="24"/>
          <w:b/>
        </w:rPr>
        <w:t>广东海洋大学</w:t>
      </w:r>
    </w:p>
    <w:p>
      <w:pPr>
        <w:pStyle w:val="null3"/>
        <w:jc w:val="center"/>
        <w:outlineLvl w:val="3"/>
      </w:pPr>
      <w:r>
        <w:rPr>
          <w:sz w:val="24"/>
          <w:b/>
        </w:rPr>
        <w:t>采购代理机构：</w:t>
      </w:r>
      <w:r>
        <w:rPr>
          <w:sz w:val="24"/>
          <w:b/>
        </w:rPr>
        <w:t>广东有德招标采购有限公司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广东有德招标采购有限公司</w:t>
      </w:r>
      <w:r>
        <w:rPr/>
        <w:t>受</w:t>
      </w:r>
      <w:r>
        <w:rPr/>
        <w:t>广东海洋大学</w:t>
      </w:r>
      <w:r>
        <w:rPr/>
        <w:t>的委托，采用</w:t>
      </w:r>
      <w:r>
        <w:rPr/>
        <w:t>公开招标</w:t>
      </w:r>
      <w:r>
        <w:rPr/>
        <w:t>方式组织采购</w:t>
      </w:r>
      <w:r>
        <w:rPr/>
        <w:t>广东海洋大学南海海洋灾害监测预警技术创新中心建设项目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广东海洋大学南海海洋灾害监测预警技术创新中心建设项目</w:t>
      </w:r>
    </w:p>
    <w:p>
      <w:pPr>
        <w:pStyle w:val="null3"/>
        <w:ind w:firstLine="480"/>
      </w:pPr>
      <w:r>
        <w:rPr/>
        <w:t>采购计划编号：</w:t>
      </w:r>
      <w:r>
        <w:rPr/>
        <w:t>440001-2026-23645</w:t>
      </w:r>
    </w:p>
    <w:p>
      <w:pPr>
        <w:pStyle w:val="null3"/>
        <w:ind w:firstLine="480"/>
      </w:pPr>
      <w:r>
        <w:rPr/>
        <w:t>采购项目编号：</w:t>
      </w:r>
      <w:r>
        <w:rPr/>
        <w:t>YDZB26ZJ011</w:t>
      </w:r>
    </w:p>
    <w:p>
      <w:pPr>
        <w:pStyle w:val="null3"/>
        <w:ind w:firstLine="480"/>
      </w:pPr>
      <w:r>
        <w:rPr/>
        <w:t>采购方式：</w:t>
      </w:r>
      <w:r>
        <w:rPr/>
        <w:t>公开招标</w:t>
      </w:r>
    </w:p>
    <w:p>
      <w:pPr>
        <w:pStyle w:val="null3"/>
        <w:ind w:firstLine="480"/>
      </w:pPr>
      <w:r>
        <w:rPr/>
        <w:t>预算金额：</w:t>
      </w:r>
      <w:r>
        <w:rPr/>
        <w:t>2,008,000.00</w:t>
      </w:r>
      <w:r>
        <w:rPr/>
        <w:t>元</w:t>
      </w:r>
    </w:p>
    <w:p>
      <w:pPr>
        <w:pStyle w:val="null3"/>
        <w:outlineLvl w:val="3"/>
      </w:pPr>
      <w:r>
        <w:rPr>
          <w:sz w:val="24"/>
          <w:b/>
        </w:rPr>
        <w:t>2.项目内容及需求情况（采购项目技术规格、参数及要求）</w:t>
      </w:r>
    </w:p>
    <w:p>
      <w:pPr>
        <w:pStyle w:val="null3"/>
      </w:pPr>
      <w:r>
        <w:rPr/>
        <w:t>采购包1(盐度计、超声波气象站、数据采集器、潮位仪采购):</w:t>
      </w:r>
    </w:p>
    <w:p>
      <w:pPr>
        <w:pStyle w:val="null3"/>
      </w:pPr>
      <w:r>
        <w:rPr/>
        <w:t>采购包预算金额：210,000.00元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数据采集器</w:t>
            </w:r>
          </w:p>
        </w:tc>
        <w:tc>
          <w:tcPr>
            <w:tcW w:type="dxa" w:w="977"/>
          </w:tcPr>
          <w:p>
            <w:pPr>
              <w:pStyle w:val="null3"/>
            </w:pPr>
            <w:r>
              <w:rPr/>
              <w:t>7.00(台)</w:t>
            </w:r>
          </w:p>
        </w:tc>
        <w:tc>
          <w:tcPr>
            <w:tcW w:type="dxa" w:w="977"/>
          </w:tcPr>
          <w:p>
            <w:pPr>
              <w:pStyle w:val="null3"/>
            </w:pPr>
            <w:r>
              <w:rPr/>
              <w:t>详见第二章</w:t>
            </w:r>
          </w:p>
        </w:tc>
        <w:tc>
          <w:tcPr>
            <w:tcW w:type="dxa" w:w="977"/>
          </w:tcPr>
          <w:p>
            <w:pPr>
              <w:pStyle w:val="null3"/>
            </w:pPr>
            <w:r>
              <w:rPr/>
              <w:t>84,000.00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超声波气象站</w:t>
            </w:r>
          </w:p>
        </w:tc>
        <w:tc>
          <w:tcPr>
            <w:tcW w:type="dxa" w:w="977"/>
          </w:tcPr>
          <w:p>
            <w:pPr>
              <w:pStyle w:val="null3"/>
            </w:pPr>
            <w:r>
              <w:rPr/>
              <w:t>7.00(台)</w:t>
            </w:r>
          </w:p>
        </w:tc>
        <w:tc>
          <w:tcPr>
            <w:tcW w:type="dxa" w:w="977"/>
          </w:tcPr>
          <w:p>
            <w:pPr>
              <w:pStyle w:val="null3"/>
            </w:pPr>
            <w:r>
              <w:rPr/>
              <w:t>详见第二章</w:t>
            </w:r>
          </w:p>
        </w:tc>
        <w:tc>
          <w:tcPr>
            <w:tcW w:type="dxa" w:w="977"/>
          </w:tcPr>
          <w:p>
            <w:pPr>
              <w:pStyle w:val="null3"/>
            </w:pPr>
            <w:r>
              <w:rPr/>
              <w:t>59,500.00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潮位仪</w:t>
            </w:r>
          </w:p>
        </w:tc>
        <w:tc>
          <w:tcPr>
            <w:tcW w:type="dxa" w:w="977"/>
          </w:tcPr>
          <w:p>
            <w:pPr>
              <w:pStyle w:val="null3"/>
            </w:pPr>
            <w:r>
              <w:rPr/>
              <w:t>7.00(台)</w:t>
            </w:r>
          </w:p>
        </w:tc>
        <w:tc>
          <w:tcPr>
            <w:tcW w:type="dxa" w:w="977"/>
          </w:tcPr>
          <w:p>
            <w:pPr>
              <w:pStyle w:val="null3"/>
            </w:pPr>
            <w:r>
              <w:rPr/>
              <w:t>详见第二章</w:t>
            </w:r>
          </w:p>
        </w:tc>
        <w:tc>
          <w:tcPr>
            <w:tcW w:type="dxa" w:w="977"/>
          </w:tcPr>
          <w:p>
            <w:pPr>
              <w:pStyle w:val="null3"/>
            </w:pPr>
            <w:r>
              <w:rPr/>
              <w:t>49,000.00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盐度计</w:t>
            </w:r>
          </w:p>
        </w:tc>
        <w:tc>
          <w:tcPr>
            <w:tcW w:type="dxa" w:w="977"/>
          </w:tcPr>
          <w:p>
            <w:pPr>
              <w:pStyle w:val="null3"/>
            </w:pPr>
            <w:r>
              <w:rPr/>
              <w:t>7.00(台)</w:t>
            </w:r>
          </w:p>
        </w:tc>
        <w:tc>
          <w:tcPr>
            <w:tcW w:type="dxa" w:w="977"/>
          </w:tcPr>
          <w:p>
            <w:pPr>
              <w:pStyle w:val="null3"/>
            </w:pPr>
            <w:r>
              <w:rPr/>
              <w:t>详见第二章</w:t>
            </w:r>
          </w:p>
        </w:tc>
        <w:tc>
          <w:tcPr>
            <w:tcW w:type="dxa" w:w="977"/>
          </w:tcPr>
          <w:p>
            <w:pPr>
              <w:pStyle w:val="null3"/>
            </w:pPr>
            <w:r>
              <w:rPr/>
              <w:t>17,500.00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数据采集器</w:t>
            </w:r>
          </w:p>
        </w:tc>
        <w:tc>
          <w:tcPr>
            <w:tcW w:type="dxa" w:w="2076"/>
          </w:tcPr>
          <w:p>
            <w:pPr>
              <w:pStyle w:val="null3"/>
              <w:jc w:val="left"/>
            </w:pPr>
            <w:r>
              <w:rPr/>
              <w:t>数据采集器</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超声波气象站</w:t>
            </w:r>
          </w:p>
        </w:tc>
        <w:tc>
          <w:tcPr>
            <w:tcW w:type="dxa" w:w="2076"/>
          </w:tcPr>
          <w:p>
            <w:pPr>
              <w:pStyle w:val="null3"/>
              <w:jc w:val="left"/>
            </w:pPr>
            <w:r>
              <w:rPr/>
              <w:t>超声波气象站</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潮位仪</w:t>
            </w:r>
          </w:p>
        </w:tc>
        <w:tc>
          <w:tcPr>
            <w:tcW w:type="dxa" w:w="2076"/>
          </w:tcPr>
          <w:p>
            <w:pPr>
              <w:pStyle w:val="null3"/>
              <w:jc w:val="left"/>
            </w:pPr>
            <w:r>
              <w:rPr/>
              <w:t>潮位仪</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盐度计</w:t>
            </w:r>
          </w:p>
        </w:tc>
        <w:tc>
          <w:tcPr>
            <w:tcW w:type="dxa" w:w="2076"/>
          </w:tcPr>
          <w:p>
            <w:pPr>
              <w:pStyle w:val="null3"/>
              <w:jc w:val="left"/>
            </w:pPr>
            <w:r>
              <w:rPr/>
              <w:t>盐度计</w:t>
            </w:r>
          </w:p>
        </w:tc>
      </w:tr>
    </w:tbl>
    <w:p>
      <w:pPr>
        <w:pStyle w:val="null3"/>
      </w:pPr>
      <w:r>
        <w:rPr/>
        <w:t>本采购包不接受联合体投标</w:t>
      </w:r>
    </w:p>
    <w:p>
      <w:pPr>
        <w:pStyle w:val="null3"/>
      </w:pPr>
      <w:r>
        <w:rPr/>
        <w:t>合同分包：不允许合同分包</w:t>
      </w:r>
    </w:p>
    <w:p>
      <w:pPr>
        <w:pStyle w:val="null3"/>
      </w:pPr>
      <w:r>
        <w:rPr/>
        <w:t>合同履行期限：自合同签订之日起至本项目约定的全部义务履行完毕止。</w:t>
      </w:r>
    </w:p>
    <w:p>
      <w:pPr>
        <w:pStyle w:val="null3"/>
      </w:pPr>
      <w:r>
        <w:rPr/>
        <w:t>采购包2(图形工作站1、图形工作站2、图形工作站3、GPU计算工作站采购):</w:t>
      </w:r>
    </w:p>
    <w:p>
      <w:pPr>
        <w:pStyle w:val="null3"/>
      </w:pPr>
      <w:r>
        <w:rPr/>
        <w:t>采购包预算金额：258,000.00元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图形工作站</w:t>
            </w:r>
          </w:p>
        </w:tc>
        <w:tc>
          <w:tcPr>
            <w:tcW w:type="dxa" w:w="2052"/>
          </w:tcPr>
          <w:p>
            <w:pPr>
              <w:pStyle w:val="null3"/>
            </w:pPr>
            <w:r>
              <w:rPr/>
              <w:t>图形工作站1</w:t>
            </w:r>
          </w:p>
        </w:tc>
        <w:tc>
          <w:tcPr>
            <w:tcW w:type="dxa" w:w="977"/>
          </w:tcPr>
          <w:p>
            <w:pPr>
              <w:pStyle w:val="null3"/>
            </w:pPr>
            <w:r>
              <w:rPr/>
              <w:t>3.00(台)</w:t>
            </w:r>
          </w:p>
        </w:tc>
        <w:tc>
          <w:tcPr>
            <w:tcW w:type="dxa" w:w="977"/>
          </w:tcPr>
          <w:p>
            <w:pPr>
              <w:pStyle w:val="null3"/>
            </w:pPr>
            <w:r>
              <w:rPr/>
              <w:t>详见第二章</w:t>
            </w:r>
          </w:p>
        </w:tc>
        <w:tc>
          <w:tcPr>
            <w:tcW w:type="dxa" w:w="977"/>
          </w:tcPr>
          <w:p>
            <w:pPr>
              <w:pStyle w:val="null3"/>
            </w:pPr>
            <w:r>
              <w:rPr/>
              <w:t>114,000.00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图形工作站</w:t>
            </w:r>
          </w:p>
        </w:tc>
        <w:tc>
          <w:tcPr>
            <w:tcW w:type="dxa" w:w="2052"/>
          </w:tcPr>
          <w:p>
            <w:pPr>
              <w:pStyle w:val="null3"/>
            </w:pPr>
            <w:r>
              <w:rPr/>
              <w:t>图形工作站2</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56,000.00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图形工作站</w:t>
            </w:r>
          </w:p>
        </w:tc>
        <w:tc>
          <w:tcPr>
            <w:tcW w:type="dxa" w:w="2052"/>
          </w:tcPr>
          <w:p>
            <w:pPr>
              <w:pStyle w:val="null3"/>
            </w:pPr>
            <w:r>
              <w:rPr/>
              <w:t>图形工作站3</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28,000.00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图形工作站</w:t>
            </w:r>
          </w:p>
        </w:tc>
        <w:tc>
          <w:tcPr>
            <w:tcW w:type="dxa" w:w="2052"/>
          </w:tcPr>
          <w:p>
            <w:pPr>
              <w:pStyle w:val="null3"/>
            </w:pPr>
            <w:r>
              <w:rPr/>
              <w:t>GPU计算机工作站</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图形工作站</w:t>
            </w:r>
          </w:p>
        </w:tc>
        <w:tc>
          <w:tcPr>
            <w:tcW w:type="dxa" w:w="2076"/>
          </w:tcPr>
          <w:p>
            <w:pPr>
              <w:pStyle w:val="null3"/>
              <w:jc w:val="left"/>
            </w:pPr>
            <w:r>
              <w:rPr/>
              <w:t>图形工作站1</w:t>
            </w:r>
          </w:p>
        </w:tc>
        <w:tc>
          <w:tcPr>
            <w:tcW w:type="dxa" w:w="2076"/>
          </w:tcPr>
          <w:p>
            <w:pPr>
              <w:pStyle w:val="null3"/>
              <w:jc w:val="left"/>
            </w:pPr>
            <w:r>
              <w:rPr/>
              <w:t>图形工作站1</w:t>
            </w:r>
          </w:p>
        </w:tc>
      </w:tr>
      <w:tr>
        <w:tc>
          <w:tcPr>
            <w:tcW w:type="dxa" w:w="2076"/>
          </w:tcPr>
          <w:p>
            <w:pPr>
              <w:pStyle w:val="null3"/>
              <w:jc w:val="center"/>
            </w:pPr>
            <w:r>
              <w:rPr/>
              <w:t>2</w:t>
            </w:r>
          </w:p>
        </w:tc>
        <w:tc>
          <w:tcPr>
            <w:tcW w:type="dxa" w:w="2076"/>
          </w:tcPr>
          <w:p>
            <w:pPr>
              <w:pStyle w:val="null3"/>
              <w:jc w:val="left"/>
            </w:pPr>
            <w:r>
              <w:rPr/>
              <w:t>图形工作站</w:t>
            </w:r>
          </w:p>
        </w:tc>
        <w:tc>
          <w:tcPr>
            <w:tcW w:type="dxa" w:w="2076"/>
          </w:tcPr>
          <w:p>
            <w:pPr>
              <w:pStyle w:val="null3"/>
              <w:jc w:val="left"/>
            </w:pPr>
            <w:r>
              <w:rPr/>
              <w:t>图形工作站2</w:t>
            </w:r>
          </w:p>
        </w:tc>
        <w:tc>
          <w:tcPr>
            <w:tcW w:type="dxa" w:w="2076"/>
          </w:tcPr>
          <w:p>
            <w:pPr>
              <w:pStyle w:val="null3"/>
              <w:jc w:val="left"/>
            </w:pPr>
            <w:r>
              <w:rPr/>
              <w:t>图形工作站2</w:t>
            </w:r>
          </w:p>
        </w:tc>
      </w:tr>
      <w:tr>
        <w:tc>
          <w:tcPr>
            <w:tcW w:type="dxa" w:w="2076"/>
          </w:tcPr>
          <w:p>
            <w:pPr>
              <w:pStyle w:val="null3"/>
              <w:jc w:val="center"/>
            </w:pPr>
            <w:r>
              <w:rPr/>
              <w:t>3</w:t>
            </w:r>
          </w:p>
        </w:tc>
        <w:tc>
          <w:tcPr>
            <w:tcW w:type="dxa" w:w="2076"/>
          </w:tcPr>
          <w:p>
            <w:pPr>
              <w:pStyle w:val="null3"/>
              <w:jc w:val="left"/>
            </w:pPr>
            <w:r>
              <w:rPr/>
              <w:t>图形工作站</w:t>
            </w:r>
          </w:p>
        </w:tc>
        <w:tc>
          <w:tcPr>
            <w:tcW w:type="dxa" w:w="2076"/>
          </w:tcPr>
          <w:p>
            <w:pPr>
              <w:pStyle w:val="null3"/>
              <w:jc w:val="left"/>
            </w:pPr>
            <w:r>
              <w:rPr/>
              <w:t>图形工作站3</w:t>
            </w:r>
          </w:p>
        </w:tc>
        <w:tc>
          <w:tcPr>
            <w:tcW w:type="dxa" w:w="2076"/>
          </w:tcPr>
          <w:p>
            <w:pPr>
              <w:pStyle w:val="null3"/>
              <w:jc w:val="left"/>
            </w:pPr>
            <w:r>
              <w:rPr/>
              <w:t>图形工作站3</w:t>
            </w:r>
          </w:p>
        </w:tc>
      </w:tr>
      <w:tr>
        <w:tc>
          <w:tcPr>
            <w:tcW w:type="dxa" w:w="2076"/>
          </w:tcPr>
          <w:p>
            <w:pPr>
              <w:pStyle w:val="null3"/>
              <w:jc w:val="center"/>
            </w:pPr>
            <w:r>
              <w:rPr/>
              <w:t>4</w:t>
            </w:r>
          </w:p>
        </w:tc>
        <w:tc>
          <w:tcPr>
            <w:tcW w:type="dxa" w:w="2076"/>
          </w:tcPr>
          <w:p>
            <w:pPr>
              <w:pStyle w:val="null3"/>
              <w:jc w:val="left"/>
            </w:pPr>
            <w:r>
              <w:rPr/>
              <w:t>图形工作站</w:t>
            </w:r>
          </w:p>
        </w:tc>
        <w:tc>
          <w:tcPr>
            <w:tcW w:type="dxa" w:w="2076"/>
          </w:tcPr>
          <w:p>
            <w:pPr>
              <w:pStyle w:val="null3"/>
              <w:jc w:val="left"/>
            </w:pPr>
            <w:r>
              <w:rPr/>
              <w:t>GPU计算机工作站</w:t>
            </w:r>
          </w:p>
        </w:tc>
        <w:tc>
          <w:tcPr>
            <w:tcW w:type="dxa" w:w="2076"/>
          </w:tcPr>
          <w:p>
            <w:pPr>
              <w:pStyle w:val="null3"/>
              <w:jc w:val="left"/>
            </w:pPr>
            <w:r>
              <w:rPr/>
              <w:t>GPU计算工作站</w:t>
            </w:r>
          </w:p>
        </w:tc>
      </w:tr>
    </w:tbl>
    <w:p>
      <w:pPr>
        <w:pStyle w:val="null3"/>
      </w:pPr>
      <w:r>
        <w:rPr/>
        <w:t>本采购包不接受联合体投标</w:t>
      </w:r>
    </w:p>
    <w:p>
      <w:pPr>
        <w:pStyle w:val="null3"/>
      </w:pPr>
      <w:r>
        <w:rPr/>
        <w:t>合同分包：不允许合同分包</w:t>
      </w:r>
    </w:p>
    <w:p>
      <w:pPr>
        <w:pStyle w:val="null3"/>
      </w:pPr>
      <w:r>
        <w:rPr/>
        <w:t>合同履行期限：自合同签订之日起至本项目约定的全部义务履行完毕止。</w:t>
      </w:r>
    </w:p>
    <w:p>
      <w:pPr>
        <w:pStyle w:val="null3"/>
      </w:pPr>
      <w:r>
        <w:rPr/>
        <w:t>采购包3(3m浮标、声学释放器、声学多普勒流速剖面仪、声学多普勒流速剖面仪（6000m耐压）采购):</w:t>
      </w:r>
    </w:p>
    <w:p>
      <w:pPr>
        <w:pStyle w:val="null3"/>
      </w:pPr>
      <w:r>
        <w:rPr/>
        <w:t>采购包预算金额：1,540,000.00元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教学仪器</w:t>
            </w:r>
          </w:p>
        </w:tc>
        <w:tc>
          <w:tcPr>
            <w:tcW w:type="dxa" w:w="2052"/>
          </w:tcPr>
          <w:p>
            <w:pPr>
              <w:pStyle w:val="null3"/>
            </w:pPr>
            <w:r>
              <w:rPr/>
              <w:t>声学释放器</w:t>
            </w:r>
          </w:p>
        </w:tc>
        <w:tc>
          <w:tcPr>
            <w:tcW w:type="dxa" w:w="977"/>
          </w:tcPr>
          <w:p>
            <w:pPr>
              <w:pStyle w:val="null3"/>
            </w:pPr>
            <w:r>
              <w:rPr/>
              <w:t>2.00(套)</w:t>
            </w:r>
          </w:p>
        </w:tc>
        <w:tc>
          <w:tcPr>
            <w:tcW w:type="dxa" w:w="977"/>
          </w:tcPr>
          <w:p>
            <w:pPr>
              <w:pStyle w:val="null3"/>
            </w:pPr>
            <w:r>
              <w:rPr/>
              <w:t>详见第二章</w:t>
            </w:r>
          </w:p>
        </w:tc>
        <w:tc>
          <w:tcPr>
            <w:tcW w:type="dxa" w:w="977"/>
          </w:tcPr>
          <w:p>
            <w:pPr>
              <w:pStyle w:val="null3"/>
            </w:pPr>
            <w:r>
              <w:rPr/>
              <w:t>360,000.00</w:t>
            </w:r>
          </w:p>
        </w:tc>
        <w:tc>
          <w:tcPr>
            <w:tcW w:type="dxa" w:w="977"/>
          </w:tcPr>
          <w:p>
            <w:pPr>
              <w:pStyle w:val="null3"/>
            </w:pPr>
            <w:r>
              <w:rPr/>
              <w:t>是</w:t>
            </w:r>
          </w:p>
        </w:tc>
      </w:tr>
      <w:tr>
        <w:tc>
          <w:tcPr>
            <w:tcW w:type="dxa" w:w="977"/>
          </w:tcPr>
          <w:p>
            <w:pPr>
              <w:pStyle w:val="null3"/>
            </w:pPr>
            <w:r>
              <w:rPr/>
              <w:t>3-2</w:t>
            </w:r>
          </w:p>
        </w:tc>
        <w:tc>
          <w:tcPr>
            <w:tcW w:type="dxa" w:w="1368"/>
          </w:tcPr>
          <w:p>
            <w:pPr>
              <w:pStyle w:val="null3"/>
            </w:pPr>
            <w:r>
              <w:rPr/>
              <w:t>教学仪器</w:t>
            </w:r>
          </w:p>
        </w:tc>
        <w:tc>
          <w:tcPr>
            <w:tcW w:type="dxa" w:w="2052"/>
          </w:tcPr>
          <w:p>
            <w:pPr>
              <w:pStyle w:val="null3"/>
            </w:pPr>
            <w:r>
              <w:rPr/>
              <w:t>声学多普勒流速剖面仪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330,000.00</w:t>
            </w:r>
          </w:p>
        </w:tc>
        <w:tc>
          <w:tcPr>
            <w:tcW w:type="dxa" w:w="977"/>
          </w:tcPr>
          <w:p>
            <w:pPr>
              <w:pStyle w:val="null3"/>
            </w:pPr>
            <w:r>
              <w:rPr/>
              <w:t>是</w:t>
            </w:r>
          </w:p>
        </w:tc>
      </w:tr>
      <w:tr>
        <w:tc>
          <w:tcPr>
            <w:tcW w:type="dxa" w:w="977"/>
          </w:tcPr>
          <w:p>
            <w:pPr>
              <w:pStyle w:val="null3"/>
            </w:pPr>
            <w:r>
              <w:rPr/>
              <w:t>3-3</w:t>
            </w:r>
          </w:p>
        </w:tc>
        <w:tc>
          <w:tcPr>
            <w:tcW w:type="dxa" w:w="1368"/>
          </w:tcPr>
          <w:p>
            <w:pPr>
              <w:pStyle w:val="null3"/>
            </w:pPr>
            <w:r>
              <w:rPr/>
              <w:t>教学仪器</w:t>
            </w:r>
          </w:p>
        </w:tc>
        <w:tc>
          <w:tcPr>
            <w:tcW w:type="dxa" w:w="2052"/>
          </w:tcPr>
          <w:p>
            <w:pPr>
              <w:pStyle w:val="null3"/>
            </w:pPr>
            <w:r>
              <w:rPr/>
              <w:t>声学多普勒流速剖面仪（6000m耐压）</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是</w:t>
            </w:r>
          </w:p>
        </w:tc>
      </w:tr>
      <w:tr>
        <w:tc>
          <w:tcPr>
            <w:tcW w:type="dxa" w:w="977"/>
          </w:tcPr>
          <w:p>
            <w:pPr>
              <w:pStyle w:val="null3"/>
            </w:pPr>
            <w:r>
              <w:rPr/>
              <w:t>3-4</w:t>
            </w:r>
          </w:p>
        </w:tc>
        <w:tc>
          <w:tcPr>
            <w:tcW w:type="dxa" w:w="1368"/>
          </w:tcPr>
          <w:p>
            <w:pPr>
              <w:pStyle w:val="null3"/>
            </w:pPr>
            <w:r>
              <w:rPr/>
              <w:t>教学仪器</w:t>
            </w:r>
          </w:p>
        </w:tc>
        <w:tc>
          <w:tcPr>
            <w:tcW w:type="dxa" w:w="2052"/>
          </w:tcPr>
          <w:p>
            <w:pPr>
              <w:pStyle w:val="null3"/>
            </w:pPr>
            <w:r>
              <w:rPr/>
              <w:t>3m浮标</w:t>
            </w:r>
          </w:p>
        </w:tc>
        <w:tc>
          <w:tcPr>
            <w:tcW w:type="dxa" w:w="977"/>
          </w:tcPr>
          <w:p>
            <w:pPr>
              <w:pStyle w:val="null3"/>
            </w:pPr>
            <w:r>
              <w:rPr/>
              <w:t>1.00(个)</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声学释放器</w:t>
            </w:r>
          </w:p>
        </w:tc>
        <w:tc>
          <w:tcPr>
            <w:tcW w:type="dxa" w:w="2076"/>
          </w:tcPr>
          <w:p>
            <w:pPr>
              <w:pStyle w:val="null3"/>
              <w:jc w:val="left"/>
            </w:pPr>
            <w:r>
              <w:rPr/>
              <w:t>声学释放器</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声学多普勒流速剖面仪</w:t>
            </w:r>
          </w:p>
        </w:tc>
        <w:tc>
          <w:tcPr>
            <w:tcW w:type="dxa" w:w="2076"/>
          </w:tcPr>
          <w:p>
            <w:pPr>
              <w:pStyle w:val="null3"/>
              <w:jc w:val="left"/>
            </w:pPr>
            <w:r>
              <w:rPr/>
              <w:t>声学多普勒流速剖面仪</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声学多普勒流速剖面仪（6000m耐压）</w:t>
            </w:r>
          </w:p>
        </w:tc>
        <w:tc>
          <w:tcPr>
            <w:tcW w:type="dxa" w:w="2076"/>
          </w:tcPr>
          <w:p>
            <w:pPr>
              <w:pStyle w:val="null3"/>
              <w:jc w:val="left"/>
            </w:pPr>
            <w:r>
              <w:rPr/>
              <w:t>声学多普勒流速剖面仪（6000m耐压）</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3m浮标</w:t>
            </w:r>
          </w:p>
        </w:tc>
        <w:tc>
          <w:tcPr>
            <w:tcW w:type="dxa" w:w="2076"/>
          </w:tcPr>
          <w:p>
            <w:pPr>
              <w:pStyle w:val="null3"/>
              <w:jc w:val="left"/>
            </w:pPr>
            <w:r>
              <w:rPr/>
              <w:t>3m浮标</w:t>
            </w:r>
          </w:p>
        </w:tc>
      </w:tr>
    </w:tbl>
    <w:p>
      <w:pPr>
        <w:pStyle w:val="null3"/>
      </w:pPr>
      <w:r>
        <w:rPr/>
        <w:t>本采购包不接受联合体投标</w:t>
      </w:r>
    </w:p>
    <w:p>
      <w:pPr>
        <w:pStyle w:val="null3"/>
      </w:pPr>
      <w:r>
        <w:rPr/>
        <w:t>合同分包：不允许合同分包</w:t>
      </w:r>
    </w:p>
    <w:p>
      <w:pPr>
        <w:pStyle w:val="null3"/>
      </w:pPr>
      <w:r>
        <w:rPr/>
        <w:t>合同履行期限：自合同签订之日起至本项目约定的全部义务履行完毕止。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p>
      <w:pPr>
        <w:pStyle w:val="null3"/>
      </w:pPr>
      <w:r>
        <w:rPr/>
        <w:t>2）有依法缴纳税收和社会保障资金的良好记录：提供以下2项材料之一：①提供投标截止日前6个月内任意1个月依法缴纳税收和社会保障资金的证明文件，如依法免税或依法不需要缴纳社会保障资金的，应提供相应文件证明；②提供资格声明函（格式可自拟或参考招标公告附件）。</w:t>
      </w:r>
    </w:p>
    <w:p>
      <w:pPr>
        <w:pStyle w:val="null3"/>
      </w:pPr>
      <w:r>
        <w:rPr/>
        <w:t>3）具有良好的商业信誉和健全的财务会计制度：提供以下2项材料之一：①提供2024或2025年度经会计师事务所审计财务状况报告；或基本开户行出具的资信证明和《基本存款账号信息》（或《开户许可证》）；②提供资格声明函（格式可自拟或参考招标公告附件）。</w:t>
      </w:r>
    </w:p>
    <w:p>
      <w:pPr>
        <w:pStyle w:val="null3"/>
      </w:pPr>
      <w:r>
        <w:rPr/>
        <w:t>4）履行合同所必需的设备和专业技术能力：填报设备及专业技术能力情况或提供资格声明函（格式可自拟或参考招标公告附件）。</w:t>
      </w:r>
    </w:p>
    <w:p>
      <w:pPr>
        <w:pStyle w:val="null3"/>
      </w:pPr>
      <w:r>
        <w:rPr/>
        <w:t>5）参加采购活动前3年内，在经营活动中没有重大违法记录：依据《投标函》或提供《资格声明函》（格式可自拟或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采购包1（盐度计、超声波气象站、数据采集器、潮位仪采购）：</w:t>
      </w:r>
      <w:r>
        <w:rPr/>
        <w:t>本采购包不专门面向中小企业采购。</w:t>
      </w:r>
    </w:p>
    <w:p>
      <w:pPr>
        <w:pStyle w:val="null3"/>
        <w:jc w:val="left"/>
      </w:pPr>
      <w:r>
        <w:rPr/>
        <w:t>采购包2（图形工作站1、图形工作站2、图形工作站3、GPU计算工作站采购）：</w:t>
      </w:r>
      <w:r>
        <w:rPr/>
        <w:t>本采购包不专门面向中小企业采购。</w:t>
      </w:r>
    </w:p>
    <w:p>
      <w:pPr>
        <w:pStyle w:val="null3"/>
        <w:jc w:val="left"/>
      </w:pPr>
      <w:r>
        <w:rPr/>
        <w:t>采购包3（3m浮标、声学释放器、声学多普勒流速剖面仪、声学多普勒流速剖面仪（6000m耐压）采购）：</w:t>
      </w:r>
      <w:r>
        <w:rPr/>
        <w:t>本采购包不专门面向中小企业采购。</w:t>
      </w:r>
    </w:p>
    <w:p>
      <w:pPr>
        <w:pStyle w:val="null3"/>
        <w:outlineLvl w:val="3"/>
      </w:pPr>
      <w:r>
        <w:rPr>
          <w:sz w:val="24"/>
          <w:b/>
        </w:rPr>
        <w:t>3.本项目特定的资格要求：</w:t>
      </w:r>
    </w:p>
    <w:p>
      <w:pPr>
        <w:pStyle w:val="null3"/>
      </w:pPr>
      <w:r>
        <w:rPr/>
        <w:t>采购包1（盐度计、超声波气象站、数据采集器、潮位仪采购）：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内容。</w:t>
      </w:r>
    </w:p>
    <w:p>
      <w:pPr>
        <w:pStyle w:val="null3"/>
      </w:pPr>
      <w:r>
        <w:rPr/>
        <w:t>采购包2（图形工作站1、图形工作站2、图形工作站3、GPU计算工作站采购）：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内容。</w:t>
      </w:r>
    </w:p>
    <w:p>
      <w:pPr>
        <w:pStyle w:val="null3"/>
      </w:pPr>
      <w:r>
        <w:rPr/>
        <w:t>采购包3（3m浮标、声学释放器、声学多普勒流速剖面仪、声学多普勒流速剖面仪（6000m耐压）采购）：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广东有德招标采购有限公司网站(www.youde.net)。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广东海洋大学</w:t>
      </w:r>
    </w:p>
    <w:p>
      <w:pPr>
        <w:pStyle w:val="null3"/>
        <w:ind w:firstLine="480"/>
      </w:pPr>
      <w:r>
        <w:rPr/>
        <w:t xml:space="preserve"> 地址：</w:t>
      </w:r>
      <w:r>
        <w:rPr/>
        <w:t>广东省湛江市麻章区海大路1号</w:t>
      </w:r>
    </w:p>
    <w:p>
      <w:pPr>
        <w:pStyle w:val="null3"/>
        <w:ind w:firstLine="480"/>
      </w:pPr>
      <w:r>
        <w:rPr/>
        <w:t xml:space="preserve"> 联系方式：</w:t>
      </w:r>
      <w:r>
        <w:rPr/>
        <w:t>0759-2383282</w:t>
      </w:r>
    </w:p>
    <w:p>
      <w:pPr>
        <w:pStyle w:val="null3"/>
        <w:outlineLvl w:val="3"/>
      </w:pPr>
      <w:r>
        <w:rPr>
          <w:sz w:val="24"/>
          <w:b/>
        </w:rPr>
        <w:t xml:space="preserve"> 2.采购代理机构信息</w:t>
      </w:r>
    </w:p>
    <w:p>
      <w:pPr>
        <w:pStyle w:val="null3"/>
        <w:ind w:firstLine="480"/>
      </w:pPr>
      <w:r>
        <w:rPr/>
        <w:t xml:space="preserve"> 名称：</w:t>
      </w:r>
      <w:r>
        <w:rPr/>
        <w:t>广东有德招标采购有限公司</w:t>
      </w:r>
    </w:p>
    <w:p>
      <w:pPr>
        <w:pStyle w:val="null3"/>
        <w:ind w:firstLine="480"/>
      </w:pPr>
      <w:r>
        <w:rPr/>
        <w:t xml:space="preserve"> 地址：</w:t>
      </w:r>
      <w:r>
        <w:rPr/>
        <w:t>广州市天河北路626号保利中宇广场A座25楼</w:t>
      </w:r>
    </w:p>
    <w:p>
      <w:pPr>
        <w:pStyle w:val="null3"/>
        <w:ind w:firstLine="480"/>
      </w:pPr>
      <w:r>
        <w:rPr/>
        <w:t xml:space="preserve"> 联系方式：</w:t>
      </w:r>
      <w:r>
        <w:rPr/>
        <w:t>0759-2286602</w:t>
      </w:r>
    </w:p>
    <w:p>
      <w:pPr>
        <w:pStyle w:val="null3"/>
        <w:outlineLvl w:val="3"/>
      </w:pPr>
      <w:r>
        <w:rPr>
          <w:sz w:val="24"/>
          <w:b/>
        </w:rPr>
        <w:t xml:space="preserve"> 3.项目联系方式</w:t>
      </w:r>
    </w:p>
    <w:p>
      <w:pPr>
        <w:pStyle w:val="null3"/>
        <w:ind w:firstLine="480"/>
      </w:pPr>
      <w:r>
        <w:rPr/>
        <w:t xml:space="preserve"> 项目联系人：</w:t>
      </w:r>
      <w:r>
        <w:rPr/>
        <w:t>梁小姐</w:t>
      </w:r>
    </w:p>
    <w:p>
      <w:pPr>
        <w:pStyle w:val="null3"/>
        <w:ind w:firstLine="480"/>
      </w:pPr>
      <w:r>
        <w:rPr/>
        <w:t xml:space="preserve"> 电话：</w:t>
      </w:r>
      <w:r>
        <w:rPr/>
        <w:t>0759-2286602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广东有德招标采购有限公司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（一）相关说明</w:t>
      </w:r>
    </w:p>
    <w:p>
      <w:pPr>
        <w:pStyle w:val="null3"/>
        <w:jc w:val="both"/>
      </w:pPr>
      <w:r>
        <w:rPr>
          <w:sz w:val="24"/>
        </w:rPr>
        <w:t>1.投标人须对</w:t>
      </w:r>
      <w:r>
        <w:rPr>
          <w:sz w:val="24"/>
        </w:rPr>
        <w:t>各采购包</w:t>
      </w:r>
      <w:r>
        <w:rPr>
          <w:sz w:val="24"/>
        </w:rPr>
        <w:t>为单位的</w:t>
      </w:r>
      <w:r>
        <w:rPr>
          <w:sz w:val="24"/>
        </w:rPr>
        <w:t>货物</w:t>
      </w:r>
      <w:r>
        <w:rPr>
          <w:sz w:val="24"/>
        </w:rPr>
        <w:t>进行整体响应，任何只对其中一部分内容进行的响应都被视为无效投标。</w:t>
      </w:r>
    </w:p>
    <w:p>
      <w:pPr>
        <w:pStyle w:val="null3"/>
        <w:jc w:val="both"/>
      </w:pPr>
      <w:r>
        <w:rPr>
          <w:sz w:val="24"/>
        </w:rPr>
        <w:t>2.采购需求中</w:t>
      </w:r>
      <w:r>
        <w:rPr>
          <w:sz w:val="24"/>
        </w:rPr>
        <w:t>打</w:t>
      </w:r>
      <w:r>
        <w:rPr>
          <w:sz w:val="24"/>
        </w:rPr>
        <w:t>“★”号</w:t>
      </w:r>
      <w:r>
        <w:rPr>
          <w:sz w:val="24"/>
        </w:rPr>
        <w:t>的</w:t>
      </w:r>
      <w:r>
        <w:rPr>
          <w:sz w:val="24"/>
        </w:rPr>
        <w:t>条款为实质性</w:t>
      </w:r>
      <w:r>
        <w:rPr>
          <w:sz w:val="24"/>
        </w:rPr>
        <w:t>条款</w:t>
      </w:r>
      <w:r>
        <w:rPr>
          <w:sz w:val="24"/>
        </w:rPr>
        <w:t>，投标人如有任何一条负偏离则导致投标无效。</w:t>
      </w:r>
    </w:p>
    <w:p>
      <w:pPr>
        <w:pStyle w:val="null3"/>
        <w:jc w:val="both"/>
      </w:pPr>
      <w:r>
        <w:rPr>
          <w:sz w:val="24"/>
        </w:rPr>
        <w:t>3.采购需求中打“▲”号</w:t>
      </w:r>
      <w:r>
        <w:rPr>
          <w:sz w:val="24"/>
        </w:rPr>
        <w:t>的</w:t>
      </w:r>
      <w:r>
        <w:rPr>
          <w:sz w:val="24"/>
        </w:rPr>
        <w:t>条款为重要技术参数，不满足则影响得分，但不作为无效投标条款。</w:t>
      </w:r>
    </w:p>
    <w:p>
      <w:pPr>
        <w:pStyle w:val="null3"/>
        <w:jc w:val="both"/>
      </w:pPr>
      <w:r>
        <w:rPr>
          <w:sz w:val="24"/>
        </w:rPr>
        <w:t>4.</w:t>
      </w:r>
      <w:r>
        <w:rPr>
          <w:sz w:val="24"/>
        </w:rPr>
        <w:t>本项目各采购标的所属行业、对应的品目名称及编码、《国民经济行业分类》具体类别名称及代码：</w:t>
      </w:r>
    </w:p>
    <w:p>
      <w:pPr>
        <w:pStyle w:val="null3"/>
        <w:jc w:val="both"/>
      </w:pPr>
      <w:r>
        <w:rPr>
          <w:sz w:val="24"/>
        </w:rPr>
        <w:t>采购包1：</w:t>
      </w:r>
    </w:p>
    <w:tbl>
      <w:tblPr>
        <w:tblW w:w="0" w:type="auto"/>
        <w:tblBorders>
          <w:top w:val="none" w:color="000000" w:sz="4"/>
          <w:left w:val="none" w:color="000000" w:sz="4"/>
          <w:bottom w:val="none" w:color="000000" w:sz="4"/>
          <w:right w:val="none" w:color="000000" w:sz="4"/>
          <w:insideH w:val="none"/>
          <w:insideV w:val="none"/>
        </w:tblBorders>
      </w:tblPr>
      <w:tblGrid>
        <w:gridCol w:w="755"/>
        <w:gridCol w:w="2034"/>
        <w:gridCol w:w="1663"/>
        <w:gridCol w:w="2534"/>
        <w:gridCol w:w="1292"/>
      </w:tblGrid>
      <w:tr>
        <w:tc>
          <w:tcPr>
            <w:tcW w:type="dxa" w:w="755"/>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rPr>
              <w:t>序</w:t>
            </w:r>
            <w:r>
              <w:rPr>
                <w:sz w:val="24"/>
              </w:rPr>
              <w:t>号</w:t>
            </w:r>
          </w:p>
        </w:tc>
        <w:tc>
          <w:tcPr>
            <w:tcW w:type="dxa" w:w="2034"/>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rPr>
              <w:t>采购</w:t>
            </w:r>
            <w:r>
              <w:rPr>
                <w:sz w:val="24"/>
              </w:rPr>
              <w:t>标的</w:t>
            </w:r>
          </w:p>
        </w:tc>
        <w:tc>
          <w:tcPr>
            <w:tcW w:type="dxa" w:w="1663"/>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rPr>
              <w:t>品目名称及编码</w:t>
            </w:r>
          </w:p>
        </w:tc>
        <w:tc>
          <w:tcPr>
            <w:tcW w:type="dxa" w:w="2534"/>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rPr>
              <w:t>《国民经济行业分类》具体类别名称及代码</w:t>
            </w:r>
          </w:p>
        </w:tc>
        <w:tc>
          <w:tcPr>
            <w:tcW w:type="dxa" w:w="1292"/>
            <w:tcBorders>
              <w:top w:val="single" w:color="000000" w:sz="4"/>
              <w:left w:val="single" w:color="000000" w:sz="4"/>
              <w:bottom w:val="single" w:color="000000" w:sz="4"/>
              <w:right w:val="single" w:color="000000" w:sz="4"/>
            </w:tcBorders>
            <w:shd w:fill="E7E6E6"/>
            <w:tcMar>
              <w:top w:type="dxa" w:w="0"/>
              <w:left w:type="dxa" w:w="105"/>
              <w:bottom w:type="dxa" w:w="0"/>
              <w:right w:type="dxa" w:w="105"/>
            </w:tcMar>
            <w:vAlign w:val="top"/>
          </w:tcPr>
          <w:p>
            <w:pPr>
              <w:pStyle w:val="null3"/>
              <w:jc w:val="center"/>
            </w:pPr>
            <w:r>
              <w:rPr>
                <w:sz w:val="24"/>
              </w:rPr>
              <w:t>采购标的所属行业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数据采集器</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（A02102100）</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超声波气象站</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（A02102100）</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潮位仪</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（A02102100）</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盐度计</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（A02102100）</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bl>
    <w:p>
      <w:pPr>
        <w:pStyle w:val="null3"/>
        <w:jc w:val="both"/>
      </w:pPr>
      <w:r>
        <w:rPr>
          <w:sz w:val="24"/>
        </w:rPr>
        <w:t>采购包2：</w:t>
      </w:r>
    </w:p>
    <w:tbl>
      <w:tblPr>
        <w:tblW w:w="0" w:type="auto"/>
        <w:tblBorders>
          <w:top w:val="none" w:color="000000" w:sz="4"/>
          <w:left w:val="none" w:color="000000" w:sz="4"/>
          <w:bottom w:val="none" w:color="000000" w:sz="4"/>
          <w:right w:val="none" w:color="000000" w:sz="4"/>
          <w:insideH w:val="none"/>
          <w:insideV w:val="none"/>
        </w:tblBorders>
      </w:tblPr>
      <w:tblGrid>
        <w:gridCol w:w="755"/>
        <w:gridCol w:w="2034"/>
        <w:gridCol w:w="1663"/>
        <w:gridCol w:w="2534"/>
        <w:gridCol w:w="1292"/>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1</w:t>
            </w:r>
          </w:p>
        </w:tc>
        <w:tc>
          <w:tcPr>
            <w:tcW w:type="dxa" w:w="1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（A02010107）</w:t>
            </w:r>
          </w:p>
        </w:tc>
        <w:tc>
          <w:tcPr>
            <w:tcW w:type="dxa" w:w="2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计算机制造</w:t>
            </w:r>
          </w:p>
          <w:p>
            <w:pPr>
              <w:pStyle w:val="null3"/>
              <w:jc w:val="center"/>
            </w:pPr>
            <w:r>
              <w:rPr>
                <w:sz w:val="24"/>
              </w:rPr>
              <w:t>（代码：小类</w:t>
            </w:r>
            <w:r>
              <w:rPr>
                <w:sz w:val="24"/>
              </w:rPr>
              <w:t>391</w:t>
            </w:r>
            <w:r>
              <w:rPr>
                <w:sz w:val="24"/>
              </w:rPr>
              <w:t>）</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2</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（A02010107）</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计算机制造</w:t>
            </w:r>
          </w:p>
          <w:p>
            <w:pPr>
              <w:pStyle w:val="null3"/>
              <w:jc w:val="center"/>
            </w:pPr>
            <w:r>
              <w:rPr>
                <w:sz w:val="24"/>
              </w:rPr>
              <w:t>（代码：小类</w:t>
            </w:r>
            <w:r>
              <w:rPr>
                <w:sz w:val="24"/>
              </w:rPr>
              <w:t>391</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3</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（A02010107）</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计算机制造</w:t>
            </w:r>
          </w:p>
          <w:p>
            <w:pPr>
              <w:pStyle w:val="null3"/>
              <w:jc w:val="center"/>
            </w:pPr>
            <w:r>
              <w:rPr>
                <w:sz w:val="24"/>
              </w:rPr>
              <w:t>（代码：小类</w:t>
            </w:r>
            <w:r>
              <w:rPr>
                <w:sz w:val="24"/>
              </w:rPr>
              <w:t>391</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GPU计算工作站</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图形工作站</w:t>
            </w:r>
            <w:r>
              <w:rPr>
                <w:sz w:val="24"/>
              </w:rPr>
              <w:t>（A02010107）</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计算机制造</w:t>
            </w:r>
          </w:p>
          <w:p>
            <w:pPr>
              <w:pStyle w:val="null3"/>
              <w:jc w:val="center"/>
            </w:pPr>
            <w:r>
              <w:rPr>
                <w:sz w:val="24"/>
              </w:rPr>
              <w:t>（代码：小类</w:t>
            </w:r>
            <w:r>
              <w:rPr>
                <w:sz w:val="24"/>
              </w:rPr>
              <w:t>391</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bl>
    <w:p>
      <w:pPr>
        <w:pStyle w:val="null3"/>
        <w:jc w:val="both"/>
      </w:pPr>
      <w:r>
        <w:rPr>
          <w:sz w:val="24"/>
        </w:rPr>
        <w:t>采购包3：</w:t>
      </w:r>
    </w:p>
    <w:tbl>
      <w:tblPr>
        <w:tblW w:w="0" w:type="auto"/>
        <w:tblBorders>
          <w:top w:val="none" w:color="000000" w:sz="4"/>
          <w:left w:val="none" w:color="000000" w:sz="4"/>
          <w:bottom w:val="none" w:color="000000" w:sz="4"/>
          <w:right w:val="none" w:color="000000" w:sz="4"/>
          <w:insideH w:val="none"/>
          <w:insideV w:val="none"/>
        </w:tblBorders>
      </w:tblPr>
      <w:tblGrid>
        <w:gridCol w:w="755"/>
        <w:gridCol w:w="2034"/>
        <w:gridCol w:w="1663"/>
        <w:gridCol w:w="2534"/>
        <w:gridCol w:w="1292"/>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声学释放器</w:t>
            </w:r>
          </w:p>
        </w:tc>
        <w:tc>
          <w:tcPr>
            <w:tcW w:type="dxa" w:w="1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w:t>
            </w:r>
            <w:r>
              <w:rPr>
                <w:sz w:val="24"/>
              </w:rPr>
              <w:t>A02102100</w:t>
            </w:r>
            <w:r>
              <w:rPr>
                <w:sz w:val="24"/>
              </w:rPr>
              <w:t>）</w:t>
            </w:r>
          </w:p>
        </w:tc>
        <w:tc>
          <w:tcPr>
            <w:tcW w:type="dxa" w:w="2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w:t>
            </w:r>
            <w:r>
              <w:rPr>
                <w:sz w:val="24"/>
              </w:rPr>
              <w:t>40</w:t>
            </w:r>
            <w:r>
              <w:rPr>
                <w:sz w:val="24"/>
              </w:rPr>
              <w:t>26</w:t>
            </w:r>
            <w:r>
              <w:rPr>
                <w:sz w:val="24"/>
              </w:rPr>
              <w:t>）</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声学多普勒流速剖面仪</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w:t>
            </w:r>
            <w:r>
              <w:rPr>
                <w:sz w:val="24"/>
              </w:rPr>
              <w:t>A02102100</w:t>
            </w:r>
            <w:r>
              <w:rPr>
                <w:sz w:val="24"/>
              </w:rPr>
              <w:t>）</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w:t>
            </w:r>
            <w:r>
              <w:rPr>
                <w:sz w:val="24"/>
              </w:rPr>
              <w:t>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声学多普勒流速剖面仪（</w:t>
            </w:r>
            <w:r>
              <w:rPr>
                <w:sz w:val="24"/>
              </w:rPr>
              <w:t>6000m</w:t>
            </w:r>
            <w:r>
              <w:rPr>
                <w:sz w:val="24"/>
              </w:rPr>
              <w:t>耐压）</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w:t>
            </w:r>
            <w:r>
              <w:rPr>
                <w:sz w:val="24"/>
              </w:rPr>
              <w:t>A02102100</w:t>
            </w:r>
            <w:r>
              <w:rPr>
                <w:sz w:val="24"/>
              </w:rPr>
              <w:t>）</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w:t>
            </w:r>
            <w:r>
              <w:rPr>
                <w:sz w:val="24"/>
              </w:rPr>
              <w:t>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3m</w:t>
            </w:r>
            <w:r>
              <w:rPr>
                <w:sz w:val="24"/>
              </w:rPr>
              <w:t>浮标</w:t>
            </w:r>
          </w:p>
        </w:tc>
        <w:tc>
          <w:tcPr>
            <w:tcW w:type="dxa" w:w="1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教学仪器</w:t>
            </w:r>
            <w:r>
              <w:rPr>
                <w:sz w:val="24"/>
              </w:rPr>
              <w:t>（</w:t>
            </w:r>
            <w:r>
              <w:rPr>
                <w:sz w:val="24"/>
              </w:rPr>
              <w:t>A02102100</w:t>
            </w:r>
            <w:r>
              <w:rPr>
                <w:sz w:val="24"/>
              </w:rPr>
              <w:t>）</w:t>
            </w:r>
          </w:p>
        </w:tc>
        <w:tc>
          <w:tcPr>
            <w:tcW w:type="dxa" w:w="2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教学专用仪器制造</w:t>
            </w:r>
          </w:p>
          <w:p>
            <w:pPr>
              <w:pStyle w:val="null3"/>
              <w:jc w:val="center"/>
            </w:pPr>
            <w:r>
              <w:rPr>
                <w:sz w:val="24"/>
              </w:rPr>
              <w:t>（代码：小类</w:t>
            </w:r>
            <w:r>
              <w:rPr>
                <w:sz w:val="24"/>
              </w:rPr>
              <w:t>40</w:t>
            </w:r>
            <w:r>
              <w:rPr>
                <w:sz w:val="24"/>
              </w:rPr>
              <w:t>26</w:t>
            </w:r>
            <w:r>
              <w:rPr>
                <w:sz w:val="24"/>
              </w:rPr>
              <w:t>）</w:t>
            </w:r>
          </w:p>
        </w:tc>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工业</w:t>
            </w:r>
          </w:p>
        </w:tc>
      </w:tr>
    </w:tbl>
    <w:p>
      <w:pPr>
        <w:pStyle w:val="null3"/>
        <w:jc w:val="both"/>
      </w:pPr>
      <w:r>
        <w:rPr>
          <w:sz w:val="24"/>
        </w:rPr>
        <w:t>5</w:t>
      </w:r>
      <w:r>
        <w:rPr>
          <w:sz w:val="24"/>
        </w:rPr>
        <w:t>.项目属性：</w:t>
      </w:r>
      <w:r>
        <w:rPr>
          <w:sz w:val="24"/>
        </w:rPr>
        <w:t>货物</w:t>
      </w:r>
      <w:r>
        <w:rPr>
          <w:sz w:val="24"/>
        </w:rPr>
        <w:t>类，采购标的对应的中小企业划分标准所属行业：</w:t>
      </w:r>
      <w:r>
        <w:rPr>
          <w:sz w:val="24"/>
        </w:rPr>
        <w:t>工业。</w:t>
      </w:r>
    </w:p>
    <w:p>
      <w:pPr>
        <w:pStyle w:val="null3"/>
        <w:jc w:val="both"/>
      </w:pPr>
      <w:r>
        <w:rPr>
          <w:sz w:val="24"/>
        </w:rPr>
        <w:t>6.本项目的核心产品：</w:t>
      </w:r>
      <w:r>
        <w:rPr>
          <w:sz w:val="24"/>
          <w:u w:val="single"/>
        </w:rPr>
        <w:t>采购包1为数据采集器；采购包2为图形工作站1；采购包3为声学多普勒流速剖面仪（6000m耐压）</w:t>
      </w:r>
      <w:r>
        <w:rPr>
          <w:sz w:val="24"/>
        </w:rPr>
        <w:t>。同一采购包中，依照《政府采购货物和服务招标投标管理办法》（财政部令第</w:t>
      </w:r>
      <w:r>
        <w:rPr>
          <w:sz w:val="24"/>
        </w:rPr>
        <w:t>87号</w:t>
      </w:r>
      <w:r>
        <w:rPr>
          <w:sz w:val="24"/>
        </w:rPr>
        <w:t>）第三十一条规定：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jc w:val="both"/>
      </w:pPr>
      <w:r>
        <w:rPr>
          <w:sz w:val="24"/>
        </w:rPr>
        <w:t>7.节能产品的优先采购和强制采购以财政部、发展改革委、生态环境部等部门公布的最新《节能产品政府采购品目清单》中所列产品及相关规定为准。属于《节能产品政府采购品目清单》范围产品类别的，供应商应填写《政策适用性说明》明确列明具体产品的名称并提交相关证明材料。证明材料包括：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作为评审的依据。供应商可查询中国政府采购网（网址www.ccgp.gov.cn）了解《节能产品政府采购品目清单》，强制采购节能产品在价格评审中不作价格扣除。</w:t>
      </w:r>
    </w:p>
    <w:p>
      <w:pPr>
        <w:pStyle w:val="null3"/>
        <w:jc w:val="both"/>
      </w:pPr>
      <w:r>
        <w:rPr>
          <w:sz w:val="24"/>
        </w:rPr>
        <w:t>8.环境标志产品采购以财政部、发展改革委、生态环境部等部门公布的最新《环境标志产品政府采购品目清单》中所列产品及相关规定为准，属于《环境标志产品政府采购品目清单》范围产品类别的，供应商应填写《政策适用性说明》明确列明具体产品的名称并提交相关证明材料。证明材料包括：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作为评审的依据。供应商可查询中国政府采购网（网址http://www.ccgp.gov.cn）了解《环境标志产品政府采购品目清单》。</w:t>
      </w:r>
    </w:p>
    <w:p>
      <w:pPr>
        <w:pStyle w:val="null3"/>
        <w:jc w:val="both"/>
      </w:pPr>
      <w:r>
        <w:rPr>
          <w:sz w:val="24"/>
        </w:rPr>
        <w:t>9.关于《中小企业声明函》的更多填写指引，详见《广东省财政厅关于进一步规范政府采购活动中落实促进中小企业发展政策的通知》，查询网址：https://czt.gd.gov.cn/tzgg/content/post_4496529.html。</w:t>
      </w:r>
    </w:p>
    <w:p>
      <w:pPr>
        <w:pStyle w:val="null3"/>
      </w:pPr>
      <w:r>
        <w:rPr>
          <w:sz w:val="24"/>
        </w:rPr>
        <w:t>附件：</w:t>
      </w:r>
    </w:p>
    <w:p>
      <w:pPr>
        <w:pStyle w:val="null3"/>
        <w:ind w:firstLine="640"/>
        <w:jc w:val="center"/>
      </w:pPr>
      <w:r>
        <w:rPr>
          <w:sz w:val="24"/>
          <w:b/>
        </w:rPr>
        <w:t>《节能环保政策适用性说明》</w:t>
      </w:r>
    </w:p>
    <w:p>
      <w:pPr>
        <w:pStyle w:val="null3"/>
        <w:ind w:firstLine="420"/>
        <w:jc w:val="both"/>
      </w:pPr>
      <w:r>
        <w:rPr>
          <w:sz w:val="24"/>
        </w:rPr>
        <w:t>填写注意事项：</w:t>
      </w:r>
    </w:p>
    <w:p>
      <w:pPr>
        <w:pStyle w:val="null3"/>
        <w:ind w:firstLine="420"/>
        <w:jc w:val="left"/>
      </w:pPr>
      <w:r>
        <w:rPr>
          <w:sz w:val="24"/>
        </w:rPr>
        <w:t>1、供应商所投的产品，符合节能产品、环境标志产品政策要求的，按以下格式填写。</w:t>
      </w:r>
    </w:p>
    <w:p>
      <w:pPr>
        <w:pStyle w:val="null3"/>
        <w:ind w:firstLine="420"/>
        <w:jc w:val="left"/>
      </w:pPr>
      <w:r>
        <w:rPr>
          <w:sz w:val="24"/>
        </w:rPr>
        <w:t>2、供应商所响应的产品须是《节能产品政府采购品目清单》、《环境标志产品政府采购品目清单》内的产品，该产品由国家确定的认证机构颁发处于有效期内的认证证书（认证产品型号须与所投产品型号一致，认证标准须符合《清单》中对应产品所依据的标准），才视为符合节能产品、环境标志产品政策要求。</w:t>
      </w:r>
    </w:p>
    <w:p>
      <w:pPr>
        <w:pStyle w:val="null3"/>
        <w:ind w:firstLine="420"/>
        <w:jc w:val="both"/>
      </w:pPr>
      <w:r>
        <w:rPr>
          <w:sz w:val="24"/>
        </w:rPr>
        <w:t>3、节能产品包括节水产品。</w:t>
      </w:r>
    </w:p>
    <w:p>
      <w:pPr>
        <w:pStyle w:val="null3"/>
        <w:ind w:firstLine="420"/>
        <w:jc w:val="left"/>
      </w:pPr>
      <w:r>
        <w:rPr>
          <w:sz w:val="24"/>
        </w:rPr>
        <w:t>4、在《财政部 发展改革委 生态环境部 市场监管总局关于调整优化节能产品、环境标志产品政府采购执行机制的通知》（财库〔2019〕9号）中可查询节能产品、环境标志产品政府采购政策。</w:t>
      </w:r>
    </w:p>
    <w:p>
      <w:pPr>
        <w:pStyle w:val="null3"/>
        <w:ind w:firstLine="420"/>
        <w:jc w:val="left"/>
      </w:pPr>
      <w:r>
        <w:rPr>
          <w:sz w:val="24"/>
        </w:rPr>
        <w:t>查询网址：http://www.ccgp.gov.cn/zcfg/mof/201902/t20190213_11628855.htm。</w:t>
      </w:r>
    </w:p>
    <w:p>
      <w:pPr>
        <w:pStyle w:val="null3"/>
        <w:ind w:firstLine="420"/>
        <w:jc w:val="both"/>
      </w:pPr>
      <w:r>
        <w:rPr>
          <w:sz w:val="24"/>
        </w:rPr>
        <w:t>5、在《关于印发环境标志产品政府采购品目清单的通知》（财库〔2019〕18号）、《关于印发节能产品政府采购品目清单的通知》（财库〔2019〕19号）中可以查到对应的清单目录。国家确定的认证机构可在《市场监管总局关于发布参与实施政府采购节能产品、环境标志产品认证机构名录的公告》（2019年第16号）中查询。</w:t>
      </w:r>
    </w:p>
    <w:p>
      <w:pPr>
        <w:pStyle w:val="null3"/>
        <w:ind w:firstLine="479"/>
        <w:jc w:val="both"/>
      </w:pPr>
      <w:r>
        <w:rPr>
          <w:sz w:val="24"/>
        </w:rPr>
        <w:t>查询网址：http://www.ccgp.gov.cn/zcfg/mof/201903/t20190330_11833800.htm</w:t>
      </w:r>
    </w:p>
    <w:p>
      <w:pPr>
        <w:pStyle w:val="null3"/>
        <w:ind w:firstLine="479"/>
        <w:jc w:val="both"/>
      </w:pPr>
      <w:r>
        <w:rPr>
          <w:sz w:val="24"/>
        </w:rPr>
        <w:t>http://www.ccgp.gov.cn/zcfg/mof/201904/t20190403_11849836.htm</w:t>
      </w:r>
    </w:p>
    <w:p>
      <w:pPr>
        <w:pStyle w:val="null3"/>
        <w:ind w:firstLine="479"/>
        <w:jc w:val="both"/>
      </w:pPr>
      <w:r>
        <w:rPr>
          <w:sz w:val="24"/>
        </w:rPr>
        <w:t>http://www.ccgp.gov.cn/zcfg/bwfile/201904/t20190403_11853998.htm</w:t>
      </w:r>
    </w:p>
    <w:p>
      <w:pPr>
        <w:pStyle w:val="null3"/>
        <w:ind w:firstLine="479"/>
        <w:jc w:val="both"/>
      </w:pPr>
      <w:r>
        <w:rPr>
          <w:sz w:val="24"/>
        </w:rPr>
        <w:t>6、因投标（响应）格式中《政策适用性说明》无法满足项目（包组）填写需要，如涉及符合政策要求的节能产品、环境标志产品，请供应商按需求附件《节能环保政策适用性说明》的格式进行填写。</w:t>
      </w:r>
    </w:p>
    <w:p>
      <w:pPr>
        <w:pStyle w:val="null3"/>
        <w:ind w:firstLine="479"/>
        <w:jc w:val="both"/>
      </w:pPr>
      <w:r>
        <w:rPr>
          <w:sz w:val="24"/>
        </w:rPr>
        <w:t>7、《节能环保政策适用性说明》的货物名称、型号与《分项报价表》的货物名称、型号不一致的，以《分项报价表》的货物名称、型号为准。</w:t>
      </w:r>
    </w:p>
    <w:p>
      <w:pPr>
        <w:pStyle w:val="null3"/>
        <w:ind w:firstLine="479"/>
        <w:jc w:val="both"/>
      </w:pPr>
      <w:r>
        <w:rPr>
          <w:sz w:val="24"/>
        </w:rPr>
        <w:t>8、请供应商提供所投产品的节能（水）产品认证证书或环境标志产品认证证书。</w:t>
      </w:r>
    </w:p>
    <w:p>
      <w:pPr>
        <w:pStyle w:val="null3"/>
        <w:jc w:val="center"/>
      </w:pPr>
      <w:r>
        <w:rPr>
          <w:sz w:val="24"/>
          <w:b/>
        </w:rPr>
        <w:t>节能产品说明：</w:t>
      </w:r>
    </w:p>
    <w:tbl>
      <w:tblPr>
        <w:tblW w:w="0" w:type="auto"/>
        <w:tblBorders>
          <w:top w:val="none" w:color="000000" w:sz="4"/>
          <w:left w:val="none" w:color="000000" w:sz="4"/>
          <w:bottom w:val="none" w:color="000000" w:sz="4"/>
          <w:right w:val="none" w:color="000000" w:sz="4"/>
          <w:insideH w:val="none"/>
          <w:insideV w:val="none"/>
        </w:tblBorders>
      </w:tblPr>
      <w:tblGrid>
        <w:gridCol w:w="472"/>
        <w:gridCol w:w="587"/>
        <w:gridCol w:w="702"/>
        <w:gridCol w:w="1097"/>
        <w:gridCol w:w="702"/>
        <w:gridCol w:w="587"/>
        <w:gridCol w:w="727"/>
        <w:gridCol w:w="523"/>
        <w:gridCol w:w="893"/>
        <w:gridCol w:w="868"/>
        <w:gridCol w:w="1148"/>
      </w:tblGrid>
      <w:tr>
        <w:tc>
          <w:tcPr>
            <w:tcW w:type="dxa" w:w="472"/>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序号</w:t>
            </w:r>
          </w:p>
        </w:tc>
        <w:tc>
          <w:tcPr>
            <w:tcW w:type="dxa" w:w="5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产品名称</w:t>
            </w:r>
          </w:p>
          <w:p>
            <w:pPr>
              <w:pStyle w:val="null3"/>
              <w:jc w:val="center"/>
            </w:pPr>
          </w:p>
        </w:tc>
        <w:tc>
          <w:tcPr>
            <w:tcW w:type="dxa" w:w="7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对应《节能产品政府采购品目清单》的品目序号</w:t>
            </w:r>
          </w:p>
        </w:tc>
        <w:tc>
          <w:tcPr>
            <w:tcW w:type="dxa" w:w="109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对应《分项报价表》序号</w:t>
            </w:r>
          </w:p>
          <w:p>
            <w:pPr>
              <w:pStyle w:val="null3"/>
              <w:jc w:val="center"/>
            </w:pPr>
            <w:r>
              <w:rPr>
                <w:sz w:val="24"/>
              </w:rPr>
              <w:t>（如为工程项目，则填写工程量清单表格名称及对应的序号）</w:t>
            </w:r>
          </w:p>
        </w:tc>
        <w:tc>
          <w:tcPr>
            <w:tcW w:type="dxa" w:w="7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产品品牌</w:t>
            </w:r>
          </w:p>
          <w:p>
            <w:pPr>
              <w:pStyle w:val="null3"/>
              <w:jc w:val="center"/>
            </w:pPr>
            <w:r>
              <w:rPr>
                <w:sz w:val="24"/>
              </w:rPr>
              <w:t>（如有）</w:t>
            </w:r>
          </w:p>
        </w:tc>
        <w:tc>
          <w:tcPr>
            <w:tcW w:type="dxa" w:w="5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所投产品型号</w:t>
            </w:r>
          </w:p>
        </w:tc>
        <w:tc>
          <w:tcPr>
            <w:tcW w:type="dxa" w:w="72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认证证书上的认证产品型号</w:t>
            </w:r>
          </w:p>
          <w:p>
            <w:pPr>
              <w:pStyle w:val="null3"/>
              <w:jc w:val="center"/>
            </w:pPr>
          </w:p>
        </w:tc>
        <w:tc>
          <w:tcPr>
            <w:tcW w:type="dxa" w:w="523"/>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认证证书所在页码</w:t>
            </w:r>
          </w:p>
        </w:tc>
        <w:tc>
          <w:tcPr>
            <w:tcW w:type="dxa" w:w="893"/>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《节能产品政府采购品目清单》所依据的标准</w:t>
            </w:r>
          </w:p>
        </w:tc>
        <w:tc>
          <w:tcPr>
            <w:tcW w:type="dxa" w:w="86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认证证书上的认证标准</w:t>
            </w:r>
          </w:p>
        </w:tc>
        <w:tc>
          <w:tcPr>
            <w:tcW w:type="dxa" w:w="114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产品报价（元）</w:t>
            </w:r>
          </w:p>
          <w:p>
            <w:pPr>
              <w:pStyle w:val="null3"/>
              <w:jc w:val="center"/>
            </w:p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（一）强制节能产品（即《节能产品政府采购品目清单》中标注“★”的产品）</w:t>
            </w:r>
          </w:p>
        </w:tc>
      </w:tr>
      <w:tr>
        <w:tc>
          <w:tcPr>
            <w:tcW w:type="dxa" w:w="47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1</w:t>
            </w: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9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6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48"/>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强制节能产品，不享受价格扣除或技术加分，故此处无须填报价格</w:t>
            </w:r>
          </w:p>
        </w:tc>
      </w:tr>
      <w:tr>
        <w:tc>
          <w:tcPr>
            <w:tcW w:type="dxa" w:w="47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2</w:t>
            </w: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9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6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48"/>
            <w:vMerge/>
            <w:tcBorders>
              <w:top w:val="none" w:color="000000" w:sz="4"/>
              <w:left w:val="none" w:color="000000" w:sz="4"/>
              <w:bottom w:val="single" w:color="000000" w:sz="4"/>
              <w:right w:val="single" w:color="000000" w:sz="4"/>
            </w:tcBorders>
          </w:tcPr>
          <w:p/>
        </w:tc>
      </w:tr>
      <w:tr>
        <w:tc>
          <w:tcPr>
            <w:tcW w:type="dxa" w:w="47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3</w:t>
            </w: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9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6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48"/>
            <w:vMerge/>
            <w:tcBorders>
              <w:top w:val="none" w:color="000000" w:sz="4"/>
              <w:left w:val="none" w:color="000000" w:sz="4"/>
              <w:bottom w:val="single" w:color="000000" w:sz="4"/>
              <w:right w:val="single" w:color="000000" w:sz="4"/>
            </w:tcBorders>
          </w:tc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（二）优先采购节能产品（即《节能产品政府采购品目清单》中未标注“★”的产品）</w:t>
            </w:r>
          </w:p>
        </w:tc>
      </w:tr>
      <w:tr>
        <w:tc>
          <w:tcPr>
            <w:tcW w:type="dxa" w:w="47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1</w:t>
            </w: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9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6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4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7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2</w:t>
            </w: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9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6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4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7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3</w:t>
            </w: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52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93"/>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6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4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74"/>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4"/>
              </w:rPr>
              <w:t>优先节能产品价格合计</w:t>
            </w:r>
          </w:p>
        </w:tc>
        <w:tc>
          <w:tcPr>
            <w:tcW w:type="dxa" w:w="3432"/>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p>
        </w:tc>
      </w:tr>
    </w:tbl>
    <w:p>
      <w:pPr>
        <w:pStyle w:val="null3"/>
        <w:jc w:val="right"/>
      </w:pPr>
      <w:r>
        <w:rPr/>
        <w:t xml:space="preserve"> </w:t>
      </w:r>
    </w:p>
    <w:p>
      <w:pPr>
        <w:pStyle w:val="null3"/>
        <w:spacing w:after="165"/>
        <w:ind w:firstLine="480"/>
        <w:jc w:val="right"/>
      </w:pPr>
      <w:r>
        <w:rPr/>
        <w:t xml:space="preserve"> </w:t>
      </w:r>
    </w:p>
    <w:p>
      <w:pPr>
        <w:pStyle w:val="null3"/>
        <w:spacing w:after="165"/>
        <w:ind w:firstLine="480"/>
        <w:jc w:val="right"/>
      </w:pPr>
      <w:r>
        <w:rPr>
          <w:sz w:val="24"/>
        </w:rPr>
        <w:t>供应商名称（盖章）：__________________</w:t>
      </w:r>
    </w:p>
    <w:p>
      <w:pPr>
        <w:pStyle w:val="null3"/>
        <w:spacing w:after="165"/>
        <w:ind w:firstLine="480"/>
        <w:jc w:val="right"/>
      </w:pPr>
      <w:r>
        <w:rPr>
          <w:sz w:val="24"/>
        </w:rPr>
        <w:t>日期：</w:t>
      </w:r>
      <w:r>
        <w:rPr/>
        <w:t xml:space="preserve">  </w:t>
      </w:r>
      <w:r>
        <w:rPr>
          <w:sz w:val="24"/>
        </w:rPr>
        <w:t>年</w:t>
      </w:r>
      <w:r>
        <w:rPr/>
        <w:t xml:space="preserve">   </w:t>
      </w:r>
      <w:r>
        <w:rPr>
          <w:sz w:val="24"/>
        </w:rPr>
        <w:t>月</w:t>
      </w:r>
      <w:r>
        <w:rPr/>
        <w:t xml:space="preserve">   </w:t>
      </w:r>
      <w:r>
        <w:rPr>
          <w:sz w:val="24"/>
        </w:rPr>
        <w:t>日</w:t>
      </w:r>
    </w:p>
    <w:p>
      <w:pPr>
        <w:pStyle w:val="null3"/>
      </w:pPr>
      <w:r>
        <w:rPr/>
        <w:t>采购包1（盐度计、超声波气象站、数据采集器、潮位仪采购）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合同签订后30天内完成供货、安装、调试。</w:t>
            </w:r>
          </w:p>
        </w:tc>
      </w:tr>
      <w:tr>
        <w:tc>
          <w:tcPr>
            <w:tcW w:type="dxa" w:w="4153"/>
          </w:tcPr>
          <w:p>
            <w:pPr>
              <w:pStyle w:val="null3"/>
            </w:pPr>
            <w:r>
              <w:rPr/>
              <w:t>标的提供的地点</w:t>
            </w:r>
          </w:p>
        </w:tc>
        <w:tc>
          <w:tcPr>
            <w:tcW w:type="dxa" w:w="4153"/>
          </w:tcPr>
          <w:p>
            <w:pPr>
              <w:pStyle w:val="null3"/>
            </w:pPr>
            <w:r>
              <w:rPr/>
              <w:t>送货至采购人指定地点，安装及调试完毕。</w:t>
            </w:r>
          </w:p>
        </w:tc>
      </w:tr>
      <w:tr>
        <w:tc>
          <w:tcPr>
            <w:tcW w:type="dxa" w:w="4153"/>
          </w:tcPr>
          <w:p>
            <w:pPr>
              <w:pStyle w:val="null3"/>
            </w:pPr>
            <w:r>
              <w:rPr/>
              <w:t>付款方式</w:t>
            </w:r>
          </w:p>
        </w:tc>
        <w:tc>
          <w:tcPr>
            <w:tcW w:type="dxa" w:w="4153"/>
          </w:tcPr>
          <w:p>
            <w:pPr>
              <w:pStyle w:val="null3"/>
            </w:pPr>
            <w:r>
              <w:rPr/>
              <w:t>1期：支付比例100%,（1）非中小企业： 1期：全部货物现场安装及调试完毕并验收合格，采购人收到中标供应商出具的货物结算款全额增值税专用发票后，在10个工作日内支付结算款的100％给中标供应商，若中标供应商不提供货物结算款全额增值税专用发票的，采购人有权拒绝付款。 （2）中小企业： 1期：支付比例30%，签订合同后，中标供应商提供合同货款30%的增值税专用发票给采购人，采购人在5个工作日内向中标供应商支付30%的合同货款作为预付款。 2期：支付比例70%，全部货物现场安装及调试完毕并验收合格，中标供应商提供合同货款70%的增值税专用发票给采购人作为报账凭证，采购人在10个工作日内支付合同货款70%给中标供应商。 若中标供应商不提供供货货物结算款增值税专用发票的，采购人有权拒绝付款。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1期：（1）中标供应商对合同货物安装、调试和培训完成后，认为达到使用要求的，应向采购人提出书面验收申请，采购人无异议的，7日内组织验收，验收应在采购人、中标供应商双方共同参加下进行。 （2）货物的验收按合同规定的技术要求和国家有关的规定、规范进行，质量需符合国家对相关产品的质量标准。验收时如发现所交付的货物有短装、次品、损坏或其它不符合合同规定的，采购人应作出详尽的现场记录，并交由中标供应商签字确认，或由采购人、中标供应商双方签署备忘录。此现场记录或备忘录可用作补充、缺失和更换损坏部件的有效证据。由此产生的有关费用由中标供应商承担。 （3）因货物质量问题发生较大争议时，由广东省质检部门鉴定或双方共同委托有资质的机构进行鉴定。货物符合合同技术要求的，鉴定费由采购人承担；否则鉴定费由中标供应商承担。对验收或鉴定确认不合格的货物，中标供应商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支票提交方式：供应商应以银行支票（或现金支票）形式提交应以银行支票（或现金支票）形式提交，且需为不可撤销、见票即付的即期支票，收款人注明为广东海洋大学。</w:t>
            </w:r>
          </w:p>
          <w:p>
            <w:pPr>
              <w:pStyle w:val="null3"/>
            </w:pPr>
            <w:r>
              <w:rPr/>
              <w:t>汇票、本票提交方式：供应商应以银行承兑汇票或商业承兑汇票形式提交，且需为不可撤销、无条件付款的即期票据，收款人注明为广东海洋大学。</w:t>
            </w:r>
          </w:p>
          <w:p>
            <w:pPr>
              <w:pStyle w:val="null3"/>
            </w:pPr>
            <w:r>
              <w:rPr/>
              <w:t>说明：（1）中标供应商在合同签订后5个工作日内应向采购人支付合同金额的5%作为履约保证金（中标供应商在银行转账时需备注写明招标采购合同编号，以便采购人财务人员查核）。 （2）如中标供应商逾期不缴纳履约保证金，视为中标供应商放弃供应商资格。 （3）履约保证金的退还：项目验收合格后1个月内，中标供应商凭验收单据以及履约保证金收据向采购人提交退还申请，采购人在收到中标供应商申请及规定单据之日起10个工作日内无息退还给中标供应商，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（一）货物技术要求、质量保证及使用合法性，1.中标供应商所提供的货物须符合国家有关规范、标准，并满足合同技术要求。 2.中标供应商保证所提供的货物是全新、未曾使用过的。 3.中标供应商保证合同项下提供的货物不侵犯任何第三方的专利、商标或版权，在中国境内可依常规安全、合法使用。否则，中标供应商须承担对第三方的专利或版权的侵权责任并承担因此给采购人造成的损失（包括但不限于相关的诉讼费、律师费、违约金等费用）。 4.进口产品须具备原产地证明和商检局的检验证明及合法进货渠道证明。</w:t>
            </w:r>
          </w:p>
          <w:p>
            <w:pPr>
              <w:pStyle w:val="null3"/>
            </w:pPr>
            <w:r>
              <w:rPr/>
              <w:t>（二）合同货物的包装、交货、安装，1.货物的包装： 货物的包装均应有良好的防湿、防锈、防潮、防雨、防腐及防碰撞的措施。凡由于包装不良造成的损失和由此产生的费用均由中标供应商承担。 2.货物的交货： （1）中标供应商交货时间：合同签订后30天内完成供货、安装、调试。 （2）中标供应商交货地点：送货至采购人指定地点，安装及调试完毕。 （3）中标供应商应保证所提供的货物须为原厂商未启封全新包装且为2025年1月1日之后生产，同时应将所供货物的用户手册、使用说明书等有关资料与货物一同交付给采购人。 （4）中标供应商应保证所提供货物的技术性能达到合同的各项技术要求，否则将被看作性能不合格，采购人有权拒收并要求赔偿。 （5）中标供应商应保证所提供的产品规格、型号、技术参数、产地须与合同、招标（磋商）文件、投标（响应）文件规定一致，若出现不符，采购人有权拒收，中标供应商须及时办理退换货并负担全部费用及由此给采购人造成的全部损失。 3.合同货物的安装、调试： （1）中标供应商负责合同项下货物的安装、调试，一切费用由中标供应商负责。如果合同货物运输和调试过程中因事故造成货物短缺、损坏，中标供应商应及时安排换装，以保证合同货物安装、调试的成功完成。换货的相关费用由中标供应商承担。 （2）货物到达采购人指定地点后，中标供应商应派有资质的技术人员到采购人指定地完成安装、调试工作。 （3）货物安装、调试过程中，中标供应商技术人员应负责对采购人人员进行使用、维护保养及相关培训。 （4）中标供应商负责其技术人员在采购人现场进行安装、调试期间所产生的费用（包括但不限于人工费、交通费、人身损害赔偿费等）；如因中标供应商责任造成的延期，所有因安装、调试延期而产生的费用由中标供应商负责。 （5）中标供应商须将货物、系统安装并调试至正常运行的最佳状态。 （6）中标供应商进行安装、调试时须对各调试场地内的其他货物、设施有良好保护措施。 （7）中标供应商安装、调试期间需做到安全文明施工，不损坏采购人的设备设施，否则原价赔偿。</w:t>
            </w:r>
          </w:p>
          <w:p>
            <w:pPr>
              <w:pStyle w:val="null3"/>
            </w:pPr>
            <w:r>
              <w:rPr/>
              <w:t>（三）质保期及售后服务，1.质保期：所有产品均需提供不少于3年质量保证和上门保修服务（另有特别说明的货物除外），质保期从货物验收合格之日起，质保期内的上门保修服务及因设备故障维修产生的相关费用已包含在投标报价中，采购人不额外支付。 2.中标供应商应指派专人负责与采购人联系售后服务事宜。在质保期内货物质量出现问题，无论设备因何种原因发生何种故障，中标供应商须在接到通知后2小时内有专人回复。若维修工程电话不能解决故障，中标供应商须保证在24小时内派人到现场进行处理，同时负责三包（包修、包退、包换），如在采购人规定时间内不能解决问题的，应在48小时内提供相同的货物给采购人代用，并保证满足采购人工作需求，直到原货物修复。质保期内发生的所有费用由中标供应商负责，需要重新更换货物的，中标供应商应承担更换货物所产生的一切费用。 3.下列情况中标供应商不负责免费保修： （1）不按照货物使用说明书提供的方法使用而引致系统或货物故障损坏； （2）擅自修改系统或改装货物； （3）各种天灾等外来因素造成的损坏。 4.售后服务未尽事宜，以中标供应商投标文件中的售后服务承诺作为补充，售后服务承诺优于合同约定的，以中标供应商承诺为准。</w:t>
            </w:r>
          </w:p>
          <w:p>
            <w:pPr>
              <w:pStyle w:val="null3"/>
            </w:pPr>
            <w:r>
              <w:rPr/>
              <w:t>（四）培训方案，货物安装调试完毕，中标供应商须组织采购人使用人员进行使用及日常维护等的培训，主要内容为货物的基本结构、性能、主要部件/模块的构造及维护、日常使用与管理、常见故障的排除、紧急情况的处理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数据采集器</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12,000.00</w:t>
            </w:r>
          </w:p>
        </w:tc>
        <w:tc>
          <w:tcPr>
            <w:tcW w:type="dxa" w:w="831"/>
          </w:tcPr>
          <w:p>
            <w:pPr>
              <w:pStyle w:val="null3"/>
              <w:jc w:val="right"/>
            </w:pPr>
            <w:r>
              <w:rPr/>
              <w:t>84,000.00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超声波气象站</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8,500.00</w:t>
            </w:r>
          </w:p>
        </w:tc>
        <w:tc>
          <w:tcPr>
            <w:tcW w:type="dxa" w:w="831"/>
          </w:tcPr>
          <w:p>
            <w:pPr>
              <w:pStyle w:val="null3"/>
              <w:jc w:val="right"/>
            </w:pPr>
            <w:r>
              <w:rPr/>
              <w:t>59,500.00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潮位仪</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7,000.00</w:t>
            </w:r>
          </w:p>
        </w:tc>
        <w:tc>
          <w:tcPr>
            <w:tcW w:type="dxa" w:w="831"/>
          </w:tcPr>
          <w:p>
            <w:pPr>
              <w:pStyle w:val="null3"/>
              <w:jc w:val="right"/>
            </w:pPr>
            <w:r>
              <w:rPr/>
              <w:t>49,000.00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盐度计</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2,500.00</w:t>
            </w:r>
          </w:p>
        </w:tc>
        <w:tc>
          <w:tcPr>
            <w:tcW w:type="dxa" w:w="831"/>
          </w:tcPr>
          <w:p>
            <w:pPr>
              <w:pStyle w:val="null3"/>
              <w:jc w:val="right"/>
            </w:pPr>
            <w:r>
              <w:rPr/>
              <w:t>17,500.00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数据采集器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w:t>
            </w:r>
            <w:r>
              <w:rPr>
                <w:sz w:val="24"/>
              </w:rPr>
              <w:t>支持</w:t>
            </w:r>
            <w:r>
              <w:rPr>
                <w:sz w:val="24"/>
              </w:rPr>
              <w:t>232</w:t>
            </w:r>
            <w:r>
              <w:rPr>
                <w:sz w:val="24"/>
              </w:rPr>
              <w:t>和</w:t>
            </w:r>
            <w:r>
              <w:rPr>
                <w:sz w:val="24"/>
              </w:rPr>
              <w:t>485</w:t>
            </w:r>
            <w:r>
              <w:rPr>
                <w:sz w:val="24"/>
              </w:rPr>
              <w:t>输入</w:t>
            </w:r>
            <w:r>
              <w:rPr>
                <w:sz w:val="24"/>
              </w:rPr>
              <w:t>；</w:t>
            </w:r>
          </w:p>
        </w:tc>
      </w:tr>
      <w:tr>
        <w:tc>
          <w:tcPr>
            <w:tcW w:type="dxa" w:w="2076"/>
          </w:tcPr>
          <w:p/>
        </w:tc>
        <w:tc>
          <w:tcPr>
            <w:tcW w:type="dxa" w:w="415"/>
          </w:tcPr>
          <w:p>
            <w:pPr>
              <w:pStyle w:val="null3"/>
            </w:pPr>
            <w:r>
              <w:rPr/>
              <w:t>2</w:t>
            </w:r>
          </w:p>
        </w:tc>
        <w:tc>
          <w:tcPr>
            <w:tcW w:type="dxa" w:w="5814"/>
          </w:tcPr>
          <w:p>
            <w:pPr>
              <w:pStyle w:val="null3"/>
            </w:pPr>
            <w:r>
              <w:rPr>
                <w:sz w:val="24"/>
              </w:rPr>
              <w:t>2.</w:t>
            </w:r>
            <w:r>
              <w:rPr>
                <w:sz w:val="24"/>
              </w:rPr>
              <w:t>电源电压：</w:t>
            </w:r>
            <w:r>
              <w:rPr>
                <w:sz w:val="24"/>
              </w:rPr>
              <w:t>12V</w:t>
            </w:r>
            <w:r>
              <w:rPr>
                <w:sz w:val="24"/>
              </w:rPr>
              <w:t>和</w:t>
            </w:r>
            <w:r>
              <w:rPr>
                <w:sz w:val="24"/>
              </w:rPr>
              <w:t>24V</w:t>
            </w:r>
            <w:r>
              <w:rPr>
                <w:sz w:val="24"/>
              </w:rPr>
              <w:t>输出</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3.</w:t>
            </w:r>
            <w:r>
              <w:rPr>
                <w:sz w:val="24"/>
              </w:rPr>
              <w:t>储存容量：</w:t>
            </w:r>
            <w:r>
              <w:rPr>
                <w:sz w:val="24"/>
              </w:rPr>
              <w:t>≥</w:t>
            </w:r>
            <w:r>
              <w:rPr>
                <w:sz w:val="24"/>
              </w:rPr>
              <w:t>2GB</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支持</w:t>
            </w:r>
            <w:r>
              <w:rPr>
                <w:sz w:val="24"/>
              </w:rPr>
              <w:t>4G</w:t>
            </w:r>
            <w:r>
              <w:rPr>
                <w:sz w:val="24"/>
              </w:rPr>
              <w:t>传输</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5.</w:t>
            </w:r>
            <w:r>
              <w:rPr>
                <w:sz w:val="24"/>
              </w:rPr>
              <w:t>采用</w:t>
            </w:r>
            <w:r>
              <w:rPr>
                <w:sz w:val="24"/>
              </w:rPr>
              <w:t>低功耗设计，支持太阳能供电，</w:t>
            </w:r>
            <w:r>
              <w:rPr>
                <w:sz w:val="24"/>
              </w:rPr>
              <w:t>电池容量≥50</w:t>
            </w:r>
            <w:r>
              <w:rPr>
                <w:sz w:val="24"/>
              </w:rPr>
              <w:t>Ah</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超声波气象站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1.</w:t>
            </w:r>
            <w:r>
              <w:rPr>
                <w:sz w:val="24"/>
                <w:b/>
              </w:rPr>
              <w:t>风速：</w:t>
            </w:r>
          </w:p>
          <w:p>
            <w:pPr>
              <w:pStyle w:val="null3"/>
            </w:pPr>
            <w:r>
              <w:rPr>
                <w:sz w:val="24"/>
              </w:rPr>
              <w:t>（1）</w:t>
            </w:r>
            <w:r>
              <w:rPr>
                <w:sz w:val="24"/>
              </w:rPr>
              <w:t>风速</w:t>
            </w:r>
            <w:r>
              <w:rPr>
                <w:sz w:val="24"/>
              </w:rPr>
              <w:t>范围：0至40米/秒</w:t>
            </w:r>
            <w:r>
              <w:rPr>
                <w:sz w:val="24"/>
              </w:rPr>
              <w:t>；</w:t>
            </w:r>
          </w:p>
        </w:tc>
      </w:tr>
      <w:tr>
        <w:tc>
          <w:tcPr>
            <w:tcW w:type="dxa" w:w="2076"/>
          </w:tcPr>
          <w:p/>
        </w:tc>
        <w:tc>
          <w:tcPr>
            <w:tcW w:type="dxa" w:w="415"/>
          </w:tcPr>
          <w:p>
            <w:pPr>
              <w:pStyle w:val="null3"/>
            </w:pPr>
            <w:r>
              <w:rPr/>
              <w:t>2</w:t>
            </w:r>
          </w:p>
        </w:tc>
        <w:tc>
          <w:tcPr>
            <w:tcW w:type="dxa" w:w="5814"/>
          </w:tcPr>
          <w:p>
            <w:pPr>
              <w:pStyle w:val="null3"/>
            </w:pPr>
            <w:r>
              <w:rPr>
                <w:sz w:val="24"/>
              </w:rPr>
              <w:t>（2）</w:t>
            </w:r>
            <w:r>
              <w:rPr>
                <w:sz w:val="24"/>
              </w:rPr>
              <w:t>风速</w:t>
            </w:r>
            <w:r>
              <w:rPr>
                <w:sz w:val="24"/>
              </w:rPr>
              <w:t>精度：10米/秒时</w:t>
            </w:r>
            <w:r>
              <w:rPr>
                <w:sz w:val="21"/>
              </w:rPr>
              <w:t>≤</w:t>
            </w:r>
            <w:r>
              <w:rPr>
                <w:sz w:val="24"/>
              </w:rPr>
              <w:t>5%</w:t>
            </w:r>
            <w:r>
              <w:rPr>
                <w:sz w:val="24"/>
              </w:rPr>
              <w:t>（</w:t>
            </w:r>
            <w:r>
              <w:rPr>
                <w:sz w:val="24"/>
              </w:rPr>
              <w:t>@4度角</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（3）</w:t>
            </w:r>
            <w:r>
              <w:rPr>
                <w:sz w:val="24"/>
              </w:rPr>
              <w:t>风速</w:t>
            </w:r>
            <w:r>
              <w:rPr>
                <w:sz w:val="24"/>
              </w:rPr>
              <w:t>分辨率：</w:t>
            </w:r>
            <w:r>
              <w:rPr>
                <w:sz w:val="21"/>
              </w:rPr>
              <w:t>≤</w:t>
            </w:r>
            <w:r>
              <w:rPr>
                <w:sz w:val="24"/>
              </w:rPr>
              <w:t>0.1米/秒</w:t>
            </w:r>
            <w:r>
              <w:rPr>
                <w:sz w:val="24"/>
              </w:rPr>
              <w:t>。</w:t>
            </w:r>
          </w:p>
        </w:tc>
      </w:tr>
      <w:tr>
        <w:tc>
          <w:tcPr>
            <w:tcW w:type="dxa" w:w="2076"/>
          </w:tcPr>
          <w:p/>
        </w:tc>
        <w:tc>
          <w:tcPr>
            <w:tcW w:type="dxa" w:w="415"/>
          </w:tcPr>
          <w:p>
            <w:pPr>
              <w:pStyle w:val="null3"/>
            </w:pPr>
            <w:r>
              <w:rPr/>
              <w:t>4</w:t>
            </w:r>
          </w:p>
        </w:tc>
        <w:tc>
          <w:tcPr>
            <w:tcW w:type="dxa" w:w="5814"/>
          </w:tcPr>
          <w:p>
            <w:pPr>
              <w:pStyle w:val="null3"/>
              <w:jc w:val="both"/>
            </w:pPr>
            <w:r>
              <w:rPr>
                <w:sz w:val="24"/>
                <w:b/>
              </w:rPr>
              <w:t>2.</w:t>
            </w:r>
            <w:r>
              <w:rPr>
                <w:sz w:val="24"/>
                <w:b/>
              </w:rPr>
              <w:t>风</w:t>
            </w:r>
            <w:r>
              <w:rPr>
                <w:sz w:val="24"/>
                <w:b/>
              </w:rPr>
              <w:t>向：</w:t>
            </w:r>
          </w:p>
          <w:p>
            <w:pPr>
              <w:pStyle w:val="null3"/>
            </w:pPr>
            <w:r>
              <w:rPr>
                <w:sz w:val="24"/>
              </w:rPr>
              <w:t>（1）</w:t>
            </w:r>
            <w:r>
              <w:rPr>
                <w:sz w:val="24"/>
              </w:rPr>
              <w:t>风向范围：0°至359.9°</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（2）</w:t>
            </w:r>
            <w:r>
              <w:rPr>
                <w:sz w:val="24"/>
              </w:rPr>
              <w:t>风向</w:t>
            </w:r>
            <w:r>
              <w:rPr>
                <w:sz w:val="24"/>
              </w:rPr>
              <w:t>精度：10米/秒时</w:t>
            </w:r>
            <w:r>
              <w:rPr>
                <w:sz w:val="21"/>
              </w:rPr>
              <w:t>≤</w:t>
            </w:r>
            <w:r>
              <w:rPr>
                <w:sz w:val="24"/>
              </w:rPr>
              <w:t>±3°</w:t>
            </w:r>
            <w:r>
              <w:rPr>
                <w:sz w:val="24"/>
              </w:rPr>
              <w:t>；</w:t>
            </w:r>
          </w:p>
        </w:tc>
      </w:tr>
      <w:tr>
        <w:tc>
          <w:tcPr>
            <w:tcW w:type="dxa" w:w="2076"/>
          </w:tcPr>
          <w:p/>
        </w:tc>
        <w:tc>
          <w:tcPr>
            <w:tcW w:type="dxa" w:w="415"/>
          </w:tcPr>
          <w:p>
            <w:pPr>
              <w:pStyle w:val="null3"/>
            </w:pPr>
            <w:r>
              <w:rPr/>
              <w:t>6</w:t>
            </w:r>
          </w:p>
        </w:tc>
        <w:tc>
          <w:tcPr>
            <w:tcW w:type="dxa" w:w="5814"/>
          </w:tcPr>
          <w:p>
            <w:pPr>
              <w:pStyle w:val="null3"/>
            </w:pPr>
            <w:r>
              <w:rPr>
                <w:sz w:val="24"/>
              </w:rPr>
              <w:t>（3）</w:t>
            </w:r>
            <w:r>
              <w:rPr>
                <w:sz w:val="24"/>
              </w:rPr>
              <w:t>风向</w:t>
            </w:r>
            <w:r>
              <w:rPr>
                <w:sz w:val="24"/>
              </w:rPr>
              <w:t>分辨率：</w:t>
            </w:r>
            <w:r>
              <w:rPr>
                <w:sz w:val="21"/>
              </w:rPr>
              <w:t>≤</w:t>
            </w:r>
            <w:r>
              <w:rPr>
                <w:sz w:val="24"/>
              </w:rPr>
              <w:t>0. 1°</w:t>
            </w:r>
            <w:r>
              <w:rPr>
                <w:sz w:val="24"/>
              </w:rPr>
              <w:t>。</w:t>
            </w:r>
          </w:p>
        </w:tc>
      </w:tr>
      <w:tr>
        <w:tc>
          <w:tcPr>
            <w:tcW w:type="dxa" w:w="2076"/>
          </w:tcPr>
          <w:p/>
        </w:tc>
        <w:tc>
          <w:tcPr>
            <w:tcW w:type="dxa" w:w="415"/>
          </w:tcPr>
          <w:p>
            <w:pPr>
              <w:pStyle w:val="null3"/>
            </w:pPr>
            <w:r>
              <w:rPr/>
              <w:t>7</w:t>
            </w:r>
          </w:p>
        </w:tc>
        <w:tc>
          <w:tcPr>
            <w:tcW w:type="dxa" w:w="5814"/>
          </w:tcPr>
          <w:p>
            <w:pPr>
              <w:pStyle w:val="null3"/>
              <w:jc w:val="both"/>
            </w:pPr>
            <w:r>
              <w:rPr>
                <w:sz w:val="24"/>
                <w:b/>
              </w:rPr>
              <w:t>3.</w:t>
            </w:r>
            <w:r>
              <w:rPr>
                <w:sz w:val="24"/>
                <w:b/>
              </w:rPr>
              <w:t>空气温度：</w:t>
            </w:r>
          </w:p>
          <w:p>
            <w:pPr>
              <w:pStyle w:val="null3"/>
            </w:pPr>
            <w:r>
              <w:rPr>
                <w:sz w:val="24"/>
              </w:rPr>
              <w:t>（1）</w:t>
            </w:r>
            <w:r>
              <w:rPr>
                <w:sz w:val="24"/>
              </w:rPr>
              <w:t>范围：-40°至80℃</w:t>
            </w:r>
            <w:r>
              <w:rPr>
                <w:sz w:val="24"/>
              </w:rPr>
              <w:t>；</w:t>
            </w:r>
          </w:p>
        </w:tc>
      </w:tr>
      <w:tr>
        <w:tc>
          <w:tcPr>
            <w:tcW w:type="dxa" w:w="2076"/>
          </w:tcPr>
          <w:p/>
        </w:tc>
        <w:tc>
          <w:tcPr>
            <w:tcW w:type="dxa" w:w="415"/>
          </w:tcPr>
          <w:p>
            <w:pPr>
              <w:pStyle w:val="null3"/>
            </w:pPr>
            <w:r>
              <w:rPr/>
              <w:t>8</w:t>
            </w:r>
          </w:p>
        </w:tc>
        <w:tc>
          <w:tcPr>
            <w:tcW w:type="dxa" w:w="5814"/>
          </w:tcPr>
          <w:p>
            <w:pPr>
              <w:pStyle w:val="null3"/>
            </w:pPr>
            <w:r>
              <w:rPr>
                <w:sz w:val="24"/>
              </w:rPr>
              <w:t>（2）</w:t>
            </w:r>
            <w:r>
              <w:rPr>
                <w:sz w:val="24"/>
              </w:rPr>
              <w:t>精度：20℃时</w:t>
            </w:r>
            <w:r>
              <w:rPr>
                <w:sz w:val="21"/>
              </w:rPr>
              <w:t>≤</w:t>
            </w:r>
            <w:r>
              <w:rPr>
                <w:sz w:val="24"/>
              </w:rPr>
              <w:t>±0.3℃</w:t>
            </w:r>
            <w:r>
              <w:rPr>
                <w:sz w:val="24"/>
              </w:rPr>
              <w:t>；</w:t>
            </w:r>
          </w:p>
        </w:tc>
      </w:tr>
      <w:tr>
        <w:tc>
          <w:tcPr>
            <w:tcW w:type="dxa" w:w="2076"/>
          </w:tcPr>
          <w:p/>
        </w:tc>
        <w:tc>
          <w:tcPr>
            <w:tcW w:type="dxa" w:w="415"/>
          </w:tcPr>
          <w:p>
            <w:pPr>
              <w:pStyle w:val="null3"/>
            </w:pPr>
            <w:r>
              <w:rPr/>
              <w:t>9</w:t>
            </w:r>
          </w:p>
        </w:tc>
        <w:tc>
          <w:tcPr>
            <w:tcW w:type="dxa" w:w="5814"/>
          </w:tcPr>
          <w:p>
            <w:pPr>
              <w:pStyle w:val="null3"/>
            </w:pPr>
            <w:r>
              <w:rPr>
                <w:sz w:val="24"/>
              </w:rPr>
              <w:t>（3）</w:t>
            </w:r>
            <w:r>
              <w:rPr>
                <w:sz w:val="24"/>
              </w:rPr>
              <w:t>分辨率：</w:t>
            </w:r>
            <w:r>
              <w:rPr>
                <w:sz w:val="21"/>
              </w:rPr>
              <w:t>≤</w:t>
            </w:r>
            <w:r>
              <w:rPr>
                <w:sz w:val="24"/>
              </w:rPr>
              <w:t>0.1</w:t>
            </w:r>
            <w:r>
              <w:rPr>
                <w:sz w:val="24"/>
              </w:rPr>
              <w:t>℃</w:t>
            </w:r>
            <w:r>
              <w:rPr>
                <w:sz w:val="24"/>
              </w:rPr>
              <w:t>。</w:t>
            </w:r>
          </w:p>
        </w:tc>
      </w:tr>
      <w:tr>
        <w:tc>
          <w:tcPr>
            <w:tcW w:type="dxa" w:w="2076"/>
          </w:tcPr>
          <w:p/>
        </w:tc>
        <w:tc>
          <w:tcPr>
            <w:tcW w:type="dxa" w:w="415"/>
          </w:tcPr>
          <w:p>
            <w:pPr>
              <w:pStyle w:val="null3"/>
            </w:pPr>
            <w:r>
              <w:rPr/>
              <w:t>10</w:t>
            </w:r>
          </w:p>
        </w:tc>
        <w:tc>
          <w:tcPr>
            <w:tcW w:type="dxa" w:w="5814"/>
          </w:tcPr>
          <w:p>
            <w:pPr>
              <w:pStyle w:val="null3"/>
              <w:jc w:val="both"/>
            </w:pPr>
            <w:r>
              <w:rPr>
                <w:sz w:val="24"/>
                <w:b/>
              </w:rPr>
              <w:t>4.</w:t>
            </w:r>
            <w:r>
              <w:rPr>
                <w:sz w:val="24"/>
                <w:b/>
              </w:rPr>
              <w:t>气压：</w:t>
            </w:r>
          </w:p>
          <w:p>
            <w:pPr>
              <w:pStyle w:val="null3"/>
            </w:pPr>
            <w:r>
              <w:rPr>
                <w:sz w:val="24"/>
              </w:rPr>
              <w:t>（1）</w:t>
            </w:r>
            <w:r>
              <w:rPr>
                <w:sz w:val="24"/>
              </w:rPr>
              <w:t>范围：300至1100 hPa</w:t>
            </w:r>
            <w:r>
              <w:rPr>
                <w:sz w:val="24"/>
              </w:rPr>
              <w:t>；</w:t>
            </w:r>
          </w:p>
        </w:tc>
      </w:tr>
      <w:tr>
        <w:tc>
          <w:tcPr>
            <w:tcW w:type="dxa" w:w="2076"/>
          </w:tcPr>
          <w:p/>
        </w:tc>
        <w:tc>
          <w:tcPr>
            <w:tcW w:type="dxa" w:w="415"/>
          </w:tcPr>
          <w:p>
            <w:pPr>
              <w:pStyle w:val="null3"/>
            </w:pPr>
            <w:r>
              <w:rPr/>
              <w:t>11</w:t>
            </w:r>
          </w:p>
        </w:tc>
        <w:tc>
          <w:tcPr>
            <w:tcW w:type="dxa" w:w="5814"/>
          </w:tcPr>
          <w:p>
            <w:pPr>
              <w:pStyle w:val="null3"/>
            </w:pPr>
            <w:r>
              <w:rPr>
                <w:sz w:val="24"/>
              </w:rPr>
              <w:t>（2）</w:t>
            </w:r>
            <w:r>
              <w:rPr>
                <w:sz w:val="24"/>
              </w:rPr>
              <w:t>精度：25℃时</w:t>
            </w:r>
            <w:r>
              <w:rPr>
                <w:sz w:val="21"/>
              </w:rPr>
              <w:t>≤</w:t>
            </w:r>
            <w:r>
              <w:rPr>
                <w:sz w:val="24"/>
              </w:rPr>
              <w:t>±0.5hPa</w:t>
            </w:r>
            <w:r>
              <w:rPr>
                <w:sz w:val="24"/>
              </w:rPr>
              <w:t>；</w:t>
            </w:r>
          </w:p>
        </w:tc>
      </w:tr>
      <w:tr>
        <w:tc>
          <w:tcPr>
            <w:tcW w:type="dxa" w:w="2076"/>
          </w:tcPr>
          <w:p/>
        </w:tc>
        <w:tc>
          <w:tcPr>
            <w:tcW w:type="dxa" w:w="415"/>
          </w:tcPr>
          <w:p>
            <w:pPr>
              <w:pStyle w:val="null3"/>
            </w:pPr>
            <w:r>
              <w:rPr/>
              <w:t>12</w:t>
            </w:r>
          </w:p>
        </w:tc>
        <w:tc>
          <w:tcPr>
            <w:tcW w:type="dxa" w:w="5814"/>
          </w:tcPr>
          <w:p>
            <w:pPr>
              <w:pStyle w:val="null3"/>
            </w:pPr>
            <w:r>
              <w:rPr>
                <w:sz w:val="24"/>
              </w:rPr>
              <w:t>（</w:t>
            </w:r>
            <w:r>
              <w:rPr>
                <w:sz w:val="24"/>
              </w:rPr>
              <w:t>3</w:t>
            </w:r>
            <w:r>
              <w:rPr>
                <w:sz w:val="24"/>
              </w:rPr>
              <w:t>）</w:t>
            </w:r>
            <w:r>
              <w:rPr>
                <w:sz w:val="24"/>
              </w:rPr>
              <w:t>分辨率：</w:t>
            </w:r>
            <w:r>
              <w:rPr>
                <w:sz w:val="24"/>
              </w:rPr>
              <w:t>0.1hPa</w:t>
            </w:r>
            <w:r>
              <w:rPr>
                <w:sz w:val="24"/>
              </w:rPr>
              <w:t>；</w:t>
            </w:r>
          </w:p>
        </w:tc>
      </w:tr>
      <w:tr>
        <w:tc>
          <w:tcPr>
            <w:tcW w:type="dxa" w:w="2076"/>
          </w:tcPr>
          <w:p/>
        </w:tc>
        <w:tc>
          <w:tcPr>
            <w:tcW w:type="dxa" w:w="415"/>
          </w:tcPr>
          <w:p>
            <w:pPr>
              <w:pStyle w:val="null3"/>
            </w:pPr>
            <w:r>
              <w:rPr/>
              <w:t>13</w:t>
            </w:r>
          </w:p>
        </w:tc>
        <w:tc>
          <w:tcPr>
            <w:tcW w:type="dxa" w:w="5814"/>
          </w:tcPr>
          <w:p>
            <w:pPr>
              <w:pStyle w:val="null3"/>
            </w:pPr>
            <w:r>
              <w:rPr>
                <w:sz w:val="24"/>
              </w:rPr>
              <w:t>（</w:t>
            </w:r>
            <w:r>
              <w:rPr>
                <w:sz w:val="24"/>
              </w:rPr>
              <w:t>4</w:t>
            </w:r>
            <w:r>
              <w:rPr>
                <w:sz w:val="24"/>
              </w:rPr>
              <w:t>）</w:t>
            </w:r>
            <w:r>
              <w:rPr>
                <w:sz w:val="24"/>
              </w:rPr>
              <w:t>工作温度范围：</w:t>
            </w:r>
            <w:r>
              <w:rPr>
                <w:sz w:val="24"/>
              </w:rPr>
              <w:t>-25℃</w:t>
            </w:r>
            <w:r>
              <w:rPr>
                <w:sz w:val="24"/>
              </w:rPr>
              <w:t>至</w:t>
            </w:r>
            <w:r>
              <w:rPr>
                <w:sz w:val="24"/>
              </w:rPr>
              <w:t>55℃</w:t>
            </w:r>
            <w:r>
              <w:rPr>
                <w:sz w:val="24"/>
              </w:rPr>
              <w:t>。</w:t>
            </w:r>
          </w:p>
        </w:tc>
      </w:tr>
      <w:tr>
        <w:tc>
          <w:tcPr>
            <w:tcW w:type="dxa" w:w="2076"/>
          </w:tcPr>
          <w:p/>
        </w:tc>
        <w:tc>
          <w:tcPr>
            <w:tcW w:type="dxa" w:w="415"/>
          </w:tcPr>
          <w:p>
            <w:pPr>
              <w:pStyle w:val="null3"/>
            </w:pPr>
            <w:r>
              <w:rPr/>
              <w:t>14</w:t>
            </w:r>
          </w:p>
        </w:tc>
        <w:tc>
          <w:tcPr>
            <w:tcW w:type="dxa" w:w="5814"/>
          </w:tcPr>
          <w:p>
            <w:pPr>
              <w:pStyle w:val="null3"/>
              <w:jc w:val="both"/>
            </w:pPr>
            <w:r>
              <w:rPr>
                <w:sz w:val="24"/>
                <w:b/>
              </w:rPr>
              <w:t>5.</w:t>
            </w:r>
            <w:r>
              <w:rPr>
                <w:sz w:val="24"/>
                <w:b/>
              </w:rPr>
              <w:t>电源</w:t>
            </w:r>
            <w:r>
              <w:rPr>
                <w:sz w:val="24"/>
                <w:b/>
              </w:rPr>
              <w:t>：</w:t>
            </w:r>
          </w:p>
          <w:p>
            <w:pPr>
              <w:pStyle w:val="null3"/>
            </w:pPr>
            <w:r>
              <w:rPr>
                <w:sz w:val="24"/>
              </w:rPr>
              <w:t>（1）</w:t>
            </w:r>
            <w:r>
              <w:rPr>
                <w:sz w:val="24"/>
              </w:rPr>
              <w:t>电源电压：直流电压9V至40V</w:t>
            </w:r>
            <w:r>
              <w:rPr>
                <w:sz w:val="24"/>
              </w:rPr>
              <w:t>；</w:t>
            </w:r>
          </w:p>
        </w:tc>
      </w:tr>
      <w:tr>
        <w:tc>
          <w:tcPr>
            <w:tcW w:type="dxa" w:w="2076"/>
          </w:tcPr>
          <w:p/>
        </w:tc>
        <w:tc>
          <w:tcPr>
            <w:tcW w:type="dxa" w:w="415"/>
          </w:tcPr>
          <w:p>
            <w:pPr>
              <w:pStyle w:val="null3"/>
            </w:pPr>
            <w:r>
              <w:rPr/>
              <w:t>15</w:t>
            </w:r>
          </w:p>
        </w:tc>
        <w:tc>
          <w:tcPr>
            <w:tcW w:type="dxa" w:w="5814"/>
          </w:tcPr>
          <w:p>
            <w:pPr>
              <w:pStyle w:val="null3"/>
            </w:pPr>
            <w:r>
              <w:rPr>
                <w:sz w:val="24"/>
              </w:rPr>
              <w:t>（</w:t>
            </w:r>
            <w:r>
              <w:rPr>
                <w:sz w:val="24"/>
              </w:rPr>
              <w:t>2</w:t>
            </w:r>
            <w:r>
              <w:rPr>
                <w:sz w:val="24"/>
              </w:rPr>
              <w:t>）</w:t>
            </w:r>
            <w:r>
              <w:rPr>
                <w:sz w:val="24"/>
              </w:rPr>
              <w:t>电源电流</w:t>
            </w:r>
            <w:r>
              <w:rPr>
                <w:sz w:val="24"/>
              </w:rPr>
              <w:t>（</w:t>
            </w:r>
            <w:r>
              <w:rPr>
                <w:sz w:val="24"/>
              </w:rPr>
              <w:t>直流电压</w:t>
            </w:r>
            <w:r>
              <w:rPr>
                <w:sz w:val="24"/>
              </w:rPr>
              <w:t>12V</w:t>
            </w:r>
            <w:r>
              <w:rPr>
                <w:sz w:val="24"/>
              </w:rPr>
              <w:t>时</w:t>
            </w:r>
            <w:r>
              <w:rPr>
                <w:sz w:val="24"/>
              </w:rPr>
              <w:t>）：＜</w:t>
            </w:r>
            <w:r>
              <w:rPr>
                <w:sz w:val="24"/>
              </w:rPr>
              <w:t>55</w:t>
            </w:r>
            <w:r>
              <w:rPr>
                <w:sz w:val="24"/>
              </w:rPr>
              <w:t>毫安</w:t>
            </w:r>
            <w:r>
              <w:rPr>
                <w:sz w:val="24"/>
              </w:rPr>
              <w:t>（＜</w:t>
            </w:r>
            <w:r>
              <w:rPr>
                <w:sz w:val="24"/>
              </w:rPr>
              <w:t>0.7</w:t>
            </w:r>
            <w:r>
              <w:rPr>
                <w:sz w:val="24"/>
              </w:rPr>
              <w:t>瓦</w:t>
            </w:r>
            <w:r>
              <w:rPr>
                <w:sz w:val="24"/>
              </w:rPr>
              <w:t>）；</w:t>
            </w:r>
          </w:p>
        </w:tc>
      </w:tr>
      <w:tr>
        <w:tc>
          <w:tcPr>
            <w:tcW w:type="dxa" w:w="2076"/>
          </w:tcPr>
          <w:p/>
        </w:tc>
        <w:tc>
          <w:tcPr>
            <w:tcW w:type="dxa" w:w="415"/>
          </w:tcPr>
          <w:p>
            <w:pPr>
              <w:pStyle w:val="null3"/>
            </w:pPr>
            <w:r>
              <w:rPr/>
              <w:t>16</w:t>
            </w:r>
          </w:p>
        </w:tc>
        <w:tc>
          <w:tcPr>
            <w:tcW w:type="dxa" w:w="5814"/>
          </w:tcPr>
          <w:p>
            <w:pPr>
              <w:pStyle w:val="null3"/>
            </w:pPr>
            <w:r>
              <w:rPr>
                <w:sz w:val="24"/>
              </w:rPr>
              <w:t>（</w:t>
            </w:r>
            <w:r>
              <w:rPr>
                <w:sz w:val="24"/>
              </w:rPr>
              <w:t>3</w:t>
            </w:r>
            <w:r>
              <w:rPr>
                <w:sz w:val="24"/>
              </w:rPr>
              <w:t>）</w:t>
            </w:r>
            <w:r>
              <w:rPr>
                <w:sz w:val="24"/>
              </w:rPr>
              <w:t>输出速率：用户设定，</w:t>
            </w:r>
            <w:r>
              <w:rPr>
                <w:sz w:val="24"/>
              </w:rPr>
              <w:t>0.1</w:t>
            </w:r>
            <w:r>
              <w:rPr>
                <w:sz w:val="24"/>
              </w:rPr>
              <w:t>秒至最快间隔</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潮位仪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w:t>
            </w:r>
            <w:r>
              <w:rPr>
                <w:sz w:val="24"/>
              </w:rPr>
              <w:t>供电电源</w:t>
            </w:r>
            <w:r>
              <w:rPr>
                <w:sz w:val="24"/>
              </w:rPr>
              <w:t>：</w:t>
            </w:r>
            <w:r>
              <w:rPr>
                <w:sz w:val="24"/>
              </w:rPr>
              <w:t>24VDC</w:t>
            </w:r>
            <w:r>
              <w:rPr>
                <w:sz w:val="24"/>
              </w:rPr>
              <w:t>（</w:t>
            </w:r>
            <w:r>
              <w:rPr>
                <w:sz w:val="24"/>
              </w:rPr>
              <w:t>12-32V</w:t>
            </w:r>
            <w:r>
              <w:rPr>
                <w:sz w:val="24"/>
              </w:rPr>
              <w:t>宽电压</w:t>
            </w:r>
            <w:r>
              <w:rPr>
                <w:sz w:val="24"/>
              </w:rPr>
              <w:t>）；</w:t>
            </w:r>
          </w:p>
        </w:tc>
      </w:tr>
      <w:tr>
        <w:tc>
          <w:tcPr>
            <w:tcW w:type="dxa" w:w="2076"/>
          </w:tcPr>
          <w:p/>
        </w:tc>
        <w:tc>
          <w:tcPr>
            <w:tcW w:type="dxa" w:w="415"/>
          </w:tcPr>
          <w:p>
            <w:pPr>
              <w:pStyle w:val="null3"/>
            </w:pPr>
            <w:r>
              <w:rPr/>
              <w:t>2</w:t>
            </w:r>
          </w:p>
        </w:tc>
        <w:tc>
          <w:tcPr>
            <w:tcW w:type="dxa" w:w="5814"/>
          </w:tcPr>
          <w:p>
            <w:pPr>
              <w:pStyle w:val="null3"/>
            </w:pPr>
            <w:r>
              <w:rPr>
                <w:sz w:val="24"/>
              </w:rPr>
              <w:t>2.</w:t>
            </w:r>
            <w:r>
              <w:rPr>
                <w:sz w:val="24"/>
              </w:rPr>
              <w:t>输出信号</w:t>
            </w:r>
            <w:r>
              <w:rPr>
                <w:sz w:val="24"/>
              </w:rPr>
              <w:t>：</w:t>
            </w:r>
            <w:r>
              <w:rPr>
                <w:sz w:val="24"/>
              </w:rPr>
              <w:t>RS485</w:t>
            </w:r>
            <w:r>
              <w:rPr>
                <w:sz w:val="24"/>
              </w:rPr>
              <w:t>或者</w:t>
            </w:r>
            <w:r>
              <w:rPr>
                <w:sz w:val="24"/>
              </w:rPr>
              <w:t>RS232</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3.</w:t>
            </w:r>
            <w:r>
              <w:rPr>
                <w:sz w:val="24"/>
              </w:rPr>
              <w:t>量程范围</w:t>
            </w:r>
            <w:r>
              <w:rPr>
                <w:sz w:val="24"/>
              </w:rPr>
              <w:t>：</w:t>
            </w:r>
            <w:r>
              <w:rPr>
                <w:sz w:val="24"/>
              </w:rPr>
              <w:t>0</w:t>
            </w:r>
            <w:r>
              <w:rPr>
                <w:sz w:val="24"/>
              </w:rPr>
              <w:t>～</w:t>
            </w:r>
            <w:r>
              <w:rPr>
                <w:sz w:val="24"/>
              </w:rPr>
              <w:t>1000M</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综合精度</w:t>
            </w:r>
            <w:r>
              <w:rPr>
                <w:sz w:val="24"/>
              </w:rPr>
              <w:t>：</w:t>
            </w:r>
            <w:r>
              <w:rPr>
                <w:sz w:val="21"/>
              </w:rPr>
              <w:t>≤</w:t>
            </w:r>
            <w:r>
              <w:rPr>
                <w:sz w:val="24"/>
              </w:rPr>
              <w:t>0.5级</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5.</w:t>
            </w:r>
            <w:r>
              <w:rPr>
                <w:sz w:val="24"/>
              </w:rPr>
              <w:t>采样时间一秒</w:t>
            </w:r>
            <w:r>
              <w:rPr>
                <w:sz w:val="24"/>
              </w:rPr>
              <w:t>≥</w:t>
            </w:r>
            <w:r>
              <w:rPr>
                <w:sz w:val="24"/>
              </w:rPr>
              <w:t>20次</w:t>
            </w:r>
            <w:r>
              <w:rPr>
                <w:sz w:val="24"/>
              </w:rPr>
              <w:t>；</w:t>
            </w:r>
          </w:p>
        </w:tc>
      </w:tr>
      <w:tr>
        <w:tc>
          <w:tcPr>
            <w:tcW w:type="dxa" w:w="2076"/>
          </w:tcPr>
          <w:p/>
        </w:tc>
        <w:tc>
          <w:tcPr>
            <w:tcW w:type="dxa" w:w="415"/>
          </w:tcPr>
          <w:p>
            <w:pPr>
              <w:pStyle w:val="null3"/>
            </w:pPr>
            <w:r>
              <w:rPr/>
              <w:t>6</w:t>
            </w:r>
          </w:p>
        </w:tc>
        <w:tc>
          <w:tcPr>
            <w:tcW w:type="dxa" w:w="5814"/>
          </w:tcPr>
          <w:p>
            <w:pPr>
              <w:pStyle w:val="null3"/>
            </w:pPr>
            <w:r>
              <w:rPr>
                <w:sz w:val="24"/>
              </w:rPr>
              <w:t>6.</w:t>
            </w:r>
            <w:r>
              <w:rPr>
                <w:sz w:val="24"/>
              </w:rPr>
              <w:t>测量介质</w:t>
            </w:r>
            <w:r>
              <w:rPr>
                <w:sz w:val="24"/>
              </w:rPr>
              <w:t>：</w:t>
            </w:r>
            <w:r>
              <w:rPr>
                <w:sz w:val="24"/>
              </w:rPr>
              <w:t>油、水等非腐蚀性介质</w:t>
            </w:r>
            <w:r>
              <w:rPr>
                <w:sz w:val="24"/>
              </w:rPr>
              <w:t>（</w:t>
            </w:r>
            <w:r>
              <w:rPr>
                <w:sz w:val="24"/>
              </w:rPr>
              <w:t>非密闭容器</w:t>
            </w:r>
            <w:r>
              <w:rPr>
                <w:sz w:val="24"/>
              </w:rPr>
              <w:t>）；</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零点漂移</w:t>
            </w:r>
            <w:r>
              <w:rPr>
                <w:sz w:val="24"/>
              </w:rPr>
              <w:t>：</w:t>
            </w:r>
            <w:r>
              <w:rPr>
                <w:sz w:val="24"/>
              </w:rPr>
              <w:t>+0.02%FS</w:t>
            </w:r>
            <w:r>
              <w:rPr>
                <w:sz w:val="24"/>
              </w:rPr>
              <w:t>；</w:t>
            </w:r>
          </w:p>
        </w:tc>
      </w:tr>
      <w:tr>
        <w:tc>
          <w:tcPr>
            <w:tcW w:type="dxa" w:w="2076"/>
          </w:tcPr>
          <w:p/>
        </w:tc>
        <w:tc>
          <w:tcPr>
            <w:tcW w:type="dxa" w:w="415"/>
          </w:tcPr>
          <w:p>
            <w:pPr>
              <w:pStyle w:val="null3"/>
            </w:pPr>
            <w:r>
              <w:rPr/>
              <w:t>8</w:t>
            </w:r>
          </w:p>
        </w:tc>
        <w:tc>
          <w:tcPr>
            <w:tcW w:type="dxa" w:w="5814"/>
          </w:tcPr>
          <w:p>
            <w:pPr>
              <w:pStyle w:val="null3"/>
            </w:pPr>
            <w:r>
              <w:rPr>
                <w:sz w:val="24"/>
              </w:rPr>
              <w:t>8.</w:t>
            </w:r>
            <w:r>
              <w:rPr>
                <w:sz w:val="24"/>
              </w:rPr>
              <w:t>长期稳定</w:t>
            </w:r>
            <w:r>
              <w:rPr>
                <w:sz w:val="24"/>
              </w:rPr>
              <w:t>：</w:t>
            </w:r>
            <w:r>
              <w:rPr>
                <w:sz w:val="24"/>
              </w:rPr>
              <w:t>±</w:t>
            </w:r>
            <w:r>
              <w:rPr>
                <w:sz w:val="24"/>
              </w:rPr>
              <w:t>0.2%FS</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盐度计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w:t>
            </w:r>
            <w:r>
              <w:rPr>
                <w:sz w:val="24"/>
              </w:rPr>
              <w:t>量程范围</w:t>
            </w:r>
            <w:r>
              <w:rPr>
                <w:sz w:val="24"/>
              </w:rPr>
              <w:t>：</w:t>
            </w:r>
            <w:r>
              <w:rPr>
                <w:sz w:val="24"/>
              </w:rPr>
              <w:t>0</w:t>
            </w:r>
            <w:r>
              <w:rPr>
                <w:sz w:val="24"/>
              </w:rPr>
              <w:t>～</w:t>
            </w:r>
            <w:r>
              <w:rPr>
                <w:sz w:val="24"/>
              </w:rPr>
              <w:t>70.0PSU</w:t>
            </w:r>
            <w:r>
              <w:rPr>
                <w:sz w:val="24"/>
              </w:rPr>
              <w:t>；</w:t>
            </w:r>
          </w:p>
        </w:tc>
      </w:tr>
      <w:tr>
        <w:tc>
          <w:tcPr>
            <w:tcW w:type="dxa" w:w="2076"/>
          </w:tcPr>
          <w:p/>
        </w:tc>
        <w:tc>
          <w:tcPr>
            <w:tcW w:type="dxa" w:w="415"/>
          </w:tcPr>
          <w:p>
            <w:pPr>
              <w:pStyle w:val="null3"/>
            </w:pPr>
            <w:r>
              <w:rPr/>
              <w:t>2</w:t>
            </w:r>
          </w:p>
        </w:tc>
        <w:tc>
          <w:tcPr>
            <w:tcW w:type="dxa" w:w="5814"/>
          </w:tcPr>
          <w:p>
            <w:pPr>
              <w:pStyle w:val="null3"/>
            </w:pPr>
            <w:r>
              <w:rPr>
                <w:sz w:val="24"/>
              </w:rPr>
              <w:t>2.</w:t>
            </w:r>
            <w:r>
              <w:rPr>
                <w:sz w:val="24"/>
              </w:rPr>
              <w:t>分辨率</w:t>
            </w:r>
            <w:r>
              <w:rPr>
                <w:sz w:val="24"/>
              </w:rPr>
              <w:t>：</w:t>
            </w:r>
            <w:r>
              <w:rPr>
                <w:sz w:val="21"/>
              </w:rPr>
              <w:t>≤</w:t>
            </w:r>
            <w:r>
              <w:rPr>
                <w:sz w:val="24"/>
              </w:rPr>
              <w:t>0.1PSU</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3.</w:t>
            </w:r>
            <w:r>
              <w:rPr>
                <w:sz w:val="24"/>
              </w:rPr>
              <w:t>精度</w:t>
            </w:r>
            <w:r>
              <w:rPr>
                <w:sz w:val="24"/>
              </w:rPr>
              <w:t>：</w:t>
            </w:r>
            <w:r>
              <w:rPr>
                <w:sz w:val="24"/>
              </w:rPr>
              <w:t>±1.5%</w:t>
            </w:r>
            <w:r>
              <w:rPr>
                <w:sz w:val="24"/>
              </w:rPr>
              <w:t>，</w:t>
            </w:r>
            <w:r>
              <w:rPr>
                <w:sz w:val="24"/>
              </w:rPr>
              <w:t>±0.5℃</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工作条件</w:t>
            </w:r>
            <w:r>
              <w:rPr>
                <w:sz w:val="24"/>
              </w:rPr>
              <w:t>：</w:t>
            </w:r>
            <w:r>
              <w:rPr>
                <w:sz w:val="24"/>
              </w:rPr>
              <w:t>0</w:t>
            </w:r>
            <w:r>
              <w:rPr>
                <w:sz w:val="24"/>
              </w:rPr>
              <w:t>～</w:t>
            </w:r>
            <w:r>
              <w:rPr>
                <w:sz w:val="24"/>
              </w:rPr>
              <w:t>50℃</w:t>
            </w:r>
            <w:r>
              <w:rPr>
                <w:sz w:val="24"/>
              </w:rPr>
              <w:t>，＜</w:t>
            </w:r>
            <w:r>
              <w:rPr>
                <w:sz w:val="24"/>
              </w:rPr>
              <w:t>0 .6MPa</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5.</w:t>
            </w:r>
            <w:r>
              <w:rPr>
                <w:sz w:val="24"/>
              </w:rPr>
              <w:t>供电</w:t>
            </w:r>
            <w:r>
              <w:rPr>
                <w:sz w:val="24"/>
              </w:rPr>
              <w:t>：</w:t>
            </w:r>
            <w:r>
              <w:rPr>
                <w:sz w:val="24"/>
              </w:rPr>
              <w:t>12</w:t>
            </w:r>
            <w:r>
              <w:rPr>
                <w:sz w:val="24"/>
              </w:rPr>
              <w:t>～</w:t>
            </w:r>
            <w:r>
              <w:rPr>
                <w:sz w:val="24"/>
              </w:rPr>
              <w:t>24VDC</w:t>
            </w:r>
            <w:r>
              <w:rPr>
                <w:sz w:val="24"/>
              </w:rPr>
              <w:t>；</w:t>
            </w:r>
          </w:p>
        </w:tc>
      </w:tr>
      <w:tr>
        <w:tc>
          <w:tcPr>
            <w:tcW w:type="dxa" w:w="2076"/>
          </w:tcPr>
          <w:p/>
        </w:tc>
        <w:tc>
          <w:tcPr>
            <w:tcW w:type="dxa" w:w="415"/>
          </w:tcPr>
          <w:p>
            <w:pPr>
              <w:pStyle w:val="null3"/>
            </w:pPr>
            <w:r>
              <w:rPr/>
              <w:t>6</w:t>
            </w:r>
          </w:p>
        </w:tc>
        <w:tc>
          <w:tcPr>
            <w:tcW w:type="dxa" w:w="5814"/>
          </w:tcPr>
          <w:p>
            <w:pPr>
              <w:pStyle w:val="null3"/>
            </w:pPr>
            <w:r>
              <w:rPr>
                <w:sz w:val="24"/>
              </w:rPr>
              <w:t>6.</w:t>
            </w:r>
            <w:r>
              <w:rPr>
                <w:sz w:val="24"/>
              </w:rPr>
              <w:t>信号输出</w:t>
            </w:r>
            <w:r>
              <w:rPr>
                <w:sz w:val="24"/>
              </w:rPr>
              <w:t>：</w:t>
            </w:r>
            <w:r>
              <w:rPr>
                <w:sz w:val="24"/>
              </w:rPr>
              <w:t>RS-485(Modbus/RTU)</w:t>
            </w:r>
            <w:r>
              <w:rPr>
                <w:sz w:val="24"/>
              </w:rPr>
              <w:t>；</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外壳材质</w:t>
            </w:r>
            <w:r>
              <w:rPr>
                <w:sz w:val="24"/>
              </w:rPr>
              <w:t>：</w:t>
            </w:r>
            <w:r>
              <w:rPr>
                <w:sz w:val="24"/>
              </w:rPr>
              <w:t>ABS</w:t>
            </w:r>
            <w:r>
              <w:rPr>
                <w:sz w:val="24"/>
              </w:rPr>
              <w:t>（</w:t>
            </w:r>
            <w:r>
              <w:rPr>
                <w:sz w:val="24"/>
              </w:rPr>
              <w:t>默认</w:t>
            </w:r>
            <w:r>
              <w:rPr>
                <w:sz w:val="24"/>
              </w:rPr>
              <w:t>）</w:t>
            </w:r>
            <w:r>
              <w:rPr>
                <w:sz w:val="24"/>
              </w:rPr>
              <w:t>/POM</w:t>
            </w:r>
            <w:r>
              <w:rPr>
                <w:sz w:val="24"/>
              </w:rPr>
              <w:t>；</w:t>
            </w:r>
          </w:p>
        </w:tc>
      </w:tr>
      <w:tr>
        <w:tc>
          <w:tcPr>
            <w:tcW w:type="dxa" w:w="2076"/>
          </w:tcPr>
          <w:p/>
        </w:tc>
        <w:tc>
          <w:tcPr>
            <w:tcW w:type="dxa" w:w="415"/>
          </w:tcPr>
          <w:p>
            <w:pPr>
              <w:pStyle w:val="null3"/>
            </w:pPr>
            <w:r>
              <w:rPr/>
              <w:t>8</w:t>
            </w:r>
          </w:p>
        </w:tc>
        <w:tc>
          <w:tcPr>
            <w:tcW w:type="dxa" w:w="5814"/>
          </w:tcPr>
          <w:p>
            <w:pPr>
              <w:pStyle w:val="null3"/>
            </w:pPr>
            <w:r>
              <w:rPr>
                <w:sz w:val="24"/>
              </w:rPr>
              <w:t>8.</w:t>
            </w:r>
            <w:r>
              <w:rPr>
                <w:sz w:val="24"/>
              </w:rPr>
              <w:t>安装方式</w:t>
            </w:r>
            <w:r>
              <w:rPr>
                <w:sz w:val="24"/>
              </w:rPr>
              <w:t>：</w:t>
            </w:r>
            <w:r>
              <w:rPr>
                <w:sz w:val="24"/>
              </w:rPr>
              <w:t>浸入式安装</w:t>
            </w:r>
            <w:r>
              <w:rPr>
                <w:sz w:val="24"/>
              </w:rPr>
              <w:t>；</w:t>
            </w:r>
          </w:p>
        </w:tc>
      </w:tr>
      <w:tr>
        <w:tc>
          <w:tcPr>
            <w:tcW w:type="dxa" w:w="2076"/>
          </w:tcPr>
          <w:p/>
        </w:tc>
        <w:tc>
          <w:tcPr>
            <w:tcW w:type="dxa" w:w="415"/>
          </w:tcPr>
          <w:p>
            <w:pPr>
              <w:pStyle w:val="null3"/>
            </w:pPr>
            <w:r>
              <w:rPr/>
              <w:t>9</w:t>
            </w:r>
          </w:p>
        </w:tc>
        <w:tc>
          <w:tcPr>
            <w:tcW w:type="dxa" w:w="5814"/>
          </w:tcPr>
          <w:p>
            <w:pPr>
              <w:pStyle w:val="null3"/>
            </w:pPr>
            <w:r>
              <w:rPr>
                <w:sz w:val="24"/>
              </w:rPr>
              <w:t>9.</w:t>
            </w:r>
            <w:r>
              <w:rPr>
                <w:sz w:val="24"/>
              </w:rPr>
              <w:t>温度补偿</w:t>
            </w:r>
            <w:r>
              <w:rPr>
                <w:sz w:val="24"/>
              </w:rPr>
              <w:t>：</w:t>
            </w:r>
            <w:r>
              <w:rPr>
                <w:sz w:val="24"/>
              </w:rPr>
              <w:t xml:space="preserve"> 自动温度补偿</w:t>
            </w:r>
            <w:r>
              <w:rPr>
                <w:sz w:val="24"/>
              </w:rPr>
              <w:t>（</w:t>
            </w:r>
            <w:r>
              <w:rPr>
                <w:sz w:val="24"/>
              </w:rPr>
              <w:t>Pt1000</w:t>
            </w:r>
            <w:r>
              <w:rPr>
                <w:sz w:val="24"/>
              </w:rPr>
              <w:t>）；</w:t>
            </w:r>
          </w:p>
        </w:tc>
      </w:tr>
      <w:tr>
        <w:tc>
          <w:tcPr>
            <w:tcW w:type="dxa" w:w="2076"/>
          </w:tcPr>
          <w:p/>
        </w:tc>
        <w:tc>
          <w:tcPr>
            <w:tcW w:type="dxa" w:w="415"/>
          </w:tcPr>
          <w:p>
            <w:pPr>
              <w:pStyle w:val="null3"/>
            </w:pPr>
            <w:r>
              <w:rPr/>
              <w:t>10</w:t>
            </w:r>
          </w:p>
        </w:tc>
        <w:tc>
          <w:tcPr>
            <w:tcW w:type="dxa" w:w="5814"/>
          </w:tcPr>
          <w:p>
            <w:pPr>
              <w:pStyle w:val="null3"/>
            </w:pPr>
            <w:r>
              <w:rPr>
                <w:sz w:val="24"/>
              </w:rPr>
              <w:t>10.</w:t>
            </w:r>
            <w:r>
              <w:rPr>
                <w:sz w:val="24"/>
              </w:rPr>
              <w:t>校准方式</w:t>
            </w:r>
            <w:r>
              <w:rPr>
                <w:sz w:val="24"/>
              </w:rPr>
              <w:t>：</w:t>
            </w:r>
            <w:r>
              <w:rPr>
                <w:sz w:val="24"/>
              </w:rPr>
              <w:t>两点校准</w:t>
            </w:r>
            <w:r>
              <w:rPr>
                <w:sz w:val="24"/>
              </w:rPr>
              <w:t>；</w:t>
            </w:r>
          </w:p>
        </w:tc>
      </w:tr>
      <w:tr>
        <w:tc>
          <w:tcPr>
            <w:tcW w:type="dxa" w:w="2076"/>
          </w:tcPr>
          <w:p/>
        </w:tc>
        <w:tc>
          <w:tcPr>
            <w:tcW w:type="dxa" w:w="415"/>
          </w:tcPr>
          <w:p>
            <w:pPr>
              <w:pStyle w:val="null3"/>
            </w:pPr>
            <w:r>
              <w:rPr/>
              <w:t>11</w:t>
            </w:r>
          </w:p>
        </w:tc>
        <w:tc>
          <w:tcPr>
            <w:tcW w:type="dxa" w:w="5814"/>
          </w:tcPr>
          <w:p>
            <w:pPr>
              <w:pStyle w:val="null3"/>
            </w:pPr>
            <w:r>
              <w:rPr>
                <w:sz w:val="24"/>
              </w:rPr>
              <w:t>11.</w:t>
            </w:r>
            <w:r>
              <w:rPr>
                <w:sz w:val="24"/>
              </w:rPr>
              <w:t>功耗</w:t>
            </w:r>
            <w:r>
              <w:rPr>
                <w:sz w:val="24"/>
              </w:rPr>
              <w:t>0 . 2W@12V</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采购包2（图形工作站1、图形工作站2、图形工作站3、GPU计算工作站采购）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合同签订后30天内完成供货、安装、调试。</w:t>
            </w:r>
          </w:p>
        </w:tc>
      </w:tr>
      <w:tr>
        <w:tc>
          <w:tcPr>
            <w:tcW w:type="dxa" w:w="4153"/>
          </w:tcPr>
          <w:p>
            <w:pPr>
              <w:pStyle w:val="null3"/>
            </w:pPr>
            <w:r>
              <w:rPr/>
              <w:t>标的提供的地点</w:t>
            </w:r>
          </w:p>
        </w:tc>
        <w:tc>
          <w:tcPr>
            <w:tcW w:type="dxa" w:w="4153"/>
          </w:tcPr>
          <w:p>
            <w:pPr>
              <w:pStyle w:val="null3"/>
            </w:pPr>
            <w:r>
              <w:rPr/>
              <w:t>送货至采购人指定地点，安装及调试完毕。</w:t>
            </w:r>
          </w:p>
        </w:tc>
      </w:tr>
      <w:tr>
        <w:tc>
          <w:tcPr>
            <w:tcW w:type="dxa" w:w="4153"/>
          </w:tcPr>
          <w:p>
            <w:pPr>
              <w:pStyle w:val="null3"/>
            </w:pPr>
            <w:r>
              <w:rPr/>
              <w:t>付款方式</w:t>
            </w:r>
          </w:p>
        </w:tc>
        <w:tc>
          <w:tcPr>
            <w:tcW w:type="dxa" w:w="4153"/>
          </w:tcPr>
          <w:p>
            <w:pPr>
              <w:pStyle w:val="null3"/>
            </w:pPr>
            <w:r>
              <w:rPr/>
              <w:t>1期：支付比例100%,（1）非中小企业： 1期：全部货物现场安装及调试完毕并验收合格，采购人收到中标供应商出具的货物结算款全额增值税专用发票后，在10个工作日内支付结算款的100％给中标供应商，若中标供应商不提供货物结算款全额增值税专用发票的，采购人有权拒绝付款。 （2）中小企业： 1期：支付比例30%，签订合同后，中标供应商提供合同货款30%的增值税专用发票给采购人，采购人在5个工作日内向中标供应商支付30%的合同货款作为预付款。 2期：支付比例70%，全部货物现场安装及调试完毕并验收合格，中标供应商提供合同货款70%的增值税专用发票给采购人作为报账凭证，采购人在10个工作日内支付合同货款70%给中标供应商。 若中标供应商不提供供货货物结算款增值税专用发票的，采购人有权拒绝付款。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1期：（1）中标供应商对合同货物安装、调试和培训完成后，认为达到使用要求的，应向采购人提出书面验收申请，采购人无异议的，7日内组织验收，验收应在采购人、中标供应商双方共同参加下进行。 （2）货物的验收按合同规定的技术要求和国家有关的规定、规范进行，质量需符合国家对相关产品的质量标准。验收时如发现所交付的货物有短装、次品、损坏或其它不符合合同规定的，采购人应作出详尽的现场记录，并交由中标供应商签字确认，或由采购人、中标供应商双方签署备忘录。此现场记录或备忘录可用作补充、缺失和更换损坏部件的有效证据。由此产生的有关费用由中标供应商承担。 （3）因货物质量问题发生较大争议时，由广东省质检部门鉴定或双方共同委托有资质的机构进行鉴定。货物符合合同技术要求的，鉴定费由采购人承担；否则鉴定费由中标供应商承担。对验收或鉴定确认不合格的货物，中标供应商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支票提交方式：供应商应以银行支票（或现金支票）形式提交应以银行支票（或现金支票）形式提交，且需为不可撤销、见票即付的即期支票，收款人注明为广东海洋大学。</w:t>
            </w:r>
          </w:p>
          <w:p>
            <w:pPr>
              <w:pStyle w:val="null3"/>
            </w:pPr>
            <w:r>
              <w:rPr/>
              <w:t>汇票、本票提交方式：供应商应以银行承兑汇票或商业承兑汇票形式提交，且需为不可撤销、无条件付款的即期票据，收款人注明为广东海洋大学。</w:t>
            </w:r>
          </w:p>
          <w:p>
            <w:pPr>
              <w:pStyle w:val="null3"/>
            </w:pPr>
            <w:r>
              <w:rPr/>
              <w:t>说明：（1）中标供应商在合同签订后5个工作日内应向采购人支付合同金额的5%作为履约保证金（中标供应商在银行转账时需备注写明招标采购合同编号，以便采购人财务人员查核）。 （2）如中标供应商逾期不缴纳履约保证金，视为中标供应商放弃供应商资格。 （3）履约保证金的退还：项目验收合格后1个月内，中标供应商凭验收单据以及履约保证金收据向采购人提交退还申请，采购人在收到中标供应商申请及规定单据之日起10个工作日内无息退还给中标供应商，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（一）货物技术要求、质量保证及使用合法性，1.中标供应商所提供的货物须符合国家有关规范、标准，并满足合同技术要求。 2.中标供应商保证所提供的货物是全新、未曾使用过的。 3.中标供应商保证合同项下提供的货物不侵犯任何第三方的专利、商标或版权，在中国境内可依常规安全、合法使用。否则，中标供应商须承担对第三方的专利或版权的侵权责任并承担因此给采购人造成的损失（包括但不限于相关的诉讼费、律师费、违约金等费用）。 4.进口产品须具备原产地证明和商检局的检验证明及合法进货渠道证明。</w:t>
            </w:r>
          </w:p>
          <w:p>
            <w:pPr>
              <w:pStyle w:val="null3"/>
            </w:pPr>
            <w:r>
              <w:rPr/>
              <w:t>（二）合同货物的包装、交货、安装，1.货物的包装： 货物的包装均应有良好的防湿、防锈、防潮、防雨、防腐及防碰撞的措施。凡由于包装不良造成的损失和由此产生的费用均由中标供应商承担。 2.货物的交货： （1）中标供应商交货时间：合同签订后30天内完成供货、安装、调试。 （2）中标供应商交货地点：送货至采购人指定地点，安装及调试完毕。 （3）中标供应商应保证所提供的货物须为原厂商未启封全新包装且为2025年1月1日之后生产，同时应将所供货物的用户手册、使用说明书等有关资料与货物一同交付给采购人。 （4）中标供应商应保证所提供货物的技术性能达到合同的各项技术要求，否则将被看作性能不合格，采购人有权拒收并要求赔偿。 （5）中标供应商应保证所提供的产品规格、型号、技术参数、产地须与合同、招标（磋商）文件、投标（响应）文件规定一致，若出现不符，采购人有权拒收，中标供应商须及时办理退换货并负担全部费用及由此给采购人造成的全部损失。 3.合同货物的安装、调试： （1）中标供应商负责合同项下货物的安装、调试，一切费用由中标供应商负责。如果合同货物运输和调试过程中因事故造成货物短缺、损坏，中标供应商应及时安排换装，以保证合同货物安装、调试的成功完成。换货的相关费用由中标供应商承担。 （2）货物到达采购人指定地点后，中标供应商应派有资质的技术人员到采购人指定地完成安装、调试工作。 （3）货物安装、调试过程中，中标供应商技术人员应负责对采购人人员进行使用、维护保养及相关培训。 （4）中标供应商负责其技术人员在采购人现场进行安装、调试期间所产生的费用（包括但不限于人工费、交通费、人身损害赔偿费等）；如因中标供应商责任造成的延期，所有因安装、调试延期而产生的费用由中标供应商负责。 （5）中标供应商须将货物、系统安装并调试至正常运行的最佳状态。 （6）中标供应商进行安装、调试时须对各调试场地内的其他货物、设施有良好保护措施。 （7）中标供应商安装、调试期间需做到安全文明施工，不损坏采购人的设备设施，否则原价赔偿。</w:t>
            </w:r>
          </w:p>
          <w:p>
            <w:pPr>
              <w:pStyle w:val="null3"/>
            </w:pPr>
            <w:r>
              <w:rPr/>
              <w:t>（三）质保期及售后服务，1.质保期：所有产品均需提供不少于3年质量保证和上门保修服务（另有特别说明的货物除外），质保期从货物验收合格之日起，质保期内的上门保修服务及因设备故障维修产生的相关费用已包含在投标报价中，采购人不额外支付。 2.中标供应商应指派专人负责与采购人联系售后服务事宜。在质保期内货物质量出现问题，无论设备因何种原因发生何种故障，中标供应商须在接到通知后2小时内有专人回复。若维修工程电话不能解决故障，中标供应商须保证在24小时内派人到现场进行处理，同时负责三包（包修、包退、包换），如在采购人规定时间内不能解决问题的，应在48小时内提供相同的货物给采购人代用，并保证满足采购人工作需求，直到原货物修复。质保期内发生的所有费用由中标供应商负责，需要重新更换货物的，中标供应商应承担更换货物所产生的一切费用。 3.下列情况中标供应商不负责免费保修： （1）不按照货物使用说明书提供的方法使用而引致系统或货物故障损坏； （2）擅自修改系统或改装货物； （3）各种天灾等外来因素造成的损坏。 4.售后服务未尽事宜，以中标供应商投标文件中的售后服务承诺作为补充，售后服务承诺优于合同约定的，以中标供应商承诺为准。</w:t>
            </w:r>
          </w:p>
          <w:p>
            <w:pPr>
              <w:pStyle w:val="null3"/>
            </w:pPr>
            <w:r>
              <w:rPr/>
              <w:t>（四）培训方案，1.货物安装调试完毕，中标供应商须组织采购人使用人员进行使用及日常维护等的培训，主要内容为货物的基本结构、性能、主要部件/模块的构造及维护、日常使用与管理、常见故障的排除、紧急情况的处理等。 2.维护服务要求：安排有经验的工作人员进行组装调试、首次加电技术指导，并能提供技术培训。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图形工作站</w:t>
            </w:r>
          </w:p>
        </w:tc>
        <w:tc>
          <w:tcPr>
            <w:tcW w:type="dxa" w:w="831"/>
          </w:tcPr>
          <w:p>
            <w:pPr>
              <w:pStyle w:val="null3"/>
              <w:jc w:val="left"/>
            </w:pPr>
            <w:r>
              <w:rPr/>
              <w:t>图形工作站1</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38,000.00</w:t>
            </w:r>
          </w:p>
        </w:tc>
        <w:tc>
          <w:tcPr>
            <w:tcW w:type="dxa" w:w="831"/>
          </w:tcPr>
          <w:p>
            <w:pPr>
              <w:pStyle w:val="null3"/>
              <w:jc w:val="right"/>
            </w:pPr>
            <w:r>
              <w:rPr/>
              <w:t>114,000.00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图形工作站</w:t>
            </w:r>
          </w:p>
        </w:tc>
        <w:tc>
          <w:tcPr>
            <w:tcW w:type="dxa" w:w="831"/>
          </w:tcPr>
          <w:p>
            <w:pPr>
              <w:pStyle w:val="null3"/>
              <w:jc w:val="left"/>
            </w:pPr>
            <w:r>
              <w:rPr/>
              <w:t>图形工作站2</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28,000.00</w:t>
            </w:r>
          </w:p>
        </w:tc>
        <w:tc>
          <w:tcPr>
            <w:tcW w:type="dxa" w:w="831"/>
          </w:tcPr>
          <w:p>
            <w:pPr>
              <w:pStyle w:val="null3"/>
              <w:jc w:val="right"/>
            </w:pPr>
            <w:r>
              <w:rPr/>
              <w:t>56,000.00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图形工作站</w:t>
            </w:r>
          </w:p>
        </w:tc>
        <w:tc>
          <w:tcPr>
            <w:tcW w:type="dxa" w:w="831"/>
          </w:tcPr>
          <w:p>
            <w:pPr>
              <w:pStyle w:val="null3"/>
              <w:jc w:val="left"/>
            </w:pPr>
            <w:r>
              <w:rPr/>
              <w:t>图形工作站3</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28,000.00</w:t>
            </w:r>
          </w:p>
        </w:tc>
        <w:tc>
          <w:tcPr>
            <w:tcW w:type="dxa" w:w="831"/>
          </w:tcPr>
          <w:p>
            <w:pPr>
              <w:pStyle w:val="null3"/>
              <w:jc w:val="right"/>
            </w:pPr>
            <w:r>
              <w:rPr/>
              <w:t>28,000.00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图形工作站</w:t>
            </w:r>
          </w:p>
        </w:tc>
        <w:tc>
          <w:tcPr>
            <w:tcW w:type="dxa" w:w="831"/>
          </w:tcPr>
          <w:p>
            <w:pPr>
              <w:pStyle w:val="null3"/>
              <w:jc w:val="left"/>
            </w:pPr>
            <w:r>
              <w:rPr/>
              <w:t>GPU计算机工作站</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30,000.00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图形工作站1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5"/>
              <w:gridCol w:w="500"/>
              <w:gridCol w:w="461"/>
              <w:gridCol w:w="1288"/>
              <w:gridCol w:w="2972"/>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指标分类</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2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信息</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w:t>
                  </w:r>
                  <w:r>
                    <w:rPr>
                      <w:sz w:val="21"/>
                    </w:rPr>
                    <w:t xml:space="preserve">CPU </w:t>
                  </w:r>
                  <w:r>
                    <w:rPr>
                      <w:sz w:val="21"/>
                    </w:rPr>
                    <w:t xml:space="preserve">信息，包含 </w:t>
                  </w:r>
                  <w:r>
                    <w:rPr>
                      <w:sz w:val="21"/>
                    </w:rPr>
                    <w:t xml:space="preserve">CPU </w:t>
                  </w:r>
                  <w:r>
                    <w:rPr>
                      <w:sz w:val="21"/>
                    </w:rPr>
                    <w:t>型号、物理核心数、主频、末级缓存容量、线程数、热设计功耗及内存的最高速率、通道数和位宽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总容量</w:t>
                  </w:r>
                  <w:r>
                    <w:rPr>
                      <w:sz w:val="21"/>
                    </w:rPr>
                    <w:t>≥64GB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DDR5及以上</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*内存条配置数量（板载内存不涉及）</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集成资源扩展模块、计算处理模块、音频扩展模块等，主板的互联拓扑可通过处理器或交换电路实现</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 CPU和内存情况</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供应商给出主板支持的</w:t>
                  </w:r>
                  <w:r>
                    <w:rPr>
                      <w:sz w:val="21"/>
                    </w:rPr>
                    <w:t xml:space="preserve">CPU </w:t>
                  </w:r>
                  <w:r>
                    <w:rPr>
                      <w:sz w:val="21"/>
                    </w:rPr>
                    <w:t>和内存的型号数量</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 插槽数量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支持数量</w:t>
                  </w:r>
                  <w:r>
                    <w:rPr>
                      <w:sz w:val="21"/>
                    </w:rPr>
                    <w:t>≥3，其中至少包括1个PCIex16 和2个PCIex4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M.2接口：M.2 2230插槽≥1个、M.2 2230/2280插槽≥2个、M.2 2280插槽≥1个</w:t>
                  </w:r>
                  <w:r>
                    <w:br/>
                  </w:r>
                  <w:r>
                    <w:rPr>
                      <w:sz w:val="21"/>
                    </w:rPr>
                    <w:t>SATA接口≥5个</w:t>
                  </w:r>
                  <w:r>
                    <w:br/>
                  </w:r>
                  <w:r>
                    <w:rPr>
                      <w:sz w:val="21"/>
                    </w:rPr>
                    <w:t>前置</w:t>
                  </w:r>
                  <w:r>
                    <w:rPr>
                      <w:sz w:val="21"/>
                    </w:rPr>
                    <w:t>USB Type-C≥2个，前置USB 3.2≥2个，后置USB Type-C≥2个，后置USB 3.2≥2个，后置USB 2.0≥2个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*单内存插槽最大可支持容量（板载内存不涉及）</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w:t>
                  </w:r>
                  <w:r>
                    <w:br/>
                  </w:r>
                  <w:r>
                    <w:rPr>
                      <w:sz w:val="21"/>
                    </w:rPr>
                    <w:t>设备</w:t>
                  </w:r>
                  <w:r>
                    <w:br/>
                  </w:r>
                  <w:r>
                    <w:rPr>
                      <w:sz w:val="21"/>
                    </w:rPr>
                    <w:t>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≥2TB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2TB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≥7200转/分钟</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w:t>
                  </w:r>
                  <w:r>
                    <w:rPr>
                      <w:sz w:val="21"/>
                    </w:rPr>
                    <w:t>SATA/PCIe/NVMe/M.2 等类型接口协议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w:t>
                  </w:r>
                  <w:r>
                    <w:rPr>
                      <w:sz w:val="21"/>
                    </w:rPr>
                    <w:t>或板载等形态，插卡形态宜符合</w:t>
                  </w:r>
                  <w:r>
                    <w:rPr>
                      <w:sz w:val="21"/>
                    </w:rPr>
                    <w:t xml:space="preserve">M.2 </w:t>
                  </w:r>
                  <w:r>
                    <w:rPr>
                      <w:sz w:val="21"/>
                    </w:rPr>
                    <w:t>或</w:t>
                  </w:r>
                  <w:r>
                    <w:rPr>
                      <w:sz w:val="21"/>
                    </w:rPr>
                    <w:t xml:space="preserve">mSATA </w:t>
                  </w:r>
                  <w:r>
                    <w:rPr>
                      <w:sz w:val="21"/>
                    </w:rPr>
                    <w:t>等标准尺寸和接口定义</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*存储设备其他参数要求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）固态盘应符合</w:t>
                  </w:r>
                  <w:r>
                    <w:rPr>
                      <w:sz w:val="21"/>
                    </w:rPr>
                    <w:t>SJ/T 11654 相关规定；</w:t>
                  </w:r>
                </w:p>
                <w:p>
                  <w:pPr>
                    <w:pStyle w:val="null3"/>
                    <w:jc w:val="left"/>
                  </w:pPr>
                  <w:r>
                    <w:rPr>
                      <w:sz w:val="21"/>
                    </w:rPr>
                    <w:t>b</w:t>
                  </w:r>
                  <w:r>
                    <w:rPr>
                      <w:sz w:val="21"/>
                    </w:rPr>
                    <w:t>）机械</w:t>
                  </w:r>
                  <w:r>
                    <w:rPr>
                      <w:sz w:val="21"/>
                    </w:rPr>
                    <w:t>硬盘准备时间应不大于</w:t>
                  </w:r>
                  <w:r>
                    <w:rPr>
                      <w:sz w:val="21"/>
                    </w:rPr>
                    <w:t>30s</w:t>
                  </w:r>
                  <w:r>
                    <w:rPr>
                      <w:sz w:val="21"/>
                    </w:rPr>
                    <w:t>；侧面固定螺丝孔数量可为</w:t>
                  </w:r>
                  <w:r>
                    <w:rPr>
                      <w:sz w:val="21"/>
                    </w:rPr>
                    <w:t>4</w:t>
                  </w:r>
                  <w:r>
                    <w:rPr>
                      <w:sz w:val="21"/>
                    </w:rPr>
                    <w:t>孔或</w:t>
                  </w:r>
                  <w:r>
                    <w:rPr>
                      <w:sz w:val="21"/>
                    </w:rPr>
                    <w:t>6</w:t>
                  </w:r>
                  <w:r>
                    <w:rPr>
                      <w:sz w:val="21"/>
                    </w:rPr>
                    <w:t>孔；工作状态环境温度应满足</w:t>
                  </w:r>
                  <w:r>
                    <w:rPr>
                      <w:sz w:val="21"/>
                    </w:rPr>
                    <w:t>5℃~55℃</w:t>
                  </w:r>
                  <w:r>
                    <w:rPr>
                      <w:sz w:val="21"/>
                    </w:rPr>
                    <w:t xml:space="preserve">；其它参数应符合 </w:t>
                  </w:r>
                  <w:r>
                    <w:rPr>
                      <w:sz w:val="21"/>
                    </w:rPr>
                    <w:t>GB/T 12628</w:t>
                  </w:r>
                  <w:r>
                    <w:rPr>
                      <w:sz w:val="21"/>
                    </w:rPr>
                    <w:t>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GDDR6X</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产品支持</w:t>
                  </w:r>
                  <w:r>
                    <w:rPr>
                      <w:sz w:val="21"/>
                    </w:rPr>
                    <w:t>PCIe 协议版本大于等于4.0独立显卡接口协议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≥2560×1440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显示屏像素密度</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 像素/英寸</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水平</w:t>
                  </w:r>
                  <w:r>
                    <w:rPr>
                      <w:sz w:val="21"/>
                    </w:rPr>
                    <w:t>≥175 °</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 英寸</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16:09</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正面黑色，背面亮银白色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w:t>
                  </w:r>
                  <w:r>
                    <w:rPr>
                      <w:sz w:val="21"/>
                    </w:rPr>
                    <w:t>蓝光加权辐射亮度比应</w:t>
                  </w:r>
                  <w:r>
                    <w:rPr>
                      <w:sz w:val="21"/>
                    </w:rPr>
                    <w:t>≤</w:t>
                  </w:r>
                  <w:r>
                    <w:rPr>
                      <w:sz w:val="21"/>
                    </w:rPr>
                    <w:t>0.0012W/(</w:t>
                  </w:r>
                  <w:r>
                    <w:rPr>
                      <w:sz w:val="21"/>
                    </w:rPr>
                    <w:t>·</w:t>
                  </w:r>
                  <w:r>
                    <w:rPr>
                      <w:sz w:val="21"/>
                    </w:rPr>
                    <w:t>cd</w:t>
                  </w:r>
                  <w:r>
                    <w:rPr>
                      <w:sz w:val="21"/>
                    </w:rPr>
                    <w:t>·</w:t>
                  </w:r>
                  <w:r>
                    <w:rPr>
                      <w:sz w:val="21"/>
                    </w:rPr>
                    <w:t>sr)</w:t>
                  </w:r>
                  <w:r>
                    <w:rPr>
                      <w:sz w:val="21"/>
                    </w:rPr>
                    <w:t>（瓦每坎特拉每球面度）</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*显示屏低频闪</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显示屏支持无闪烁或低频闪</w:t>
                  </w:r>
                  <w:r>
                    <w:rPr>
                      <w:sz w:val="21"/>
                    </w:rPr>
                    <w:t>≤-35dB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*显示屏防炫目</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w:t>
                  </w:r>
                  <w:r>
                    <w:rPr>
                      <w:sz w:val="21"/>
                    </w:rPr>
                    <w:t>示屏镜面反射率</w:t>
                  </w:r>
                  <w:r>
                    <w:rPr>
                      <w:sz w:val="21"/>
                    </w:rPr>
                    <w:t>≤</w:t>
                  </w:r>
                  <w:r>
                    <w:rPr>
                      <w:sz w:val="21"/>
                    </w:rPr>
                    <w:t>10%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 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*摄像头像素</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*摄像头分辨率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*扬声器频率范围</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*键盘键程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2.3mm ~ 4.0mm</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*键盘按键压力</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按键压力应在</w:t>
                  </w:r>
                  <w:r>
                    <w:rPr>
                      <w:sz w:val="21"/>
                    </w:rPr>
                    <w:t>0.54 N±0.14N</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*键盘其他要求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键盘外观结构</w:t>
                  </w:r>
                  <w:r>
                    <w:rPr>
                      <w:sz w:val="21"/>
                    </w:rPr>
                    <w:t>、连接方式</w:t>
                  </w:r>
                  <w:r>
                    <w:rPr>
                      <w:sz w:val="21"/>
                    </w:rPr>
                    <w:t>、主要功能、安全、电磁兼容性、可靠性应符合</w:t>
                  </w:r>
                  <w:r>
                    <w:rPr>
                      <w:sz w:val="21"/>
                    </w:rPr>
                    <w:t>GB/T 14081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*鼠标DPI 分辨率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GB/T 26245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接口数量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≥10，机箱前板至少包括 4 个 USB3.0 及以上或者Type-C接口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板载显示</w:t>
                  </w:r>
                  <w:r>
                    <w:rPr>
                      <w:sz w:val="21"/>
                    </w:rPr>
                    <w:t>≥2；独立显卡≥4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*整机外观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产品表面不应有凹痕、划伤、裂缝、变形和污染等。表面涂层均匀，不应起泡、龟裂、脱落和磨损，金属零部件无锈蚀及其它机械损伤；</w:t>
                  </w:r>
                  <w:r>
                    <w:br/>
                  </w:r>
                  <w:r>
                    <w:rPr>
                      <w:sz w:val="21"/>
                    </w:rPr>
                    <w:t>b) 产品表面说明功能的文字 、符号、标志 ，应清晰 、端正 、牢固；</w:t>
                  </w:r>
                </w:p>
                <w:p>
                  <w:pPr>
                    <w:pStyle w:val="null3"/>
                    <w:jc w:val="left"/>
                  </w:pPr>
                  <w:r>
                    <w:rPr>
                      <w:sz w:val="21"/>
                    </w:rPr>
                    <w:t>c)</w:t>
                  </w:r>
                  <w:r>
                    <w:rPr>
                      <w:sz w:val="21"/>
                    </w:rPr>
                    <w:t>宜在产品显著位置提供运行状态指示功能，并由生产厂商提供详细参数</w:t>
                  </w:r>
                  <w:r>
                    <w:rPr>
                      <w:sz w:val="21"/>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*整机结构</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机箱应符合 GB/T 4208、GB/T 26246的相关规定；</w:t>
                  </w:r>
                  <w:r>
                    <w:br/>
                  </w:r>
                  <w:r>
                    <w:rPr>
                      <w:sz w:val="21"/>
                    </w:rPr>
                    <w:t>b) 产品内部结构应符合通用部件的安装需要；</w:t>
                  </w:r>
                  <w:r>
                    <w:br/>
                  </w:r>
                  <w:r>
                    <w:rPr>
                      <w:sz w:val="21"/>
                    </w:rPr>
                    <w:t>c) 所有输入输出接口应符合相关国家或行业标准；</w:t>
                  </w:r>
                  <w:r>
                    <w:br/>
                  </w:r>
                  <w:r>
                    <w:rPr>
                      <w:sz w:val="21"/>
                    </w:rPr>
                    <w:t>d) 产品零部件应紧固无松动 ，可插拔部件应可靠连接，开关、按钮和其它控制部件应灵活可靠 ，布局应方便使用；</w:t>
                  </w:r>
                  <w:r>
                    <w:br/>
                  </w:r>
                  <w:r>
                    <w:rPr>
                      <w:sz w:val="21"/>
                    </w:rPr>
                    <w:t>e) 所有 I/O 连接器及需插接线缆的部位应预留用户操作空间，方便插拔解锁</w:t>
                  </w:r>
                  <w:r>
                    <w:br/>
                  </w:r>
                  <w:r>
                    <w:rPr>
                      <w:sz w:val="21"/>
                    </w:rPr>
                    <w:t>与插拔线缆；</w:t>
                  </w:r>
                  <w:r>
                    <w:br/>
                  </w:r>
                  <w:r>
                    <w:rPr>
                      <w:sz w:val="21"/>
                    </w:rPr>
                    <w:t>f) 可插拔板卡插槽部位应预留安装、拆卸或更换板卡空间；</w:t>
                  </w:r>
                  <w:r>
                    <w:br/>
                  </w:r>
                  <w:r>
                    <w:rPr>
                      <w:sz w:val="21"/>
                    </w:rPr>
                    <w:t>g) 拆装可能接触到的金属剪口或金属尖角部位应做防划伤处理 ，以保证安全；</w:t>
                  </w:r>
                  <w:r>
                    <w:br/>
                  </w:r>
                  <w:r>
                    <w:rPr>
                      <w:sz w:val="21"/>
                    </w:rPr>
                    <w:t>h) 整机内部走线应规整 ，固线结构和位置要合理可靠并做防割线处理，需便于理线和插拔操作，走线应不影响系统各主要部件组装和拆卸；</w:t>
                  </w:r>
                  <w:r>
                    <w:br/>
                  </w:r>
                  <w:r>
                    <w:rPr>
                      <w:sz w:val="21"/>
                    </w:rPr>
                    <w:t>i) 如需通过孔走线 ，过线孔应做防割线处理；</w:t>
                  </w:r>
                  <w:r>
                    <w:br/>
                  </w:r>
                  <w:r>
                    <w:rPr>
                      <w:sz w:val="21"/>
                    </w:rPr>
                    <w:t>j) 各插头位置和插拔方向应合理 ，应做到插拔无障碍设计 ，具备防呆设计，有效避免误操作；</w:t>
                  </w:r>
                  <w:r>
                    <w:br/>
                  </w:r>
                  <w:r>
                    <w:rPr>
                      <w:sz w:val="21"/>
                    </w:rPr>
                    <w:t>k) 各主要部件拆装无障碍 ，使用常规工具拆装 ，无特殊拆装工具需求；</w:t>
                  </w:r>
                  <w:r>
                    <w:br/>
                  </w:r>
                  <w:r>
                    <w:rPr>
                      <w:sz w:val="21"/>
                    </w:rPr>
                    <w:t>l) 各主要部件拆装步骤要少 ，各自拆装需避免相互干扰；</w:t>
                  </w:r>
                  <w:r>
                    <w:br/>
                  </w:r>
                  <w:r>
                    <w:rPr>
                      <w:sz w:val="21"/>
                    </w:rPr>
                    <w:t>m) 对于整机或零部件外表面为高亮面的，应粘贴保护膜，保护膜需粘贴牢固，运输、组装等过程不易脱落，撕下无残留；</w:t>
                  </w:r>
                  <w:r>
                    <w:br/>
                  </w:r>
                  <w:r>
                    <w:rPr>
                      <w:sz w:val="21"/>
                    </w:rPr>
                    <w:t>n) 其它要求应符合 GB/T 9813.1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*机箱防护要求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机箱应符合</w:t>
                  </w:r>
                  <w:r>
                    <w:rPr>
                      <w:sz w:val="21"/>
                    </w:rPr>
                    <w:t>GB/T 4208 中 IP20 防护要求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*整机噪音</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产品工作在空闲状态下，产品的声功率级应不超过</w:t>
                  </w:r>
                  <w:r>
                    <w:rPr>
                      <w:sz w:val="21"/>
                    </w:rPr>
                    <w:t>4.5 Bel</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在环境温度</w:t>
                  </w:r>
                  <w:r>
                    <w:rPr>
                      <w:sz w:val="21"/>
                    </w:rPr>
                    <w:t>25℃及处理器满载情况下，产品表面温度应符合下列要求：</w:t>
                  </w:r>
                  <w:r>
                    <w:br/>
                  </w:r>
                  <w:r>
                    <w:rPr>
                      <w:sz w:val="21"/>
                    </w:rPr>
                    <w:t>a) 出风口在机箱后面板情况下 ，出风口温度不高于55℃；</w:t>
                  </w:r>
                  <w:r>
                    <w:br/>
                  </w:r>
                  <w:r>
                    <w:rPr>
                      <w:sz w:val="21"/>
                    </w:rPr>
                    <w:t>b) 可触及面温度小于45℃；</w:t>
                  </w:r>
                  <w:r>
                    <w:br/>
                  </w:r>
                  <w:r>
                    <w:rPr>
                      <w:sz w:val="21"/>
                    </w:rPr>
                    <w:t>c) 显示器表面温度：显示屏温度不高于 38℃, 显示屏上下灯带位置温度（如涉及）不高于40℃, 出风口温度不高于 45℃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产品能效限定值应达到</w:t>
                  </w:r>
                  <w:r>
                    <w:rPr>
                      <w:sz w:val="21"/>
                    </w:rPr>
                    <w:t>GB 28380-2012标准中能效等级 2 级及以上</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*机箱尺寸容量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机箱体积应不大于</w:t>
                  </w:r>
                  <w:r>
                    <w:rPr>
                      <w:sz w:val="21"/>
                    </w:rPr>
                    <w:t>30L</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物理核数</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w:t>
                  </w:r>
                  <w:r>
                    <w:rPr>
                      <w:sz w:val="21"/>
                    </w:rPr>
                    <w:t>≥24，线程数≥32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主频</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性能核</w:t>
                  </w:r>
                  <w:r>
                    <w:rPr>
                      <w:sz w:val="21"/>
                    </w:rPr>
                    <w:t>≥3.2GHz，能效核≥2.4GHz</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末级缓存容量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≥32MB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支持的内存最高速率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≥5600MT/s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≥4400MT/s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≥3840×2160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≥2.2GHz</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≥1600MT/s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*显卡可支持多屏同时显示数量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4 块屏幕同时显示，分辨率应不低于 3840×2160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显示设备性能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*显示屏刷新率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≥144Hz</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*显示屏位深</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*显示屏色域</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 sRGB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*显示屏色准</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 ≤ 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*显示屏响应时间</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≤6ms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≥350 尼特（典型）</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*显示屏亮度一致性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*显示屏对比度</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 ：1（典型）</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*显示屏其他参数</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SJ/T 11292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*有线网卡速率</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w:t>
                  </w:r>
                  <w:r>
                    <w:rPr>
                      <w:sz w:val="21"/>
                    </w:rPr>
                    <w:t>1000Mbps ，应支持10Mbps 、100Mbps 、1000Mbps 速率自适应</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*内存扩展接口</w:t>
                  </w:r>
                  <w:r>
                    <w:rPr>
                      <w:sz w:val="21"/>
                    </w:rPr>
                    <w:t>（板载内存不涉及）</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存储扩展接口</w:t>
                  </w:r>
                  <w:r>
                    <w:rPr>
                      <w:sz w:val="21"/>
                    </w:rPr>
                    <w:t>（板载存储不涉及）</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支持存储设备扩展接口</w:t>
                  </w:r>
                  <w:r>
                    <w:rPr>
                      <w:sz w:val="21"/>
                    </w:rPr>
                    <w:t>≥9 个 ，如SATA3.0 、M.2 等接口类型</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*主板USB 瞬间过流保护</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支持瞬间过流保护功能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*主板防静电保护</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支持防静电保护功能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I/O 接口功能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提供基于标准</w:t>
                  </w:r>
                  <w:r>
                    <w:rPr>
                      <w:sz w:val="21"/>
                    </w:rPr>
                    <w:t>USB 接口外设连接功能、基于音频输出接口的音频扩展功能 、基于 PCIe 接口板卡扩展功能 、基于DP 接口外接显示器扩展功能、基于存储接口对产品进行增容功能等。工作站 I/O 接口应具备外接标准USB 设备、显示器、音频设备等内外部设备能力</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w:t>
                  </w:r>
                  <w:r>
                    <w:rPr>
                      <w:sz w:val="21"/>
                    </w:rPr>
                    <w:t>至少支持</w:t>
                  </w:r>
                  <w:r>
                    <w:rPr>
                      <w:sz w:val="21"/>
                    </w:rPr>
                    <w:t>VGA</w:t>
                  </w:r>
                  <w:r>
                    <w:rPr>
                      <w:sz w:val="21"/>
                    </w:rPr>
                    <w:t>、</w:t>
                  </w:r>
                  <w:r>
                    <w:rPr>
                      <w:sz w:val="21"/>
                    </w:rPr>
                    <w:t>HDMI</w:t>
                  </w:r>
                  <w:r>
                    <w:rPr>
                      <w:sz w:val="21"/>
                    </w:rPr>
                    <w:t>、</w:t>
                  </w:r>
                  <w:r>
                    <w:rPr>
                      <w:sz w:val="21"/>
                    </w:rPr>
                    <w:t>DVI</w:t>
                  </w:r>
                  <w:r>
                    <w:rPr>
                      <w:sz w:val="21"/>
                    </w:rPr>
                    <w:t>、</w:t>
                  </w:r>
                  <w:r>
                    <w:rPr>
                      <w:sz w:val="21"/>
                    </w:rPr>
                    <w:t>DP</w:t>
                  </w:r>
                  <w:r>
                    <w:rPr>
                      <w:sz w:val="21"/>
                    </w:rPr>
                    <w:t>、</w:t>
                  </w:r>
                  <w:r>
                    <w:rPr>
                      <w:sz w:val="21"/>
                    </w:rPr>
                    <w:t xml:space="preserve">Type-C </w:t>
                  </w:r>
                  <w:r>
                    <w:rPr>
                      <w:sz w:val="21"/>
                    </w:rPr>
                    <w:t xml:space="preserve">中 </w:t>
                  </w:r>
                  <w:r>
                    <w:rPr>
                      <w:sz w:val="21"/>
                    </w:rPr>
                    <w:t xml:space="preserve">1 </w:t>
                  </w:r>
                  <w:r>
                    <w:rPr>
                      <w:sz w:val="21"/>
                    </w:rPr>
                    <w:t>种显示接口，并与显示器接口相匹配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*显示器接口</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显示器应与显卡外接显示接口匹配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*显示器支架</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显示器应提供显示器支架，宜支持屏幕旋转</w:t>
                  </w:r>
                  <w:r>
                    <w:rPr>
                      <w:sz w:val="21"/>
                    </w:rPr>
                    <w:t>、支架可升降等</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*显示器参数调节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提供 OSD 选单按钮用于调节色彩、模式等；</w:t>
                  </w:r>
                  <w:r>
                    <w:br/>
                  </w:r>
                  <w:r>
                    <w:rPr>
                      <w:sz w:val="21"/>
                    </w:rPr>
                    <w:t>b) 支持色温 、亮度 、对比度调节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w:t>
                  </w:r>
                  <w:r>
                    <w:rPr>
                      <w:sz w:val="21"/>
                    </w:rPr>
                    <w:t xml:space="preserve">SATA </w:t>
                  </w:r>
                  <w:r>
                    <w:rPr>
                      <w:sz w:val="21"/>
                    </w:rPr>
                    <w:t>固态存储</w:t>
                  </w:r>
                  <w:r>
                    <w:rPr>
                      <w:sz w:val="21"/>
                    </w:rPr>
                    <w:t xml:space="preserve">/PCIe </w:t>
                  </w:r>
                  <w:r>
                    <w:rPr>
                      <w:sz w:val="21"/>
                    </w:rPr>
                    <w:t>固态存储</w:t>
                  </w:r>
                  <w:r>
                    <w:rPr>
                      <w:sz w:val="21"/>
                    </w:rPr>
                    <w:t xml:space="preserve">/UFS </w:t>
                  </w:r>
                  <w:r>
                    <w:rPr>
                      <w:sz w:val="21"/>
                    </w:rPr>
                    <w:t>固态存储</w:t>
                  </w:r>
                  <w:r>
                    <w:rPr>
                      <w:sz w:val="21"/>
                    </w:rPr>
                    <w:t xml:space="preserve">/SATA </w:t>
                  </w:r>
                  <w:r>
                    <w:rPr>
                      <w:sz w:val="21"/>
                    </w:rPr>
                    <w:t>硬磁盘等存储部件提供存储功能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a)支持网络连接、网络开启/关闭功能；</w:t>
                  </w:r>
                  <w:r>
                    <w:br/>
                  </w:r>
                  <w:r>
                    <w:rPr>
                      <w:sz w:val="21"/>
                    </w:rPr>
                    <w:t>b)支持访问网络和数据交换功能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支持数据传输能力，并提供数据流量和异常日志记录功能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RJ45 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网络设备拆装</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若配备的网络设备应支持物理拆装，包括无线网卡和蓝牙模块等</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3.5mm 孔径 3 段式或 4 段式接口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singl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至少支持</w:t>
                  </w:r>
                  <w:r>
                    <w:rPr>
                      <w:sz w:val="21"/>
                    </w:rPr>
                    <w:t>HDMI、DP中 1 种显示接口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singl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*HDMI、DP、Type-C显示接口要求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若提供</w:t>
                  </w:r>
                  <w:r>
                    <w:rPr>
                      <w:sz w:val="21"/>
                    </w:rPr>
                    <w:t>HDMI 或 DP 或 Type-C 作为显示接口，应支持音频和视频同步输出</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singl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存储卡接口类型</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SD 存储卡接口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电源线适配能力</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电源适配器电线组件应符合</w:t>
                  </w:r>
                  <w:r>
                    <w:rPr>
                      <w:sz w:val="21"/>
                    </w:rPr>
                    <w:t>GB/T 15934</w:t>
                  </w:r>
                  <w:r>
                    <w:rPr>
                      <w:sz w:val="21"/>
                    </w:rPr>
                    <w:t>的要求，可拆线的插头和连接器可以不做要求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操作系统及软件功能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*中文信息处理要求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 18030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*操作系统备份及还原功能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支持操作系统备份及还原功能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*固件备份还原能力</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支持备份及还原固件的功能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*操作系统及驱动升级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支持通过网络、闪存盘等方式对操作系统</w:t>
                  </w:r>
                  <w:r>
                    <w:rPr>
                      <w:sz w:val="21"/>
                    </w:rPr>
                    <w:t>、驱动进行升级</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*BIOS 支持关闭通讯接口</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BIOS 关闭以太网及 USB 接口功能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*固件查看信息</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支持查看固件版本、内存信息、主板信息、处理器信息和系统时间信息等功能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*固件设置启动顺序</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支持设置启动顺序功能，并按照设置的启动顺序启动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*固件设置口令</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支持设置口令、修改口令、验证口令功能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*固件设置网络引导</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支持网络引导启动和关闭功能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硬件加速功能</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NPU/GPU等 AI 加速模块</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GPU AI 加速模块</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视频编解码加速模块</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支持视频编解码加速模块</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影像处理加速模块</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支持影像处理加速模块</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存储设备可靠性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*固态存储寿命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寿命</w:t>
                  </w:r>
                  <w:r>
                    <w:rPr>
                      <w:sz w:val="21"/>
                    </w:rPr>
                    <w:t>≥ 1000TBW</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机械硬盘寿命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通电时间</w:t>
                  </w:r>
                  <w:r>
                    <w:rPr>
                      <w:sz w:val="21"/>
                    </w:rPr>
                    <w:t>≥</w:t>
                  </w:r>
                  <w:r>
                    <w:rPr>
                      <w:sz w:val="21"/>
                    </w:rPr>
                    <w:t>5</w:t>
                  </w:r>
                  <w:r>
                    <w:rPr>
                      <w:sz w:val="21"/>
                    </w:rPr>
                    <w:t>万小时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显示设备可靠性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*显示屏屏幕失效点</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9813.2 的要求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外设可靠性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*键盘按键寿命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 万次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*鼠标按键寿命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 万次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*键盘鼠标线材寿命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键盘鼠标所用线材经</w:t>
                  </w:r>
                  <w:r>
                    <w:rPr>
                      <w:sz w:val="21"/>
                    </w:rPr>
                    <w:t>±60 °弯折不低于 3000 次 ，功能 、外观完好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*风扇寿命</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万小时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整机可靠性要求</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*电磁兼容性要求的抗扰度</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9254.2 的规定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*环境条件要求的气候环境适应性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*环境条件要求的振动适应性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*环境条件要求的冲击适应性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*环境条件要求的碰撞适应性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*环境条件要求的运输包装件跌落适应性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*MTBF 测试</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 (m1)≥3 万小时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*常用软件兼容</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应支持流式软件</w:t>
                  </w:r>
                  <w:r>
                    <w:rPr>
                      <w:sz w:val="21"/>
                    </w:rPr>
                    <w:t>、版式软件</w:t>
                  </w:r>
                  <w:r>
                    <w:rPr>
                      <w:sz w:val="21"/>
                    </w:rPr>
                    <w:t>、浏览器、邮件客户端、解压软件、多媒体、图形图像处理等常用软件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*数据库兼容</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个及以上厂商的数据库产品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*中间件兼容</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个及以上厂商中间件产品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*平台软件兼容</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个及以上厂商云计算及大数据平台</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*标志、包装 、运输和贮存</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GB/T9813.1 和商品包装政府采购需求标准的相关规定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供应商提供经自检测试工具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a）提供产品3 年维保及上门服务（满足同城 4 小时、异地 12 小时响应要求）；</w:t>
                  </w:r>
                  <w:r>
                    <w:br/>
                  </w:r>
                  <w:r>
                    <w:rPr>
                      <w:sz w:val="21"/>
                    </w:rPr>
                    <w:t>b）提供政企专线 7*24 在线服务；</w:t>
                  </w:r>
                  <w:r>
                    <w:br/>
                  </w:r>
                  <w:r>
                    <w:rPr>
                      <w:sz w:val="21"/>
                    </w:rPr>
                    <w:t>c）现场保障技术服务团队员 ，国内上门服务地级市覆盖率达 100%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支持产品延保</w:t>
                  </w:r>
                  <w:r>
                    <w:rPr>
                      <w:sz w:val="21"/>
                    </w:rPr>
                    <w:t>≥3 年，提供每年延保服务报价提供备件服务能力≥6 年（自购买之日起）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*预装操作系统</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预装符合桌面操作系统政府采购需求标准的正版操作系统</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*培训服务</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*典型问题解决手册</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供应商提供典型问题解决说明文档或频</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*厂家升级软件与扩容服务</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w:t>
                  </w:r>
                  <w:r>
                    <w:rPr>
                      <w:sz w:val="21"/>
                    </w:rPr>
                    <w:t>/软件的增值服务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免费服务周期（含换件和维修）应不小于</w:t>
                  </w:r>
                  <w:r>
                    <w:rPr>
                      <w:sz w:val="21"/>
                    </w:rPr>
                    <w:t>3年</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*开箱组装/使用指导要求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w:t>
                  </w:r>
                  <w:r>
                    <w:rPr>
                      <w:sz w:val="21"/>
                    </w:rPr>
                    <w:t>/使用指导</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*驱动下载服务要求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1"/>
                  <w:vMerge/>
                  <w:tcBorders>
                    <w:top w:val="none" w:color="000000" w:sz="4"/>
                    <w:left w:val="none" w:color="000000" w:sz="4"/>
                    <w:bottom w:val="non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*兼容适配软件下载服务要求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w:t>
                  </w:r>
                  <w:r>
                    <w:rPr>
                      <w:sz w:val="21"/>
                    </w:rPr>
                    <w:t>、网站）</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*产品部件保障</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保障产品主要部件提供</w:t>
                  </w:r>
                  <w:r>
                    <w:rPr>
                      <w:sz w:val="21"/>
                    </w:rPr>
                    <w:t>6 年的备件服务能力(自购买之日起)，或提供可兼容原设备的升级换代产品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*抗干扰性</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*供应能力证明</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供应商提供供应链稳定承诺书，确保产品的部件在产品服务周期内稳定供货</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r>
                    <w:rPr>
                      <w:sz w:val="21"/>
                    </w:rPr>
                    <w:t xml:space="preserve"> </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CPU和操作系统等关键部件应当符合安全可靠测评要求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整机安全性要求</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密码算法实现</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CPU</w:t>
                  </w:r>
                  <w:r>
                    <w:rPr>
                      <w:sz w:val="21"/>
                    </w:rPr>
                    <w:t>芯片应符合</w:t>
                  </w:r>
                  <w:r>
                    <w:rPr>
                      <w:sz w:val="21"/>
                    </w:rPr>
                    <w:t>GM/T 0008</w:t>
                  </w:r>
                  <w:r>
                    <w:rPr>
                      <w:sz w:val="21"/>
                    </w:rPr>
                    <w:t>的相关规定，或芯片密码模块应符合</w:t>
                  </w:r>
                  <w:r>
                    <w:rPr>
                      <w:sz w:val="21"/>
                    </w:rPr>
                    <w:t xml:space="preserve">GB/T 37092 </w:t>
                  </w:r>
                  <w:r>
                    <w:rPr>
                      <w:sz w:val="21"/>
                    </w:rPr>
                    <w:t>或</w:t>
                  </w:r>
                  <w:r>
                    <w:rPr>
                      <w:sz w:val="21"/>
                    </w:rPr>
                    <w:t xml:space="preserve">GM/T 0028 </w:t>
                  </w:r>
                  <w:r>
                    <w:rPr>
                      <w:sz w:val="21"/>
                    </w:rPr>
                    <w:t>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*信息安全基本要求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应符合</w:t>
                  </w:r>
                  <w:r>
                    <w:rPr>
                      <w:sz w:val="21"/>
                    </w:rPr>
                    <w:t xml:space="preserve"> GB/T 39276</w:t>
                  </w:r>
                  <w:r>
                    <w:rPr>
                      <w:sz w:val="21"/>
                    </w:rPr>
                    <w:t>的</w:t>
                  </w:r>
                  <w:r>
                    <w:rPr>
                      <w:sz w:val="21"/>
                    </w:rPr>
                    <w:t>5.2</w:t>
                  </w:r>
                  <w:r>
                    <w:rPr>
                      <w:sz w:val="21"/>
                    </w:rPr>
                    <w:t>的规定；</w:t>
                  </w:r>
                </w:p>
                <w:p>
                  <w:pPr>
                    <w:pStyle w:val="null3"/>
                    <w:jc w:val="left"/>
                  </w:pPr>
                  <w:r>
                    <w:rPr>
                      <w:sz w:val="21"/>
                    </w:rPr>
                    <w:t>b) 生产厂商应建立漏洞跟踪表 ，保证产品版本涉及到的漏洞(如驱动程序等)可查看；</w:t>
                  </w:r>
                  <w:r>
                    <w:br/>
                  </w:r>
                  <w:r>
                    <w:rPr>
                      <w:sz w:val="21"/>
                    </w:rPr>
                    <w:t>c) 产品不得包含已知的恶意代码或漏洞，不存在未声明的指令、功能、接口。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*固件安全启动</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支持固件安全启动功能，固件启动过程</w:t>
                  </w:r>
                  <w:r>
                    <w:br/>
                  </w:r>
                  <w:r>
                    <w:rPr>
                      <w:sz w:val="21"/>
                    </w:rPr>
                    <w:t>中只有通过启动校验才能正常启动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1"/>
                  <w:vMerge/>
                  <w:tcBorders>
                    <w:top w:val="none" w:color="000000" w:sz="4"/>
                    <w:left w:val="none" w:color="000000" w:sz="4"/>
                    <w:bottom w:val="single" w:color="000000" w:sz="4"/>
                    <w:right w:val="single" w:color="000000" w:sz="4"/>
                  </w:tcBorders>
                </w:tc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*限用物质的限量要求</w:t>
                  </w:r>
                </w:p>
              </w:tc>
              <w:tc>
                <w:tcPr>
                  <w:tcW w:type="dxa" w:w="2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26572 中规定</w:t>
                  </w:r>
                </w:p>
              </w:tc>
            </w:tr>
          </w:tbl>
          <w:p>
            <w:pPr>
              <w:pStyle w:val="null3"/>
              <w:jc w:val="left"/>
            </w:pPr>
            <w:r>
              <w:rPr>
                <w:sz w:val="24"/>
                <w:b/>
              </w:rPr>
              <w:t>注</w:t>
            </w:r>
            <w:r>
              <w:rPr>
                <w:sz w:val="24"/>
                <w:b/>
              </w:rPr>
              <w:t>1：供应商在投标时出具关于所提供的“图形工作站1”是否满足上述表格中标*号</w:t>
            </w:r>
            <w:r>
              <w:rPr>
                <w:sz w:val="24"/>
                <w:b/>
              </w:rPr>
              <w:t>对应的指标要求</w:t>
            </w:r>
            <w:r>
              <w:rPr>
                <w:sz w:val="24"/>
                <w:b/>
              </w:rPr>
              <w:t>的承诺函，承诺满足的视为符合要求。（投标时提交承诺，可参照</w:t>
            </w:r>
            <w:r>
              <w:rPr>
                <w:sz w:val="24"/>
                <w:b/>
              </w:rPr>
              <w:t>“投标格式”中《承诺函》格式）</w:t>
            </w:r>
          </w:p>
          <w:p>
            <w:pPr>
              <w:pStyle w:val="null3"/>
            </w:pPr>
            <w:r>
              <w:rPr>
                <w:sz w:val="24"/>
                <w:b/>
              </w:rPr>
              <w:t>★注2：标*</w:t>
            </w:r>
            <w:r>
              <w:rPr>
                <w:sz w:val="24"/>
                <w:b/>
              </w:rPr>
              <w:t>号对应的指标要求</w:t>
            </w:r>
            <w:r>
              <w:rPr>
                <w:sz w:val="24"/>
                <w:b/>
              </w:rPr>
              <w:t>，为实质性条款，供应商所投产品必须满足，否则投标无效。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图形工作站2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7"/>
              <w:gridCol w:w="541"/>
              <w:gridCol w:w="493"/>
              <w:gridCol w:w="1111"/>
              <w:gridCol w:w="3074"/>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指标分类</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3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信息</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w:t>
                  </w:r>
                  <w:r>
                    <w:rPr>
                      <w:sz w:val="21"/>
                    </w:rPr>
                    <w:t xml:space="preserve">CPU </w:t>
                  </w:r>
                  <w:r>
                    <w:rPr>
                      <w:sz w:val="21"/>
                    </w:rPr>
                    <w:t xml:space="preserve">信息，包含 </w:t>
                  </w:r>
                  <w:r>
                    <w:rPr>
                      <w:sz w:val="21"/>
                    </w:rPr>
                    <w:t xml:space="preserve">CPU </w:t>
                  </w:r>
                  <w:r>
                    <w:rPr>
                      <w:sz w:val="21"/>
                    </w:rPr>
                    <w:t>型号、物理核心数、主频、末级缓存容量、线程数、热设计功耗及内存的最高速率、通道数和位宽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总容量</w:t>
                  </w:r>
                  <w:r>
                    <w:rPr>
                      <w:sz w:val="21"/>
                    </w:rPr>
                    <w:t>≥32GB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DDR5及以上</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*内存条配置数量（板载内存不涉及）</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集成资源扩展模块</w:t>
                  </w:r>
                  <w:r>
                    <w:rPr>
                      <w:sz w:val="21"/>
                    </w:rPr>
                    <w:t>、计算处理模块、音频扩展模块等，主板的互联拓扑可通过处理器或交换电路实现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 CPU和内存情况</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供应商给出主板支持的</w:t>
                  </w:r>
                  <w:r>
                    <w:rPr>
                      <w:sz w:val="21"/>
                    </w:rPr>
                    <w:t xml:space="preserve">CPU </w:t>
                  </w:r>
                  <w:r>
                    <w:rPr>
                      <w:sz w:val="21"/>
                    </w:rPr>
                    <w:t>和内存的型号数量</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 插槽数量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支持数量</w:t>
                  </w:r>
                  <w:r>
                    <w:rPr>
                      <w:sz w:val="21"/>
                    </w:rPr>
                    <w:t>≥3，其中至少包括1个PCIex16 和2个PCIex4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M.2接口：M.2 2230插槽≥1个、M.2 2230/2280插槽≥2个、M.2 2280插槽≥1个</w:t>
                  </w:r>
                  <w:r>
                    <w:br/>
                  </w:r>
                  <w:r>
                    <w:rPr>
                      <w:sz w:val="21"/>
                    </w:rPr>
                    <w:t>SATA接口≥5个</w:t>
                  </w:r>
                  <w:r>
                    <w:br/>
                  </w:r>
                  <w:r>
                    <w:rPr>
                      <w:sz w:val="21"/>
                    </w:rPr>
                    <w:t>前置</w:t>
                  </w:r>
                  <w:r>
                    <w:rPr>
                      <w:sz w:val="21"/>
                    </w:rPr>
                    <w:t>USB Type-C≥2个，前置USB 3.2≥2个，后置USB Type-C≥2个，后置USB 3.2≥2个，后置USB 2.0≥2个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*单内存插槽最大可支持容量（板载内存不涉及）</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w:t>
                  </w:r>
                  <w:r>
                    <w:br/>
                  </w:r>
                  <w:r>
                    <w:rPr>
                      <w:sz w:val="21"/>
                    </w:rPr>
                    <w:t>设备</w:t>
                  </w:r>
                  <w:r>
                    <w:br/>
                  </w:r>
                  <w:r>
                    <w:rPr>
                      <w:sz w:val="21"/>
                    </w:rPr>
                    <w:t>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≥1TB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≥1TB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≥7200rpm</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w:t>
                  </w:r>
                  <w:r>
                    <w:rPr>
                      <w:sz w:val="21"/>
                    </w:rPr>
                    <w:t>SATA/PCIe/NVMe/M.2 等类型接口协议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w:t>
                  </w:r>
                  <w:r>
                    <w:rPr>
                      <w:sz w:val="21"/>
                    </w:rPr>
                    <w:t>或板载等形态，插卡形态宜符合</w:t>
                  </w:r>
                  <w:r>
                    <w:rPr>
                      <w:sz w:val="21"/>
                    </w:rPr>
                    <w:t xml:space="preserve">M.2 </w:t>
                  </w:r>
                  <w:r>
                    <w:rPr>
                      <w:sz w:val="21"/>
                    </w:rPr>
                    <w:t>或</w:t>
                  </w:r>
                  <w:r>
                    <w:rPr>
                      <w:sz w:val="21"/>
                    </w:rPr>
                    <w:t xml:space="preserve">mSATA </w:t>
                  </w:r>
                  <w:r>
                    <w:rPr>
                      <w:sz w:val="21"/>
                    </w:rPr>
                    <w:t>等标准尺寸和接口定义</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*存储设备其他参数要求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a）固态盘应符合 SJ/T 11654 相关规定；</w:t>
                  </w:r>
                </w:p>
                <w:p>
                  <w:pPr>
                    <w:pStyle w:val="null3"/>
                    <w:jc w:val="left"/>
                  </w:pPr>
                  <w:r>
                    <w:rPr>
                      <w:sz w:val="21"/>
                    </w:rPr>
                    <w:t>b</w:t>
                  </w:r>
                  <w:r>
                    <w:rPr>
                      <w:sz w:val="21"/>
                    </w:rPr>
                    <w:t>）机械硬盘准备时间应不大于</w:t>
                  </w:r>
                  <w:r>
                    <w:rPr>
                      <w:sz w:val="21"/>
                    </w:rPr>
                    <w:t>30s</w:t>
                  </w:r>
                  <w:r>
                    <w:rPr>
                      <w:sz w:val="21"/>
                    </w:rPr>
                    <w:t>；侧面固定螺丝孔数量可为</w:t>
                  </w:r>
                  <w:r>
                    <w:rPr>
                      <w:sz w:val="21"/>
                    </w:rPr>
                    <w:t>4</w:t>
                  </w:r>
                  <w:r>
                    <w:rPr>
                      <w:sz w:val="21"/>
                    </w:rPr>
                    <w:t>孔或</w:t>
                  </w:r>
                  <w:r>
                    <w:rPr>
                      <w:sz w:val="21"/>
                    </w:rPr>
                    <w:t>6</w:t>
                  </w:r>
                  <w:r>
                    <w:rPr>
                      <w:sz w:val="21"/>
                    </w:rPr>
                    <w:t>孔；工作状态环境温度应满足</w:t>
                  </w:r>
                  <w:r>
                    <w:rPr>
                      <w:sz w:val="21"/>
                    </w:rPr>
                    <w:t>5℃~55℃</w:t>
                  </w:r>
                  <w:r>
                    <w:rPr>
                      <w:sz w:val="21"/>
                    </w:rPr>
                    <w:t xml:space="preserve">；其它参数应符合 </w:t>
                  </w:r>
                  <w:r>
                    <w:rPr>
                      <w:sz w:val="21"/>
                    </w:rPr>
                    <w:t>GB/T 12628</w:t>
                  </w:r>
                  <w:r>
                    <w:rPr>
                      <w:sz w:val="21"/>
                    </w:rPr>
                    <w:t>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集成显卡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≥2560×1440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显示屏像素密度</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 像素/英寸</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水平</w:t>
                  </w:r>
                  <w:r>
                    <w:rPr>
                      <w:sz w:val="21"/>
                    </w:rPr>
                    <w:t>≥175 °</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 英寸</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16:09</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正面黑色，背面亮银白色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w:t>
                  </w:r>
                  <w:r>
                    <w:rPr>
                      <w:sz w:val="21"/>
                    </w:rPr>
                    <w:t>蓝光加权辐射亮度比应</w:t>
                  </w:r>
                  <w:r>
                    <w:rPr>
                      <w:sz w:val="21"/>
                    </w:rPr>
                    <w:t>≤</w:t>
                  </w:r>
                  <w:r>
                    <w:rPr>
                      <w:sz w:val="21"/>
                    </w:rPr>
                    <w:t>0.0012W/(</w:t>
                  </w:r>
                  <w:r>
                    <w:rPr>
                      <w:sz w:val="21"/>
                    </w:rPr>
                    <w:t>·</w:t>
                  </w:r>
                  <w:r>
                    <w:rPr>
                      <w:sz w:val="21"/>
                    </w:rPr>
                    <w:t>cd</w:t>
                  </w:r>
                  <w:r>
                    <w:rPr>
                      <w:sz w:val="21"/>
                    </w:rPr>
                    <w:t>·</w:t>
                  </w:r>
                  <w:r>
                    <w:rPr>
                      <w:sz w:val="21"/>
                    </w:rPr>
                    <w:t>sr)</w:t>
                  </w:r>
                  <w:r>
                    <w:rPr>
                      <w:sz w:val="21"/>
                    </w:rPr>
                    <w:t>（瓦每坎特拉每球面度）</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*显示屏低频闪</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显示屏支持无闪烁或低频闪</w:t>
                  </w:r>
                  <w:r>
                    <w:rPr>
                      <w:sz w:val="21"/>
                    </w:rPr>
                    <w:t>≤-35dB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*显示屏防炫目</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w:t>
                  </w:r>
                  <w:r>
                    <w:rPr>
                      <w:sz w:val="21"/>
                    </w:rPr>
                    <w:t>示屏镜面反射率</w:t>
                  </w:r>
                  <w:r>
                    <w:rPr>
                      <w:sz w:val="21"/>
                    </w:rPr>
                    <w:t>≤</w:t>
                  </w:r>
                  <w:r>
                    <w:rPr>
                      <w:sz w:val="21"/>
                    </w:rPr>
                    <w:t>10%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 键</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*摄像头像素</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*摄像头分辨率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*扬声器频率范围</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*键盘键程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2.3mm ~ 4.0mm</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*键盘按键压力</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按键压力应在</w:t>
                  </w:r>
                  <w:r>
                    <w:rPr>
                      <w:sz w:val="21"/>
                    </w:rPr>
                    <w:t>0.54 N±0.14N</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*键盘其他要求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键盘外观结构</w:t>
                  </w:r>
                  <w:r>
                    <w:rPr>
                      <w:sz w:val="21"/>
                    </w:rPr>
                    <w:t>、连接方式</w:t>
                  </w:r>
                  <w:r>
                    <w:rPr>
                      <w:sz w:val="21"/>
                    </w:rPr>
                    <w:t>、主要功能、安全、电磁兼容性、可靠性应符合</w:t>
                  </w:r>
                  <w:r>
                    <w:rPr>
                      <w:sz w:val="21"/>
                    </w:rPr>
                    <w:t>GB/T 14081 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*鼠标DPI 分辨率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GB/T 26245 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接口数量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≥10，机箱前板至少包括 4 个 USB3.0 及以上或者Type-C接口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板载显示</w:t>
                  </w:r>
                  <w:r>
                    <w:rPr>
                      <w:sz w:val="21"/>
                    </w:rPr>
                    <w:t>≥2；独立显卡≥4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*整机外观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产品表面不应有凹痕、划伤、裂缝、变形和污染等。表面涂层均匀，不应起泡、龟裂、脱落和磨损，金属零部件无锈蚀及其它机械损伤；</w:t>
                  </w:r>
                  <w:r>
                    <w:br/>
                  </w:r>
                  <w:r>
                    <w:rPr>
                      <w:sz w:val="21"/>
                    </w:rPr>
                    <w:t>b) 产品表面说明功能的文字 、符号、标志 ，应清晰 、端正 、牢固；</w:t>
                  </w:r>
                </w:p>
                <w:p>
                  <w:pPr>
                    <w:pStyle w:val="null3"/>
                    <w:jc w:val="left"/>
                  </w:pPr>
                  <w:r>
                    <w:rPr>
                      <w:sz w:val="21"/>
                    </w:rPr>
                    <w:t xml:space="preserve">c) </w:t>
                  </w:r>
                  <w:r>
                    <w:rPr>
                      <w:sz w:val="21"/>
                    </w:rPr>
                    <w:t>宜在产品显著位置提供运行状态指示功能，并由生产厂商提供详细参数</w:t>
                  </w:r>
                  <w:r>
                    <w:rPr>
                      <w:sz w:val="21"/>
                    </w:rPr>
                    <w:t>。</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*整机结构</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机箱应符合 GB/T 4208、GB/T 26246的相关规定；</w:t>
                  </w:r>
                  <w:r>
                    <w:br/>
                  </w:r>
                  <w:r>
                    <w:rPr>
                      <w:sz w:val="21"/>
                    </w:rPr>
                    <w:t>b) 产品内部结构应符合通用部件的安装需要；</w:t>
                  </w:r>
                  <w:r>
                    <w:br/>
                  </w:r>
                  <w:r>
                    <w:rPr>
                      <w:sz w:val="21"/>
                    </w:rPr>
                    <w:t>c) 所有输入输出接口应符合相关国家或行业标准；</w:t>
                  </w:r>
                  <w:r>
                    <w:br/>
                  </w:r>
                  <w:r>
                    <w:rPr>
                      <w:sz w:val="21"/>
                    </w:rPr>
                    <w:t>d) 产品零部件应紧固无松动 ，可插拔部件应可靠连接，开关、按钮和其它控制部件应灵活可靠 ，布局应方便使用；</w:t>
                  </w:r>
                  <w:r>
                    <w:br/>
                  </w:r>
                  <w:r>
                    <w:rPr>
                      <w:sz w:val="21"/>
                    </w:rPr>
                    <w:t>e) 所有 I/O 连接器及需插接线缆的部位应预留用户操作空间，方便插拔解锁</w:t>
                  </w:r>
                  <w:r>
                    <w:br/>
                  </w:r>
                  <w:r>
                    <w:rPr>
                      <w:sz w:val="21"/>
                    </w:rPr>
                    <w:t>与插拔线缆；</w:t>
                  </w:r>
                  <w:r>
                    <w:br/>
                  </w:r>
                  <w:r>
                    <w:rPr>
                      <w:sz w:val="21"/>
                    </w:rPr>
                    <w:t>f) 可插拔板卡插槽部位应预留安装、拆卸或更换板卡空间；</w:t>
                  </w:r>
                  <w:r>
                    <w:br/>
                  </w:r>
                  <w:r>
                    <w:rPr>
                      <w:sz w:val="21"/>
                    </w:rPr>
                    <w:t>g) 拆装可能接触到的金属剪口或金属尖角部位应做防划伤处理 ，以保证安全；</w:t>
                  </w:r>
                  <w:r>
                    <w:br/>
                  </w:r>
                  <w:r>
                    <w:rPr>
                      <w:sz w:val="21"/>
                    </w:rPr>
                    <w:t>h) 整机内部走线应规整 ，固线结构和位置要合理可靠并做防割线处理，需便于理线和插拔操作，走线应不影响系统各主要部件组装和拆卸；</w:t>
                  </w:r>
                  <w:r>
                    <w:br/>
                  </w:r>
                  <w:r>
                    <w:rPr>
                      <w:sz w:val="21"/>
                    </w:rPr>
                    <w:t>i) 如需通过孔走线 ，过线孔应做防割线处理；</w:t>
                  </w:r>
                  <w:r>
                    <w:br/>
                  </w:r>
                  <w:r>
                    <w:rPr>
                      <w:sz w:val="21"/>
                    </w:rPr>
                    <w:t>j) 各插头位置和插拔方向应合理 ，应做到插拔无障碍设计 ，具备防呆设计，有效避免误操作；</w:t>
                  </w:r>
                  <w:r>
                    <w:br/>
                  </w:r>
                  <w:r>
                    <w:rPr>
                      <w:sz w:val="21"/>
                    </w:rPr>
                    <w:t>k) 各主要部件拆装无障碍 ，使用常规工具拆装 ，无特殊拆装工具需求；</w:t>
                  </w:r>
                  <w:r>
                    <w:br/>
                  </w:r>
                  <w:r>
                    <w:rPr>
                      <w:sz w:val="21"/>
                    </w:rPr>
                    <w:t>l) 各主要部件拆装步骤要少 ，各自拆装需避免相互干扰；</w:t>
                  </w:r>
                  <w:r>
                    <w:br/>
                  </w:r>
                  <w:r>
                    <w:rPr>
                      <w:sz w:val="21"/>
                    </w:rPr>
                    <w:t>m) 对于整机或零部件外表面为高亮面的，应粘贴保护膜，保护膜需粘贴牢固，运输、组装等过程不易脱落，撕下无残留；</w:t>
                  </w:r>
                  <w:r>
                    <w:br/>
                  </w:r>
                  <w:r>
                    <w:rPr>
                      <w:sz w:val="21"/>
                    </w:rPr>
                    <w:t>n) 其它要求应符合 GB/T 9813.1 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*机箱防护要求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机箱应符合</w:t>
                  </w:r>
                  <w:r>
                    <w:rPr>
                      <w:sz w:val="21"/>
                    </w:rPr>
                    <w:t>GB/T 4208 中 IP20 防护要求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*整机噪音</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产品工作在空闲状态下，产品的声功率级应不超过</w:t>
                  </w:r>
                  <w:r>
                    <w:rPr>
                      <w:sz w:val="21"/>
                    </w:rPr>
                    <w:t>4.5 Bel</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在环境温度</w:t>
                  </w:r>
                  <w:r>
                    <w:rPr>
                      <w:sz w:val="21"/>
                    </w:rPr>
                    <w:t>25℃及处理器满载情况下，产品表面温度应符合下列要求：</w:t>
                  </w:r>
                  <w:r>
                    <w:br/>
                  </w:r>
                  <w:r>
                    <w:rPr>
                      <w:sz w:val="21"/>
                    </w:rPr>
                    <w:t>a) 出风口在机箱后面板情况下 ，出风口温度不高于55℃ ;</w:t>
                  </w:r>
                  <w:r>
                    <w:br/>
                  </w:r>
                  <w:r>
                    <w:rPr>
                      <w:sz w:val="21"/>
                    </w:rPr>
                    <w:t>b) 可触及面温度小于45℃ ;</w:t>
                  </w:r>
                  <w:r>
                    <w:br/>
                  </w:r>
                  <w:r>
                    <w:rPr>
                      <w:sz w:val="21"/>
                    </w:rPr>
                    <w:t>c) 显示器表面温度：显示屏温度不高于 38℃ , 显示屏上下灯带位置温度（如涉及）不高于40℃ , 出风口温度不高于45℃</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产品能效限定值应达到</w:t>
                  </w:r>
                  <w:r>
                    <w:rPr>
                      <w:sz w:val="21"/>
                    </w:rPr>
                    <w:t>GB 28380-2012标准中能效等级 2 级及以上</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*机箱尺寸容量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机箱体积应不大于</w:t>
                  </w:r>
                  <w:r>
                    <w:rPr>
                      <w:sz w:val="21"/>
                    </w:rPr>
                    <w:t>30L</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物理核数</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w:t>
                  </w:r>
                  <w:r>
                    <w:rPr>
                      <w:sz w:val="21"/>
                    </w:rPr>
                    <w:t>≥ 24，线程数≥32</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主频</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性能核</w:t>
                  </w:r>
                  <w:r>
                    <w:rPr>
                      <w:sz w:val="21"/>
                    </w:rPr>
                    <w:t>≥3.2GHz，能效核≥2.4GHz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末级缓存容量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≥32MB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支持的内存最高速率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≥5600MT/s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≥4400MT/s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≥4096×2160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≥300MHz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≥1600MT/s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*显卡可支持多屏同时显示数量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2块屏幕同时显示，分辨率应不低于 3840×2160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显示设备性能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*显示屏刷新率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≥144Hz</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*显示屏位深</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*显示屏色域</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 sRGB</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*显示屏色准</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 ≤ 3</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*显示屏响应时间</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≤6ms</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≥350 尼特（典型）</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*显示屏亮度一致性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*显示屏对比度</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≥1500 ：1（典型）</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*显示屏其他参数</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SJ/T 11292 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*有线网卡速率</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w:t>
                  </w:r>
                  <w:r>
                    <w:rPr>
                      <w:sz w:val="21"/>
                    </w:rPr>
                    <w:t>1000Mbps ，应支持10Mbps 、100Mbps 、1000Mbps 速率自适应</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*内存扩展接口</w:t>
                  </w:r>
                  <w:r>
                    <w:rPr>
                      <w:sz w:val="21"/>
                    </w:rPr>
                    <w:t>（板载内存不涉及）</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存储扩展接口</w:t>
                  </w:r>
                  <w:r>
                    <w:rPr>
                      <w:sz w:val="21"/>
                    </w:rPr>
                    <w:t>（板载存储不涉及）</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支持存储设备扩展接口</w:t>
                  </w:r>
                  <w:r>
                    <w:rPr>
                      <w:sz w:val="21"/>
                    </w:rPr>
                    <w:t>≥9 个 ，如SATA3.0 、M.2 等接口类型</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*主板USB 瞬间过流保护</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支持瞬间过流保护功能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*主板防静电保护</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支持防静电保护功能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I/O 接口功能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提供基于标准</w:t>
                  </w:r>
                  <w:r>
                    <w:rPr>
                      <w:sz w:val="21"/>
                    </w:rPr>
                    <w:t>USB 接口外设连接功能、基于音频输出接口的音频扩展功能 、基于 PCIe 接口板卡扩展功能 、基于DP 接口外接显示器扩展功能、基于存储接口对产品进行增容功能等。工作站 I/O 接口应具备外接标准USB 设备、显示器、音频设备等内外部设备能力</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w:t>
                  </w:r>
                  <w:r>
                    <w:rPr>
                      <w:sz w:val="21"/>
                    </w:rPr>
                    <w:t>至少支持</w:t>
                  </w:r>
                  <w:r>
                    <w:rPr>
                      <w:sz w:val="21"/>
                    </w:rPr>
                    <w:t>VGA</w:t>
                  </w:r>
                  <w:r>
                    <w:rPr>
                      <w:sz w:val="21"/>
                    </w:rPr>
                    <w:t>、</w:t>
                  </w:r>
                  <w:r>
                    <w:rPr>
                      <w:sz w:val="21"/>
                    </w:rPr>
                    <w:t>HDMI</w:t>
                  </w:r>
                  <w:r>
                    <w:rPr>
                      <w:sz w:val="21"/>
                    </w:rPr>
                    <w:t>、</w:t>
                  </w:r>
                  <w:r>
                    <w:rPr>
                      <w:sz w:val="21"/>
                    </w:rPr>
                    <w:t>DVI</w:t>
                  </w:r>
                  <w:r>
                    <w:rPr>
                      <w:sz w:val="21"/>
                    </w:rPr>
                    <w:t>、</w:t>
                  </w:r>
                  <w:r>
                    <w:rPr>
                      <w:sz w:val="21"/>
                    </w:rPr>
                    <w:t>DP</w:t>
                  </w:r>
                  <w:r>
                    <w:rPr>
                      <w:sz w:val="21"/>
                    </w:rPr>
                    <w:t>、</w:t>
                  </w:r>
                  <w:r>
                    <w:rPr>
                      <w:sz w:val="21"/>
                    </w:rPr>
                    <w:t xml:space="preserve">Type-C </w:t>
                  </w:r>
                  <w:r>
                    <w:rPr>
                      <w:sz w:val="21"/>
                    </w:rPr>
                    <w:t xml:space="preserve">中 </w:t>
                  </w:r>
                  <w:r>
                    <w:rPr>
                      <w:sz w:val="21"/>
                    </w:rPr>
                    <w:t xml:space="preserve">1 </w:t>
                  </w:r>
                  <w:r>
                    <w:rPr>
                      <w:sz w:val="21"/>
                    </w:rPr>
                    <w:t>种显示接口，并与显示器接口相匹配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*显示器接口</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显示器应与显卡外接显示接口匹配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*显示器支架</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显示器应提供显示器支架，宜支持屏幕旋转</w:t>
                  </w:r>
                  <w:r>
                    <w:rPr>
                      <w:sz w:val="21"/>
                    </w:rPr>
                    <w:t>、支架可升降等</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*显示器参数调节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提供 OSD 选单按钮用于调节色彩、模式等；</w:t>
                  </w:r>
                  <w:r>
                    <w:br/>
                  </w:r>
                  <w:r>
                    <w:rPr>
                      <w:sz w:val="21"/>
                    </w:rPr>
                    <w:t>b) 支持色温 、亮度 、对比度调节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w:t>
                  </w:r>
                  <w:r>
                    <w:rPr>
                      <w:sz w:val="21"/>
                    </w:rPr>
                    <w:t xml:space="preserve">SATA </w:t>
                  </w:r>
                  <w:r>
                    <w:rPr>
                      <w:sz w:val="21"/>
                    </w:rPr>
                    <w:t>固态存储</w:t>
                  </w:r>
                  <w:r>
                    <w:rPr>
                      <w:sz w:val="21"/>
                    </w:rPr>
                    <w:t xml:space="preserve">/PCIe </w:t>
                  </w:r>
                  <w:r>
                    <w:rPr>
                      <w:sz w:val="21"/>
                    </w:rPr>
                    <w:t>固态存储</w:t>
                  </w:r>
                  <w:r>
                    <w:rPr>
                      <w:sz w:val="21"/>
                    </w:rPr>
                    <w:t xml:space="preserve">/UFS </w:t>
                  </w:r>
                  <w:r>
                    <w:rPr>
                      <w:sz w:val="21"/>
                    </w:rPr>
                    <w:t>固态存储</w:t>
                  </w:r>
                  <w:r>
                    <w:rPr>
                      <w:sz w:val="21"/>
                    </w:rPr>
                    <w:t xml:space="preserve">/SATA </w:t>
                  </w:r>
                  <w:r>
                    <w:rPr>
                      <w:sz w:val="21"/>
                    </w:rPr>
                    <w:t>硬磁盘等存储部件提供存储功能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a)支持网络连接、网络开启/关闭功能；</w:t>
                  </w:r>
                  <w:r>
                    <w:br/>
                  </w:r>
                  <w:r>
                    <w:rPr>
                      <w:sz w:val="21"/>
                    </w:rPr>
                    <w:t>b)支持访问网络和数据交换功能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支持数据传输能力，并提供数据流量和异常日志记录功能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RJ45 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网络设备拆装</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若配备的网络设备应支持物理拆装，包括无线网卡和蓝牙模块等</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3.5mm 孔径 3 段式或 4 段式接口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DP显示接口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*HDMI、DP、Type-C显示接口要求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若提供</w:t>
                  </w:r>
                  <w:r>
                    <w:rPr>
                      <w:sz w:val="21"/>
                    </w:rPr>
                    <w:t>HDMI 或 DP 或 Type-C 作为显示接口，应支持音频和视频同步输出</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singl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存储卡接口类型</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SD 存储卡接口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电源线适配能力</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电源适配器电线组件应符合</w:t>
                  </w:r>
                  <w:r>
                    <w:rPr>
                      <w:sz w:val="21"/>
                    </w:rPr>
                    <w:t>GB/T 15934</w:t>
                  </w:r>
                  <w:r>
                    <w:rPr>
                      <w:sz w:val="21"/>
                    </w:rPr>
                    <w:t>的要求，可拆线的插头和连接器可以不做要求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操作系统及软件功能</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*中文信息处理要求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 18030 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*操作系统备份及还原功能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支持操作系统备份及还原功能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*固件备份还原能力</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支持备份及还原固件的功能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*操作系统及驱动升级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支持通过网络、闪存盘等方式对操作系统</w:t>
                  </w:r>
                  <w:r>
                    <w:rPr>
                      <w:sz w:val="21"/>
                    </w:rPr>
                    <w:t>、驱动进行升级</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*BIOS 支持关闭通讯接口</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BIOS 关闭以太网及 USB 接口功能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*固件查看信息</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支持查看固件版本、内存信息、主板信息、处理器信息和系统时间信息等功能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*固件设置启动顺序</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支持设置启动顺序功能，并按照设置的启动顺序启动</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*固件设置口令</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支持设置口令、修改口令、验证口令功能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*固件设置网络引导</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支持网络引导启动和关闭功能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存储设备可靠性</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*固态存储寿命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寿命</w:t>
                  </w:r>
                  <w:r>
                    <w:rPr>
                      <w:sz w:val="21"/>
                    </w:rPr>
                    <w:t>≥ 500TBW</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机械硬盘寿命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通电时间</w:t>
                  </w:r>
                  <w:r>
                    <w:rPr>
                      <w:sz w:val="21"/>
                    </w:rPr>
                    <w:t>≥</w:t>
                  </w:r>
                  <w:r>
                    <w:rPr>
                      <w:sz w:val="21"/>
                    </w:rPr>
                    <w:t>5</w:t>
                  </w:r>
                  <w:r>
                    <w:rPr>
                      <w:sz w:val="21"/>
                    </w:rPr>
                    <w:t>万小时</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显示设备可靠性</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*显示屏屏幕失效点</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9813.2 的要求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外设可靠性</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*键盘按键寿命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 万次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*鼠标按键寿命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 万次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*键盘鼠标线材寿命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键盘鼠标所用线材经</w:t>
                  </w:r>
                  <w:r>
                    <w:rPr>
                      <w:sz w:val="21"/>
                    </w:rPr>
                    <w:t>±60 °弯折不低于 3000 次 ，功能 、外观完好</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*风扇寿命</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万小时</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整机可靠性要求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*电磁兼容性要求的抗扰度</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9254.2 的规定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*环境条件要求的气候环境适应性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*环境条件要求的振动适应性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*环境条件要求的冲击适应性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*环境条件要求的碰撞适应性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*环境条件要求的运输包装件跌落适应性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*MTBF 测试</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 (m1)≥3 万小时</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*常用软件兼容</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应支持流式软件</w:t>
                  </w:r>
                  <w:r>
                    <w:rPr>
                      <w:sz w:val="21"/>
                    </w:rPr>
                    <w:t>、版式软件</w:t>
                  </w:r>
                  <w:r>
                    <w:rPr>
                      <w:sz w:val="21"/>
                    </w:rPr>
                    <w:t>、浏览器、邮件客户端、解压软件、多媒体、图形图像处理等常用软件</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*数据库兼容</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个及以上厂商的数据库产品</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*中间件兼容</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个及以上厂商中间件产品</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*平台软件兼容</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个及以上厂商云计算及大数据平台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*标志、包装 、运输和贮存</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GB/T9813.1 和商品包装政府采购需求标准的相关规定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供应商提供经自检测试工具</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a）提供产品3 年维保及上门服务（满足同城 4 小时、异地 12 小时响应要求）；</w:t>
                  </w:r>
                  <w:r>
                    <w:br/>
                  </w:r>
                  <w:r>
                    <w:rPr>
                      <w:sz w:val="21"/>
                    </w:rPr>
                    <w:t>b）提供政企专线 7*24 在线服务；</w:t>
                  </w:r>
                  <w:r>
                    <w:br/>
                  </w:r>
                  <w:r>
                    <w:rPr>
                      <w:sz w:val="21"/>
                    </w:rPr>
                    <w:t>c）现场保障技术服务团队员 ，国内上门服务地级市覆盖率达 100%</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支持产品延保</w:t>
                  </w:r>
                  <w:r>
                    <w:rPr>
                      <w:sz w:val="21"/>
                    </w:rPr>
                    <w:t>≥3 年，提供每年延保服务报价</w:t>
                  </w:r>
                  <w:r>
                    <w:br/>
                  </w:r>
                  <w:r>
                    <w:rPr>
                      <w:sz w:val="21"/>
                    </w:rPr>
                    <w:t>提供备件服务能力</w:t>
                  </w:r>
                  <w:r>
                    <w:rPr>
                      <w:sz w:val="21"/>
                    </w:rPr>
                    <w:t>≥6 年（自购买之日起）</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*预装操作系统</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预装符合桌面操作系统政府采购需求标准的正版操作系统</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*培训服务</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*典型问题解决手册</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供应商提供典型问题解决说明文档或频</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*厂家升级软件与扩容服务</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w:t>
                  </w:r>
                  <w:r>
                    <w:rPr>
                      <w:sz w:val="21"/>
                    </w:rPr>
                    <w:t>/软件的增值服务</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免费服务周期（含换件和维修）应不小于</w:t>
                  </w:r>
                  <w:r>
                    <w:rPr>
                      <w:sz w:val="21"/>
                    </w:rPr>
                    <w:t>3年</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*开箱组装/使用指导要求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w:t>
                  </w:r>
                  <w:r>
                    <w:rPr>
                      <w:sz w:val="21"/>
                    </w:rPr>
                    <w:t>/使用指导</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*驱动下载服务要求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93"/>
                  <w:vMerge/>
                  <w:tcBorders>
                    <w:top w:val="none" w:color="000000" w:sz="4"/>
                    <w:left w:val="none" w:color="000000" w:sz="4"/>
                    <w:bottom w:val="non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*兼容适配软件下载服务要求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w:t>
                  </w:r>
                  <w:r>
                    <w:rPr>
                      <w:sz w:val="21"/>
                    </w:rPr>
                    <w:t>、网站）</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*产品部件保障</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保障产品主要部件提供</w:t>
                  </w:r>
                  <w:r>
                    <w:rPr>
                      <w:sz w:val="21"/>
                    </w:rPr>
                    <w:t>6 年的备件服务能力(自购买之日起)，或提供可兼容原设备的升级换代产品</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*抗干扰性</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*供应能力证明</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供应商提供供应链稳定承诺书，确保产品的部件在产品服务周期内稳定供货</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CPU和操作系统等关键部件应当符合安全可靠测评要求</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整机安全性要求</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密码算法实现</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CPU</w:t>
                  </w:r>
                  <w:r>
                    <w:rPr>
                      <w:sz w:val="21"/>
                    </w:rPr>
                    <w:t>芯片应符合</w:t>
                  </w:r>
                  <w:r>
                    <w:rPr>
                      <w:sz w:val="21"/>
                    </w:rPr>
                    <w:t>GM/T 0008</w:t>
                  </w:r>
                  <w:r>
                    <w:rPr>
                      <w:sz w:val="21"/>
                    </w:rPr>
                    <w:t>的相关规定，或芯片密码模块应符合</w:t>
                  </w:r>
                  <w:r>
                    <w:rPr>
                      <w:sz w:val="21"/>
                    </w:rPr>
                    <w:t xml:space="preserve">GB/T 37092 </w:t>
                  </w:r>
                  <w:r>
                    <w:rPr>
                      <w:sz w:val="21"/>
                    </w:rPr>
                    <w:t>或</w:t>
                  </w:r>
                  <w:r>
                    <w:rPr>
                      <w:sz w:val="21"/>
                    </w:rPr>
                    <w:t xml:space="preserve">GM/T 0028 </w:t>
                  </w:r>
                  <w:r>
                    <w:rPr>
                      <w:sz w:val="21"/>
                    </w:rPr>
                    <w:t>的相关规定</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*信息安全基本要求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应符合</w:t>
                  </w:r>
                  <w:r>
                    <w:rPr>
                      <w:sz w:val="21"/>
                    </w:rPr>
                    <w:t xml:space="preserve"> GB/T 39276</w:t>
                  </w:r>
                  <w:r>
                    <w:rPr>
                      <w:sz w:val="21"/>
                    </w:rPr>
                    <w:t>的</w:t>
                  </w:r>
                  <w:r>
                    <w:rPr>
                      <w:sz w:val="21"/>
                    </w:rPr>
                    <w:t>5.2</w:t>
                  </w:r>
                  <w:r>
                    <w:rPr>
                      <w:sz w:val="21"/>
                    </w:rPr>
                    <w:t>的规定；</w:t>
                  </w:r>
                </w:p>
                <w:p>
                  <w:pPr>
                    <w:pStyle w:val="null3"/>
                    <w:jc w:val="left"/>
                  </w:pPr>
                  <w:r>
                    <w:rPr>
                      <w:sz w:val="21"/>
                    </w:rPr>
                    <w:t xml:space="preserve">b) </w:t>
                  </w:r>
                  <w:r>
                    <w:rPr>
                      <w:sz w:val="21"/>
                    </w:rPr>
                    <w:t>生产厂商应建立漏洞跟踪表</w:t>
                  </w:r>
                  <w:r>
                    <w:rPr>
                      <w:sz w:val="21"/>
                    </w:rPr>
                    <w:t>，保证产品版本涉及到的漏洞</w:t>
                  </w:r>
                  <w:r>
                    <w:rPr>
                      <w:sz w:val="21"/>
                    </w:rPr>
                    <w:t>(如驱动程序等)可查看；</w:t>
                  </w:r>
                  <w:r>
                    <w:br/>
                  </w:r>
                  <w:r>
                    <w:rPr>
                      <w:sz w:val="21"/>
                    </w:rPr>
                    <w:t>c) 产品不得包含已知的恶意代码或漏洞，不存在未声明的指令、功能、接口</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*固件安全启动</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支持固件安全启动功能，固件启动过程</w:t>
                  </w:r>
                  <w:r>
                    <w:br/>
                  </w:r>
                  <w:r>
                    <w:rPr>
                      <w:sz w:val="21"/>
                    </w:rPr>
                    <w:t>中只有通过启动校验才能正常启动</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93"/>
                  <w:vMerge/>
                  <w:tcBorders>
                    <w:top w:val="none" w:color="000000" w:sz="4"/>
                    <w:left w:val="none" w:color="000000" w:sz="4"/>
                    <w:bottom w:val="single" w:color="000000" w:sz="4"/>
                    <w:right w:val="single" w:color="000000" w:sz="4"/>
                  </w:tcBorders>
                </w:tcP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*限用物质的限量要求</w:t>
                  </w:r>
                </w:p>
              </w:tc>
              <w:tc>
                <w:tcPr>
                  <w:tcW w:type="dxa" w:w="3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26572 中规定</w:t>
                  </w:r>
                </w:p>
              </w:tc>
            </w:tr>
          </w:tbl>
          <w:p>
            <w:pPr>
              <w:pStyle w:val="null3"/>
              <w:jc w:val="left"/>
            </w:pPr>
            <w:r>
              <w:rPr>
                <w:sz w:val="24"/>
                <w:b/>
              </w:rPr>
              <w:t>注</w:t>
            </w:r>
            <w:r>
              <w:rPr>
                <w:sz w:val="24"/>
                <w:b/>
              </w:rPr>
              <w:t>1：供应商在投标时出具关于所提供的“图形工作站2”是否满足上述表格中标*号</w:t>
            </w:r>
            <w:r>
              <w:rPr>
                <w:sz w:val="24"/>
                <w:b/>
              </w:rPr>
              <w:t>对应的指标要求</w:t>
            </w:r>
            <w:r>
              <w:rPr>
                <w:sz w:val="24"/>
                <w:b/>
              </w:rPr>
              <w:t>的承诺函，承诺满足的视为符合要求。（投标时提交承诺，可参照</w:t>
            </w:r>
            <w:r>
              <w:rPr>
                <w:sz w:val="24"/>
                <w:b/>
              </w:rPr>
              <w:t>“投标格式”中《承诺函》格式）</w:t>
            </w:r>
          </w:p>
          <w:p>
            <w:pPr>
              <w:pStyle w:val="null3"/>
            </w:pPr>
            <w:r>
              <w:rPr>
                <w:sz w:val="24"/>
                <w:b/>
              </w:rPr>
              <w:t>★注2：标*</w:t>
            </w:r>
            <w:r>
              <w:rPr>
                <w:sz w:val="24"/>
                <w:b/>
              </w:rPr>
              <w:t>号对应的指标要求</w:t>
            </w:r>
            <w:r>
              <w:rPr>
                <w:sz w:val="24"/>
                <w:b/>
              </w:rPr>
              <w:t>，为实质性条款，供应商所投产品必须满足，否则投标无效。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图形工作站3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9"/>
              <w:gridCol w:w="495"/>
              <w:gridCol w:w="466"/>
              <w:gridCol w:w="1137"/>
              <w:gridCol w:w="3110"/>
            </w:tblGrid>
            <w:tr>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指标分类</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3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信息</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w:t>
                  </w:r>
                  <w:r>
                    <w:rPr>
                      <w:sz w:val="21"/>
                    </w:rPr>
                    <w:t xml:space="preserve">CPU </w:t>
                  </w:r>
                  <w:r>
                    <w:rPr>
                      <w:sz w:val="21"/>
                    </w:rPr>
                    <w:t xml:space="preserve">信息，包含 </w:t>
                  </w:r>
                  <w:r>
                    <w:rPr>
                      <w:sz w:val="21"/>
                    </w:rPr>
                    <w:t xml:space="preserve">CPU </w:t>
                  </w:r>
                  <w:r>
                    <w:rPr>
                      <w:sz w:val="21"/>
                    </w:rPr>
                    <w:t>型号、物理核心数、主频、末级缓存容量、线程数、热设计功耗及内存的最高速率、通道数和位宽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总容量</w:t>
                  </w:r>
                  <w:r>
                    <w:rPr>
                      <w:sz w:val="21"/>
                    </w:rPr>
                    <w:t>≥128GB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DDR5</w:t>
                  </w:r>
                  <w:r>
                    <w:rPr>
                      <w:sz w:val="21"/>
                    </w:rPr>
                    <w:t>及以上</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*内存条配置数量（板载内存不涉及）</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集成资源扩展模块</w:t>
                  </w:r>
                  <w:r>
                    <w:rPr>
                      <w:sz w:val="21"/>
                    </w:rPr>
                    <w:t>、计算处理模块、音频扩展模块等，主板的互联拓扑可通过处理器或交换电路实现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 CPU和内存情况</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供应商给出主板支持的</w:t>
                  </w:r>
                  <w:r>
                    <w:rPr>
                      <w:sz w:val="21"/>
                    </w:rPr>
                    <w:t xml:space="preserve">CPU </w:t>
                  </w:r>
                  <w:r>
                    <w:rPr>
                      <w:sz w:val="21"/>
                    </w:rPr>
                    <w:t>和内存的型号数量</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 插槽数量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支持数量</w:t>
                  </w:r>
                  <w:r>
                    <w:rPr>
                      <w:sz w:val="21"/>
                    </w:rPr>
                    <w:t>≥4，其中至少包括2个PCIex16 和2个PCIex1</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M.2接口槽≥2个</w:t>
                  </w:r>
                  <w:r>
                    <w:br/>
                  </w:r>
                  <w:r>
                    <w:rPr>
                      <w:sz w:val="21"/>
                    </w:rPr>
                    <w:t>SATA接口≥3个</w:t>
                  </w:r>
                  <w:r>
                    <w:br/>
                  </w:r>
                  <w:r>
                    <w:rPr>
                      <w:sz w:val="21"/>
                    </w:rPr>
                    <w:t>前置</w:t>
                  </w:r>
                  <w:r>
                    <w:rPr>
                      <w:sz w:val="21"/>
                    </w:rPr>
                    <w:t>USB Type-C≥1个，前置USB 3.2≥4个，后置USB 3.2≥4个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*单内存插槽最大可支持容量（板载内存不涉及）</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≥32GB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≥128GB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w:t>
                  </w:r>
                  <w:r>
                    <w:br/>
                  </w:r>
                  <w:r>
                    <w:rPr>
                      <w:sz w:val="21"/>
                    </w:rPr>
                    <w:t>设备</w:t>
                  </w:r>
                  <w:r>
                    <w:br/>
                  </w:r>
                  <w:r>
                    <w:rPr>
                      <w:sz w:val="21"/>
                    </w:rPr>
                    <w:t>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w:t>
                  </w:r>
                  <w:r>
                    <w:rPr>
                      <w:sz w:val="21"/>
                    </w:rPr>
                    <w:t>≥4TB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≥2TB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≥7200rpm</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w:t>
                  </w:r>
                  <w:r>
                    <w:rPr>
                      <w:sz w:val="21"/>
                    </w:rPr>
                    <w:t>SATA/PCIe/NVMe/M.2 等类型接口协议</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w:t>
                  </w:r>
                  <w:r>
                    <w:rPr>
                      <w:sz w:val="21"/>
                    </w:rPr>
                    <w:t>或板载等形态，插卡形态宜符合</w:t>
                  </w:r>
                  <w:r>
                    <w:rPr>
                      <w:sz w:val="21"/>
                    </w:rPr>
                    <w:t xml:space="preserve">M.2 </w:t>
                  </w:r>
                  <w:r>
                    <w:rPr>
                      <w:sz w:val="21"/>
                    </w:rPr>
                    <w:t>或</w:t>
                  </w:r>
                  <w:r>
                    <w:rPr>
                      <w:sz w:val="21"/>
                    </w:rPr>
                    <w:t xml:space="preserve">mSATA </w:t>
                  </w:r>
                  <w:r>
                    <w:rPr>
                      <w:sz w:val="21"/>
                    </w:rPr>
                    <w:t>等标准尺寸和接口定义</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*存储设备其他参数要求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w:t>
                  </w:r>
                  <w:r>
                    <w:rPr>
                      <w:sz w:val="21"/>
                    </w:rPr>
                    <w:t>固态盘应符合</w:t>
                  </w:r>
                  <w:r>
                    <w:rPr>
                      <w:sz w:val="21"/>
                    </w:rPr>
                    <w:t>SJ/T 11654 相关规定；</w:t>
                  </w:r>
                </w:p>
                <w:p>
                  <w:pPr>
                    <w:pStyle w:val="null3"/>
                    <w:jc w:val="left"/>
                  </w:pPr>
                  <w:r>
                    <w:rPr>
                      <w:sz w:val="21"/>
                    </w:rPr>
                    <w:t>b</w:t>
                  </w:r>
                  <w:r>
                    <w:rPr>
                      <w:sz w:val="21"/>
                    </w:rPr>
                    <w:t>）机械硬盘准备时间应不大于</w:t>
                  </w:r>
                  <w:r>
                    <w:rPr>
                      <w:sz w:val="21"/>
                    </w:rPr>
                    <w:t>30s</w:t>
                  </w:r>
                  <w:r>
                    <w:rPr>
                      <w:sz w:val="21"/>
                    </w:rPr>
                    <w:t>；侧面固定螺丝孔数量可为</w:t>
                  </w:r>
                  <w:r>
                    <w:rPr>
                      <w:sz w:val="21"/>
                    </w:rPr>
                    <w:t>4</w:t>
                  </w:r>
                  <w:r>
                    <w:rPr>
                      <w:sz w:val="21"/>
                    </w:rPr>
                    <w:t>孔或</w:t>
                  </w:r>
                  <w:r>
                    <w:rPr>
                      <w:sz w:val="21"/>
                    </w:rPr>
                    <w:t>6</w:t>
                  </w:r>
                  <w:r>
                    <w:rPr>
                      <w:sz w:val="21"/>
                    </w:rPr>
                    <w:t>孔；工作状态环境温度应满足</w:t>
                  </w:r>
                  <w:r>
                    <w:rPr>
                      <w:sz w:val="21"/>
                    </w:rPr>
                    <w:t>5℃~55℃</w:t>
                  </w:r>
                  <w:r>
                    <w:rPr>
                      <w:sz w:val="21"/>
                    </w:rPr>
                    <w:t xml:space="preserve">；其它参数应符合 </w:t>
                  </w:r>
                  <w:r>
                    <w:rPr>
                      <w:sz w:val="21"/>
                    </w:rPr>
                    <w:t>GB/T 12628</w:t>
                  </w:r>
                  <w:r>
                    <w:rPr>
                      <w:sz w:val="21"/>
                    </w:rPr>
                    <w:t>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GDDR7</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≥128位</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≥16GB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产品支持</w:t>
                  </w:r>
                  <w:r>
                    <w:rPr>
                      <w:sz w:val="21"/>
                    </w:rPr>
                    <w:t>PCIe 协议版本大于等于5.0独立显卡接口协议</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≥2560×1440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显示屏像素密度</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 像素/英寸</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水平</w:t>
                  </w:r>
                  <w:r>
                    <w:rPr>
                      <w:sz w:val="21"/>
                    </w:rPr>
                    <w:t>≥175 °</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 英寸</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16:09</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w:t>
                  </w:r>
                  <w:r>
                    <w:rPr>
                      <w:sz w:val="21"/>
                    </w:rPr>
                    <w:t>蓝光加权辐射亮度比应</w:t>
                  </w:r>
                  <w:r>
                    <w:rPr>
                      <w:sz w:val="21"/>
                    </w:rPr>
                    <w:t>≤</w:t>
                  </w:r>
                  <w:r>
                    <w:rPr>
                      <w:sz w:val="21"/>
                    </w:rPr>
                    <w:t>0.0012W/(</w:t>
                  </w:r>
                  <w:r>
                    <w:rPr>
                      <w:sz w:val="21"/>
                    </w:rPr>
                    <w:t>·</w:t>
                  </w:r>
                  <w:r>
                    <w:rPr>
                      <w:sz w:val="21"/>
                    </w:rPr>
                    <w:t>cd</w:t>
                  </w:r>
                  <w:r>
                    <w:rPr>
                      <w:sz w:val="21"/>
                    </w:rPr>
                    <w:t>·</w:t>
                  </w:r>
                  <w:r>
                    <w:rPr>
                      <w:sz w:val="21"/>
                    </w:rPr>
                    <w:t>sr)</w:t>
                  </w:r>
                  <w:r>
                    <w:rPr>
                      <w:sz w:val="21"/>
                    </w:rPr>
                    <w:t>（瓦每坎特拉每球面度）</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*显示屏低频闪</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显示屏支持无闪烁或低频闪</w:t>
                  </w:r>
                  <w:r>
                    <w:rPr>
                      <w:sz w:val="21"/>
                    </w:rPr>
                    <w:t>≤-35dB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*显示屏防炫目</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w:t>
                  </w:r>
                  <w:r>
                    <w:rPr>
                      <w:sz w:val="21"/>
                    </w:rPr>
                    <w:t>镜面反射率</w:t>
                  </w:r>
                  <w:r>
                    <w:rPr>
                      <w:sz w:val="21"/>
                    </w:rPr>
                    <w:t>≤</w:t>
                  </w:r>
                  <w:r>
                    <w:rPr>
                      <w:sz w:val="21"/>
                    </w:rPr>
                    <w:t>10%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≥0个</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 键</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*摄像头像素</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*摄像头分辨率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*扬声器频率范围</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*键盘键程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2.3mm ~ 4.0mm</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*键盘按键压力</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按键压力应在</w:t>
                  </w:r>
                  <w:r>
                    <w:rPr>
                      <w:sz w:val="21"/>
                    </w:rPr>
                    <w:t>0.54 N±0.14N</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*键盘其他要求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键盘外观结构</w:t>
                  </w:r>
                  <w:r>
                    <w:rPr>
                      <w:sz w:val="21"/>
                    </w:rPr>
                    <w:t>、连接方式</w:t>
                  </w:r>
                  <w:r>
                    <w:rPr>
                      <w:sz w:val="21"/>
                    </w:rPr>
                    <w:t>、主要功能、安全、电磁兼容性、可靠性应符合</w:t>
                  </w:r>
                  <w:r>
                    <w:rPr>
                      <w:sz w:val="21"/>
                    </w:rPr>
                    <w:t>GB/T 14081 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*鼠标DPI 分辨率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GB/T 26245 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接口数量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≥9，机箱前板至少包括 5 个 USB3.0 及以上或者Type-C接口</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*整机外观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产品表面不应有凹痕、划伤、裂缝、变形和污染等。表面涂层均匀，不应起泡、龟裂、脱落和磨损，金属零部件无锈蚀及其它机械损伤；</w:t>
                  </w:r>
                  <w:r>
                    <w:br/>
                  </w:r>
                  <w:r>
                    <w:rPr>
                      <w:sz w:val="21"/>
                    </w:rPr>
                    <w:t>b) 产品表面说明功能的文字 、符号、标志 ，应清晰 、端正 、牢固；</w:t>
                  </w:r>
                </w:p>
                <w:p>
                  <w:pPr>
                    <w:pStyle w:val="null3"/>
                    <w:jc w:val="left"/>
                  </w:pPr>
                  <w:r>
                    <w:rPr>
                      <w:sz w:val="21"/>
                    </w:rPr>
                    <w:t xml:space="preserve">c) </w:t>
                  </w:r>
                  <w:r>
                    <w:rPr>
                      <w:sz w:val="21"/>
                    </w:rPr>
                    <w:t>宜在产品显著位置提供运行状态指示功能，并由生产厂商提供详细参数</w:t>
                  </w:r>
                  <w:r>
                    <w:rPr>
                      <w:sz w:val="21"/>
                    </w:rPr>
                    <w:t>。</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*整机结构</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机箱应符合 GB/T 4208、GB/T 26246的相关规定；</w:t>
                  </w:r>
                  <w:r>
                    <w:br/>
                  </w:r>
                  <w:r>
                    <w:rPr>
                      <w:sz w:val="21"/>
                    </w:rPr>
                    <w:t>b) 产品内部结构应符合通用部件的安装需要；</w:t>
                  </w:r>
                  <w:r>
                    <w:br/>
                  </w:r>
                  <w:r>
                    <w:rPr>
                      <w:sz w:val="21"/>
                    </w:rPr>
                    <w:t>c) 所有输入输出接口应符合相关国家或行业标准；</w:t>
                  </w:r>
                  <w:r>
                    <w:br/>
                  </w:r>
                  <w:r>
                    <w:rPr>
                      <w:sz w:val="21"/>
                    </w:rPr>
                    <w:t>d) 产品零部件应紧固无松动 ，可插拔部件应可靠连接，开关、按钮和其它控制部件应灵活可靠 ，布局应方便使用；</w:t>
                  </w:r>
                  <w:r>
                    <w:br/>
                  </w:r>
                  <w:r>
                    <w:rPr>
                      <w:sz w:val="21"/>
                    </w:rPr>
                    <w:t>e) 所有 I/O 连接器及需插接线缆的部位应预留用户操作空间，方便插拔解锁</w:t>
                  </w:r>
                  <w:r>
                    <w:br/>
                  </w:r>
                  <w:r>
                    <w:rPr>
                      <w:sz w:val="21"/>
                    </w:rPr>
                    <w:t>与插拔线缆；</w:t>
                  </w:r>
                  <w:r>
                    <w:br/>
                  </w:r>
                  <w:r>
                    <w:rPr>
                      <w:sz w:val="21"/>
                    </w:rPr>
                    <w:t>f) 可插拔板卡插槽部位应预留安装、拆卸或更换板卡空间；</w:t>
                  </w:r>
                  <w:r>
                    <w:br/>
                  </w:r>
                  <w:r>
                    <w:rPr>
                      <w:sz w:val="21"/>
                    </w:rPr>
                    <w:t>g) 拆装可能接触到的金属剪口或金属尖角部位应做防划伤处理 ，以保证安全；</w:t>
                  </w:r>
                  <w:r>
                    <w:br/>
                  </w:r>
                  <w:r>
                    <w:rPr>
                      <w:sz w:val="21"/>
                    </w:rPr>
                    <w:t>h) 整机内部走线应规整 ，固线结构和位置要合理可靠并做防割线处理，需便于理线和插拔操作，走线应不影响系统各主要部件组装和拆卸；</w:t>
                  </w:r>
                  <w:r>
                    <w:br/>
                  </w:r>
                  <w:r>
                    <w:rPr>
                      <w:sz w:val="21"/>
                    </w:rPr>
                    <w:t>i) 如需通过孔走线 ，过线孔应做防割线处理；</w:t>
                  </w:r>
                  <w:r>
                    <w:br/>
                  </w:r>
                  <w:r>
                    <w:rPr>
                      <w:sz w:val="21"/>
                    </w:rPr>
                    <w:t>j) 各插头位置和插拔方向应合理 ，应做到插拔无障碍设计 ，具备防呆设计，有效避免误操作；</w:t>
                  </w:r>
                  <w:r>
                    <w:br/>
                  </w:r>
                  <w:r>
                    <w:rPr>
                      <w:sz w:val="21"/>
                    </w:rPr>
                    <w:t>k) 各主要部件拆装无障碍 ，使用常规工具拆装 ，无特殊拆装工具需求；</w:t>
                  </w:r>
                  <w:r>
                    <w:br/>
                  </w:r>
                  <w:r>
                    <w:rPr>
                      <w:sz w:val="21"/>
                    </w:rPr>
                    <w:t>l) 各主要部件拆装步骤要少 ，各自拆装需避免相互干扰；</w:t>
                  </w:r>
                  <w:r>
                    <w:br/>
                  </w:r>
                  <w:r>
                    <w:rPr>
                      <w:sz w:val="21"/>
                    </w:rPr>
                    <w:t>m) 对于整机或零部件外表面为高亮面的，应粘贴保护膜，保护膜需粘贴牢固，运输、组装等过程不易脱落，撕下无残留；</w:t>
                  </w:r>
                  <w:r>
                    <w:br/>
                  </w:r>
                  <w:r>
                    <w:rPr>
                      <w:sz w:val="21"/>
                    </w:rPr>
                    <w:t>n) 其它要求应符合 GB/T 9813.1 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*机箱防护要求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机箱应符合</w:t>
                  </w:r>
                  <w:r>
                    <w:rPr>
                      <w:sz w:val="21"/>
                    </w:rPr>
                    <w:t>GB/T 4208 中 IP20 防护要求</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*整机噪音</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产品工作在空闲状态下，产品的声功率级应不超过</w:t>
                  </w:r>
                  <w:r>
                    <w:rPr>
                      <w:sz w:val="21"/>
                    </w:rPr>
                    <w:t>4.5 Bel</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在环境温度</w:t>
                  </w:r>
                  <w:r>
                    <w:rPr>
                      <w:sz w:val="21"/>
                    </w:rPr>
                    <w:t>25℃及处理器满载情况下，产品表面温度应符合下列要求：</w:t>
                  </w:r>
                  <w:r>
                    <w:br/>
                  </w:r>
                  <w:r>
                    <w:rPr>
                      <w:sz w:val="21"/>
                    </w:rPr>
                    <w:t>a) 出风口在机箱后面板情况下 ，出风口温度不高于55℃；</w:t>
                  </w:r>
                  <w:r>
                    <w:br/>
                  </w:r>
                  <w:r>
                    <w:rPr>
                      <w:sz w:val="21"/>
                    </w:rPr>
                    <w:t>b) 可触及面温度小于45℃；</w:t>
                  </w:r>
                  <w:r>
                    <w:br/>
                  </w:r>
                  <w:r>
                    <w:rPr>
                      <w:sz w:val="21"/>
                    </w:rPr>
                    <w:t>c) 显示器表面温度：显示屏温度不高于 38℃, 显示屏上下灯带位置温度（如涉及）不高于40℃, 出风口温度不高于 45℃</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产品能效限定值应达到</w:t>
                  </w:r>
                  <w:r>
                    <w:rPr>
                      <w:sz w:val="21"/>
                    </w:rPr>
                    <w:t>GB 28380-2012标准中能效等级 2 级及以上</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*机箱尺寸容量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机箱体积应不大于</w:t>
                  </w:r>
                  <w:r>
                    <w:rPr>
                      <w:sz w:val="21"/>
                    </w:rPr>
                    <w:t>30L</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物理核数</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w:t>
                  </w:r>
                  <w:r>
                    <w:rPr>
                      <w:sz w:val="21"/>
                    </w:rPr>
                    <w:t>≥24，线程数≥32</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主频</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性能核</w:t>
                  </w:r>
                  <w:r>
                    <w:rPr>
                      <w:sz w:val="21"/>
                    </w:rPr>
                    <w:t>≥3.2GHz，能效核≥2.4GHz</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末级缓存容量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≥32MB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支持的内存最高速率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≥5600MT/s</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≥4400MT/s</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≥3840×2160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≥2.4GHz</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≥1600MT/s</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*显卡可支持多屏同时显示数量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4 块屏幕同时显示，分辨率应不低于 3840×2160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显示设备性能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*显示屏刷新率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≥75Hz</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*显示屏位深</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≥8位</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*显示屏色域</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 sRGB</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*显示屏色准</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 ≤ 3</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*显示屏响应时间</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≤6ms</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≥350 尼特（典型）</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*显示屏亮度一致性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*显示屏对比度</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 ：1（典型）</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*显示屏其他参数</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SJ/T 11292 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*有线网卡速率</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w:t>
                  </w:r>
                  <w:r>
                    <w:rPr>
                      <w:sz w:val="21"/>
                    </w:rPr>
                    <w:t>1000Mbps ，应支持10Mbps 、100Mbps 、1000Mbps 速率自适应</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*内存扩展接口</w:t>
                  </w:r>
                  <w:r>
                    <w:rPr>
                      <w:sz w:val="21"/>
                    </w:rPr>
                    <w:t>（板载内存不涉及）</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存储扩展接口</w:t>
                  </w:r>
                  <w:r>
                    <w:rPr>
                      <w:sz w:val="21"/>
                    </w:rPr>
                    <w:t>（板载存储不涉及）</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支持存储设备扩展接口</w:t>
                  </w:r>
                  <w:r>
                    <w:rPr>
                      <w:sz w:val="21"/>
                    </w:rPr>
                    <w:t>≥5 个 ，如SATA3.0 、M.2 等接口类型</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*主板USB 瞬间过流保护</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支持瞬间过流保护功能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*主板防静电保护</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支持防静电保护功能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I/O 接口功能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提供基于标准</w:t>
                  </w:r>
                  <w:r>
                    <w:rPr>
                      <w:sz w:val="21"/>
                    </w:rPr>
                    <w:t>USB 接口外设连接功能、基于音频输出接口的音频扩展功能 、基于 PCIe 接口板卡扩展功能 、基于DP 接口外接显示器扩展功能、基于存储接口对产品进行增容功能等。工作站 I/O 接口应具备外接标准USB 设备、显示器、音频设备等内外部设备能力</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w:t>
                  </w:r>
                  <w:r>
                    <w:rPr>
                      <w:sz w:val="21"/>
                    </w:rPr>
                    <w:t>至少支持</w:t>
                  </w:r>
                  <w:r>
                    <w:rPr>
                      <w:sz w:val="21"/>
                    </w:rPr>
                    <w:t>VGA</w:t>
                  </w:r>
                  <w:r>
                    <w:rPr>
                      <w:sz w:val="21"/>
                    </w:rPr>
                    <w:t>、</w:t>
                  </w:r>
                  <w:r>
                    <w:rPr>
                      <w:sz w:val="21"/>
                    </w:rPr>
                    <w:t>HDMI</w:t>
                  </w:r>
                  <w:r>
                    <w:rPr>
                      <w:sz w:val="21"/>
                    </w:rPr>
                    <w:t>、</w:t>
                  </w:r>
                  <w:r>
                    <w:rPr>
                      <w:sz w:val="21"/>
                    </w:rPr>
                    <w:t>DVI</w:t>
                  </w:r>
                  <w:r>
                    <w:rPr>
                      <w:sz w:val="21"/>
                    </w:rPr>
                    <w:t>、</w:t>
                  </w:r>
                  <w:r>
                    <w:rPr>
                      <w:sz w:val="21"/>
                    </w:rPr>
                    <w:t>DP</w:t>
                  </w:r>
                  <w:r>
                    <w:rPr>
                      <w:sz w:val="21"/>
                    </w:rPr>
                    <w:t>、</w:t>
                  </w:r>
                  <w:r>
                    <w:rPr>
                      <w:sz w:val="21"/>
                    </w:rPr>
                    <w:t xml:space="preserve">Type-C </w:t>
                  </w:r>
                  <w:r>
                    <w:rPr>
                      <w:sz w:val="21"/>
                    </w:rPr>
                    <w:t xml:space="preserve">中 </w:t>
                  </w:r>
                  <w:r>
                    <w:rPr>
                      <w:sz w:val="21"/>
                    </w:rPr>
                    <w:t xml:space="preserve">1 </w:t>
                  </w:r>
                  <w:r>
                    <w:rPr>
                      <w:sz w:val="21"/>
                    </w:rPr>
                    <w:t>种显示接口，并与显示器接口相匹配</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*显示器接口</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显示器应与显卡外接显示接口匹配</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*显示器支架</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显示器应提供显示器支架，宜支持屏幕旋转</w:t>
                  </w:r>
                  <w:r>
                    <w:rPr>
                      <w:sz w:val="21"/>
                    </w:rPr>
                    <w:t>、支架可升降等</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*显示器参数调节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提供 OSD 选单按钮用于调节色彩、模式等；</w:t>
                  </w:r>
                  <w:r>
                    <w:br/>
                  </w:r>
                  <w:r>
                    <w:rPr>
                      <w:sz w:val="21"/>
                    </w:rPr>
                    <w:t>b) 支持色温 、亮度 、对比度调节</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w:t>
                  </w:r>
                  <w:r>
                    <w:rPr>
                      <w:sz w:val="21"/>
                    </w:rPr>
                    <w:t xml:space="preserve">SATA </w:t>
                  </w:r>
                  <w:r>
                    <w:rPr>
                      <w:sz w:val="21"/>
                    </w:rPr>
                    <w:t>固态存储</w:t>
                  </w:r>
                  <w:r>
                    <w:rPr>
                      <w:sz w:val="21"/>
                    </w:rPr>
                    <w:t xml:space="preserve">/PCIe </w:t>
                  </w:r>
                  <w:r>
                    <w:rPr>
                      <w:sz w:val="21"/>
                    </w:rPr>
                    <w:t>固态存储</w:t>
                  </w:r>
                  <w:r>
                    <w:rPr>
                      <w:sz w:val="21"/>
                    </w:rPr>
                    <w:t xml:space="preserve">/UFS </w:t>
                  </w:r>
                  <w:r>
                    <w:rPr>
                      <w:sz w:val="21"/>
                    </w:rPr>
                    <w:t>固态存储</w:t>
                  </w:r>
                  <w:r>
                    <w:rPr>
                      <w:sz w:val="21"/>
                    </w:rPr>
                    <w:t xml:space="preserve">/SATA </w:t>
                  </w:r>
                  <w:r>
                    <w:rPr>
                      <w:sz w:val="21"/>
                    </w:rPr>
                    <w:t>硬磁盘等存储部件提供存储功能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a)支持网络连接、网络开启/关闭功能；</w:t>
                  </w:r>
                  <w:r>
                    <w:br/>
                  </w:r>
                  <w:r>
                    <w:rPr>
                      <w:sz w:val="21"/>
                    </w:rPr>
                    <w:t>b)支持访问网络和数据交换功能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支持数据传输能力，并提供数据流量和异常日志记录功能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RJ45 接口</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网络设备拆装</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若配备的网络设备应支持物理拆装，包括无线网卡和蓝牙模块等</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3.5mm 孔径 3 段式或 4 段式接口</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singl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至少支持</w:t>
                  </w:r>
                  <w:r>
                    <w:rPr>
                      <w:sz w:val="21"/>
                    </w:rPr>
                    <w:t>HDMI、DP中 1 种显示接口</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singl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*HDMI、DP、Type-C显示接口要求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若提供</w:t>
                  </w:r>
                  <w:r>
                    <w:rPr>
                      <w:sz w:val="21"/>
                    </w:rPr>
                    <w:t>HDMI 或 DP 或 Type-C 作为显示接口，应支持音频和视频同步输出</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singl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存储卡接口类型</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SD 存储卡接口</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电源线适配能力</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电源适配器电线组件应符合</w:t>
                  </w:r>
                  <w:r>
                    <w:rPr>
                      <w:sz w:val="21"/>
                    </w:rPr>
                    <w:t>GB/T 15934</w:t>
                  </w:r>
                  <w:r>
                    <w:rPr>
                      <w:sz w:val="21"/>
                    </w:rPr>
                    <w:t>的要求，可拆线的插头和连接器可以不做要求</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操作系统及软件功能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*中文信息处理要求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 18030 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*操作系统备份及还原功能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支持操作系统备份及还原功能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*固件备份还原能力</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支持备份及还原固件的功能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*操作系统及驱动升级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支持通过网络、闪存盘等方式对操作系统</w:t>
                  </w:r>
                  <w:r>
                    <w:rPr>
                      <w:sz w:val="21"/>
                    </w:rPr>
                    <w:t>、驱动进行升级</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*BIOS 支持关闭通讯接口</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BIOS 关闭以太网及 USB 接口功能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*固件查看信息</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支持查看固件版本、内存信息、主板信息、处理器信息和系统时间信息等功能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*固件设置启动顺序</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支持设置启动顺序功能，并按照设置的启动顺序启动</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*固件设置口令</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支持设置口令、修改口令、验证口令功能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*固件设置网络引导</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支持网络引导启动和关闭功能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硬件加速功能</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NPU/GPU等 AI 加速模块</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GPU AI 加速模块</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视频编解码加速模块</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支持视频编解码加速模块</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影像处理加速模块</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支持影像处理加速模块</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存储设备可靠性</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*固态存储寿命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寿命</w:t>
                  </w:r>
                  <w:r>
                    <w:rPr>
                      <w:sz w:val="21"/>
                    </w:rPr>
                    <w:t>≥2000TBW</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机械硬盘寿命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通电时间</w:t>
                  </w:r>
                  <w:r>
                    <w:rPr>
                      <w:sz w:val="21"/>
                    </w:rPr>
                    <w:t>≥</w:t>
                  </w:r>
                  <w:r>
                    <w:rPr>
                      <w:sz w:val="21"/>
                    </w:rPr>
                    <w:t>5</w:t>
                  </w:r>
                  <w:r>
                    <w:rPr>
                      <w:sz w:val="21"/>
                    </w:rPr>
                    <w:t>万小时</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显示设备可靠性</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*显示屏屏幕失效点</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9813.2 的要求</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外设可靠性</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*键盘按键寿命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 万次</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*鼠标按键寿命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 万次</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*键盘鼠标线材寿命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键盘鼠标所用线材经</w:t>
                  </w:r>
                  <w:r>
                    <w:rPr>
                      <w:sz w:val="21"/>
                    </w:rPr>
                    <w:t>±60 °弯折不低于 3000 次 ，功能 、外观完好</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*风扇寿命</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万小时</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整机可靠性要求</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*电磁兼容性要求的抗扰度</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9254.2 的规定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*环境条件要求的气候环境适应性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*环境条件要求的振动适应性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*环境条件要求的冲击适应性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*环境条件要求的碰撞适应性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*环境条件要求的运输包装件跌落适应性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*MTBF 测试</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 (m1)≥3 万小时</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*常用软件兼容</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应支持流式软件</w:t>
                  </w:r>
                  <w:r>
                    <w:rPr>
                      <w:sz w:val="21"/>
                    </w:rPr>
                    <w:t>、版式软件</w:t>
                  </w:r>
                  <w:r>
                    <w:rPr>
                      <w:sz w:val="21"/>
                    </w:rPr>
                    <w:t>、浏览器、邮件客户端、解压软件、多媒体、图形图像处理等常用软件</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*数据库兼容</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个及以上厂商的数据库产品</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*中间件兼容</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个及以上厂商中间件产品</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*平台软件兼容</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个及以上厂商云计算及大数据平台</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*标志、包装 、运输和贮存</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GB/T9813.1 和商品包装政府采购需求标准的相关规定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供应商提供经自检测试工具</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a）提供产品3 年维保及上门服务（满足同城 4 小时、异地 12 小时响应要求）；</w:t>
                  </w:r>
                  <w:r>
                    <w:br/>
                  </w:r>
                  <w:r>
                    <w:rPr>
                      <w:sz w:val="21"/>
                    </w:rPr>
                    <w:t>b）提供政企专线 7*24 在线服务；</w:t>
                  </w:r>
                  <w:r>
                    <w:br/>
                  </w:r>
                  <w:r>
                    <w:rPr>
                      <w:sz w:val="21"/>
                    </w:rPr>
                    <w:t>c）现场保障技术服务团队员 ，国内上门服务地级市覆盖率达 100%</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支持产品延保</w:t>
                  </w:r>
                  <w:r>
                    <w:rPr>
                      <w:sz w:val="21"/>
                    </w:rPr>
                    <w:t>≥3 年，提供每年延保服务报价提供备件服务能力≥6 年（自购买之日起）</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*预装操作系统</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预装符合桌面操作系统政府采购需求标准的正版操作系统</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*培训服务</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*典型问题解决手册</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供应商提供典型问题解决说明文档或频</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*厂家升级软件与扩容服务</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w:t>
                  </w:r>
                  <w:r>
                    <w:rPr>
                      <w:sz w:val="21"/>
                    </w:rPr>
                    <w:t>/软件的增值服务</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免费服务周期（含换件和维修）应不小于</w:t>
                  </w:r>
                  <w:r>
                    <w:rPr>
                      <w:sz w:val="21"/>
                    </w:rPr>
                    <w:t>3年</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*开箱组装/使用指导要求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w:t>
                  </w:r>
                  <w:r>
                    <w:rPr>
                      <w:sz w:val="21"/>
                    </w:rPr>
                    <w:t>/使用指导</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*驱动下载服务要求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466"/>
                  <w:vMerge/>
                  <w:tcBorders>
                    <w:top w:val="none" w:color="000000" w:sz="4"/>
                    <w:left w:val="none" w:color="000000" w:sz="4"/>
                    <w:bottom w:val="non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*兼容适配软件下载服务要求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w:t>
                  </w:r>
                  <w:r>
                    <w:rPr>
                      <w:sz w:val="21"/>
                    </w:rPr>
                    <w:t>、网站）</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*产品部件保障</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保障产品主要部件提供</w:t>
                  </w:r>
                  <w:r>
                    <w:rPr>
                      <w:sz w:val="21"/>
                    </w:rPr>
                    <w:t>6 年的备件服务能力(自购买之日起)，或提供可兼容原设备的升级换代产品</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*抗干扰性</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*供应能力证明</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供应商提供供应链稳定承诺书，确保产品的部件在产品服务周期内稳定供货</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w:t>
                  </w:r>
                  <w:r>
                    <w:rPr>
                      <w:sz w:val="21"/>
                    </w:rPr>
                    <w:t>和</w:t>
                  </w:r>
                  <w:r>
                    <w:rPr>
                      <w:sz w:val="21"/>
                    </w:rPr>
                    <w:t>操作系统等关键部件应当符合安全可靠测评要求</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整机安全性要求</w:t>
                  </w: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密码算法实现</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CPU</w:t>
                  </w:r>
                  <w:r>
                    <w:rPr>
                      <w:sz w:val="21"/>
                    </w:rPr>
                    <w:t>芯片应符合</w:t>
                  </w:r>
                  <w:r>
                    <w:rPr>
                      <w:sz w:val="21"/>
                    </w:rPr>
                    <w:t>GM/T 0008</w:t>
                  </w:r>
                  <w:r>
                    <w:rPr>
                      <w:sz w:val="21"/>
                    </w:rPr>
                    <w:t>的相关规定，或芯片密码模块应符合</w:t>
                  </w:r>
                  <w:r>
                    <w:rPr>
                      <w:sz w:val="21"/>
                    </w:rPr>
                    <w:t xml:space="preserve">GB/T 37092 </w:t>
                  </w:r>
                  <w:r>
                    <w:rPr>
                      <w:sz w:val="21"/>
                    </w:rPr>
                    <w:t>或</w:t>
                  </w:r>
                  <w:r>
                    <w:rPr>
                      <w:sz w:val="21"/>
                    </w:rPr>
                    <w:t xml:space="preserve">GM/T 0028 </w:t>
                  </w:r>
                  <w:r>
                    <w:rPr>
                      <w:sz w:val="21"/>
                    </w:rPr>
                    <w:t>的相关规定</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*信息安全基本要求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应符合</w:t>
                  </w:r>
                  <w:r>
                    <w:rPr>
                      <w:sz w:val="21"/>
                    </w:rPr>
                    <w:t xml:space="preserve"> GB/T 39276</w:t>
                  </w:r>
                  <w:r>
                    <w:rPr>
                      <w:sz w:val="21"/>
                    </w:rPr>
                    <w:t>的</w:t>
                  </w:r>
                  <w:r>
                    <w:rPr>
                      <w:sz w:val="21"/>
                    </w:rPr>
                    <w:t>5.2</w:t>
                  </w:r>
                  <w:r>
                    <w:rPr>
                      <w:sz w:val="21"/>
                    </w:rPr>
                    <w:t>的规定；</w:t>
                  </w:r>
                </w:p>
                <w:p>
                  <w:pPr>
                    <w:pStyle w:val="null3"/>
                    <w:jc w:val="left"/>
                  </w:pPr>
                  <w:r>
                    <w:rPr>
                      <w:sz w:val="21"/>
                    </w:rPr>
                    <w:t>b</w:t>
                  </w:r>
                  <w:r>
                    <w:rPr>
                      <w:sz w:val="21"/>
                    </w:rPr>
                    <w:t>）</w:t>
                  </w:r>
                  <w:r>
                    <w:rPr>
                      <w:sz w:val="21"/>
                    </w:rPr>
                    <w:t>生产厂商应建立漏洞跟踪表</w:t>
                  </w:r>
                  <w:r>
                    <w:rPr>
                      <w:sz w:val="21"/>
                    </w:rPr>
                    <w:t>，保证产品版本涉及到的漏洞</w:t>
                  </w:r>
                  <w:r>
                    <w:rPr>
                      <w:sz w:val="21"/>
                    </w:rPr>
                    <w:t>(如驱动程序等)可查看；</w:t>
                  </w:r>
                  <w:r>
                    <w:br/>
                  </w:r>
                  <w:r>
                    <w:rPr>
                      <w:sz w:val="21"/>
                    </w:rPr>
                    <w:t>c) 产品不得包含已知的恶意代码或漏洞，不存在未声明的指令、功能、接口。</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154</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*固件安全启动</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支持固件安全启动功能，固件启动过程</w:t>
                  </w:r>
                  <w:r>
                    <w:br/>
                  </w:r>
                  <w:r>
                    <w:rPr>
                      <w:sz w:val="21"/>
                    </w:rPr>
                    <w:t>中只有通过启动校验才能正常启动</w:t>
                  </w:r>
                </w:p>
              </w:tc>
            </w:tr>
            <w:tr>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c>
                <w:tcPr>
                  <w:tcW w:type="dxa" w:w="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466"/>
                  <w:vMerge/>
                  <w:tcBorders>
                    <w:top w:val="none" w:color="000000" w:sz="4"/>
                    <w:left w:val="none" w:color="000000" w:sz="4"/>
                    <w:bottom w:val="single" w:color="000000" w:sz="4"/>
                    <w:right w:val="single" w:color="000000" w:sz="4"/>
                  </w:tcBorders>
                </w:tcPr>
                <w:p/>
              </w:tc>
              <w:tc>
                <w:tcPr>
                  <w:tcW w:type="dxa" w:w="1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*限用物质的限量要求</w:t>
                  </w:r>
                </w:p>
              </w:tc>
              <w:tc>
                <w:tcPr>
                  <w:tcW w:type="dxa" w:w="3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26572 中规定</w:t>
                  </w:r>
                </w:p>
              </w:tc>
            </w:tr>
          </w:tbl>
          <w:p>
            <w:pPr>
              <w:pStyle w:val="null3"/>
              <w:jc w:val="left"/>
            </w:pPr>
            <w:r>
              <w:rPr>
                <w:sz w:val="24"/>
                <w:b/>
              </w:rPr>
              <w:t>注</w:t>
            </w:r>
            <w:r>
              <w:rPr>
                <w:sz w:val="24"/>
                <w:b/>
              </w:rPr>
              <w:t>1：供应商在投标时出具关于所提供的“图形工作站3”是否满足上述表格中标*号</w:t>
            </w:r>
            <w:r>
              <w:rPr>
                <w:sz w:val="24"/>
                <w:b/>
              </w:rPr>
              <w:t>对应的指标要求</w:t>
            </w:r>
            <w:r>
              <w:rPr>
                <w:sz w:val="24"/>
                <w:b/>
              </w:rPr>
              <w:t>的承诺函，承诺满足的视为符合要求。（投标时提交承诺，可参照</w:t>
            </w:r>
            <w:r>
              <w:rPr>
                <w:sz w:val="24"/>
                <w:b/>
              </w:rPr>
              <w:t>“投标格式”中《承诺函》格式）</w:t>
            </w:r>
          </w:p>
          <w:p>
            <w:pPr>
              <w:pStyle w:val="null3"/>
            </w:pPr>
            <w:r>
              <w:rPr>
                <w:sz w:val="24"/>
                <w:b/>
              </w:rPr>
              <w:t>★注2：标*</w:t>
            </w:r>
            <w:r>
              <w:rPr>
                <w:sz w:val="24"/>
                <w:b/>
              </w:rPr>
              <w:t>号对应的指标要求</w:t>
            </w:r>
            <w:r>
              <w:rPr>
                <w:sz w:val="24"/>
                <w:b/>
              </w:rPr>
              <w:t>，为实质性条款，供应商所投产品必须满足，否则投标无效。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GPU计算机工作站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5"/>
              <w:gridCol w:w="480"/>
              <w:gridCol w:w="519"/>
              <w:gridCol w:w="1144"/>
              <w:gridCol w:w="3077"/>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指标分类</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1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3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信息</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w:t>
                  </w:r>
                  <w:r>
                    <w:rPr>
                      <w:sz w:val="21"/>
                    </w:rPr>
                    <w:t xml:space="preserve">CPU </w:t>
                  </w:r>
                  <w:r>
                    <w:rPr>
                      <w:sz w:val="21"/>
                    </w:rPr>
                    <w:t xml:space="preserve">信息，包含 </w:t>
                  </w:r>
                  <w:r>
                    <w:rPr>
                      <w:sz w:val="21"/>
                    </w:rPr>
                    <w:t xml:space="preserve">CPU </w:t>
                  </w:r>
                  <w:r>
                    <w:rPr>
                      <w:sz w:val="21"/>
                    </w:rPr>
                    <w:t>型号、物理核心数、主频、末级缓存容量、线程数、热设计功耗及内存的最高速率、通道数和位宽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*内存配置容量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总容量</w:t>
                  </w:r>
                  <w:r>
                    <w:rPr>
                      <w:sz w:val="21"/>
                    </w:rPr>
                    <w:t>≥32GB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*内存类型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DDR5</w:t>
                  </w:r>
                  <w:r>
                    <w:rPr>
                      <w:sz w:val="21"/>
                    </w:rPr>
                    <w:t>及以上</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*内存条配置数量（板载内存不涉及）</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*主板集成模块</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集成资源</w:t>
                  </w:r>
                  <w:r>
                    <w:rPr>
                      <w:sz w:val="21"/>
                    </w:rPr>
                    <w:t>扩展模块、计算处理模块、音频扩展模块等，主板的互联拓扑可通过处理器或交换电路实现</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*主板支持的 CPU和内存情况</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供应商给出主板支持的</w:t>
                  </w:r>
                  <w:r>
                    <w:rPr>
                      <w:sz w:val="21"/>
                    </w:rPr>
                    <w:t xml:space="preserve">CPU </w:t>
                  </w:r>
                  <w:r>
                    <w:rPr>
                      <w:sz w:val="21"/>
                    </w:rPr>
                    <w:t>和内存的型号数量</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主板内置</w:t>
                  </w:r>
                  <w:r>
                    <w:rPr>
                      <w:sz w:val="21"/>
                    </w:rPr>
                    <w:t>PCIe 插槽数量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支持数量</w:t>
                  </w:r>
                  <w:r>
                    <w:rPr>
                      <w:sz w:val="21"/>
                    </w:rPr>
                    <w:t>≥3，其中至少包括2个PCIex16</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*主板其他内置接口</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PCIe M.2接口槽≥3个</w:t>
                  </w:r>
                  <w:r>
                    <w:br/>
                  </w:r>
                  <w:r>
                    <w:rPr>
                      <w:sz w:val="21"/>
                    </w:rPr>
                    <w:t>SATA接口≥5个</w:t>
                  </w:r>
                  <w:r>
                    <w:br/>
                  </w:r>
                  <w:r>
                    <w:rPr>
                      <w:sz w:val="21"/>
                    </w:rPr>
                    <w:t>前置</w:t>
                  </w:r>
                  <w:r>
                    <w:rPr>
                      <w:sz w:val="21"/>
                    </w:rPr>
                    <w:t>USB Type-C≥1个，前置USB 3.0≥2个，前置USB 2.0≥2个，后置USB 3.2≥4个，后置USB2.0≥4个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*单内存插槽最大可支持容量（板载内存不涉及）</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*内存插槽满配时提供的最高内存总容量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w:t>
                  </w:r>
                  <w:r>
                    <w:br/>
                  </w:r>
                  <w:r>
                    <w:rPr>
                      <w:sz w:val="21"/>
                    </w:rPr>
                    <w:t>设备</w:t>
                  </w:r>
                  <w:r>
                    <w:br/>
                  </w:r>
                  <w:r>
                    <w:rPr>
                      <w:sz w:val="21"/>
                    </w:rPr>
                    <w:t>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*固态盘数量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每个</w:t>
                  </w:r>
                  <w:r>
                    <w:rPr>
                      <w:sz w:val="21"/>
                    </w:rPr>
                    <w:t>≥1TB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*机械硬盘总容量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1TB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*机械硬盘转速</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7200RPM</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固态存储接口协议</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w:t>
                  </w:r>
                  <w:r>
                    <w:rPr>
                      <w:sz w:val="21"/>
                    </w:rPr>
                    <w:t>SATA/PCIe/NVMe/M.2 等类型接口协议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*固态存储形态</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w:t>
                  </w:r>
                  <w:r>
                    <w:rPr>
                      <w:sz w:val="21"/>
                    </w:rPr>
                    <w:t>或板载等形态，插卡形态宜符合</w:t>
                  </w:r>
                  <w:r>
                    <w:rPr>
                      <w:sz w:val="21"/>
                    </w:rPr>
                    <w:t xml:space="preserve">M.2 </w:t>
                  </w:r>
                  <w:r>
                    <w:rPr>
                      <w:sz w:val="21"/>
                    </w:rPr>
                    <w:t>或</w:t>
                  </w:r>
                  <w:r>
                    <w:rPr>
                      <w:sz w:val="21"/>
                    </w:rPr>
                    <w:t xml:space="preserve">mSATA </w:t>
                  </w:r>
                  <w:r>
                    <w:rPr>
                      <w:sz w:val="21"/>
                    </w:rPr>
                    <w:t>等标准尺寸和接口定义</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*存储设备其他参数要求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w:t>
                  </w:r>
                  <w:r>
                    <w:rPr>
                      <w:sz w:val="21"/>
                    </w:rPr>
                    <w:t>固态盘应符合</w:t>
                  </w:r>
                  <w:r>
                    <w:rPr>
                      <w:sz w:val="21"/>
                    </w:rPr>
                    <w:t>SJ/T 11654 相关规定；</w:t>
                  </w:r>
                </w:p>
                <w:p>
                  <w:pPr>
                    <w:pStyle w:val="null3"/>
                    <w:jc w:val="left"/>
                  </w:pPr>
                  <w:r>
                    <w:rPr>
                      <w:sz w:val="21"/>
                    </w:rPr>
                    <w:t>b</w:t>
                  </w:r>
                  <w:r>
                    <w:rPr>
                      <w:sz w:val="21"/>
                    </w:rPr>
                    <w:t>）机械硬盘准备时间应不大于</w:t>
                  </w:r>
                  <w:r>
                    <w:rPr>
                      <w:sz w:val="21"/>
                    </w:rPr>
                    <w:t>30s</w:t>
                  </w:r>
                  <w:r>
                    <w:rPr>
                      <w:sz w:val="21"/>
                    </w:rPr>
                    <w:t>；侧面固定螺丝孔数量可为</w:t>
                  </w:r>
                  <w:r>
                    <w:rPr>
                      <w:sz w:val="21"/>
                    </w:rPr>
                    <w:t>4</w:t>
                  </w:r>
                  <w:r>
                    <w:rPr>
                      <w:sz w:val="21"/>
                    </w:rPr>
                    <w:t>孔或</w:t>
                  </w:r>
                  <w:r>
                    <w:rPr>
                      <w:sz w:val="21"/>
                    </w:rPr>
                    <w:t>6</w:t>
                  </w:r>
                  <w:r>
                    <w:rPr>
                      <w:sz w:val="21"/>
                    </w:rPr>
                    <w:t>孔；工作状态环境温度应满足</w:t>
                  </w:r>
                  <w:r>
                    <w:rPr>
                      <w:sz w:val="21"/>
                    </w:rPr>
                    <w:t>5℃~55℃</w:t>
                  </w:r>
                  <w:r>
                    <w:rPr>
                      <w:sz w:val="21"/>
                    </w:rPr>
                    <w:t xml:space="preserve">；其它参数应符合 </w:t>
                  </w:r>
                  <w:r>
                    <w:rPr>
                      <w:sz w:val="21"/>
                    </w:rPr>
                    <w:t>GB/T 12628</w:t>
                  </w:r>
                  <w:r>
                    <w:rPr>
                      <w:sz w:val="21"/>
                    </w:rPr>
                    <w:t>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*显卡类型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*独立显卡显存类型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GDDR6X</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*独立显卡显存位宽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*独立显卡显存容量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≥24GB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独立显卡接口协议</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产品支持</w:t>
                  </w:r>
                  <w:r>
                    <w:rPr>
                      <w:sz w:val="21"/>
                    </w:rPr>
                    <w:t>PCIe 协议版本大于等于4.0独立显卡接口协议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*显示屏屏占比</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*显示屏分辨率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≥2560×1440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显示屏像素密度</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 像素/英寸</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显示屏可视角度</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水平</w:t>
                  </w:r>
                  <w:r>
                    <w:rPr>
                      <w:sz w:val="21"/>
                    </w:rPr>
                    <w:t>≥175 °</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*显示屏尺寸</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≥27 英寸</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*显示屏屏幕比例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16:09</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*显示器外观颜色</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*显示屏防蓝光</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w:t>
                  </w:r>
                  <w:r>
                    <w:rPr>
                      <w:sz w:val="21"/>
                    </w:rPr>
                    <w:t>蓝光加权辐射亮度比应</w:t>
                  </w:r>
                  <w:r>
                    <w:rPr>
                      <w:sz w:val="21"/>
                    </w:rPr>
                    <w:t>≤</w:t>
                  </w:r>
                  <w:r>
                    <w:rPr>
                      <w:sz w:val="21"/>
                    </w:rPr>
                    <w:t>0.0012W/(</w:t>
                  </w:r>
                  <w:r>
                    <w:rPr>
                      <w:sz w:val="21"/>
                    </w:rPr>
                    <w:t>·</w:t>
                  </w:r>
                  <w:r>
                    <w:rPr>
                      <w:sz w:val="21"/>
                    </w:rPr>
                    <w:t>cd</w:t>
                  </w:r>
                  <w:r>
                    <w:rPr>
                      <w:sz w:val="21"/>
                    </w:rPr>
                    <w:t>·</w:t>
                  </w:r>
                  <w:r>
                    <w:rPr>
                      <w:sz w:val="21"/>
                    </w:rPr>
                    <w:t>sr)</w:t>
                  </w:r>
                  <w:r>
                    <w:rPr>
                      <w:sz w:val="21"/>
                    </w:rPr>
                    <w:t>（瓦每坎特拉每球面度）</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*显示屏低频闪</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显示屏支持无闪烁或低频闪</w:t>
                  </w:r>
                  <w:r>
                    <w:rPr>
                      <w:sz w:val="21"/>
                    </w:rPr>
                    <w:t>≤-35dB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*显示屏防炫目</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w:t>
                  </w:r>
                  <w:r>
                    <w:rPr>
                      <w:sz w:val="21"/>
                    </w:rPr>
                    <w:t>镜面反射率</w:t>
                  </w:r>
                  <w:r>
                    <w:rPr>
                      <w:sz w:val="21"/>
                    </w:rPr>
                    <w:t>≤</w:t>
                  </w:r>
                  <w:r>
                    <w:rPr>
                      <w:sz w:val="21"/>
                    </w:rPr>
                    <w:t>10%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外设规格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≥0个</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*键盘按键数目</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104 键</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*摄像头像素</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*摄像头分辨率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*扬声器功率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*扬声器频率范围</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无</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*键盘连接方式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*键盘键程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2.3mm ~ 4.0mm</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*键盘按键压力</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按键压力应在</w:t>
                  </w:r>
                  <w:r>
                    <w:rPr>
                      <w:sz w:val="21"/>
                    </w:rPr>
                    <w:t>0.54 N±0.14N</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*有线键盘连接线</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*键盘颜色</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*键盘其他要求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键盘外观结构</w:t>
                  </w:r>
                  <w:r>
                    <w:rPr>
                      <w:sz w:val="21"/>
                    </w:rPr>
                    <w:t>、连接方式</w:t>
                  </w:r>
                  <w:r>
                    <w:rPr>
                      <w:sz w:val="21"/>
                    </w:rPr>
                    <w:t>、主要功能、安全、电磁兼容性、可靠性应符合</w:t>
                  </w:r>
                  <w:r>
                    <w:rPr>
                      <w:sz w:val="21"/>
                    </w:rPr>
                    <w:t>GB/T 14081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*鼠标连接方式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*有线鼠标连接线</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*鼠标DPI 分辨率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鼠标颜色</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*鼠标其他要求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GB/T 26245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*USB 接口数量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≥13，机箱前板至少包括 3 个 USB3.0 及以上或者Type-C接口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*整机外观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产品表面不应有凹痕、划伤、裂缝、变形和污染等。表面涂层均匀，不应起泡、龟裂、脱落和磨损，金属零部件无锈蚀及其它机械损伤；</w:t>
                  </w:r>
                  <w:r>
                    <w:br/>
                  </w:r>
                  <w:r>
                    <w:rPr>
                      <w:sz w:val="21"/>
                    </w:rPr>
                    <w:t>b) 产品表面说明功能的文字 、符号、标志 ，应清晰 、端正 、牢固；</w:t>
                  </w:r>
                </w:p>
                <w:p>
                  <w:pPr>
                    <w:pStyle w:val="null3"/>
                    <w:jc w:val="left"/>
                  </w:pPr>
                  <w:r>
                    <w:rPr>
                      <w:sz w:val="21"/>
                    </w:rPr>
                    <w:t xml:space="preserve">c) </w:t>
                  </w:r>
                  <w:r>
                    <w:rPr>
                      <w:sz w:val="21"/>
                    </w:rPr>
                    <w:t>宜在产品显著位置提供运行状态指示功能，并由生产厂商提供详细参数</w:t>
                  </w:r>
                  <w:r>
                    <w:rPr>
                      <w:sz w:val="21"/>
                    </w:rPr>
                    <w:t>。</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*整机结构</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机箱应符合 GB/T 4208、GB/T 26246的相关规定；</w:t>
                  </w:r>
                  <w:r>
                    <w:br/>
                  </w:r>
                  <w:r>
                    <w:rPr>
                      <w:sz w:val="21"/>
                    </w:rPr>
                    <w:t>b) 产品内部结构应符合通用部件的安装需要；</w:t>
                  </w:r>
                  <w:r>
                    <w:br/>
                  </w:r>
                  <w:r>
                    <w:rPr>
                      <w:sz w:val="21"/>
                    </w:rPr>
                    <w:t>c) 所有输入输出接口应符合相关国家或行业标准；</w:t>
                  </w:r>
                  <w:r>
                    <w:br/>
                  </w:r>
                  <w:r>
                    <w:rPr>
                      <w:sz w:val="21"/>
                    </w:rPr>
                    <w:t>d) 产品零部件应紧固无松动 ，可插拔部件应可靠连接，开关、按钮和其它控制部件应灵活可靠 ，布局应方便使用；</w:t>
                  </w:r>
                  <w:r>
                    <w:br/>
                  </w:r>
                  <w:r>
                    <w:rPr>
                      <w:sz w:val="21"/>
                    </w:rPr>
                    <w:t>e) 所有 I/O 连接器及需插接线缆的部位应预留用户操作空间，方便插拔解锁</w:t>
                  </w:r>
                  <w:r>
                    <w:br/>
                  </w:r>
                  <w:r>
                    <w:rPr>
                      <w:sz w:val="21"/>
                    </w:rPr>
                    <w:t>与插拔线缆；</w:t>
                  </w:r>
                  <w:r>
                    <w:br/>
                  </w:r>
                  <w:r>
                    <w:rPr>
                      <w:sz w:val="21"/>
                    </w:rPr>
                    <w:t>f) 可插拔板卡插槽部位应预留安装、拆卸或更换板卡空间；</w:t>
                  </w:r>
                  <w:r>
                    <w:br/>
                  </w:r>
                  <w:r>
                    <w:rPr>
                      <w:sz w:val="21"/>
                    </w:rPr>
                    <w:t>g) 拆装可能接触到的金属剪口或金属尖角部位应做防划伤处理 ，以保证安全；</w:t>
                  </w:r>
                  <w:r>
                    <w:br/>
                  </w:r>
                  <w:r>
                    <w:rPr>
                      <w:sz w:val="21"/>
                    </w:rPr>
                    <w:t>h) 整机内部走线应规整 ，固线结构和位置要合理可靠并做防割线处理，需便于理线和插拔操作，走线应不影响系统各主要部件组装和拆卸；</w:t>
                  </w:r>
                  <w:r>
                    <w:br/>
                  </w:r>
                  <w:r>
                    <w:rPr>
                      <w:sz w:val="21"/>
                    </w:rPr>
                    <w:t>i) 如需通过孔走线 ，过线孔应做防割线处理；</w:t>
                  </w:r>
                  <w:r>
                    <w:br/>
                  </w:r>
                  <w:r>
                    <w:rPr>
                      <w:sz w:val="21"/>
                    </w:rPr>
                    <w:t>j) 各插头位置和插拔方向应合理 ，应做到插拔无障碍设计 ，具备防呆设计，有效避免误操作；</w:t>
                  </w:r>
                  <w:r>
                    <w:br/>
                  </w:r>
                  <w:r>
                    <w:rPr>
                      <w:sz w:val="21"/>
                    </w:rPr>
                    <w:t>k) 各主要部件拆装无障碍 ，使用常规工具拆装 ，无特殊拆装工具需求；</w:t>
                  </w:r>
                  <w:r>
                    <w:br/>
                  </w:r>
                  <w:r>
                    <w:rPr>
                      <w:sz w:val="21"/>
                    </w:rPr>
                    <w:t>l) 各主要部件拆装步骤要少 ，各自拆装需避免相互干扰；</w:t>
                  </w:r>
                  <w:r>
                    <w:br/>
                  </w:r>
                  <w:r>
                    <w:rPr>
                      <w:sz w:val="21"/>
                    </w:rPr>
                    <w:t>m) 对于整机或零部件外表面为高亮面的，应粘贴保护膜，保护膜需粘贴牢固，运输、组装等过程不易脱落，撕下无残留；</w:t>
                  </w:r>
                  <w:r>
                    <w:br/>
                  </w:r>
                  <w:r>
                    <w:rPr>
                      <w:sz w:val="21"/>
                    </w:rPr>
                    <w:t>n) 其它要求应符合 GB/T 9813.1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*机箱防护要求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机箱应符合</w:t>
                  </w:r>
                  <w:r>
                    <w:rPr>
                      <w:sz w:val="21"/>
                    </w:rPr>
                    <w:t>GB/T 4208 中 IP20 防护要求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*整机噪音</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产品工作在空闲状态下，产品的声功率级应不超过</w:t>
                  </w:r>
                  <w:r>
                    <w:rPr>
                      <w:sz w:val="21"/>
                    </w:rPr>
                    <w:t>4.5 Bel</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*整机散热</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在环境温度</w:t>
                  </w:r>
                  <w:r>
                    <w:rPr>
                      <w:sz w:val="21"/>
                    </w:rPr>
                    <w:t>25℃及处理器满载情况下，产品表面温度应符合下列要求：</w:t>
                  </w:r>
                  <w:r>
                    <w:br/>
                  </w:r>
                  <w:r>
                    <w:rPr>
                      <w:sz w:val="21"/>
                    </w:rPr>
                    <w:t>a) 出风口在机箱后面板情况下 ，出风口温度不高于55℃ ;</w:t>
                  </w:r>
                  <w:r>
                    <w:br/>
                  </w:r>
                  <w:r>
                    <w:rPr>
                      <w:sz w:val="21"/>
                    </w:rPr>
                    <w:t>b) 可触及面温度小于45℃ ;</w:t>
                  </w:r>
                  <w:r>
                    <w:br/>
                  </w:r>
                  <w:r>
                    <w:rPr>
                      <w:sz w:val="21"/>
                    </w:rPr>
                    <w:t>c) 显示器表面温度：显示屏温度不高于 38℃ , 显示屏上下灯带位置温度（如涉及）不高于40℃ , 出风口温度不高于 45℃</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*整机能效限定值</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产品能效限定值应达到</w:t>
                  </w:r>
                  <w:r>
                    <w:rPr>
                      <w:sz w:val="21"/>
                    </w:rPr>
                    <w:t>GB 28380-2012标准中能效等级 2 级及以上</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*机身颜色</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*机箱尺寸容量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机箱体积应不大于</w:t>
                  </w:r>
                  <w:r>
                    <w:rPr>
                      <w:sz w:val="21"/>
                    </w:rPr>
                    <w:t>65L</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物理核数</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w:t>
                  </w:r>
                  <w:r>
                    <w:rPr>
                      <w:sz w:val="21"/>
                    </w:rPr>
                    <w:t>≥24，线程数 ≥32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主频</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性能核</w:t>
                  </w:r>
                  <w:r>
                    <w:rPr>
                      <w:sz w:val="21"/>
                    </w:rPr>
                    <w:t>≥3.2GHz，能效核≥2.4GHz</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末级缓存容量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≥32MB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 支持的内存最高速率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≥5600MT/s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*内存读写速率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≥4400MT/s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*显示分辨率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≥3840×2160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*显卡显示芯片核心频率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≥2.2GHz</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*显存等效频率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≥1600MT/s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*显卡可支持多屏同时显示数量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4 块屏幕同时显示，分辨率应不低于 3840×2160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显示设备性能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*显示屏刷新率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≥100Hz</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*显示屏位深</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*显示屏色域</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 sRGB</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*显示屏色准</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 ≤ 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*显示屏响应时间</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≤6ms</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 尼特（典型）</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*显示屏亮度一致性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*显示屏对比度</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≥1300 ：1（静态）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*显示屏其他参数</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w:t>
                  </w:r>
                  <w:r>
                    <w:rPr>
                      <w:sz w:val="21"/>
                    </w:rPr>
                    <w:t>SJ/T 11292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*有线网卡速率</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w:t>
                  </w:r>
                  <w:r>
                    <w:rPr>
                      <w:sz w:val="21"/>
                    </w:rPr>
                    <w:t>2500Mbps ，应支持10Mbps 、100Mbps 、2500Mbps 速率自适应</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*内存扩展接口</w:t>
                  </w:r>
                  <w:r>
                    <w:rPr>
                      <w:sz w:val="21"/>
                    </w:rPr>
                    <w:t>（板载内存不涉及）</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存储扩展接口</w:t>
                  </w:r>
                  <w:r>
                    <w:rPr>
                      <w:sz w:val="21"/>
                    </w:rPr>
                    <w:t>（板载存储不涉及）</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支持存储设备扩展接口</w:t>
                  </w:r>
                  <w:r>
                    <w:rPr>
                      <w:sz w:val="21"/>
                    </w:rPr>
                    <w:t>≥8 个 ，如SATA3.0 、M.2 等接口类型</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*主板USB 瞬间过流保护</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支持瞬间过流保护功能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*主板防静电保护</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支持防静电保护功能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I/O 接口功能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提供基于标准</w:t>
                  </w:r>
                  <w:r>
                    <w:rPr>
                      <w:sz w:val="21"/>
                    </w:rPr>
                    <w:t>USB 接口外设连接功能、基于音频输出接口的音频扩展功能 、基于 PCIe 接口板卡扩展功能 、基于存储接口对产品进行增容功能等。工作站 I/O 接口应具备外接标准USB 设备、显示器、音频设备等内外部设备能力</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*显卡外接显示接口</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w:t>
                  </w:r>
                  <w:r>
                    <w:rPr>
                      <w:sz w:val="21"/>
                    </w:rPr>
                    <w:t>至少支持</w:t>
                  </w:r>
                  <w:r>
                    <w:rPr>
                      <w:sz w:val="21"/>
                    </w:rPr>
                    <w:t>VGA</w:t>
                  </w:r>
                  <w:r>
                    <w:rPr>
                      <w:sz w:val="21"/>
                    </w:rPr>
                    <w:t>、</w:t>
                  </w:r>
                  <w:r>
                    <w:rPr>
                      <w:sz w:val="21"/>
                    </w:rPr>
                    <w:t>HDMI</w:t>
                  </w:r>
                  <w:r>
                    <w:rPr>
                      <w:sz w:val="21"/>
                    </w:rPr>
                    <w:t>、</w:t>
                  </w:r>
                  <w:r>
                    <w:rPr>
                      <w:sz w:val="21"/>
                    </w:rPr>
                    <w:t>DVI</w:t>
                  </w:r>
                  <w:r>
                    <w:rPr>
                      <w:sz w:val="21"/>
                    </w:rPr>
                    <w:t>、</w:t>
                  </w:r>
                  <w:r>
                    <w:rPr>
                      <w:sz w:val="21"/>
                    </w:rPr>
                    <w:t>DP</w:t>
                  </w:r>
                  <w:r>
                    <w:rPr>
                      <w:sz w:val="21"/>
                    </w:rPr>
                    <w:t>、</w:t>
                  </w:r>
                  <w:r>
                    <w:rPr>
                      <w:sz w:val="21"/>
                    </w:rPr>
                    <w:t xml:space="preserve">Type-C </w:t>
                  </w:r>
                  <w:r>
                    <w:rPr>
                      <w:sz w:val="21"/>
                    </w:rPr>
                    <w:t xml:space="preserve">中 </w:t>
                  </w:r>
                  <w:r>
                    <w:rPr>
                      <w:sz w:val="21"/>
                    </w:rPr>
                    <w:t xml:space="preserve">1 </w:t>
                  </w:r>
                  <w:r>
                    <w:rPr>
                      <w:sz w:val="21"/>
                    </w:rPr>
                    <w:t>种显示接口，并与显示器接口相匹配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独立显卡数量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*显示器接口</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显示器应与显卡外接显示接口匹配</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*显示器支架</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显示器应提供显示器支架，宜支持屏幕旋转</w:t>
                  </w:r>
                  <w:r>
                    <w:rPr>
                      <w:sz w:val="21"/>
                    </w:rPr>
                    <w:t>、支架可升降等</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*显示器参数调节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 提供 OSD 选单按钮用于调节色彩、模式等；</w:t>
                  </w:r>
                  <w:r>
                    <w:br/>
                  </w:r>
                  <w:r>
                    <w:rPr>
                      <w:sz w:val="21"/>
                    </w:rPr>
                    <w:t>b) 支持色温 、亮度 、对比度调节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w:t>
                  </w:r>
                  <w:r>
                    <w:rPr>
                      <w:sz w:val="21"/>
                    </w:rPr>
                    <w:t xml:space="preserve">SATA </w:t>
                  </w:r>
                  <w:r>
                    <w:rPr>
                      <w:sz w:val="21"/>
                    </w:rPr>
                    <w:t>固态存储</w:t>
                  </w:r>
                  <w:r>
                    <w:rPr>
                      <w:sz w:val="21"/>
                    </w:rPr>
                    <w:t xml:space="preserve">/PCIe </w:t>
                  </w:r>
                  <w:r>
                    <w:rPr>
                      <w:sz w:val="21"/>
                    </w:rPr>
                    <w:t>固态存储</w:t>
                  </w:r>
                  <w:r>
                    <w:rPr>
                      <w:sz w:val="21"/>
                    </w:rPr>
                    <w:t xml:space="preserve">/UFS </w:t>
                  </w:r>
                  <w:r>
                    <w:rPr>
                      <w:sz w:val="21"/>
                    </w:rPr>
                    <w:t>固态存储</w:t>
                  </w:r>
                  <w:r>
                    <w:rPr>
                      <w:sz w:val="21"/>
                    </w:rPr>
                    <w:t xml:space="preserve">/SATA </w:t>
                  </w:r>
                  <w:r>
                    <w:rPr>
                      <w:sz w:val="21"/>
                    </w:rPr>
                    <w:t>硬磁盘等存储部件提供存储功能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*网络功能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a)支持网络连接、网络开启/关闭功能；</w:t>
                  </w:r>
                  <w:r>
                    <w:br/>
                  </w:r>
                  <w:r>
                    <w:rPr>
                      <w:sz w:val="21"/>
                    </w:rPr>
                    <w:t>b)支持访问网络和数据交换功能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*数据传输</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支持数据传输能力，并提供数据流量和异常日志记录功能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*有线网卡接口类型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RJ45 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网络设备拆装</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若配备的网络设备应支持物理拆装，包括无线网卡和蓝牙模块等</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*音频接口类型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3.5mm 孔径 3 段式或 4 段式接口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singl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*视频接口类型</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至少支持</w:t>
                  </w:r>
                  <w:r>
                    <w:rPr>
                      <w:sz w:val="21"/>
                    </w:rPr>
                    <w:t>HDMI、DP中 1 种显示接口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singl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*HDMI、DP、Type-C显示接口要求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若提供</w:t>
                  </w:r>
                  <w:r>
                    <w:rPr>
                      <w:sz w:val="21"/>
                    </w:rPr>
                    <w:t>HDMI 或 DP 或 Type-C 作为显示接口，应支持音频和视频同步输出</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电源线适配能力</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电源适配器电线组件应符合</w:t>
                  </w:r>
                  <w:r>
                    <w:rPr>
                      <w:sz w:val="21"/>
                    </w:rPr>
                    <w:t>GB/T 15934</w:t>
                  </w:r>
                  <w:r>
                    <w:rPr>
                      <w:sz w:val="21"/>
                    </w:rPr>
                    <w:t>的要求，可拆线的插头和连接器可以不做要求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操作系统及软件功能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*中文信息处理要求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 18030 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*操作系统备份及还原功能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支持操作系统备份及还原功能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*固件备份还原能力</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支持备份及还原固件的功能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*操作系统及驱动升级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支持通过网络、闪存盘等方式对操作系统</w:t>
                  </w:r>
                  <w:r>
                    <w:rPr>
                      <w:sz w:val="21"/>
                    </w:rPr>
                    <w:t>、驱动进行升级</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*BIOS 支持关闭通讯接口</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BIOS 关闭以太网及 USB 接口功能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*固件查看信息</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支持查看固件版本、内存信息、主板信息、处理器信息和系统时间信息等功能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*固件设置启动顺序</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支持设置启动顺序功能，并按照设置的启动顺序启动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*固件设置口令</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支持设置口令、修改口令、验证口令功能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*固件设置网络引导</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支持网络引导启动和关闭功能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硬件加速功能</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NPU/GPU等 AI 加速模块</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w:t>
                  </w:r>
                  <w:r>
                    <w:rPr>
                      <w:sz w:val="21"/>
                    </w:rPr>
                    <w:t>GPU AI 加速模块</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视频编解码加速模块</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支持视频编解码加速模块</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影像处理加速模块</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支持影像处理加速模块</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存储设备可靠性</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*固态存储寿命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寿命</w:t>
                  </w:r>
                  <w:r>
                    <w:rPr>
                      <w:sz w:val="21"/>
                    </w:rPr>
                    <w:t>≥ 500TBW</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机械硬盘寿命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通电时间</w:t>
                  </w:r>
                  <w:r>
                    <w:rPr>
                      <w:sz w:val="21"/>
                    </w:rPr>
                    <w:t>≥</w:t>
                  </w:r>
                  <w:r>
                    <w:rPr>
                      <w:sz w:val="21"/>
                    </w:rPr>
                    <w:t>5</w:t>
                  </w:r>
                  <w:r>
                    <w:rPr>
                      <w:sz w:val="21"/>
                    </w:rPr>
                    <w:t>万小时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显示设备可靠性</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*显示屏屏幕失效点</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9813.2 的要求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外设可靠性</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*键盘按键寿命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 万次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*鼠标按键寿命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 万次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*键盘鼠标线材寿命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键盘鼠标所用线材经</w:t>
                  </w:r>
                  <w:r>
                    <w:rPr>
                      <w:sz w:val="21"/>
                    </w:rPr>
                    <w:t>±60 °弯折不低于 3000 次 ，功能 、外观完好</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*风扇寿命</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万小时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整机可靠性要求</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*电磁兼容性要求的抗扰度</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9254.2 的规定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*环境条件要求的气候环境适应性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*环境条件要求的振动适应性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*环境条件要求的冲击适应性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*环境条件要求的碰撞适应性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*环境条件要求的运输包装件跌落适应性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9813.1 中规定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*MTBF 测试</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 (m1)≥3 万小时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*常用软件兼容</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应支持流式软件</w:t>
                  </w:r>
                  <w:r>
                    <w:rPr>
                      <w:sz w:val="21"/>
                    </w:rPr>
                    <w:t>、版式软件</w:t>
                  </w:r>
                  <w:r>
                    <w:rPr>
                      <w:sz w:val="21"/>
                    </w:rPr>
                    <w:t>、浏览器、邮件客户端、解压软件、多媒体、图形图像处理等常用软件</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*数据库兼容</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个及以上厂商的数据库产品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*中间件兼容</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个及以上厂商中间件产品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*平台软件兼容</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w:t>
                  </w:r>
                  <w:r>
                    <w:rPr>
                      <w:sz w:val="21"/>
                    </w:rPr>
                    <w:t>3 个及以上厂商云计算及大数据平台</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*标志、包装 、运输和贮存</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GB/T9813.1 和商品包装政府采购需求标准的相关规定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*配置检查工具</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供应商提供经自检测试工具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*服务响应</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a）提供产品3 年维保及上门服务（满足同城 4 小时、异地 12 小时响应要求）；</w:t>
                  </w:r>
                  <w:r>
                    <w:br/>
                  </w:r>
                  <w:r>
                    <w:rPr>
                      <w:sz w:val="21"/>
                    </w:rPr>
                    <w:t>b）提供政企专线 7*24 在线服务；</w:t>
                  </w:r>
                  <w:r>
                    <w:br/>
                  </w:r>
                  <w:r>
                    <w:rPr>
                      <w:sz w:val="21"/>
                    </w:rPr>
                    <w:t>c）现场保障技术服务团队员 ，国内上门服务地级市覆盖率达 100%</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*服务周期</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支持产品延保</w:t>
                  </w:r>
                  <w:r>
                    <w:rPr>
                      <w:sz w:val="21"/>
                    </w:rPr>
                    <w:t>≥3 年，提供每年延保服务报价提供备件服务能力≥6 年（自购买之日起）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*预装操作系统</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预装符合桌面操作系统政府采购需求标准的正版操作系统</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*培训服务</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*典型问题解决手册</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供应商提供典型问题解决说明文档或频</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*厂家升级软件与扩容服务</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w:t>
                  </w:r>
                  <w:r>
                    <w:rPr>
                      <w:sz w:val="21"/>
                    </w:rPr>
                    <w:t>/软件的增值服务</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*整机质量服务要求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免费服务周期（含换件和维修）应不小于</w:t>
                  </w:r>
                  <w:r>
                    <w:rPr>
                      <w:sz w:val="21"/>
                    </w:rPr>
                    <w:t>3年</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*合格证书要求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*开箱组装/使用指导要求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w:t>
                  </w:r>
                  <w:r>
                    <w:rPr>
                      <w:sz w:val="21"/>
                    </w:rPr>
                    <w:t>/使用指导</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*驱动下载服务要求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519"/>
                  <w:vMerge/>
                  <w:tcBorders>
                    <w:top w:val="none" w:color="000000" w:sz="4"/>
                    <w:left w:val="none" w:color="000000" w:sz="4"/>
                    <w:bottom w:val="non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*兼容适配软件下载服务要求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w:t>
                  </w:r>
                  <w:r>
                    <w:rPr>
                      <w:sz w:val="21"/>
                    </w:rPr>
                    <w:t>、网站）</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*产品部件保障</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保障产品主要部件提供</w:t>
                  </w:r>
                  <w:r>
                    <w:rPr>
                      <w:sz w:val="21"/>
                    </w:rPr>
                    <w:t>6 年的备件服务能力(自购买之日起)，或提供可兼容原设备的升级换代产品</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*抗干扰性</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*供应能力证明</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供应商提供供应链稳定承诺书，确保产品的部件在产品服务周期内稳定供货</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CPU和操作系统等关键部件应当符合安全可靠测评要求</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整机安全性要求</w:t>
                  </w: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密码算法实现</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CPU</w:t>
                  </w:r>
                  <w:r>
                    <w:rPr>
                      <w:sz w:val="21"/>
                    </w:rPr>
                    <w:t>芯片应符合</w:t>
                  </w:r>
                  <w:r>
                    <w:rPr>
                      <w:sz w:val="21"/>
                    </w:rPr>
                    <w:t>GM/T 0008</w:t>
                  </w:r>
                  <w:r>
                    <w:rPr>
                      <w:sz w:val="21"/>
                    </w:rPr>
                    <w:t>的相关规定，或芯片密码模块应符合</w:t>
                  </w:r>
                  <w:r>
                    <w:rPr>
                      <w:sz w:val="21"/>
                    </w:rPr>
                    <w:t xml:space="preserve">GB/T 37092 </w:t>
                  </w:r>
                  <w:r>
                    <w:rPr>
                      <w:sz w:val="21"/>
                    </w:rPr>
                    <w:t>或</w:t>
                  </w:r>
                  <w:r>
                    <w:rPr>
                      <w:sz w:val="21"/>
                    </w:rPr>
                    <w:t xml:space="preserve">GM/T 0028 </w:t>
                  </w:r>
                  <w:r>
                    <w:rPr>
                      <w:sz w:val="21"/>
                    </w:rPr>
                    <w:t>的相关规定</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*信息安全基本要求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应符合</w:t>
                  </w:r>
                  <w:r>
                    <w:rPr>
                      <w:sz w:val="21"/>
                    </w:rPr>
                    <w:t xml:space="preserve"> GB/T 39276</w:t>
                  </w:r>
                  <w:r>
                    <w:rPr>
                      <w:sz w:val="21"/>
                    </w:rPr>
                    <w:t>的</w:t>
                  </w:r>
                  <w:r>
                    <w:rPr>
                      <w:sz w:val="21"/>
                    </w:rPr>
                    <w:t>5.2</w:t>
                  </w:r>
                  <w:r>
                    <w:rPr>
                      <w:sz w:val="21"/>
                    </w:rPr>
                    <w:t>的规定；</w:t>
                  </w:r>
                </w:p>
                <w:p>
                  <w:pPr>
                    <w:pStyle w:val="null3"/>
                    <w:jc w:val="left"/>
                  </w:pPr>
                  <w:r>
                    <w:rPr>
                      <w:sz w:val="21"/>
                    </w:rPr>
                    <w:t>b) 生产厂商应建立漏洞跟踪表 ，保证产品版本涉及到的漏洞(如驱动程序等)可查看；</w:t>
                  </w:r>
                </w:p>
                <w:p>
                  <w:pPr>
                    <w:pStyle w:val="null3"/>
                    <w:jc w:val="left"/>
                  </w:pPr>
                  <w:r>
                    <w:rPr>
                      <w:sz w:val="21"/>
                    </w:rPr>
                    <w:t>c) 产品不得包含已知的恶意代码或漏洞，不存在未声明的指令、功能、接口。</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*固件安全启动</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支持固件安全启动功能，固件启动过程</w:t>
                  </w:r>
                  <w:r>
                    <w:br/>
                  </w:r>
                  <w:r>
                    <w:rPr>
                      <w:sz w:val="21"/>
                    </w:rPr>
                    <w:t>中只有通过启动校验才能正常启动</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w:t>
                  </w:r>
                </w:p>
              </w:tc>
              <w:tc>
                <w:tcPr>
                  <w:tcW w:type="dxa" w:w="4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519"/>
                  <w:vMerge/>
                  <w:tcBorders>
                    <w:top w:val="none" w:color="000000" w:sz="4"/>
                    <w:left w:val="none" w:color="000000" w:sz="4"/>
                    <w:bottom w:val="single" w:color="000000" w:sz="4"/>
                    <w:right w:val="single" w:color="000000" w:sz="4"/>
                  </w:tcBorders>
                </w:tcPr>
                <w:p/>
              </w:tc>
              <w:tc>
                <w:tcPr>
                  <w:tcW w:type="dxa" w:w="11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*限用物质的限量要求</w:t>
                  </w:r>
                </w:p>
              </w:tc>
              <w:tc>
                <w:tcPr>
                  <w:tcW w:type="dxa" w:w="3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w:t>
                  </w:r>
                  <w:r>
                    <w:rPr>
                      <w:sz w:val="21"/>
                    </w:rPr>
                    <w:t>GB/T 26572 中规定</w:t>
                  </w:r>
                </w:p>
              </w:tc>
            </w:tr>
          </w:tbl>
          <w:p>
            <w:pPr>
              <w:pStyle w:val="null3"/>
              <w:jc w:val="left"/>
            </w:pPr>
            <w:r>
              <w:rPr>
                <w:sz w:val="24"/>
                <w:b/>
              </w:rPr>
              <w:t>注</w:t>
            </w:r>
            <w:r>
              <w:rPr>
                <w:sz w:val="24"/>
                <w:b/>
              </w:rPr>
              <w:t>1：供应商在投标时出具关于所提供的“GPU计算工作站采购”是否满足上述表格中标*号</w:t>
            </w:r>
            <w:r>
              <w:rPr>
                <w:sz w:val="24"/>
                <w:b/>
              </w:rPr>
              <w:t>对应的指标要求</w:t>
            </w:r>
            <w:r>
              <w:rPr>
                <w:sz w:val="24"/>
                <w:b/>
              </w:rPr>
              <w:t>的承诺函，承诺满足的视为符合要求。（投标时提交承诺，可参照</w:t>
            </w:r>
            <w:r>
              <w:rPr>
                <w:sz w:val="24"/>
                <w:b/>
              </w:rPr>
              <w:t>“投标格式”中《承诺函》格式）</w:t>
            </w:r>
          </w:p>
          <w:p>
            <w:pPr>
              <w:pStyle w:val="null3"/>
            </w:pPr>
            <w:r>
              <w:rPr>
                <w:sz w:val="24"/>
                <w:b/>
              </w:rPr>
              <w:t>★注2：标*</w:t>
            </w:r>
            <w:r>
              <w:rPr>
                <w:sz w:val="24"/>
                <w:b/>
              </w:rPr>
              <w:t>号对应的指标要求</w:t>
            </w:r>
            <w:r>
              <w:rPr>
                <w:sz w:val="24"/>
                <w:b/>
              </w:rPr>
              <w:t>，为实质性条款，供应商所投产品必须满足，否则投标无效。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采购包3（3m浮标、声学释放器、声学多普勒流速剖面仪、声学多普勒流速剖面仪（6000m耐压）采购）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国内货物：合同签订后30天内完成供货、安装、调试。 国外货物：中标供应商须在合同签订及取得该项目仪器设备进口免税批文之日起60个工作日内完成供货、安装、调试。</w:t>
            </w:r>
          </w:p>
        </w:tc>
      </w:tr>
      <w:tr>
        <w:tc>
          <w:tcPr>
            <w:tcW w:type="dxa" w:w="4153"/>
          </w:tcPr>
          <w:p>
            <w:pPr>
              <w:pStyle w:val="null3"/>
            </w:pPr>
            <w:r>
              <w:rPr/>
              <w:t>标的提供的地点</w:t>
            </w:r>
          </w:p>
        </w:tc>
        <w:tc>
          <w:tcPr>
            <w:tcW w:type="dxa" w:w="4153"/>
          </w:tcPr>
          <w:p>
            <w:pPr>
              <w:pStyle w:val="null3"/>
            </w:pPr>
            <w:r>
              <w:rPr/>
              <w:t>送货至采购人指定地点，安装及调试完毕。</w:t>
            </w:r>
          </w:p>
        </w:tc>
      </w:tr>
      <w:tr>
        <w:tc>
          <w:tcPr>
            <w:tcW w:type="dxa" w:w="4153"/>
          </w:tcPr>
          <w:p>
            <w:pPr>
              <w:pStyle w:val="null3"/>
            </w:pPr>
            <w:r>
              <w:rPr/>
              <w:t>付款方式</w:t>
            </w:r>
          </w:p>
        </w:tc>
        <w:tc>
          <w:tcPr>
            <w:tcW w:type="dxa" w:w="4153"/>
          </w:tcPr>
          <w:p>
            <w:pPr>
              <w:pStyle w:val="null3"/>
            </w:pPr>
            <w:r>
              <w:rPr/>
              <w:t>1期：支付比例100%,1.境内供货的货物： 1.1非中小企业： 1期：全部货物现场安装及调试完毕并验收合格，采购人收到中标供应商出具的货物结算款全额增值税专用发票后，在10个工作日内支付结算款的100％给中标供应商，若中标供应商不提供货物结算款全额增值税专用发票的，采购人有权拒绝付款。 1.2中小企业： 1期：支付比例30%，签订合同后，中标供应商提供合同货款30%的增值税专用发票给采购人，采购人在5个工作日内向中标供应商支付30%的合同货款作为预付款。 2期：支付比例70%，全部货物现场安装及调试完毕并验收合格，中标供应商提供合同货款70%的增值税专用发票给采购人作为报账凭证，采购人在10个工作日内支付合同货款70%给中标供应商。若中标供应商不提供供货货物结算款增值税专用发票的，采购人有权拒绝付款。 2.境外免税进口设备： 2.1本条款涉及到的汇率，均指当日平均汇率。 2.2付款方式约定： （1）在合同的供货期内的，支付方式为：“人民币全包价”，即合同约定为人民币合同，进口货款、代理手续费、国内清关费用等所有支出全包人民币价格，以人民币中标价签订采购合同、人民币结算、人民币支付。 （2）超出合同供货期的，支付方式为：以开标日的人民币对美元汇率将合同人民币金额换算为美元金额后，按结算日人民币对美元汇率结算，以人民币支付，但结算总金额限于合同人民币总金额内。 2.3具体付款办法 合同签订后，由采购人委托进口代理公司配合中标供应商办理免税进口相关事宜，中标供应商须先行垫付货款办理货物进口。全部货物现场安装及调试完毕并验收合格后，采购人根据进口代理公司出具的境外免税进口货物结算请款材料后，在10个工作日内内办理付款，具体如下： （1）在合同的供货期内的，通过进口代理公司支付结算请款额的100％。 （2）超出合同供货期的，以开标日的人民币对美元汇率将合同人民币金额换算为美元金额后，按结算日人民币对美元汇率进行结算，通过进口代理公司以人民币支付结算金额（支付的结算总金额限于合同人民币总金额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1期：（1）中标供应商对合同货物安装、调试和培训完成后，认为达到使用要求的，应向采购人提出书面验收申请，采购人无异议的，7日内组织验收，验收应在采购人、中标供应商双方共同参加下进行。 （2）货物的验收按合同规定的技术要求和国家有关的规定、规范进行，质量需符合国家对相关产品的质量标准。验收时如发现所交付的货物有短装、次品、损坏或其它不符合合同规定的，采购人应作出详尽的现场记录，并交由中标供应商签字确认，或由采购人、中标供应商双方签署备忘录。此现场记录或备忘录可用作补充、缺失和更换损坏部件的有效证据。由此产生的有关费用由中标供应商承担。 （3）因货物质量问题发生较大争议时，由广东省质检部门鉴定或双方共同委托有资质的机构进行鉴定。货物符合合同技术要求的，鉴定费由采购人承担；否则鉴定费由中标供应商承担。对验收或鉴定确认不合格的货物，中标供应商应在5个工作日内整改完毕并按合同约定的质量标准交货，否则采购人有权拒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账号：679557760592</w:t>
            </w:r>
          </w:p>
          <w:p>
            <w:pPr>
              <w:pStyle w:val="null3"/>
            </w:pPr>
            <w:r>
              <w:rPr/>
              <w:t>户名：广东海洋大学</w:t>
            </w:r>
          </w:p>
          <w:p>
            <w:pPr>
              <w:pStyle w:val="null3"/>
            </w:pPr>
            <w:r>
              <w:rPr/>
              <w:t>开户行：中国银行股份有限公司湛江霞山支行</w:t>
            </w:r>
          </w:p>
          <w:p>
            <w:pPr>
              <w:pStyle w:val="null3"/>
            </w:pPr>
            <w:r>
              <w:rPr/>
              <w:t>支票提交方式：供应商应以银行支票（或现金支票）形式提交应以银行支票（或现金支票）形式提交，且需为不可撤销、见票即付的即期支票，收款人注明为广东海洋大学。</w:t>
            </w:r>
          </w:p>
          <w:p>
            <w:pPr>
              <w:pStyle w:val="null3"/>
            </w:pPr>
            <w:r>
              <w:rPr/>
              <w:t>汇票、本票提交方式：供应商应以银行承兑汇票或商业承兑汇票形式提交，且需为不可撤销、无条件付款的即期票据，收款人注明为广东海洋大学。</w:t>
            </w:r>
          </w:p>
          <w:p>
            <w:pPr>
              <w:pStyle w:val="null3"/>
            </w:pPr>
            <w:r>
              <w:rPr/>
              <w:t>说明：（1）中标供应商在合同签订后5个工作日内应向采购人支付合同金额的5%作为履约保证金（中标供应商在银行转账时需备注写明招标采购合同编号，以便采购人财务人员查核）。 （2）如中标供应商逾期不缴纳履约保证金，视为中标供应商放弃供应商资格。 （3）履约保证金的退还：项目验收合格后1个月内，中标供应商凭验收单据以及履约保证金收据向采购人提交退还申请，采购人在收到中标供应商申请及规定单据之日起10个工作日内无息退还给中标供应商，否则不予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（一）货物技术要求、质量保证及使用合法性，1.中标供应商所提供的货物须符合国家有关规范、标准，并满足合同技术要求。 2.中标供应商保证所提供的货物是全新、未曾使用过的。 3.中标供应商保证合同项下提供的货物不侵犯任何第三方的专利、商标或版权，在中国境内可依常规安全、合法使用。否则，中标供应商须承担对第三方的专利或版权的侵权责任并承担因此给采购人造成的损失（包括但不限于相关的诉讼费、律师费、违约金等费用）。 4.进口产品须具备原产地证明和商检局的检验证明及合法进货渠道证明。</w:t>
            </w:r>
          </w:p>
          <w:p>
            <w:pPr>
              <w:pStyle w:val="null3"/>
            </w:pPr>
            <w:r>
              <w:rPr/>
              <w:t>（二）合同货物的包装、交货、安装，1.货物的包装： 货物的包装均应有良好的防湿、防锈、防潮、防雨、防腐及防碰撞的措施。凡由于包装不良造成的损失和由此产生的费用均由中标供应商承担。 2.货物的交货： （1）中标供应商交货时间： 国内货物：合同签订后30天内完成供货、安装、调试。 国外货物：中标供应商须在合同签订及取得该项目仪器设备进口免税批文之日起60个工作日内完成供货、安装、调试。 （2）中标供应商交货地点：送货至采购人指定地点，安装及调试完毕。 （3）中标供应商应保证所提供的货物须为原厂商未启封全新包装且为2025年1月1日之后生产，同时应将所供货物的用户手册、使用说明书等有关资料与货物一同交付给采购人。 （4）中标供应商应保证所提供货物的技术性能达到合同的各项技术要求，否则将被看作性能不合格，采购人有权拒收并要求赔偿。 （5）中标供应商应保证所提供的产品规格、型号、技术参数、产地须与合同、招标（磋商）文件、投标（响应）文件规定一致，若出现不符，采购人有权拒收，中标供应商须及时办理退换货并负担全部费用及由此给采购人造成的全部损失。 3.合同货物的安装、调试： （1）中标供应商负责合同项下货物的安装、调试，一切费用由中标供应商负责。如果合同货物运输和调试过程中因事故造成货物短缺、损坏，中标供应商应及时安排换装，以保证合同货物安装、调试的成功完成。换货的相关费用由中标供应商承担。 （2）货物到达采购人指定地点后，中标供应商应派有资质的技术人员到采购人指定地完成安装、调试工作。 （3）货物安装、调试过程中，中标供应商技术人员应负责对采购人人员进行使用、维护保养及相关培训。 （4）中标供应商负责其技术人员在采购人现场进行安装、调试期间所产生的费用（包括但不限于人工费、交通费、人身损害赔偿费等）；如因中标供应商责任造成的延期，所有因安装、调试延期而产生的费用由中标供应商负责。 （5）中标供应商须将货物、系统安装并调试至正常运行的最佳状态。 （6）中标供应商进行安装、调试时须对各调试场地内的其他货物、设施有良好保护措施。 （7）中标供应商安装、调试期间需做到安全文明施工，不损坏采购人的设备设施，否则原价赔偿。</w:t>
            </w:r>
          </w:p>
          <w:p>
            <w:pPr>
              <w:pStyle w:val="null3"/>
            </w:pPr>
            <w:r>
              <w:rPr/>
              <w:t>（三）质保期及售后服务，1.质保期：所有产品均需提供不少于3年质量保证和上门保修服务（另有特别说明的货物除外），质保期从货物验收合格之日起，质保期内的上门保修服务及因设备故障维修产生的相关费用已包含在投标报价中，采购人不额外支付。 2.中标供应商应指派专人负责与采购人联系售后服务事宜。在质保期内货物质量出现问题，无论设备因何种原因发生何种故障，中标供应商须在接到通知后2小时内有专人回复。若维修工程电话不能解决故障，中标供应商须保证在24小时内派人到现场进行处理，同时负责三包（包修、包退、包换），如在采购人规定时间内不能解决问题的，应在48小时内提供相同的货物给采购人代用，并保证满足采购人工作需求，直到原货物修复。质保期内发生的所有费用由中标供应商负责，需要重新更换货物的，中标供应商应承担更换货物所产生的一切费用。 3.下列情况中标供应商不负责免费保修： （1）不按照货物使用说明书提供的方法使用而引致系统或货物故障损坏； （2）擅自修改系统或改装货物； （3）各种天灾等外来因素造成的损坏。 4.售后服务未尽事宜，以中标供应商投标文件中的售后服务承诺作为补充，售后服务承诺优于合同约定的，以中标供应商承诺为准。</w:t>
            </w:r>
          </w:p>
          <w:p>
            <w:pPr>
              <w:pStyle w:val="null3"/>
            </w:pPr>
            <w:r>
              <w:rPr/>
              <w:t>（四）培训方案，货物安装调试完毕，中标供应商须组织采购人使用人员进行使用及日常维护等的培训，主要内容为货物的基本结构、性能、主要部件/模块的构造及维护、日常使用与管理、常见故障的排除、紧急情况的处理等。</w:t>
            </w:r>
          </w:p>
          <w:p>
            <w:pPr>
              <w:pStyle w:val="null3"/>
            </w:pPr>
            <w:r>
              <w:rPr/>
              <w:t>（五）其他要求，1.投标人应对投标设备列明其品牌、型号、制造商名称、产地、技术参数、功能介绍和使用说明。 2.投标人必须对其所投产品的生产厂家、品牌、型号应予以核实，必须与实际供货产品铭牌上所标识的完全一致，否则将无法验收，由此导致的包括合同违约等一切后果将由投标人承担。 3.投标人所投设备及材料应是原厂原装、全新的产品，并符合下列要求：国家标准、行业标准以及该产品的出厂标准。 4.伴随服务（费用包含在投标总价内）：全部设备的技术设计、运输、安装调试、人员培训、售后服务、含税（国内产品）等费用。 ★5.本项目允许进口产品参与竞争的采购标的；投标人若以进口产品参与投标，须提供制造商或代理商出具的针对本项目所投产品的合法授权证明文件（复印件加盖公章），否则作无效投标处理。（如为制造商投标，则不需提供。） 6.允许进口产品参与竞争的采购标的，投标人若以进口产品参与投标的，须用人民币报价。采购人为教育部门，享受海关的进口科教用品免税优惠政策，投标人可报设备免税价（海关规定不能免税的设备除外）。相关办理免税手续由中标人负责。 7.境外免税进口的货物报价总金额应包括： （1）合同内所有货物及配件费； （2）机场码头费； （3）安装调试费、质保期服务及合同实施执行过程中的不可预见费用等所有的含税费用； （4）安装中的相关费用（包括安装过程中损耗、额外材料、设计费等）； （5）货物运至最终目的地的内陆运输、保险和伴随货物交运的有关费用； （6）人员培训和售后服务的相关费用； （7）对于特殊货物，需要特殊处理的费用。 （8）外贸进口有关的一切费用（外贸代理公司的代理费用、清关费用、银行手续费、海关监管手续费、报关费用、商检费用、申办机电批文费用、机场码头费等）。采购人享受海关科教用品免税政策，由采购人委托进口代理公司办理免税进口相关事宜。 （9）如国家政策原因影响导致不能办理免税或免税外加征关税所产生的税金，或因中标供应商原因自愿放弃办理免税所产生的税金，均由中标供应商承担。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声学释放器</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180,000.00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声学多普勒流速剖面仪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330,000.00</w:t>
            </w:r>
          </w:p>
        </w:tc>
        <w:tc>
          <w:tcPr>
            <w:tcW w:type="dxa" w:w="831"/>
          </w:tcPr>
          <w:p>
            <w:pPr>
              <w:pStyle w:val="null3"/>
              <w:jc w:val="right"/>
            </w:pPr>
            <w:r>
              <w:rPr/>
              <w:t>330,000.00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声学多普勒流速剖面仪（6000m耐压）</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3m浮标</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声学释放器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rPr>
              <w:t>1.</w:t>
            </w:r>
            <w:r>
              <w:rPr>
                <w:sz w:val="24"/>
              </w:rPr>
              <w:t>释放器负载能力：不小于</w:t>
            </w:r>
            <w:r>
              <w:rPr>
                <w:sz w:val="24"/>
              </w:rPr>
              <w:t>5500kg</w:t>
            </w:r>
            <w:r>
              <w:rPr>
                <w:sz w:val="24"/>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rPr>
              <w:t>2.</w:t>
            </w:r>
            <w:r>
              <w:rPr>
                <w:sz w:val="24"/>
              </w:rPr>
              <w:t>耐压深度：不低于</w:t>
            </w:r>
            <w:r>
              <w:rPr>
                <w:sz w:val="24"/>
              </w:rPr>
              <w:t>6000m (19700ft)</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3.</w:t>
            </w:r>
            <w:r>
              <w:rPr>
                <w:sz w:val="24"/>
              </w:rPr>
              <w:t>两个释放器</w:t>
            </w:r>
            <w:r>
              <w:rPr>
                <w:sz w:val="24"/>
              </w:rPr>
              <w:t>含</w:t>
            </w:r>
            <w:r>
              <w:rPr>
                <w:sz w:val="24"/>
              </w:rPr>
              <w:t>一</w:t>
            </w:r>
            <w:r>
              <w:rPr>
                <w:sz w:val="24"/>
              </w:rPr>
              <w:t>套并联机构</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材料构成：镍铝铜以及钛</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5.</w:t>
            </w:r>
            <w:r>
              <w:rPr>
                <w:sz w:val="24"/>
              </w:rPr>
              <w:t>发射声源级：</w:t>
            </w:r>
            <w:r>
              <w:rPr>
                <w:sz w:val="24"/>
              </w:rPr>
              <w:t>≥</w:t>
            </w:r>
            <w:r>
              <w:rPr>
                <w:sz w:val="24"/>
              </w:rPr>
              <w:t>192 dB re 1 micro Pascal</w:t>
            </w:r>
            <w:r>
              <w:rPr>
                <w:sz w:val="24"/>
              </w:rPr>
              <w:t>；</w:t>
            </w:r>
          </w:p>
        </w:tc>
      </w:tr>
      <w:tr>
        <w:tc>
          <w:tcPr>
            <w:tcW w:type="dxa" w:w="2076"/>
          </w:tcPr>
          <w:p/>
        </w:tc>
        <w:tc>
          <w:tcPr>
            <w:tcW w:type="dxa" w:w="415"/>
          </w:tcPr>
          <w:p>
            <w:pPr>
              <w:pStyle w:val="null3"/>
            </w:pPr>
            <w:r>
              <w:rPr/>
              <w:t>6</w:t>
            </w:r>
          </w:p>
        </w:tc>
        <w:tc>
          <w:tcPr>
            <w:tcW w:type="dxa" w:w="5814"/>
          </w:tcPr>
          <w:p>
            <w:pPr>
              <w:pStyle w:val="null3"/>
            </w:pPr>
            <w:r>
              <w:rPr>
                <w:sz w:val="24"/>
              </w:rPr>
              <w:t>6.</w:t>
            </w:r>
            <w:r>
              <w:rPr>
                <w:sz w:val="24"/>
              </w:rPr>
              <w:t>命令编码：</w:t>
            </w:r>
            <w:r>
              <w:rPr>
                <w:sz w:val="24"/>
              </w:rPr>
              <w:t>BACS</w:t>
            </w:r>
            <w:r>
              <w:rPr>
                <w:sz w:val="24"/>
              </w:rPr>
              <w:t>编码</w:t>
            </w:r>
            <w:r>
              <w:rPr>
                <w:sz w:val="24"/>
              </w:rPr>
              <w:t>；</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接收灵敏度：</w:t>
            </w:r>
            <w:r>
              <w:rPr>
                <w:sz w:val="24"/>
              </w:rPr>
              <w:t>≥</w:t>
            </w:r>
            <w:r>
              <w:rPr>
                <w:sz w:val="24"/>
              </w:rPr>
              <w:t>-100 dB re-1uPascal-meter</w:t>
            </w:r>
            <w:r>
              <w:rPr>
                <w:sz w:val="24"/>
              </w:rPr>
              <w:t>；</w:t>
            </w:r>
          </w:p>
        </w:tc>
      </w:tr>
      <w:tr>
        <w:tc>
          <w:tcPr>
            <w:tcW w:type="dxa" w:w="2076"/>
          </w:tcPr>
          <w:p/>
        </w:tc>
        <w:tc>
          <w:tcPr>
            <w:tcW w:type="dxa" w:w="415"/>
          </w:tcPr>
          <w:p>
            <w:pPr>
              <w:pStyle w:val="null3"/>
            </w:pPr>
            <w:r>
              <w:rPr/>
              <w:t>8</w:t>
            </w:r>
          </w:p>
        </w:tc>
        <w:tc>
          <w:tcPr>
            <w:tcW w:type="dxa" w:w="5814"/>
          </w:tcPr>
          <w:p>
            <w:pPr>
              <w:pStyle w:val="null3"/>
            </w:pPr>
            <w:r>
              <w:rPr>
                <w:sz w:val="24"/>
              </w:rPr>
              <w:t>8.</w:t>
            </w:r>
            <w:r>
              <w:rPr>
                <w:sz w:val="24"/>
              </w:rPr>
              <w:t>电池类型：固定焊接的碱性电池包</w:t>
            </w:r>
            <w:r>
              <w:rPr>
                <w:sz w:val="24"/>
              </w:rPr>
              <w:t>；</w:t>
            </w:r>
          </w:p>
        </w:tc>
      </w:tr>
      <w:tr>
        <w:tc>
          <w:tcPr>
            <w:tcW w:type="dxa" w:w="2076"/>
          </w:tcPr>
          <w:p/>
        </w:tc>
        <w:tc>
          <w:tcPr>
            <w:tcW w:type="dxa" w:w="415"/>
          </w:tcPr>
          <w:p>
            <w:pPr>
              <w:pStyle w:val="null3"/>
            </w:pPr>
            <w:r>
              <w:rPr/>
              <w:t>9</w:t>
            </w:r>
          </w:p>
        </w:tc>
        <w:tc>
          <w:tcPr>
            <w:tcW w:type="dxa" w:w="5814"/>
          </w:tcPr>
          <w:p>
            <w:pPr>
              <w:pStyle w:val="null3"/>
            </w:pPr>
            <w:r>
              <w:rPr>
                <w:sz w:val="24"/>
              </w:rPr>
              <w:t>9.</w:t>
            </w:r>
            <w:r>
              <w:rPr>
                <w:sz w:val="24"/>
              </w:rPr>
              <w:t>电池寿命：</w:t>
            </w:r>
            <w:r>
              <w:rPr>
                <w:sz w:val="24"/>
              </w:rPr>
              <w:t>≥</w:t>
            </w:r>
            <w:r>
              <w:rPr>
                <w:sz w:val="24"/>
              </w:rPr>
              <w:t>2</w:t>
            </w:r>
            <w:r>
              <w:rPr>
                <w:sz w:val="24"/>
              </w:rPr>
              <w:t>年</w:t>
            </w:r>
            <w:r>
              <w:rPr>
                <w:sz w:val="24"/>
              </w:rPr>
              <w:t>/40000</w:t>
            </w:r>
            <w:r>
              <w:rPr>
                <w:sz w:val="24"/>
              </w:rPr>
              <w:t>次应答</w:t>
            </w:r>
            <w:r>
              <w:rPr>
                <w:sz w:val="24"/>
              </w:rPr>
              <w:t>；</w:t>
            </w:r>
          </w:p>
        </w:tc>
      </w:tr>
      <w:tr>
        <w:tc>
          <w:tcPr>
            <w:tcW w:type="dxa" w:w="2076"/>
          </w:tcPr>
          <w:p/>
        </w:tc>
        <w:tc>
          <w:tcPr>
            <w:tcW w:type="dxa" w:w="415"/>
          </w:tcPr>
          <w:p>
            <w:pPr>
              <w:pStyle w:val="null3"/>
            </w:pPr>
            <w:r>
              <w:rPr/>
              <w:t>10</w:t>
            </w:r>
          </w:p>
        </w:tc>
        <w:tc>
          <w:tcPr>
            <w:tcW w:type="dxa" w:w="5814"/>
          </w:tcPr>
          <w:p>
            <w:pPr>
              <w:pStyle w:val="null3"/>
            </w:pPr>
            <w:r>
              <w:rPr>
                <w:sz w:val="24"/>
              </w:rPr>
              <w:t>10.</w:t>
            </w:r>
            <w:r>
              <w:rPr>
                <w:sz w:val="24"/>
              </w:rPr>
              <w:t>并联机构材质：镍铝铜合金、或</w:t>
            </w:r>
            <w:r>
              <w:rPr>
                <w:sz w:val="24"/>
              </w:rPr>
              <w:t>316L</w:t>
            </w:r>
            <w:r>
              <w:rPr>
                <w:sz w:val="24"/>
              </w:rPr>
              <w:t>材质不锈钢；负载能力：≥</w:t>
            </w:r>
            <w:r>
              <w:rPr>
                <w:sz w:val="24"/>
              </w:rPr>
              <w:t>5500kg</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声学多普勒流速剖面仪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w:t>
            </w:r>
            <w:r>
              <w:rPr>
                <w:sz w:val="24"/>
              </w:rPr>
              <w:t>换能器：四波束；</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rPr>
              <w:t>2.</w:t>
            </w:r>
            <w:r>
              <w:rPr>
                <w:sz w:val="24"/>
              </w:rPr>
              <w:t>流速测量精度：</w:t>
            </w:r>
            <w:r>
              <w:rPr>
                <w:sz w:val="24"/>
              </w:rPr>
              <w:t>≤</w:t>
            </w:r>
            <w:r>
              <w:rPr>
                <w:sz w:val="24"/>
              </w:rPr>
              <w:t xml:space="preserve">±0.5%V±0.5cm/s </w:t>
            </w:r>
            <w:r>
              <w:rPr>
                <w:sz w:val="24"/>
              </w:rPr>
              <w:t>（</w:t>
            </w:r>
            <w:r>
              <w:rPr>
                <w:sz w:val="24"/>
              </w:rPr>
              <w:t>其中</w:t>
            </w:r>
            <w:r>
              <w:rPr>
                <w:sz w:val="24"/>
              </w:rPr>
              <w:t>V</w:t>
            </w:r>
            <w:r>
              <w:rPr>
                <w:sz w:val="24"/>
              </w:rPr>
              <w:t>为流速</w:t>
            </w:r>
            <w:r>
              <w:rPr>
                <w:sz w:val="24"/>
              </w:rPr>
              <w:t>）</w:t>
            </w:r>
            <w:r>
              <w:rPr>
                <w:sz w:val="24"/>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w:t>
            </w:r>
            <w:r>
              <w:rPr>
                <w:sz w:val="24"/>
              </w:rPr>
              <w:t>3.</w:t>
            </w:r>
            <w:r>
              <w:rPr>
                <w:sz w:val="24"/>
              </w:rPr>
              <w:t>带走航底跟踪功能，可以走航式工作</w:t>
            </w:r>
            <w:r>
              <w:rPr>
                <w:sz w:val="24"/>
              </w:rPr>
              <w:t>；</w:t>
            </w:r>
            <w:r>
              <w:rPr>
                <w:sz w:val="24"/>
              </w:rPr>
              <w:t>底跟踪测深范围</w:t>
            </w:r>
            <w:r>
              <w:rPr>
                <w:sz w:val="24"/>
              </w:rPr>
              <w:t>≥</w:t>
            </w:r>
            <w:r>
              <w:rPr>
                <w:sz w:val="24"/>
              </w:rPr>
              <w:t>200</w:t>
            </w:r>
            <w:r>
              <w:rPr>
                <w:sz w:val="24"/>
              </w:rPr>
              <w:t>米</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4.</w:t>
            </w:r>
            <w:r>
              <w:rPr>
                <w:sz w:val="24"/>
              </w:rPr>
              <w:t>工作水深</w:t>
            </w:r>
            <w:r>
              <w:rPr>
                <w:sz w:val="24"/>
              </w:rPr>
              <w:t>：</w:t>
            </w:r>
            <w:r>
              <w:rPr>
                <w:sz w:val="24"/>
              </w:rPr>
              <w:t>≥</w:t>
            </w:r>
            <w:r>
              <w:rPr>
                <w:sz w:val="24"/>
              </w:rPr>
              <w:t>200m</w:t>
            </w:r>
            <w:r>
              <w:rPr>
                <w:sz w:val="24"/>
              </w:rPr>
              <w:t>；</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4"/>
              </w:rPr>
              <w:t>★</w:t>
            </w:r>
            <w:r>
              <w:rPr>
                <w:sz w:val="24"/>
              </w:rPr>
              <w:t>5.频率：</w:t>
            </w:r>
            <w:r>
              <w:rPr>
                <w:sz w:val="24"/>
              </w:rPr>
              <w:t>≤</w:t>
            </w:r>
            <w:r>
              <w:rPr>
                <w:sz w:val="24"/>
              </w:rPr>
              <w:t>30</w:t>
            </w:r>
            <w:r>
              <w:rPr>
                <w:sz w:val="24"/>
              </w:rPr>
              <w:t>5</w:t>
            </w:r>
            <w:r>
              <w:rPr>
                <w:sz w:val="24"/>
              </w:rPr>
              <w:t>k</w:t>
            </w:r>
            <w:r>
              <w:rPr>
                <w:sz w:val="24"/>
              </w:rPr>
              <w:t>Hz；</w:t>
            </w:r>
          </w:p>
        </w:tc>
      </w:tr>
      <w:tr>
        <w:tc>
          <w:tcPr>
            <w:tcW w:type="dxa" w:w="2076"/>
          </w:tcPr>
          <w:p/>
        </w:tc>
        <w:tc>
          <w:tcPr>
            <w:tcW w:type="dxa" w:w="415"/>
          </w:tcPr>
          <w:p>
            <w:pPr>
              <w:pStyle w:val="null3"/>
            </w:pPr>
            <w:r>
              <w:rPr/>
              <w:t>6</w:t>
            </w:r>
          </w:p>
        </w:tc>
        <w:tc>
          <w:tcPr>
            <w:tcW w:type="dxa" w:w="5814"/>
          </w:tcPr>
          <w:p>
            <w:pPr>
              <w:pStyle w:val="null3"/>
            </w:pPr>
            <w:r>
              <w:rPr>
                <w:sz w:val="24"/>
              </w:rPr>
              <w:t>6.</w:t>
            </w:r>
            <w:r>
              <w:rPr>
                <w:sz w:val="24"/>
              </w:rPr>
              <w:t>标准传感器：温度传感器，倾斜传感器，磁罗经；</w:t>
            </w:r>
          </w:p>
        </w:tc>
      </w:tr>
      <w:tr>
        <w:tc>
          <w:tcPr>
            <w:tcW w:type="dxa" w:w="2076"/>
          </w:tcPr>
          <w:p/>
        </w:tc>
        <w:tc>
          <w:tcPr>
            <w:tcW w:type="dxa" w:w="415"/>
          </w:tcPr>
          <w:p>
            <w:pPr>
              <w:pStyle w:val="null3"/>
            </w:pPr>
            <w:r>
              <w:rPr/>
              <w:t>7</w:t>
            </w:r>
          </w:p>
        </w:tc>
        <w:tc>
          <w:tcPr>
            <w:tcW w:type="dxa" w:w="5814"/>
          </w:tcPr>
          <w:p>
            <w:pPr>
              <w:pStyle w:val="null3"/>
            </w:pPr>
            <w:r>
              <w:rPr>
                <w:sz w:val="24"/>
              </w:rPr>
              <w:t>7.</w:t>
            </w:r>
            <w:r>
              <w:rPr>
                <w:sz w:val="24"/>
              </w:rPr>
              <w:t>带压力传感器；</w:t>
            </w:r>
          </w:p>
        </w:tc>
      </w:tr>
      <w:tr>
        <w:tc>
          <w:tcPr>
            <w:tcW w:type="dxa" w:w="2076"/>
          </w:tcPr>
          <w:p/>
        </w:tc>
        <w:tc>
          <w:tcPr>
            <w:tcW w:type="dxa" w:w="415"/>
          </w:tcPr>
          <w:p>
            <w:pPr>
              <w:pStyle w:val="null3"/>
            </w:pPr>
            <w:r>
              <w:rPr/>
              <w:t>8</w:t>
            </w:r>
          </w:p>
        </w:tc>
        <w:tc>
          <w:tcPr>
            <w:tcW w:type="dxa" w:w="5814"/>
          </w:tcPr>
          <w:p>
            <w:pPr>
              <w:pStyle w:val="null3"/>
            </w:pPr>
            <w:r>
              <w:rPr>
                <w:sz w:val="24"/>
              </w:rPr>
              <w:t>8.</w:t>
            </w:r>
            <w:r>
              <w:rPr>
                <w:sz w:val="24"/>
              </w:rPr>
              <w:t>带内置电池或者外接电池包</w:t>
            </w:r>
            <w:r>
              <w:rPr>
                <w:sz w:val="24"/>
              </w:rPr>
              <w:t>，</w:t>
            </w:r>
            <w:r>
              <w:rPr>
                <w:sz w:val="24"/>
              </w:rPr>
              <w:t>可自容式工作；</w:t>
            </w:r>
          </w:p>
        </w:tc>
      </w:tr>
      <w:tr>
        <w:tc>
          <w:tcPr>
            <w:tcW w:type="dxa" w:w="2076"/>
          </w:tcPr>
          <w:p/>
        </w:tc>
        <w:tc>
          <w:tcPr>
            <w:tcW w:type="dxa" w:w="415"/>
          </w:tcPr>
          <w:p>
            <w:pPr>
              <w:pStyle w:val="null3"/>
            </w:pPr>
            <w:r>
              <w:rPr/>
              <w:t>9</w:t>
            </w:r>
          </w:p>
        </w:tc>
        <w:tc>
          <w:tcPr>
            <w:tcW w:type="dxa" w:w="5814"/>
          </w:tcPr>
          <w:p>
            <w:pPr>
              <w:pStyle w:val="null3"/>
            </w:pPr>
            <w:r>
              <w:rPr>
                <w:sz w:val="24"/>
              </w:rPr>
              <w:t>9.</w:t>
            </w:r>
            <w:r>
              <w:rPr>
                <w:sz w:val="24"/>
              </w:rPr>
              <w:t>带</w:t>
            </w:r>
            <w:r>
              <w:rPr>
                <w:sz w:val="24"/>
              </w:rPr>
              <w:t>PCMCIA</w:t>
            </w:r>
            <w:r>
              <w:rPr>
                <w:sz w:val="24"/>
              </w:rPr>
              <w:t>卡插槽或者内存</w:t>
            </w:r>
            <w:r>
              <w:rPr>
                <w:sz w:val="24"/>
              </w:rPr>
              <w:t>≥</w:t>
            </w:r>
            <w:r>
              <w:rPr>
                <w:sz w:val="24"/>
              </w:rPr>
              <w:t>256MB</w:t>
            </w:r>
            <w:r>
              <w:rPr>
                <w:sz w:val="24"/>
              </w:rPr>
              <w:t>存储卡；</w:t>
            </w:r>
          </w:p>
        </w:tc>
      </w:tr>
      <w:tr>
        <w:tc>
          <w:tcPr>
            <w:tcW w:type="dxa" w:w="2076"/>
          </w:tcPr>
          <w:p/>
        </w:tc>
        <w:tc>
          <w:tcPr>
            <w:tcW w:type="dxa" w:w="415"/>
          </w:tcPr>
          <w:p>
            <w:pPr>
              <w:pStyle w:val="null3"/>
            </w:pPr>
            <w:r>
              <w:rPr/>
              <w:t>10</w:t>
            </w:r>
          </w:p>
        </w:tc>
        <w:tc>
          <w:tcPr>
            <w:tcW w:type="dxa" w:w="5814"/>
          </w:tcPr>
          <w:p>
            <w:pPr>
              <w:pStyle w:val="null3"/>
            </w:pPr>
            <w:r>
              <w:rPr>
                <w:sz w:val="24"/>
              </w:rPr>
              <w:t>10.</w:t>
            </w:r>
            <w:r>
              <w:rPr>
                <w:sz w:val="24"/>
              </w:rPr>
              <w:t>流速分辨率：</w:t>
            </w:r>
            <w:r>
              <w:rPr>
                <w:sz w:val="24"/>
              </w:rPr>
              <w:t>≤</w:t>
            </w:r>
            <w:r>
              <w:rPr>
                <w:sz w:val="24"/>
              </w:rPr>
              <w:t>0.1cm/s</w:t>
            </w:r>
            <w:r>
              <w:rPr>
                <w:sz w:val="24"/>
              </w:rPr>
              <w:t>；</w:t>
            </w:r>
          </w:p>
        </w:tc>
      </w:tr>
      <w:tr>
        <w:tc>
          <w:tcPr>
            <w:tcW w:type="dxa" w:w="2076"/>
          </w:tcPr>
          <w:p/>
        </w:tc>
        <w:tc>
          <w:tcPr>
            <w:tcW w:type="dxa" w:w="415"/>
          </w:tcPr>
          <w:p>
            <w:pPr>
              <w:pStyle w:val="null3"/>
            </w:pPr>
            <w:r>
              <w:rPr/>
              <w:t>11</w:t>
            </w:r>
          </w:p>
        </w:tc>
        <w:tc>
          <w:tcPr>
            <w:tcW w:type="dxa" w:w="5814"/>
          </w:tcPr>
          <w:p>
            <w:pPr>
              <w:pStyle w:val="null3"/>
            </w:pPr>
            <w:r>
              <w:rPr>
                <w:sz w:val="24"/>
              </w:rPr>
              <w:t>11.</w:t>
            </w:r>
            <w:r>
              <w:rPr>
                <w:sz w:val="24"/>
              </w:rPr>
              <w:t>流速量程：</w:t>
            </w:r>
            <w:r>
              <w:rPr>
                <w:sz w:val="24"/>
              </w:rPr>
              <w:t>≥</w:t>
            </w:r>
            <w:r>
              <w:rPr>
                <w:sz w:val="24"/>
              </w:rPr>
              <w:t>+/-5m/s</w:t>
            </w:r>
            <w:r>
              <w:rPr>
                <w:sz w:val="24"/>
              </w:rPr>
              <w:t>；</w:t>
            </w:r>
          </w:p>
        </w:tc>
      </w:tr>
      <w:tr>
        <w:tc>
          <w:tcPr>
            <w:tcW w:type="dxa" w:w="2076"/>
          </w:tcPr>
          <w:p/>
        </w:tc>
        <w:tc>
          <w:tcPr>
            <w:tcW w:type="dxa" w:w="415"/>
          </w:tcPr>
          <w:p>
            <w:pPr>
              <w:pStyle w:val="null3"/>
            </w:pPr>
            <w:r>
              <w:rPr/>
              <w:t>12</w:t>
            </w:r>
          </w:p>
        </w:tc>
        <w:tc>
          <w:tcPr>
            <w:tcW w:type="dxa" w:w="5814"/>
          </w:tcPr>
          <w:p>
            <w:pPr>
              <w:pStyle w:val="null3"/>
            </w:pPr>
            <w:r>
              <w:rPr>
                <w:sz w:val="24"/>
              </w:rPr>
              <w:t>12.</w:t>
            </w:r>
            <w:r>
              <w:rPr>
                <w:sz w:val="24"/>
              </w:rPr>
              <w:t>深度单元个数：</w:t>
            </w:r>
            <w:r>
              <w:rPr>
                <w:sz w:val="24"/>
              </w:rPr>
              <w:t>1</w:t>
            </w:r>
            <w:r>
              <w:rPr>
                <w:sz w:val="24"/>
              </w:rPr>
              <w:t>～</w:t>
            </w:r>
            <w:r>
              <w:rPr>
                <w:sz w:val="24"/>
              </w:rPr>
              <w:t>255</w:t>
            </w:r>
            <w:r>
              <w:rPr>
                <w:sz w:val="24"/>
              </w:rPr>
              <w:t>；</w:t>
            </w:r>
          </w:p>
        </w:tc>
      </w:tr>
      <w:tr>
        <w:tc>
          <w:tcPr>
            <w:tcW w:type="dxa" w:w="2076"/>
          </w:tcPr>
          <w:p/>
        </w:tc>
        <w:tc>
          <w:tcPr>
            <w:tcW w:type="dxa" w:w="415"/>
          </w:tcPr>
          <w:p>
            <w:pPr>
              <w:pStyle w:val="null3"/>
            </w:pPr>
            <w:r>
              <w:rPr/>
              <w:t>13</w:t>
            </w:r>
          </w:p>
        </w:tc>
        <w:tc>
          <w:tcPr>
            <w:tcW w:type="dxa" w:w="5814"/>
          </w:tcPr>
          <w:p>
            <w:pPr>
              <w:pStyle w:val="null3"/>
            </w:pPr>
            <w:r>
              <w:rPr>
                <w:sz w:val="24"/>
              </w:rPr>
              <w:t>13.</w:t>
            </w:r>
            <w:r>
              <w:rPr>
                <w:sz w:val="24"/>
              </w:rPr>
              <w:t>深度单元范围：</w:t>
            </w:r>
            <w:r>
              <w:rPr>
                <w:sz w:val="24"/>
              </w:rPr>
              <w:t>1</w:t>
            </w:r>
            <w:r>
              <w:rPr>
                <w:sz w:val="24"/>
              </w:rPr>
              <w:t>～</w:t>
            </w:r>
            <w:r>
              <w:rPr>
                <w:sz w:val="24"/>
              </w:rPr>
              <w:t>8m</w:t>
            </w:r>
            <w:r>
              <w:rPr>
                <w:sz w:val="24"/>
              </w:rPr>
              <w:t>；</w:t>
            </w:r>
          </w:p>
        </w:tc>
      </w:tr>
      <w:tr>
        <w:tc>
          <w:tcPr>
            <w:tcW w:type="dxa" w:w="2076"/>
          </w:tcPr>
          <w:p/>
        </w:tc>
        <w:tc>
          <w:tcPr>
            <w:tcW w:type="dxa" w:w="415"/>
          </w:tcPr>
          <w:p>
            <w:pPr>
              <w:pStyle w:val="null3"/>
            </w:pPr>
            <w:r>
              <w:rPr/>
              <w:t>14</w:t>
            </w:r>
          </w:p>
        </w:tc>
        <w:tc>
          <w:tcPr>
            <w:tcW w:type="dxa" w:w="5814"/>
          </w:tcPr>
          <w:p>
            <w:pPr>
              <w:pStyle w:val="null3"/>
            </w:pPr>
            <w:r>
              <w:rPr>
                <w:sz w:val="24"/>
              </w:rPr>
              <w:t>14.</w:t>
            </w:r>
            <w:r>
              <w:rPr>
                <w:sz w:val="24"/>
              </w:rPr>
              <w:t>脉冲频率：</w:t>
            </w:r>
            <w:r>
              <w:rPr>
                <w:sz w:val="24"/>
              </w:rPr>
              <w:t>≥</w:t>
            </w:r>
            <w:r>
              <w:rPr>
                <w:sz w:val="24"/>
              </w:rPr>
              <w:t>2Hz</w:t>
            </w:r>
            <w:r>
              <w:rPr>
                <w:sz w:val="24"/>
              </w:rPr>
              <w:t>，最大</w:t>
            </w:r>
            <w:r>
              <w:rPr>
                <w:sz w:val="24"/>
              </w:rPr>
              <w:t>10Hz</w:t>
            </w:r>
            <w:r>
              <w:rPr>
                <w:sz w:val="24"/>
              </w:rPr>
              <w:t>；</w:t>
            </w:r>
          </w:p>
        </w:tc>
      </w:tr>
      <w:tr>
        <w:tc>
          <w:tcPr>
            <w:tcW w:type="dxa" w:w="2076"/>
          </w:tcPr>
          <w:p/>
        </w:tc>
        <w:tc>
          <w:tcPr>
            <w:tcW w:type="dxa" w:w="415"/>
          </w:tcPr>
          <w:p>
            <w:pPr>
              <w:pStyle w:val="null3"/>
            </w:pPr>
            <w:r>
              <w:rPr/>
              <w:t>15</w:t>
            </w:r>
          </w:p>
        </w:tc>
        <w:tc>
          <w:tcPr>
            <w:tcW w:type="dxa" w:w="5814"/>
          </w:tcPr>
          <w:p>
            <w:pPr>
              <w:pStyle w:val="null3"/>
            </w:pPr>
            <w:r>
              <w:rPr>
                <w:sz w:val="24"/>
              </w:rPr>
              <w:t>15.</w:t>
            </w:r>
            <w:r>
              <w:rPr>
                <w:sz w:val="24"/>
              </w:rPr>
              <w:t>测量量程：</w:t>
            </w:r>
            <w:r>
              <w:rPr>
                <w:sz w:val="24"/>
              </w:rPr>
              <w:t>≥</w:t>
            </w:r>
            <w:r>
              <w:rPr>
                <w:sz w:val="24"/>
              </w:rPr>
              <w:t>116m</w:t>
            </w:r>
            <w:r>
              <w:rPr>
                <w:sz w:val="24"/>
              </w:rPr>
              <w:t>（高精度模式），</w:t>
            </w:r>
            <w:r>
              <w:rPr>
                <w:sz w:val="24"/>
              </w:rPr>
              <w:t>≥</w:t>
            </w:r>
            <w:r>
              <w:rPr>
                <w:sz w:val="24"/>
              </w:rPr>
              <w:t>154m</w:t>
            </w:r>
            <w:r>
              <w:rPr>
                <w:sz w:val="24"/>
              </w:rPr>
              <w:t>（大量程模式）；</w:t>
            </w:r>
          </w:p>
        </w:tc>
      </w:tr>
      <w:tr>
        <w:tc>
          <w:tcPr>
            <w:tcW w:type="dxa" w:w="2076"/>
          </w:tcPr>
          <w:p/>
        </w:tc>
        <w:tc>
          <w:tcPr>
            <w:tcW w:type="dxa" w:w="415"/>
          </w:tcPr>
          <w:p>
            <w:pPr>
              <w:pStyle w:val="null3"/>
            </w:pPr>
            <w:r>
              <w:rPr/>
              <w:t>16</w:t>
            </w:r>
          </w:p>
        </w:tc>
        <w:tc>
          <w:tcPr>
            <w:tcW w:type="dxa" w:w="5814"/>
          </w:tcPr>
          <w:p>
            <w:pPr>
              <w:pStyle w:val="null3"/>
            </w:pPr>
            <w:r>
              <w:rPr>
                <w:sz w:val="24"/>
              </w:rPr>
              <w:t>16.</w:t>
            </w:r>
            <w:r>
              <w:rPr>
                <w:sz w:val="24"/>
              </w:rPr>
              <w:t>通讯：串口，</w:t>
            </w:r>
            <w:r>
              <w:rPr>
                <w:sz w:val="24"/>
              </w:rPr>
              <w:t>RS-232</w:t>
            </w:r>
            <w:r>
              <w:rPr>
                <w:sz w:val="24"/>
              </w:rPr>
              <w:t>或</w:t>
            </w:r>
            <w:r>
              <w:rPr>
                <w:sz w:val="24"/>
              </w:rPr>
              <w:t>RS-422</w:t>
            </w:r>
            <w:r>
              <w:rPr>
                <w:sz w:val="24"/>
              </w:rPr>
              <w:t>转换</w:t>
            </w:r>
            <w:r>
              <w:rPr>
                <w:sz w:val="24"/>
              </w:rPr>
              <w:t>ASCII</w:t>
            </w:r>
            <w:r>
              <w:rPr>
                <w:sz w:val="24"/>
              </w:rPr>
              <w:t>或二进制输出；</w:t>
            </w:r>
          </w:p>
        </w:tc>
      </w:tr>
      <w:tr>
        <w:tc>
          <w:tcPr>
            <w:tcW w:type="dxa" w:w="2076"/>
          </w:tcPr>
          <w:p/>
        </w:tc>
        <w:tc>
          <w:tcPr>
            <w:tcW w:type="dxa" w:w="415"/>
          </w:tcPr>
          <w:p>
            <w:pPr>
              <w:pStyle w:val="null3"/>
            </w:pPr>
            <w:r>
              <w:rPr/>
              <w:t>17</w:t>
            </w:r>
          </w:p>
        </w:tc>
        <w:tc>
          <w:tcPr>
            <w:tcW w:type="dxa" w:w="5814"/>
          </w:tcPr>
          <w:p>
            <w:pPr>
              <w:pStyle w:val="null3"/>
            </w:pPr>
            <w:r>
              <w:rPr>
                <w:sz w:val="24"/>
              </w:rPr>
              <w:t>17.</w:t>
            </w:r>
            <w:r>
              <w:rPr>
                <w:sz w:val="24"/>
              </w:rPr>
              <w:t>重量（不含电池）：</w:t>
            </w:r>
            <w:r>
              <w:rPr>
                <w:sz w:val="24"/>
              </w:rPr>
              <w:t>≤</w:t>
            </w:r>
            <w:r>
              <w:rPr>
                <w:sz w:val="24"/>
              </w:rPr>
              <w:t>14 kg</w:t>
            </w:r>
            <w:r>
              <w:rPr>
                <w:sz w:val="24"/>
              </w:rPr>
              <w:t>（空气中）；</w:t>
            </w:r>
          </w:p>
        </w:tc>
      </w:tr>
      <w:tr>
        <w:tc>
          <w:tcPr>
            <w:tcW w:type="dxa" w:w="2076"/>
          </w:tcPr>
          <w:p/>
        </w:tc>
        <w:tc>
          <w:tcPr>
            <w:tcW w:type="dxa" w:w="415"/>
          </w:tcPr>
          <w:p>
            <w:pPr>
              <w:pStyle w:val="null3"/>
            </w:pPr>
            <w:r>
              <w:rPr/>
              <w:t>18</w:t>
            </w:r>
          </w:p>
        </w:tc>
        <w:tc>
          <w:tcPr>
            <w:tcW w:type="dxa" w:w="5814"/>
          </w:tcPr>
          <w:p>
            <w:pPr>
              <w:pStyle w:val="null3"/>
            </w:pPr>
            <w:r>
              <w:rPr>
                <w:sz w:val="24"/>
              </w:rPr>
              <w:t>18.</w:t>
            </w:r>
            <w:r>
              <w:rPr>
                <w:sz w:val="24"/>
              </w:rPr>
              <w:t>尺寸要求：直径</w:t>
            </w:r>
            <w:r>
              <w:rPr>
                <w:sz w:val="24"/>
              </w:rPr>
              <w:t>≤</w:t>
            </w:r>
            <w:r>
              <w:rPr>
                <w:sz w:val="24"/>
              </w:rPr>
              <w:t>210mm</w:t>
            </w:r>
            <w:r>
              <w:rPr>
                <w:sz w:val="24"/>
              </w:rPr>
              <w:t>，长度</w:t>
            </w:r>
            <w:r>
              <w:rPr>
                <w:sz w:val="24"/>
              </w:rPr>
              <w:t>≤</w:t>
            </w:r>
            <w:r>
              <w:rPr>
                <w:sz w:val="24"/>
              </w:rPr>
              <w:t>400mm</w:t>
            </w:r>
            <w:r>
              <w:rPr>
                <w:sz w:val="24"/>
              </w:rPr>
              <w:t>。</w:t>
            </w:r>
          </w:p>
        </w:tc>
      </w:tr>
      <w:tr>
        <w:tc>
          <w:tcPr>
            <w:tcW w:type="dxa" w:w="2076"/>
          </w:tcPr>
          <w:p/>
        </w:tc>
        <w:tc>
          <w:tcPr>
            <w:tcW w:type="dxa" w:w="415"/>
          </w:tcPr>
          <w:p>
            <w:pPr>
              <w:pStyle w:val="null3"/>
            </w:pPr>
            <w:r>
              <w:rPr/>
              <w:t>19</w:t>
            </w:r>
          </w:p>
        </w:tc>
        <w:tc>
          <w:tcPr>
            <w:tcW w:type="dxa" w:w="5814"/>
          </w:tcPr>
          <w:p>
            <w:pPr>
              <w:pStyle w:val="null3"/>
              <w:jc w:val="left"/>
            </w:pPr>
            <w:r>
              <w:rPr>
                <w:sz w:val="24"/>
              </w:rPr>
              <w:t>19.配置清单：</w:t>
            </w:r>
          </w:p>
          <w:p>
            <w:pPr>
              <w:pStyle w:val="null3"/>
              <w:jc w:val="left"/>
            </w:pPr>
            <w:r>
              <w:rPr>
                <w:sz w:val="24"/>
              </w:rPr>
              <w:t>（1）换能器，四块电路板，换能器壳体和高强度塑料外壳及外头套；</w:t>
            </w:r>
          </w:p>
          <w:p>
            <w:pPr>
              <w:pStyle w:val="null3"/>
              <w:jc w:val="left"/>
            </w:pPr>
            <w:r>
              <w:rPr>
                <w:sz w:val="24"/>
              </w:rPr>
              <w:t>（2）默认的串口RS-232通信；</w:t>
            </w:r>
          </w:p>
          <w:p>
            <w:pPr>
              <w:pStyle w:val="null3"/>
              <w:jc w:val="left"/>
            </w:pPr>
            <w:r>
              <w:rPr>
                <w:sz w:val="24"/>
              </w:rPr>
              <w:t>（3）</w:t>
            </w:r>
            <w:r>
              <w:rPr>
                <w:sz w:val="21"/>
              </w:rPr>
              <w:t>≥</w:t>
            </w:r>
            <w:r>
              <w:rPr>
                <w:sz w:val="24"/>
              </w:rPr>
              <w:t>4</w:t>
            </w:r>
            <w:r>
              <w:rPr>
                <w:sz w:val="24"/>
              </w:rPr>
              <w:t>GB内存卡，</w:t>
            </w:r>
            <w:r>
              <w:rPr>
                <w:sz w:val="21"/>
              </w:rPr>
              <w:t>≥</w:t>
            </w:r>
            <w:r>
              <w:rPr>
                <w:sz w:val="24"/>
              </w:rPr>
              <w:t>450 Wh碱性电池组；</w:t>
            </w:r>
          </w:p>
          <w:p>
            <w:pPr>
              <w:pStyle w:val="null3"/>
              <w:jc w:val="left"/>
            </w:pPr>
            <w:r>
              <w:rPr>
                <w:sz w:val="24"/>
              </w:rPr>
              <w:t>（4）航向、倾斜、温度和</w:t>
            </w:r>
            <w:r>
              <w:rPr>
                <w:sz w:val="21"/>
              </w:rPr>
              <w:t>≥</w:t>
            </w:r>
            <w:r>
              <w:rPr>
                <w:sz w:val="24"/>
              </w:rPr>
              <w:t>200m压力传感器；</w:t>
            </w:r>
          </w:p>
          <w:p>
            <w:pPr>
              <w:pStyle w:val="null3"/>
              <w:jc w:val="left"/>
            </w:pPr>
            <w:r>
              <w:rPr>
                <w:sz w:val="24"/>
              </w:rPr>
              <w:t>（5）一根</w:t>
            </w:r>
            <w:r>
              <w:rPr>
                <w:sz w:val="21"/>
              </w:rPr>
              <w:t>≥</w:t>
            </w:r>
            <w:r>
              <w:rPr>
                <w:sz w:val="24"/>
              </w:rPr>
              <w:t>5m电源/通信电缆；</w:t>
            </w:r>
          </w:p>
          <w:p>
            <w:pPr>
              <w:pStyle w:val="null3"/>
              <w:jc w:val="left"/>
            </w:pPr>
            <w:r>
              <w:rPr>
                <w:sz w:val="24"/>
              </w:rPr>
              <w:t>（6）备件套件一组；</w:t>
            </w:r>
          </w:p>
          <w:p>
            <w:pPr>
              <w:pStyle w:val="null3"/>
              <w:jc w:val="left"/>
            </w:pPr>
            <w:r>
              <w:rPr>
                <w:sz w:val="24"/>
              </w:rPr>
              <w:t>（7）文件套件以及合格证书；</w:t>
            </w:r>
          </w:p>
          <w:p>
            <w:pPr>
              <w:pStyle w:val="null3"/>
            </w:pPr>
            <w:r>
              <w:rPr>
                <w:sz w:val="24"/>
              </w:rPr>
              <w:t>（8）标准软件套装U盘</w:t>
            </w:r>
            <w:r>
              <w:rPr>
                <w:sz w:val="21"/>
              </w:rPr>
              <w:t>一个</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声学多普勒流速剖面仪（6000m耐压）</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left"/>
            </w:pPr>
            <w:r>
              <w:rPr>
                <w:sz w:val="24"/>
                <w:b/>
              </w:rPr>
              <w:t>1.</w:t>
            </w:r>
            <w:r>
              <w:rPr>
                <w:sz w:val="24"/>
                <w:b/>
              </w:rPr>
              <w:t>剖面参数</w:t>
            </w:r>
            <w:r>
              <w:rPr>
                <w:sz w:val="24"/>
                <w:b/>
              </w:rPr>
              <w:t>：</w:t>
            </w:r>
          </w:p>
          <w:p>
            <w:pPr>
              <w:pStyle w:val="null3"/>
            </w:pPr>
            <w:r>
              <w:rPr>
                <w:sz w:val="24"/>
              </w:rPr>
              <w:t>★</w:t>
            </w:r>
            <w:r>
              <w:rPr>
                <w:sz w:val="24"/>
              </w:rPr>
              <w:t>（</w:t>
            </w:r>
            <w:r>
              <w:rPr>
                <w:sz w:val="24"/>
              </w:rPr>
              <w:t>1</w:t>
            </w:r>
            <w:r>
              <w:rPr>
                <w:sz w:val="24"/>
              </w:rPr>
              <w:t>）</w:t>
            </w:r>
            <w:r>
              <w:rPr>
                <w:sz w:val="24"/>
              </w:rPr>
              <w:t>频率：</w:t>
            </w:r>
            <w:r>
              <w:rPr>
                <w:sz w:val="24"/>
              </w:rPr>
              <w:t>≤</w:t>
            </w:r>
            <w:r>
              <w:rPr>
                <w:sz w:val="24"/>
              </w:rPr>
              <w:t>305kHz</w:t>
            </w:r>
            <w:r>
              <w:rPr>
                <w:sz w:val="24"/>
              </w:rPr>
              <w:t>；</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4"/>
              </w:rPr>
              <w:t>★</w:t>
            </w:r>
            <w:r>
              <w:rPr>
                <w:sz w:val="24"/>
              </w:rPr>
              <w:t>（</w:t>
            </w:r>
            <w:r>
              <w:rPr>
                <w:sz w:val="24"/>
              </w:rPr>
              <w:t>2</w:t>
            </w:r>
            <w:r>
              <w:rPr>
                <w:sz w:val="24"/>
              </w:rPr>
              <w:t>）</w:t>
            </w:r>
            <w:r>
              <w:rPr>
                <w:sz w:val="24"/>
              </w:rPr>
              <w:t>流速准确度：</w:t>
            </w:r>
            <w:r>
              <w:rPr>
                <w:sz w:val="24"/>
              </w:rPr>
              <w:t>≤</w:t>
            </w:r>
            <w:r>
              <w:rPr>
                <w:sz w:val="24"/>
              </w:rPr>
              <w:t xml:space="preserve">0.5% </w:t>
            </w:r>
            <w:r>
              <w:rPr>
                <w:sz w:val="24"/>
              </w:rPr>
              <w:t xml:space="preserve">流速 </w:t>
            </w:r>
            <w:r>
              <w:rPr>
                <w:sz w:val="24"/>
              </w:rPr>
              <w:t>±0.5 cm/s</w:t>
            </w:r>
            <w:r>
              <w:rPr>
                <w:sz w:val="24"/>
              </w:rPr>
              <w:t>；</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4"/>
              </w:rPr>
              <w:t>★</w:t>
            </w:r>
            <w:r>
              <w:rPr>
                <w:sz w:val="24"/>
              </w:rPr>
              <w:t>（3）</w:t>
            </w:r>
            <w:r>
              <w:rPr>
                <w:sz w:val="24"/>
              </w:rPr>
              <w:t>带投放底跟踪功能、可以投放式工作</w:t>
            </w:r>
            <w:r>
              <w:rPr>
                <w:sz w:val="24"/>
              </w:rPr>
              <w:t>；</w:t>
            </w:r>
            <w:r>
              <w:rPr>
                <w:sz w:val="24"/>
              </w:rPr>
              <w:t>带走航底跟踪功能，可以走航式工作</w:t>
            </w:r>
            <w:r>
              <w:rPr>
                <w:sz w:val="24"/>
              </w:rPr>
              <w:t>；</w:t>
            </w:r>
            <w:r>
              <w:rPr>
                <w:sz w:val="24"/>
              </w:rPr>
              <w:t>底跟踪测深范围</w:t>
            </w:r>
            <w:r>
              <w:rPr>
                <w:sz w:val="24"/>
              </w:rPr>
              <w:t>≥</w:t>
            </w:r>
            <w:r>
              <w:rPr>
                <w:sz w:val="24"/>
              </w:rPr>
              <w:t>200</w:t>
            </w:r>
            <w:r>
              <w:rPr>
                <w:sz w:val="24"/>
              </w:rPr>
              <w:t>米</w:t>
            </w:r>
            <w:r>
              <w:rPr>
                <w:sz w:val="24"/>
              </w:rPr>
              <w:t>；</w:t>
            </w:r>
          </w:p>
        </w:tc>
      </w:tr>
      <w:tr>
        <w:tc>
          <w:tcPr>
            <w:tcW w:type="dxa" w:w="2076"/>
          </w:tcPr>
          <w:p/>
        </w:tc>
        <w:tc>
          <w:tcPr>
            <w:tcW w:type="dxa" w:w="415"/>
          </w:tcPr>
          <w:p>
            <w:pPr>
              <w:pStyle w:val="null3"/>
            </w:pPr>
            <w:r>
              <w:rPr/>
              <w:t>4</w:t>
            </w:r>
          </w:p>
        </w:tc>
        <w:tc>
          <w:tcPr>
            <w:tcW w:type="dxa" w:w="5814"/>
          </w:tcPr>
          <w:p>
            <w:pPr>
              <w:pStyle w:val="null3"/>
            </w:pPr>
            <w:r>
              <w:rPr>
                <w:sz w:val="24"/>
              </w:rPr>
              <w:t>（</w:t>
            </w:r>
            <w:r>
              <w:rPr>
                <w:sz w:val="24"/>
              </w:rPr>
              <w:t>4</w:t>
            </w:r>
            <w:r>
              <w:rPr>
                <w:sz w:val="24"/>
              </w:rPr>
              <w:t>）</w:t>
            </w:r>
            <w:r>
              <w:rPr>
                <w:sz w:val="24"/>
              </w:rPr>
              <w:t>流速分辨率：</w:t>
            </w:r>
            <w:r>
              <w:rPr>
                <w:sz w:val="24"/>
              </w:rPr>
              <w:t>≤</w:t>
            </w:r>
            <w:r>
              <w:rPr>
                <w:sz w:val="24"/>
              </w:rPr>
              <w:t>0.1 cm/s</w:t>
            </w:r>
            <w:r>
              <w:rPr>
                <w:sz w:val="24"/>
              </w:rPr>
              <w:t>；</w:t>
            </w:r>
          </w:p>
        </w:tc>
      </w:tr>
      <w:tr>
        <w:tc>
          <w:tcPr>
            <w:tcW w:type="dxa" w:w="2076"/>
          </w:tcPr>
          <w:p/>
        </w:tc>
        <w:tc>
          <w:tcPr>
            <w:tcW w:type="dxa" w:w="415"/>
          </w:tcPr>
          <w:p>
            <w:pPr>
              <w:pStyle w:val="null3"/>
            </w:pPr>
            <w:r>
              <w:rPr/>
              <w:t>5</w:t>
            </w:r>
          </w:p>
        </w:tc>
        <w:tc>
          <w:tcPr>
            <w:tcW w:type="dxa" w:w="5814"/>
          </w:tcPr>
          <w:p>
            <w:pPr>
              <w:pStyle w:val="null3"/>
            </w:pPr>
            <w:r>
              <w:rPr>
                <w:sz w:val="24"/>
              </w:rPr>
              <w:t>（</w:t>
            </w:r>
            <w:r>
              <w:rPr>
                <w:sz w:val="24"/>
              </w:rPr>
              <w:t>5</w:t>
            </w:r>
            <w:r>
              <w:rPr>
                <w:sz w:val="24"/>
              </w:rPr>
              <w:t>）</w:t>
            </w:r>
            <w:r>
              <w:rPr>
                <w:sz w:val="24"/>
              </w:rPr>
              <w:t>流速量程：缺省</w:t>
            </w:r>
            <w:r>
              <w:rPr>
                <w:sz w:val="24"/>
              </w:rPr>
              <w:t>±5 m/s</w:t>
            </w:r>
            <w:r>
              <w:rPr>
                <w:sz w:val="24"/>
              </w:rPr>
              <w:t>，</w:t>
            </w:r>
            <w:r>
              <w:rPr>
                <w:sz w:val="24"/>
              </w:rPr>
              <w:t>最大</w:t>
            </w:r>
            <w:r>
              <w:rPr>
                <w:sz w:val="24"/>
              </w:rPr>
              <w:t>±20 m/s</w:t>
            </w:r>
            <w:r>
              <w:rPr>
                <w:sz w:val="24"/>
              </w:rPr>
              <w:t>；</w:t>
            </w:r>
            <w:r>
              <w:rPr/>
              <w:t xml:space="preserve"> </w:t>
            </w:r>
          </w:p>
        </w:tc>
      </w:tr>
      <w:tr>
        <w:tc>
          <w:tcPr>
            <w:tcW w:type="dxa" w:w="2076"/>
          </w:tcPr>
          <w:p/>
        </w:tc>
        <w:tc>
          <w:tcPr>
            <w:tcW w:type="dxa" w:w="415"/>
          </w:tcPr>
          <w:p>
            <w:pPr>
              <w:pStyle w:val="null3"/>
            </w:pPr>
            <w:r>
              <w:rPr/>
              <w:t>6</w:t>
            </w:r>
          </w:p>
        </w:tc>
        <w:tc>
          <w:tcPr>
            <w:tcW w:type="dxa" w:w="5814"/>
          </w:tcPr>
          <w:p>
            <w:pPr>
              <w:pStyle w:val="null3"/>
            </w:pPr>
            <w:r>
              <w:rPr>
                <w:sz w:val="24"/>
              </w:rPr>
              <w:t>（</w:t>
            </w:r>
            <w:r>
              <w:rPr>
                <w:sz w:val="24"/>
              </w:rPr>
              <w:t>6</w:t>
            </w:r>
            <w:r>
              <w:rPr>
                <w:sz w:val="24"/>
              </w:rPr>
              <w:t>）</w:t>
            </w:r>
            <w:r>
              <w:rPr>
                <w:sz w:val="24"/>
              </w:rPr>
              <w:t>深度单元个数：</w:t>
            </w:r>
            <w:r>
              <w:rPr>
                <w:sz w:val="24"/>
              </w:rPr>
              <w:t>1</w:t>
            </w:r>
            <w:r>
              <w:rPr>
                <w:sz w:val="24"/>
              </w:rPr>
              <w:t>～</w:t>
            </w:r>
            <w:r>
              <w:rPr>
                <w:sz w:val="24"/>
              </w:rPr>
              <w:t>255</w:t>
            </w:r>
            <w:r>
              <w:rPr>
                <w:sz w:val="24"/>
              </w:rPr>
              <w:t>；</w:t>
            </w:r>
          </w:p>
        </w:tc>
      </w:tr>
      <w:tr>
        <w:tc>
          <w:tcPr>
            <w:tcW w:type="dxa" w:w="2076"/>
          </w:tcPr>
          <w:p/>
        </w:tc>
        <w:tc>
          <w:tcPr>
            <w:tcW w:type="dxa" w:w="415"/>
          </w:tcPr>
          <w:p>
            <w:pPr>
              <w:pStyle w:val="null3"/>
            </w:pPr>
            <w:r>
              <w:rPr/>
              <w:t>7</w:t>
            </w:r>
          </w:p>
        </w:tc>
        <w:tc>
          <w:tcPr>
            <w:tcW w:type="dxa" w:w="5814"/>
          </w:tcPr>
          <w:p>
            <w:pPr>
              <w:pStyle w:val="null3"/>
            </w:pPr>
            <w:r>
              <w:rPr>
                <w:sz w:val="24"/>
              </w:rPr>
              <w:t>（</w:t>
            </w:r>
            <w:r>
              <w:rPr>
                <w:sz w:val="24"/>
              </w:rPr>
              <w:t>7</w:t>
            </w:r>
            <w:r>
              <w:rPr>
                <w:sz w:val="24"/>
              </w:rPr>
              <w:t>）</w:t>
            </w:r>
            <w:r>
              <w:rPr>
                <w:sz w:val="24"/>
              </w:rPr>
              <w:t>深度单元范围：</w:t>
            </w:r>
            <w:r>
              <w:rPr>
                <w:sz w:val="24"/>
              </w:rPr>
              <w:t>1m</w:t>
            </w:r>
            <w:r>
              <w:rPr>
                <w:sz w:val="24"/>
              </w:rPr>
              <w:t>～</w:t>
            </w:r>
            <w:r>
              <w:rPr>
                <w:sz w:val="24"/>
              </w:rPr>
              <w:t>8m</w:t>
            </w:r>
            <w:r>
              <w:rPr>
                <w:sz w:val="24"/>
              </w:rPr>
              <w:t>；</w:t>
            </w:r>
          </w:p>
        </w:tc>
      </w:tr>
      <w:tr>
        <w:tc>
          <w:tcPr>
            <w:tcW w:type="dxa" w:w="2076"/>
          </w:tcPr>
          <w:p/>
        </w:tc>
        <w:tc>
          <w:tcPr>
            <w:tcW w:type="dxa" w:w="415"/>
          </w:tcPr>
          <w:p>
            <w:pPr>
              <w:pStyle w:val="null3"/>
            </w:pPr>
            <w:r>
              <w:rPr/>
              <w:t>8</w:t>
            </w:r>
          </w:p>
        </w:tc>
        <w:tc>
          <w:tcPr>
            <w:tcW w:type="dxa" w:w="5814"/>
          </w:tcPr>
          <w:p>
            <w:pPr>
              <w:pStyle w:val="null3"/>
            </w:pPr>
            <w:r>
              <w:rPr>
                <w:sz w:val="24"/>
              </w:rPr>
              <w:t>（</w:t>
            </w:r>
            <w:r>
              <w:rPr>
                <w:sz w:val="24"/>
              </w:rPr>
              <w:t>8</w:t>
            </w:r>
            <w:r>
              <w:rPr>
                <w:sz w:val="24"/>
              </w:rPr>
              <w:t>）</w:t>
            </w:r>
            <w:r>
              <w:rPr>
                <w:sz w:val="24"/>
              </w:rPr>
              <w:t>脉冲频率：</w:t>
            </w:r>
            <w:r>
              <w:rPr>
                <w:sz w:val="24"/>
              </w:rPr>
              <w:t>≥</w:t>
            </w:r>
            <w:r>
              <w:rPr>
                <w:sz w:val="24"/>
              </w:rPr>
              <w:t>2 Hz</w:t>
            </w:r>
            <w:r>
              <w:rPr>
                <w:sz w:val="24"/>
              </w:rPr>
              <w:t>；</w:t>
            </w:r>
          </w:p>
        </w:tc>
      </w:tr>
      <w:tr>
        <w:tc>
          <w:tcPr>
            <w:tcW w:type="dxa" w:w="2076"/>
          </w:tcPr>
          <w:p/>
        </w:tc>
        <w:tc>
          <w:tcPr>
            <w:tcW w:type="dxa" w:w="415"/>
          </w:tcPr>
          <w:p>
            <w:pPr>
              <w:pStyle w:val="null3"/>
            </w:pPr>
            <w:r>
              <w:rPr/>
              <w:t>9</w:t>
            </w:r>
          </w:p>
        </w:tc>
        <w:tc>
          <w:tcPr>
            <w:tcW w:type="dxa" w:w="5814"/>
          </w:tcPr>
          <w:p>
            <w:pPr>
              <w:pStyle w:val="null3"/>
            </w:pPr>
            <w:r>
              <w:rPr>
                <w:sz w:val="24"/>
              </w:rPr>
              <w:t>（</w:t>
            </w:r>
            <w:r>
              <w:rPr>
                <w:sz w:val="24"/>
              </w:rPr>
              <w:t>9</w:t>
            </w:r>
            <w:r>
              <w:rPr>
                <w:sz w:val="24"/>
              </w:rPr>
              <w:t>）</w:t>
            </w:r>
            <w:r>
              <w:rPr>
                <w:sz w:val="24"/>
              </w:rPr>
              <w:t>高精度模式量程（宽带模式）：</w:t>
            </w:r>
            <w:r>
              <w:rPr>
                <w:sz w:val="24"/>
              </w:rPr>
              <w:t>≥</w:t>
            </w:r>
            <w:r>
              <w:rPr>
                <w:sz w:val="24"/>
              </w:rPr>
              <w:t>116m</w:t>
            </w:r>
            <w:r>
              <w:rPr>
                <w:sz w:val="24"/>
              </w:rPr>
              <w:t>；</w:t>
            </w:r>
          </w:p>
        </w:tc>
      </w:tr>
      <w:tr>
        <w:tc>
          <w:tcPr>
            <w:tcW w:type="dxa" w:w="2076"/>
          </w:tcPr>
          <w:p/>
        </w:tc>
        <w:tc>
          <w:tcPr>
            <w:tcW w:type="dxa" w:w="415"/>
          </w:tcPr>
          <w:p>
            <w:pPr>
              <w:pStyle w:val="null3"/>
            </w:pPr>
            <w:r>
              <w:rPr/>
              <w:t>10</w:t>
            </w:r>
          </w:p>
        </w:tc>
        <w:tc>
          <w:tcPr>
            <w:tcW w:type="dxa" w:w="5814"/>
          </w:tcPr>
          <w:p>
            <w:pPr>
              <w:pStyle w:val="null3"/>
            </w:pPr>
            <w:r>
              <w:rPr>
                <w:sz w:val="24"/>
              </w:rPr>
              <w:t>（</w:t>
            </w:r>
            <w:r>
              <w:rPr>
                <w:sz w:val="24"/>
              </w:rPr>
              <w:t>10</w:t>
            </w:r>
            <w:r>
              <w:rPr>
                <w:sz w:val="24"/>
              </w:rPr>
              <w:t>）</w:t>
            </w:r>
            <w:r>
              <w:rPr>
                <w:sz w:val="24"/>
              </w:rPr>
              <w:t>大量程模式量程（窄带模式）：</w:t>
            </w:r>
            <w:r>
              <w:rPr>
                <w:sz w:val="24"/>
              </w:rPr>
              <w:t>≥</w:t>
            </w:r>
            <w:r>
              <w:rPr>
                <w:sz w:val="24"/>
              </w:rPr>
              <w:t>154m</w:t>
            </w:r>
            <w:r>
              <w:rPr>
                <w:sz w:val="24"/>
              </w:rPr>
              <w:t>。</w:t>
            </w:r>
          </w:p>
        </w:tc>
      </w:tr>
      <w:tr>
        <w:tc>
          <w:tcPr>
            <w:tcW w:type="dxa" w:w="2076"/>
          </w:tcPr>
          <w:p/>
        </w:tc>
        <w:tc>
          <w:tcPr>
            <w:tcW w:type="dxa" w:w="415"/>
          </w:tcPr>
          <w:p>
            <w:pPr>
              <w:pStyle w:val="null3"/>
            </w:pPr>
            <w:r>
              <w:rPr/>
              <w:t>11</w:t>
            </w:r>
          </w:p>
        </w:tc>
        <w:tc>
          <w:tcPr>
            <w:tcW w:type="dxa" w:w="5814"/>
          </w:tcPr>
          <w:p>
            <w:pPr>
              <w:pStyle w:val="null3"/>
              <w:jc w:val="left"/>
            </w:pPr>
            <w:r>
              <w:rPr>
                <w:sz w:val="24"/>
                <w:b/>
              </w:rPr>
              <w:t>2.</w:t>
            </w:r>
            <w:r>
              <w:rPr>
                <w:sz w:val="24"/>
                <w:b/>
              </w:rPr>
              <w:t>回波强度剖面</w:t>
            </w:r>
            <w:r>
              <w:rPr>
                <w:sz w:val="24"/>
                <w:b/>
              </w:rPr>
              <w:t>：</w:t>
            </w:r>
          </w:p>
          <w:p>
            <w:pPr>
              <w:pStyle w:val="null3"/>
            </w:pPr>
            <w:r>
              <w:rPr>
                <w:sz w:val="24"/>
              </w:rPr>
              <w:t>（</w:t>
            </w:r>
            <w:r>
              <w:rPr>
                <w:sz w:val="24"/>
              </w:rPr>
              <w:t>1</w:t>
            </w:r>
            <w:r>
              <w:rPr>
                <w:sz w:val="24"/>
              </w:rPr>
              <w:t>）</w:t>
            </w:r>
            <w:r>
              <w:rPr>
                <w:sz w:val="24"/>
              </w:rPr>
              <w:t>垂直分辨率：等同于深度单元，用户可设定</w:t>
            </w:r>
            <w:r>
              <w:rPr>
                <w:sz w:val="24"/>
              </w:rPr>
              <w:t>；</w:t>
            </w:r>
          </w:p>
        </w:tc>
      </w:tr>
      <w:tr>
        <w:tc>
          <w:tcPr>
            <w:tcW w:type="dxa" w:w="2076"/>
          </w:tcPr>
          <w:p/>
        </w:tc>
        <w:tc>
          <w:tcPr>
            <w:tcW w:type="dxa" w:w="415"/>
          </w:tcPr>
          <w:p>
            <w:pPr>
              <w:pStyle w:val="null3"/>
            </w:pPr>
            <w:r>
              <w:rPr/>
              <w:t>12</w:t>
            </w:r>
          </w:p>
        </w:tc>
        <w:tc>
          <w:tcPr>
            <w:tcW w:type="dxa" w:w="5814"/>
          </w:tcPr>
          <w:p>
            <w:pPr>
              <w:pStyle w:val="null3"/>
            </w:pPr>
            <w:r>
              <w:rPr>
                <w:sz w:val="24"/>
              </w:rPr>
              <w:t>（</w:t>
            </w:r>
            <w:r>
              <w:rPr>
                <w:sz w:val="24"/>
              </w:rPr>
              <w:t>2</w:t>
            </w:r>
            <w:r>
              <w:rPr>
                <w:sz w:val="24"/>
              </w:rPr>
              <w:t>）</w:t>
            </w:r>
            <w:r>
              <w:rPr>
                <w:sz w:val="24"/>
              </w:rPr>
              <w:t>动态范围：</w:t>
            </w:r>
            <w:r>
              <w:rPr>
                <w:sz w:val="24"/>
              </w:rPr>
              <w:t>≥</w:t>
            </w:r>
            <w:r>
              <w:rPr>
                <w:sz w:val="24"/>
              </w:rPr>
              <w:t>80 dB</w:t>
            </w:r>
            <w:r>
              <w:rPr>
                <w:sz w:val="24"/>
              </w:rPr>
              <w:t>；</w:t>
            </w:r>
          </w:p>
        </w:tc>
      </w:tr>
      <w:tr>
        <w:tc>
          <w:tcPr>
            <w:tcW w:type="dxa" w:w="2076"/>
          </w:tcPr>
          <w:p/>
        </w:tc>
        <w:tc>
          <w:tcPr>
            <w:tcW w:type="dxa" w:w="415"/>
          </w:tcPr>
          <w:p>
            <w:pPr>
              <w:pStyle w:val="null3"/>
            </w:pPr>
            <w:r>
              <w:rPr/>
              <w:t>13</w:t>
            </w:r>
          </w:p>
        </w:tc>
        <w:tc>
          <w:tcPr>
            <w:tcW w:type="dxa" w:w="5814"/>
          </w:tcPr>
          <w:p>
            <w:pPr>
              <w:pStyle w:val="null3"/>
            </w:pPr>
            <w:r>
              <w:rPr>
                <w:sz w:val="24"/>
              </w:rPr>
              <w:t>（</w:t>
            </w:r>
            <w:r>
              <w:rPr>
                <w:sz w:val="24"/>
              </w:rPr>
              <w:t>3</w:t>
            </w:r>
            <w:r>
              <w:rPr>
                <w:sz w:val="24"/>
              </w:rPr>
              <w:t>）</w:t>
            </w:r>
            <w:r>
              <w:rPr>
                <w:sz w:val="24"/>
              </w:rPr>
              <w:t>精度：</w:t>
            </w:r>
            <w:r>
              <w:rPr>
                <w:sz w:val="24"/>
              </w:rPr>
              <w:t>≤</w:t>
            </w:r>
            <w:r>
              <w:rPr>
                <w:sz w:val="24"/>
              </w:rPr>
              <w:t>±1.5 dB</w:t>
            </w:r>
            <w:r>
              <w:rPr>
                <w:sz w:val="24"/>
              </w:rPr>
              <w:t>。</w:t>
            </w:r>
          </w:p>
        </w:tc>
      </w:tr>
      <w:tr>
        <w:tc>
          <w:tcPr>
            <w:tcW w:type="dxa" w:w="2076"/>
          </w:tcPr>
          <w:p/>
        </w:tc>
        <w:tc>
          <w:tcPr>
            <w:tcW w:type="dxa" w:w="415"/>
          </w:tcPr>
          <w:p>
            <w:pPr>
              <w:pStyle w:val="null3"/>
            </w:pPr>
            <w:r>
              <w:rPr/>
              <w:t>14</w:t>
            </w:r>
          </w:p>
        </w:tc>
        <w:tc>
          <w:tcPr>
            <w:tcW w:type="dxa" w:w="5814"/>
          </w:tcPr>
          <w:p>
            <w:pPr>
              <w:pStyle w:val="null3"/>
              <w:jc w:val="left"/>
            </w:pPr>
            <w:r>
              <w:rPr>
                <w:sz w:val="24"/>
                <w:b/>
              </w:rPr>
              <w:t>3.</w:t>
            </w:r>
            <w:r>
              <w:rPr>
                <w:sz w:val="24"/>
                <w:b/>
              </w:rPr>
              <w:t>标准剖面模式</w:t>
            </w:r>
            <w:r>
              <w:rPr>
                <w:sz w:val="24"/>
                <w:b/>
              </w:rPr>
              <w:t>：</w:t>
            </w:r>
          </w:p>
          <w:p>
            <w:pPr>
              <w:pStyle w:val="null3"/>
            </w:pPr>
            <w:r>
              <w:rPr>
                <w:sz w:val="24"/>
              </w:rPr>
              <w:t>高分辨率水剖面</w:t>
            </w:r>
            <w:r>
              <w:rPr>
                <w:sz w:val="24"/>
              </w:rPr>
              <w:t>、</w:t>
            </w:r>
            <w:r>
              <w:rPr>
                <w:sz w:val="24"/>
              </w:rPr>
              <w:t>快速采样</w:t>
            </w:r>
            <w:r>
              <w:rPr>
                <w:sz w:val="24"/>
              </w:rPr>
              <w:t>、</w:t>
            </w:r>
            <w:r>
              <w:rPr>
                <w:sz w:val="24"/>
              </w:rPr>
              <w:t>冰跟踪和</w:t>
            </w:r>
            <w:r>
              <w:rPr>
                <w:sz w:val="24"/>
              </w:rPr>
              <w:t xml:space="preserve">LADCP </w:t>
            </w:r>
            <w:r>
              <w:rPr>
                <w:sz w:val="24"/>
              </w:rPr>
              <w:t>模式</w:t>
            </w:r>
            <w:r>
              <w:rPr>
                <w:sz w:val="24"/>
              </w:rPr>
              <w:t>。</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b/>
              </w:rPr>
              <w:t>4.</w:t>
            </w:r>
            <w:r>
              <w:rPr>
                <w:sz w:val="24"/>
                <w:b/>
              </w:rPr>
              <w:t>环境</w:t>
            </w:r>
            <w:r>
              <w:rPr>
                <w:sz w:val="24"/>
                <w:b/>
              </w:rPr>
              <w:t>：</w:t>
            </w:r>
          </w:p>
          <w:p>
            <w:pPr>
              <w:pStyle w:val="null3"/>
            </w:pPr>
            <w:r>
              <w:rPr>
                <w:sz w:val="24"/>
              </w:rPr>
              <w:t>★</w:t>
            </w:r>
            <w:r>
              <w:rPr>
                <w:sz w:val="24"/>
              </w:rPr>
              <w:t>（</w:t>
            </w:r>
            <w:r>
              <w:rPr>
                <w:sz w:val="24"/>
              </w:rPr>
              <w:t>1</w:t>
            </w:r>
            <w:r>
              <w:rPr>
                <w:sz w:val="24"/>
              </w:rPr>
              <w:t>）</w:t>
            </w:r>
            <w:r>
              <w:rPr>
                <w:sz w:val="24"/>
              </w:rPr>
              <w:t>标准耐压深度</w:t>
            </w:r>
            <w:r>
              <w:rPr>
                <w:sz w:val="24"/>
              </w:rPr>
              <w:t>：</w:t>
            </w:r>
            <w:r>
              <w:rPr>
                <w:sz w:val="24"/>
              </w:rPr>
              <w:t xml:space="preserve"> 6000m</w:t>
            </w:r>
            <w:r>
              <w:rPr>
                <w:sz w:val="24"/>
              </w:rPr>
              <w:t>耐压</w:t>
            </w:r>
            <w:r>
              <w:rPr>
                <w:sz w:val="24"/>
                <w:b/>
              </w:rPr>
              <w:t>（提供带</w:t>
            </w:r>
            <w:r>
              <w:rPr>
                <w:sz w:val="24"/>
                <w:b/>
              </w:rPr>
              <w:t>CMA</w:t>
            </w:r>
            <w:r>
              <w:rPr>
                <w:sz w:val="24"/>
                <w:b/>
              </w:rPr>
              <w:t>的第三方检测报告或者厂家测试报告证书复印件）</w:t>
            </w:r>
            <w:r>
              <w:rPr>
                <w:sz w:val="24"/>
              </w:rPr>
              <w:t>；</w:t>
            </w:r>
          </w:p>
        </w:tc>
      </w:tr>
      <w:tr>
        <w:tc>
          <w:tcPr>
            <w:tcW w:type="dxa" w:w="2076"/>
          </w:tcPr>
          <w:p/>
        </w:tc>
        <w:tc>
          <w:tcPr>
            <w:tcW w:type="dxa" w:w="415"/>
          </w:tcPr>
          <w:p>
            <w:pPr>
              <w:pStyle w:val="null3"/>
            </w:pPr>
            <w:r>
              <w:rPr/>
              <w:t>16</w:t>
            </w:r>
          </w:p>
        </w:tc>
        <w:tc>
          <w:tcPr>
            <w:tcW w:type="dxa" w:w="5814"/>
          </w:tcPr>
          <w:p>
            <w:pPr>
              <w:pStyle w:val="null3"/>
            </w:pPr>
            <w:r>
              <w:rPr>
                <w:sz w:val="24"/>
              </w:rPr>
              <w:t>（</w:t>
            </w:r>
            <w:r>
              <w:rPr>
                <w:sz w:val="24"/>
              </w:rPr>
              <w:t>2</w:t>
            </w:r>
            <w:r>
              <w:rPr>
                <w:sz w:val="24"/>
              </w:rPr>
              <w:t>）</w:t>
            </w:r>
            <w:r>
              <w:rPr>
                <w:sz w:val="24"/>
              </w:rPr>
              <w:t>工作温度：</w:t>
            </w:r>
            <w:r>
              <w:rPr>
                <w:sz w:val="24"/>
              </w:rPr>
              <w:t>-5℃</w:t>
            </w:r>
            <w:r>
              <w:rPr>
                <w:sz w:val="24"/>
              </w:rPr>
              <w:t>～</w:t>
            </w:r>
            <w:r>
              <w:rPr>
                <w:sz w:val="24"/>
              </w:rPr>
              <w:t>45℃</w:t>
            </w:r>
            <w:r>
              <w:rPr>
                <w:sz w:val="24"/>
              </w:rPr>
              <w:t>；</w:t>
            </w:r>
          </w:p>
        </w:tc>
      </w:tr>
      <w:tr>
        <w:tc>
          <w:tcPr>
            <w:tcW w:type="dxa" w:w="2076"/>
          </w:tcPr>
          <w:p/>
        </w:tc>
        <w:tc>
          <w:tcPr>
            <w:tcW w:type="dxa" w:w="415"/>
          </w:tcPr>
          <w:p>
            <w:pPr>
              <w:pStyle w:val="null3"/>
            </w:pPr>
            <w:r>
              <w:rPr/>
              <w:t>17</w:t>
            </w:r>
          </w:p>
        </w:tc>
        <w:tc>
          <w:tcPr>
            <w:tcW w:type="dxa" w:w="5814"/>
          </w:tcPr>
          <w:p>
            <w:pPr>
              <w:pStyle w:val="null3"/>
            </w:pPr>
            <w:r>
              <w:rPr>
                <w:sz w:val="24"/>
              </w:rPr>
              <w:t>（</w:t>
            </w:r>
            <w:r>
              <w:rPr>
                <w:sz w:val="24"/>
              </w:rPr>
              <w:t>3</w:t>
            </w:r>
            <w:r>
              <w:rPr>
                <w:sz w:val="24"/>
              </w:rPr>
              <w:t>）</w:t>
            </w:r>
            <w:r>
              <w:rPr>
                <w:sz w:val="24"/>
              </w:rPr>
              <w:t>储藏温度</w:t>
            </w:r>
            <w:r>
              <w:rPr>
                <w:sz w:val="24"/>
              </w:rPr>
              <w:t>（</w:t>
            </w:r>
            <w:r>
              <w:rPr>
                <w:sz w:val="24"/>
              </w:rPr>
              <w:t>无电池）：</w:t>
            </w:r>
            <w:r>
              <w:rPr>
                <w:sz w:val="24"/>
              </w:rPr>
              <w:t xml:space="preserve">-30℃ </w:t>
            </w:r>
            <w:r>
              <w:rPr>
                <w:sz w:val="24"/>
              </w:rPr>
              <w:t>～</w:t>
            </w:r>
            <w:r>
              <w:rPr>
                <w:sz w:val="24"/>
              </w:rPr>
              <w:t xml:space="preserve"> 60℃</w:t>
            </w:r>
            <w:r>
              <w:rPr>
                <w:sz w:val="24"/>
              </w:rPr>
              <w:t>。</w:t>
            </w:r>
          </w:p>
        </w:tc>
      </w:tr>
      <w:tr>
        <w:tc>
          <w:tcPr>
            <w:tcW w:type="dxa" w:w="2076"/>
          </w:tcPr>
          <w:p/>
        </w:tc>
        <w:tc>
          <w:tcPr>
            <w:tcW w:type="dxa" w:w="415"/>
          </w:tcPr>
          <w:p>
            <w:pPr>
              <w:pStyle w:val="null3"/>
            </w:pPr>
            <w:r>
              <w:rPr/>
              <w:t>18</w:t>
            </w:r>
          </w:p>
        </w:tc>
        <w:tc>
          <w:tcPr>
            <w:tcW w:type="dxa" w:w="5814"/>
          </w:tcPr>
          <w:p>
            <w:pPr>
              <w:pStyle w:val="null3"/>
              <w:jc w:val="left"/>
            </w:pPr>
            <w:r>
              <w:rPr>
                <w:sz w:val="24"/>
                <w:b/>
              </w:rPr>
              <w:t>5.标准传感器：</w:t>
            </w:r>
          </w:p>
          <w:p>
            <w:pPr>
              <w:pStyle w:val="null3"/>
            </w:pPr>
            <w:r>
              <w:rPr>
                <w:sz w:val="24"/>
              </w:rPr>
              <w:t>（1）温度传感器：</w:t>
            </w:r>
            <w:r>
              <w:rPr>
                <w:sz w:val="24"/>
              </w:rPr>
              <w:t>量程：﹣5</w:t>
            </w:r>
            <w:r>
              <w:rPr>
                <w:sz w:val="24"/>
              </w:rPr>
              <w:t>～</w:t>
            </w:r>
            <w:r>
              <w:rPr>
                <w:sz w:val="24"/>
              </w:rPr>
              <w:t>45℃</w:t>
            </w:r>
            <w:r>
              <w:rPr>
                <w:sz w:val="24"/>
              </w:rPr>
              <w:t>；</w:t>
            </w:r>
            <w:r>
              <w:rPr>
                <w:sz w:val="24"/>
              </w:rPr>
              <w:t>精度：</w:t>
            </w:r>
            <w:r>
              <w:rPr>
                <w:sz w:val="24"/>
              </w:rPr>
              <w:t>≤</w:t>
            </w:r>
            <w:r>
              <w:rPr>
                <w:sz w:val="24"/>
              </w:rPr>
              <w:t>±0.4℃</w:t>
            </w:r>
            <w:r>
              <w:rPr>
                <w:sz w:val="24"/>
              </w:rPr>
              <w:t>；</w:t>
            </w:r>
            <w:r>
              <w:rPr>
                <w:sz w:val="24"/>
              </w:rPr>
              <w:t>分辨率：</w:t>
            </w:r>
            <w:r>
              <w:rPr>
                <w:sz w:val="24"/>
              </w:rPr>
              <w:t>≤</w:t>
            </w:r>
            <w:r>
              <w:rPr>
                <w:sz w:val="24"/>
              </w:rPr>
              <w:t>0.01℃</w:t>
            </w:r>
            <w:r>
              <w:rPr>
                <w:sz w:val="24"/>
              </w:rPr>
              <w:t>；</w:t>
            </w:r>
          </w:p>
        </w:tc>
      </w:tr>
      <w:tr>
        <w:tc>
          <w:tcPr>
            <w:tcW w:type="dxa" w:w="2076"/>
          </w:tcPr>
          <w:p/>
        </w:tc>
        <w:tc>
          <w:tcPr>
            <w:tcW w:type="dxa" w:w="415"/>
          </w:tcPr>
          <w:p>
            <w:pPr>
              <w:pStyle w:val="null3"/>
            </w:pPr>
            <w:r>
              <w:rPr/>
              <w:t>19</w:t>
            </w:r>
          </w:p>
        </w:tc>
        <w:tc>
          <w:tcPr>
            <w:tcW w:type="dxa" w:w="5814"/>
          </w:tcPr>
          <w:p>
            <w:pPr>
              <w:pStyle w:val="null3"/>
            </w:pPr>
            <w:r>
              <w:rPr>
                <w:sz w:val="24"/>
              </w:rPr>
              <w:t>（</w:t>
            </w:r>
            <w:r>
              <w:rPr>
                <w:sz w:val="24"/>
              </w:rPr>
              <w:t>2</w:t>
            </w:r>
            <w:r>
              <w:rPr>
                <w:sz w:val="24"/>
              </w:rPr>
              <w:t>）</w:t>
            </w:r>
            <w:r>
              <w:rPr>
                <w:sz w:val="24"/>
              </w:rPr>
              <w:t>倾斜传感器:量程：</w:t>
            </w:r>
            <w:r>
              <w:rPr>
                <w:sz w:val="24"/>
              </w:rPr>
              <w:t>≥</w:t>
            </w:r>
            <w:r>
              <w:rPr>
                <w:sz w:val="24"/>
              </w:rPr>
              <w:t>±90°</w:t>
            </w:r>
            <w:r>
              <w:rPr>
                <w:sz w:val="24"/>
              </w:rPr>
              <w:t>；</w:t>
            </w:r>
            <w:r>
              <w:rPr>
                <w:sz w:val="24"/>
              </w:rPr>
              <w:t>精度：</w:t>
            </w:r>
            <w:r>
              <w:rPr>
                <w:sz w:val="24"/>
              </w:rPr>
              <w:t>≤</w:t>
            </w:r>
            <w:r>
              <w:rPr>
                <w:sz w:val="24"/>
              </w:rPr>
              <w:t>±0.3°@ ±70°</w:t>
            </w:r>
            <w:r>
              <w:rPr>
                <w:sz w:val="24"/>
              </w:rPr>
              <w:t>整体倾斜</w:t>
            </w:r>
            <w:r>
              <w:rPr>
                <w:sz w:val="24"/>
              </w:rPr>
              <w:t>；</w:t>
            </w:r>
            <w:r>
              <w:rPr>
                <w:sz w:val="24"/>
              </w:rPr>
              <w:t>分辨率：</w:t>
            </w:r>
            <w:r>
              <w:rPr>
                <w:sz w:val="24"/>
              </w:rPr>
              <w:t>≤</w:t>
            </w:r>
            <w:r>
              <w:rPr>
                <w:sz w:val="24"/>
              </w:rPr>
              <w:t>0.06°</w:t>
            </w:r>
            <w:r>
              <w:rPr>
                <w:sz w:val="24"/>
              </w:rPr>
              <w:t>；</w:t>
            </w:r>
          </w:p>
        </w:tc>
      </w:tr>
      <w:tr>
        <w:tc>
          <w:tcPr>
            <w:tcW w:type="dxa" w:w="2076"/>
          </w:tcPr>
          <w:p/>
        </w:tc>
        <w:tc>
          <w:tcPr>
            <w:tcW w:type="dxa" w:w="415"/>
          </w:tcPr>
          <w:p>
            <w:pPr>
              <w:pStyle w:val="null3"/>
            </w:pPr>
            <w:r>
              <w:rPr/>
              <w:t>20</w:t>
            </w:r>
          </w:p>
        </w:tc>
        <w:tc>
          <w:tcPr>
            <w:tcW w:type="dxa" w:w="5814"/>
          </w:tcPr>
          <w:p>
            <w:pPr>
              <w:pStyle w:val="null3"/>
            </w:pPr>
            <w:r>
              <w:rPr>
                <w:sz w:val="24"/>
              </w:rPr>
              <w:t>（3）</w:t>
            </w:r>
            <w:r>
              <w:rPr>
                <w:sz w:val="24"/>
              </w:rPr>
              <w:t>罗经</w:t>
            </w:r>
            <w:r>
              <w:rPr>
                <w:sz w:val="24"/>
              </w:rPr>
              <w:t>（</w:t>
            </w:r>
            <w:r>
              <w:rPr>
                <w:sz w:val="24"/>
              </w:rPr>
              <w:t xml:space="preserve">ISM </w:t>
            </w:r>
            <w:r>
              <w:rPr>
                <w:sz w:val="24"/>
              </w:rPr>
              <w:t>磁力仪</w:t>
            </w:r>
            <w:r>
              <w:rPr>
                <w:sz w:val="24"/>
              </w:rPr>
              <w:t>）：</w:t>
            </w:r>
            <w:r>
              <w:rPr>
                <w:sz w:val="24"/>
              </w:rPr>
              <w:t>精度：</w:t>
            </w:r>
            <w:r>
              <w:rPr>
                <w:sz w:val="24"/>
              </w:rPr>
              <w:t>≤</w:t>
            </w:r>
            <w:r>
              <w:rPr>
                <w:sz w:val="24"/>
              </w:rPr>
              <w:t>±1RMS°分辨率：</w:t>
            </w:r>
            <w:r>
              <w:rPr>
                <w:sz w:val="24"/>
              </w:rPr>
              <w:t>≤</w:t>
            </w:r>
            <w:r>
              <w:rPr>
                <w:sz w:val="24"/>
              </w:rPr>
              <w:t>0.06°</w:t>
            </w:r>
            <w:r>
              <w:rPr>
                <w:sz w:val="24"/>
              </w:rPr>
              <w:t>；</w:t>
            </w:r>
          </w:p>
        </w:tc>
      </w:tr>
      <w:tr>
        <w:tc>
          <w:tcPr>
            <w:tcW w:type="dxa" w:w="2076"/>
          </w:tcPr>
          <w:p/>
        </w:tc>
        <w:tc>
          <w:tcPr>
            <w:tcW w:type="dxa" w:w="415"/>
          </w:tcPr>
          <w:p>
            <w:pPr>
              <w:pStyle w:val="null3"/>
            </w:pPr>
            <w:r>
              <w:rPr/>
              <w:t>21</w:t>
            </w:r>
          </w:p>
        </w:tc>
        <w:tc>
          <w:tcPr>
            <w:tcW w:type="dxa" w:w="5814"/>
          </w:tcPr>
          <w:p>
            <w:pPr>
              <w:pStyle w:val="null3"/>
            </w:pPr>
            <w:r>
              <w:rPr>
                <w:sz w:val="24"/>
              </w:rPr>
              <w:t>（4）</w:t>
            </w:r>
            <w:r>
              <w:rPr>
                <w:sz w:val="24"/>
              </w:rPr>
              <w:t>压力传感器</w:t>
            </w:r>
            <w:r>
              <w:rPr>
                <w:sz w:val="24"/>
              </w:rPr>
              <w:t>：</w:t>
            </w:r>
            <w:r>
              <w:rPr>
                <w:sz w:val="24"/>
              </w:rPr>
              <w:t>量程：</w:t>
            </w:r>
            <w:r>
              <w:rPr>
                <w:sz w:val="24"/>
              </w:rPr>
              <w:t>≥</w:t>
            </w:r>
            <w:r>
              <w:rPr>
                <w:sz w:val="24"/>
              </w:rPr>
              <w:t>6000m</w:t>
            </w:r>
            <w:r>
              <w:rPr>
                <w:sz w:val="24"/>
              </w:rPr>
              <w:t>；</w:t>
            </w:r>
            <w:r>
              <w:rPr>
                <w:sz w:val="24"/>
              </w:rPr>
              <w:t>短期平均精度（不确定性）</w:t>
            </w:r>
            <w:r>
              <w:rPr>
                <w:sz w:val="21"/>
              </w:rPr>
              <w:t>≤</w:t>
            </w:r>
            <w:r>
              <w:rPr>
                <w:sz w:val="24"/>
              </w:rPr>
              <w:t>±0.1%</w:t>
            </w:r>
            <w:r>
              <w:rPr>
                <w:sz w:val="24"/>
              </w:rPr>
              <w:t>；</w:t>
            </w:r>
            <w:r>
              <w:rPr>
                <w:sz w:val="24"/>
              </w:rPr>
              <w:t>最大漂移</w:t>
            </w:r>
            <w:r>
              <w:rPr>
                <w:sz w:val="21"/>
              </w:rPr>
              <w:t>≤</w:t>
            </w:r>
            <w:r>
              <w:rPr>
                <w:sz w:val="24"/>
              </w:rPr>
              <w:t>±0.25%</w:t>
            </w:r>
            <w:r>
              <w:rPr>
                <w:sz w:val="24"/>
              </w:rPr>
              <w:t>；</w:t>
            </w:r>
          </w:p>
        </w:tc>
      </w:tr>
      <w:tr>
        <w:tc>
          <w:tcPr>
            <w:tcW w:type="dxa" w:w="2076"/>
          </w:tcPr>
          <w:p/>
        </w:tc>
        <w:tc>
          <w:tcPr>
            <w:tcW w:type="dxa" w:w="415"/>
          </w:tcPr>
          <w:p>
            <w:pPr>
              <w:pStyle w:val="null3"/>
            </w:pPr>
            <w:r>
              <w:rPr/>
              <w:t>22</w:t>
            </w:r>
          </w:p>
        </w:tc>
        <w:tc>
          <w:tcPr>
            <w:tcW w:type="dxa" w:w="5814"/>
          </w:tcPr>
          <w:p>
            <w:pPr>
              <w:pStyle w:val="null3"/>
            </w:pPr>
            <w:r>
              <w:rPr>
                <w:sz w:val="24"/>
              </w:rPr>
              <w:t>6.</w:t>
            </w:r>
            <w:r>
              <w:rPr>
                <w:sz w:val="24"/>
              </w:rPr>
              <w:t>配置清单：主机（包含换能器）（1个），内置4GB内存卡（1张），450Wh碱性电池组（1组），5m电源数据线（1条），电源适配器（1套）、工具和备件套件（1套），文件套件以及合格证（1份），设备箱（1个），数据采集软件、数据显示及输出软件（1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3m浮标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w:t>
            </w:r>
            <w:r>
              <w:rPr>
                <w:sz w:val="24"/>
              </w:rPr>
              <w:t>浮标组成：浮标体、锚系部分、避险系统、数据采集系统、数据传输系统、供电系统、定位系统、拓展仪器接口、自检系统。</w:t>
            </w:r>
          </w:p>
        </w:tc>
      </w:tr>
      <w:tr>
        <w:tc>
          <w:tcPr>
            <w:tcW w:type="dxa" w:w="2076"/>
          </w:tcPr>
          <w:p>
            <w:pPr>
              <w:pStyle w:val="null3"/>
            </w:pPr>
            <w:r>
              <w:rPr/>
              <w:t>★</w:t>
            </w:r>
          </w:p>
        </w:tc>
        <w:tc>
          <w:tcPr>
            <w:tcW w:type="dxa" w:w="415"/>
          </w:tcPr>
          <w:p>
            <w:pPr>
              <w:pStyle w:val="null3"/>
            </w:pPr>
            <w:r>
              <w:rPr/>
              <w:t>2</w:t>
            </w:r>
          </w:p>
        </w:tc>
        <w:tc>
          <w:tcPr>
            <w:tcW w:type="dxa" w:w="5814"/>
          </w:tcPr>
          <w:p>
            <w:pPr>
              <w:pStyle w:val="null3"/>
              <w:jc w:val="left"/>
            </w:pPr>
            <w:r>
              <w:rPr>
                <w:sz w:val="24"/>
              </w:rPr>
              <w:t>2.</w:t>
            </w:r>
            <w:r>
              <w:rPr>
                <w:sz w:val="24"/>
              </w:rPr>
              <w:t>浮标体参数要求</w:t>
            </w:r>
            <w:r>
              <w:rPr>
                <w:sz w:val="24"/>
              </w:rPr>
              <w:t>：</w:t>
            </w:r>
          </w:p>
          <w:p>
            <w:pPr>
              <w:pStyle w:val="null3"/>
            </w:pPr>
            <w:r>
              <w:rPr>
                <w:sz w:val="24"/>
              </w:rPr>
              <w:t>★</w:t>
            </w:r>
            <w:r>
              <w:rPr>
                <w:sz w:val="24"/>
              </w:rPr>
              <w:t>（</w:t>
            </w:r>
            <w:r>
              <w:rPr>
                <w:sz w:val="24"/>
              </w:rPr>
              <w:t>1</w:t>
            </w:r>
            <w:r>
              <w:rPr>
                <w:sz w:val="24"/>
              </w:rPr>
              <w:t>）</w:t>
            </w:r>
            <w:r>
              <w:rPr>
                <w:sz w:val="24"/>
              </w:rPr>
              <w:t>浮标体直径：</w:t>
            </w:r>
            <w:r>
              <w:rPr>
                <w:sz w:val="24"/>
              </w:rPr>
              <w:t>3m</w:t>
            </w:r>
            <w:r>
              <w:rPr>
                <w:sz w:val="24"/>
              </w:rPr>
              <w:t>；</w:t>
            </w:r>
          </w:p>
        </w:tc>
      </w:tr>
      <w:tr>
        <w:tc>
          <w:tcPr>
            <w:tcW w:type="dxa" w:w="2076"/>
          </w:tcPr>
          <w:p/>
        </w:tc>
        <w:tc>
          <w:tcPr>
            <w:tcW w:type="dxa" w:w="415"/>
          </w:tcPr>
          <w:p>
            <w:pPr>
              <w:pStyle w:val="null3"/>
            </w:pPr>
            <w:r>
              <w:rPr/>
              <w:t>3</w:t>
            </w:r>
          </w:p>
        </w:tc>
        <w:tc>
          <w:tcPr>
            <w:tcW w:type="dxa" w:w="5814"/>
          </w:tcPr>
          <w:p>
            <w:pPr>
              <w:pStyle w:val="null3"/>
            </w:pPr>
            <w:r>
              <w:rPr>
                <w:sz w:val="24"/>
              </w:rPr>
              <w:t>（2）</w:t>
            </w:r>
            <w:r>
              <w:rPr>
                <w:sz w:val="24"/>
              </w:rPr>
              <w:t>结构设计：</w:t>
            </w:r>
            <w:r>
              <w:rPr>
                <w:sz w:val="24"/>
              </w:rPr>
              <w:t>采用</w:t>
            </w:r>
            <w:r>
              <w:rPr>
                <w:sz w:val="24"/>
              </w:rPr>
              <w:t>不倒翁设计；</w:t>
            </w:r>
          </w:p>
        </w:tc>
      </w:tr>
      <w:tr>
        <w:tc>
          <w:tcPr>
            <w:tcW w:type="dxa" w:w="2076"/>
          </w:tcPr>
          <w:p/>
        </w:tc>
        <w:tc>
          <w:tcPr>
            <w:tcW w:type="dxa" w:w="415"/>
          </w:tcPr>
          <w:p>
            <w:pPr>
              <w:pStyle w:val="null3"/>
            </w:pPr>
            <w:r>
              <w:rPr/>
              <w:t>4</w:t>
            </w:r>
          </w:p>
        </w:tc>
        <w:tc>
          <w:tcPr>
            <w:tcW w:type="dxa" w:w="5814"/>
          </w:tcPr>
          <w:p>
            <w:pPr>
              <w:pStyle w:val="null3"/>
            </w:pPr>
            <w:r>
              <w:rPr>
                <w:sz w:val="24"/>
              </w:rPr>
              <w:t>（</w:t>
            </w:r>
            <w:r>
              <w:rPr>
                <w:sz w:val="24"/>
              </w:rPr>
              <w:t>3</w:t>
            </w:r>
            <w:r>
              <w:rPr>
                <w:sz w:val="24"/>
              </w:rPr>
              <w:t>）</w:t>
            </w:r>
            <w:r>
              <w:rPr>
                <w:sz w:val="24"/>
              </w:rPr>
              <w:t>材质：主要材质（材质占比要求大于</w:t>
            </w:r>
            <w:r>
              <w:rPr>
                <w:sz w:val="24"/>
              </w:rPr>
              <w:t>50%</w:t>
            </w:r>
            <w:r>
              <w:rPr>
                <w:sz w:val="24"/>
              </w:rPr>
              <w:t>）为高分子聚脲材质</w:t>
            </w:r>
            <w:r>
              <w:rPr>
                <w:sz w:val="24"/>
              </w:rPr>
              <w:t>。</w:t>
            </w:r>
          </w:p>
        </w:tc>
      </w:tr>
      <w:tr>
        <w:tc>
          <w:tcPr>
            <w:tcW w:type="dxa" w:w="2076"/>
          </w:tcPr>
          <w:p/>
        </w:tc>
        <w:tc>
          <w:tcPr>
            <w:tcW w:type="dxa" w:w="415"/>
          </w:tcPr>
          <w:p>
            <w:pPr>
              <w:pStyle w:val="null3"/>
            </w:pPr>
            <w:r>
              <w:rPr/>
              <w:t>5</w:t>
            </w:r>
          </w:p>
        </w:tc>
        <w:tc>
          <w:tcPr>
            <w:tcW w:type="dxa" w:w="5814"/>
          </w:tcPr>
          <w:p>
            <w:pPr>
              <w:pStyle w:val="null3"/>
              <w:jc w:val="left"/>
            </w:pPr>
            <w:r>
              <w:rPr>
                <w:sz w:val="24"/>
              </w:rPr>
              <w:t>3</w:t>
            </w:r>
            <w:r>
              <w:rPr>
                <w:sz w:val="24"/>
              </w:rPr>
              <w:t>.锚系部分参数要求</w:t>
            </w:r>
            <w:r>
              <w:rPr>
                <w:sz w:val="24"/>
              </w:rPr>
              <w:t>：</w:t>
            </w:r>
          </w:p>
          <w:p>
            <w:pPr>
              <w:pStyle w:val="null3"/>
            </w:pPr>
            <w:r>
              <w:rPr>
                <w:sz w:val="24"/>
              </w:rPr>
              <w:t>（1）</w:t>
            </w:r>
            <w:r>
              <w:rPr>
                <w:sz w:val="24"/>
              </w:rPr>
              <w:t>组件：配备锚链和锚，锚链长度</w:t>
            </w:r>
            <w:r>
              <w:rPr>
                <w:sz w:val="24"/>
              </w:rPr>
              <w:t>满足</w:t>
            </w:r>
            <w:r>
              <w:rPr>
                <w:sz w:val="24"/>
              </w:rPr>
              <w:t>不小于</w:t>
            </w:r>
            <w:r>
              <w:rPr>
                <w:sz w:val="24"/>
              </w:rPr>
              <w:t>27</w:t>
            </w:r>
            <w:r>
              <w:rPr>
                <w:sz w:val="24"/>
              </w:rPr>
              <w:t>×</w:t>
            </w:r>
            <w:r>
              <w:rPr>
                <w:sz w:val="24"/>
              </w:rPr>
              <w:t>5=135m</w:t>
            </w:r>
            <w:r>
              <w:rPr>
                <w:sz w:val="24"/>
              </w:rPr>
              <w:t>的工作环境要求；</w:t>
            </w:r>
          </w:p>
        </w:tc>
      </w:tr>
      <w:tr>
        <w:tc>
          <w:tcPr>
            <w:tcW w:type="dxa" w:w="2076"/>
          </w:tcPr>
          <w:p/>
        </w:tc>
        <w:tc>
          <w:tcPr>
            <w:tcW w:type="dxa" w:w="415"/>
          </w:tcPr>
          <w:p>
            <w:pPr>
              <w:pStyle w:val="null3"/>
            </w:pPr>
            <w:r>
              <w:rPr/>
              <w:t>6</w:t>
            </w:r>
          </w:p>
        </w:tc>
        <w:tc>
          <w:tcPr>
            <w:tcW w:type="dxa" w:w="5814"/>
          </w:tcPr>
          <w:p>
            <w:pPr>
              <w:pStyle w:val="null3"/>
            </w:pPr>
            <w:r>
              <w:rPr>
                <w:sz w:val="24"/>
              </w:rPr>
              <w:t>（</w:t>
            </w:r>
            <w:r>
              <w:rPr>
                <w:sz w:val="24"/>
              </w:rPr>
              <w:t>2</w:t>
            </w:r>
            <w:r>
              <w:rPr>
                <w:sz w:val="24"/>
              </w:rPr>
              <w:t>）</w:t>
            </w:r>
            <w:r>
              <w:rPr>
                <w:sz w:val="24"/>
              </w:rPr>
              <w:t>设计：锚链</w:t>
            </w:r>
            <w:r>
              <w:rPr>
                <w:sz w:val="24"/>
              </w:rPr>
              <w:t>+</w:t>
            </w:r>
            <w:r>
              <w:rPr>
                <w:sz w:val="24"/>
              </w:rPr>
              <w:t>绳子组合</w:t>
            </w:r>
            <w:r>
              <w:rPr>
                <w:sz w:val="24"/>
              </w:rPr>
              <w:t>。</w:t>
            </w:r>
          </w:p>
        </w:tc>
      </w:tr>
      <w:tr>
        <w:tc>
          <w:tcPr>
            <w:tcW w:type="dxa" w:w="2076"/>
          </w:tcPr>
          <w:p>
            <w:pPr>
              <w:pStyle w:val="null3"/>
            </w:pPr>
            <w:r>
              <w:rPr/>
              <w:t>★</w:t>
            </w:r>
          </w:p>
        </w:tc>
        <w:tc>
          <w:tcPr>
            <w:tcW w:type="dxa" w:w="415"/>
          </w:tcPr>
          <w:p>
            <w:pPr>
              <w:pStyle w:val="null3"/>
            </w:pPr>
            <w:r>
              <w:rPr/>
              <w:t>7</w:t>
            </w:r>
          </w:p>
        </w:tc>
        <w:tc>
          <w:tcPr>
            <w:tcW w:type="dxa" w:w="5814"/>
          </w:tcPr>
          <w:p>
            <w:pPr>
              <w:pStyle w:val="null3"/>
              <w:jc w:val="left"/>
            </w:pPr>
            <w:r>
              <w:rPr>
                <w:sz w:val="24"/>
              </w:rPr>
              <w:t>4</w:t>
            </w:r>
            <w:r>
              <w:rPr>
                <w:sz w:val="24"/>
              </w:rPr>
              <w:t>.</w:t>
            </w:r>
            <w:r>
              <w:rPr>
                <w:sz w:val="24"/>
              </w:rPr>
              <w:t>避险系统参数要求</w:t>
            </w:r>
            <w:r>
              <w:rPr>
                <w:sz w:val="24"/>
              </w:rPr>
              <w:t>：</w:t>
            </w:r>
          </w:p>
          <w:p>
            <w:pPr>
              <w:pStyle w:val="null3"/>
            </w:pPr>
            <w:r>
              <w:rPr>
                <w:sz w:val="24"/>
              </w:rPr>
              <w:t>★</w:t>
            </w:r>
            <w:r>
              <w:rPr>
                <w:sz w:val="24"/>
              </w:rPr>
              <w:t>（</w:t>
            </w:r>
            <w:r>
              <w:rPr>
                <w:sz w:val="24"/>
              </w:rPr>
              <w:t>1</w:t>
            </w:r>
            <w:r>
              <w:rPr>
                <w:sz w:val="24"/>
              </w:rPr>
              <w:t>）</w:t>
            </w:r>
            <w:r>
              <w:rPr>
                <w:sz w:val="24"/>
              </w:rPr>
              <w:t>组件：配备避雷针、</w:t>
            </w:r>
            <w:r>
              <w:rPr>
                <w:sz w:val="24"/>
              </w:rPr>
              <w:t>AIS</w:t>
            </w:r>
            <w:r>
              <w:rPr>
                <w:sz w:val="24"/>
              </w:rPr>
              <w:t>防碰撞系统、雷达反射器；</w:t>
            </w:r>
          </w:p>
        </w:tc>
      </w:tr>
      <w:tr>
        <w:tc>
          <w:tcPr>
            <w:tcW w:type="dxa" w:w="2076"/>
          </w:tcPr>
          <w:p/>
        </w:tc>
        <w:tc>
          <w:tcPr>
            <w:tcW w:type="dxa" w:w="415"/>
          </w:tcPr>
          <w:p>
            <w:pPr>
              <w:pStyle w:val="null3"/>
            </w:pPr>
            <w:r>
              <w:rPr/>
              <w:t>8</w:t>
            </w:r>
          </w:p>
        </w:tc>
        <w:tc>
          <w:tcPr>
            <w:tcW w:type="dxa" w:w="5814"/>
          </w:tcPr>
          <w:p>
            <w:pPr>
              <w:pStyle w:val="null3"/>
            </w:pPr>
            <w:r>
              <w:rPr>
                <w:sz w:val="24"/>
              </w:rPr>
              <w:t>（</w:t>
            </w:r>
            <w:r>
              <w:rPr>
                <w:sz w:val="24"/>
              </w:rPr>
              <w:t>2</w:t>
            </w:r>
            <w:r>
              <w:rPr>
                <w:sz w:val="24"/>
              </w:rPr>
              <w:t>）</w:t>
            </w:r>
            <w:r>
              <w:rPr>
                <w:sz w:val="24"/>
              </w:rPr>
              <w:t>备用避险拓展：扩展第二套</w:t>
            </w:r>
            <w:r>
              <w:rPr>
                <w:sz w:val="24"/>
              </w:rPr>
              <w:t>AIS</w:t>
            </w:r>
            <w:r>
              <w:rPr>
                <w:sz w:val="24"/>
              </w:rPr>
              <w:t>防碰撞系统的接口，其中一套</w:t>
            </w:r>
            <w:r>
              <w:rPr>
                <w:sz w:val="24"/>
              </w:rPr>
              <w:t>AIS</w:t>
            </w:r>
            <w:r>
              <w:rPr>
                <w:sz w:val="24"/>
              </w:rPr>
              <w:t>采用独立自供电方式。</w:t>
            </w:r>
          </w:p>
        </w:tc>
      </w:tr>
      <w:tr>
        <w:tc>
          <w:tcPr>
            <w:tcW w:type="dxa" w:w="2076"/>
          </w:tcPr>
          <w:p/>
        </w:tc>
        <w:tc>
          <w:tcPr>
            <w:tcW w:type="dxa" w:w="415"/>
          </w:tcPr>
          <w:p>
            <w:pPr>
              <w:pStyle w:val="null3"/>
            </w:pPr>
            <w:r>
              <w:rPr/>
              <w:t>9</w:t>
            </w:r>
          </w:p>
        </w:tc>
        <w:tc>
          <w:tcPr>
            <w:tcW w:type="dxa" w:w="5814"/>
          </w:tcPr>
          <w:p>
            <w:pPr>
              <w:pStyle w:val="null3"/>
              <w:jc w:val="left"/>
            </w:pPr>
            <w:r>
              <w:rPr>
                <w:sz w:val="24"/>
              </w:rPr>
              <w:t>5</w:t>
            </w:r>
            <w:r>
              <w:rPr>
                <w:sz w:val="24"/>
              </w:rPr>
              <w:t>.</w:t>
            </w:r>
            <w:r>
              <w:rPr>
                <w:sz w:val="24"/>
              </w:rPr>
              <w:t>数据采集系统参数要求</w:t>
            </w:r>
            <w:r>
              <w:rPr>
                <w:sz w:val="24"/>
              </w:rPr>
              <w:t>：</w:t>
            </w:r>
          </w:p>
          <w:p>
            <w:pPr>
              <w:pStyle w:val="null3"/>
            </w:pPr>
            <w:r>
              <w:rPr>
                <w:sz w:val="24"/>
              </w:rPr>
              <w:t>（</w:t>
            </w:r>
            <w:r>
              <w:rPr>
                <w:sz w:val="24"/>
              </w:rPr>
              <w:t>1</w:t>
            </w:r>
            <w:r>
              <w:rPr>
                <w:sz w:val="24"/>
              </w:rPr>
              <w:t>）</w:t>
            </w:r>
            <w:r>
              <w:rPr>
                <w:sz w:val="24"/>
              </w:rPr>
              <w:t>支持协议</w:t>
            </w:r>
            <w:r>
              <w:rPr>
                <w:sz w:val="24"/>
              </w:rPr>
              <w:t>/</w:t>
            </w:r>
            <w:r>
              <w:rPr>
                <w:sz w:val="24"/>
              </w:rPr>
              <w:t>接口：支持</w:t>
            </w:r>
            <w:r>
              <w:rPr>
                <w:sz w:val="24"/>
              </w:rPr>
              <w:t>RS-232</w:t>
            </w:r>
            <w:r>
              <w:rPr>
                <w:sz w:val="24"/>
              </w:rPr>
              <w:t>、</w:t>
            </w:r>
            <w:r>
              <w:rPr>
                <w:sz w:val="24"/>
              </w:rPr>
              <w:t>RS-485</w:t>
            </w:r>
            <w:r>
              <w:rPr>
                <w:sz w:val="24"/>
              </w:rPr>
              <w:t>接口、</w:t>
            </w:r>
            <w:r>
              <w:rPr>
                <w:sz w:val="24"/>
              </w:rPr>
              <w:t>USB</w:t>
            </w:r>
            <w:r>
              <w:rPr>
                <w:sz w:val="24"/>
              </w:rPr>
              <w:t>接口与仪器进行通讯；</w:t>
            </w:r>
          </w:p>
        </w:tc>
      </w:tr>
      <w:tr>
        <w:tc>
          <w:tcPr>
            <w:tcW w:type="dxa" w:w="2076"/>
          </w:tcPr>
          <w:p/>
        </w:tc>
        <w:tc>
          <w:tcPr>
            <w:tcW w:type="dxa" w:w="415"/>
          </w:tcPr>
          <w:p>
            <w:pPr>
              <w:pStyle w:val="null3"/>
            </w:pPr>
            <w:r>
              <w:rPr/>
              <w:t>10</w:t>
            </w:r>
          </w:p>
        </w:tc>
        <w:tc>
          <w:tcPr>
            <w:tcW w:type="dxa" w:w="5814"/>
          </w:tcPr>
          <w:p>
            <w:pPr>
              <w:pStyle w:val="null3"/>
            </w:pPr>
            <w:r>
              <w:rPr>
                <w:sz w:val="24"/>
              </w:rPr>
              <w:t>（</w:t>
            </w:r>
            <w:r>
              <w:rPr>
                <w:sz w:val="24"/>
              </w:rPr>
              <w:t>2</w:t>
            </w:r>
            <w:r>
              <w:rPr>
                <w:sz w:val="24"/>
              </w:rPr>
              <w:t>）</w:t>
            </w:r>
            <w:r>
              <w:rPr>
                <w:sz w:val="24"/>
              </w:rPr>
              <w:t>采样周期：至少满足</w:t>
            </w:r>
            <w:r>
              <w:rPr>
                <w:sz w:val="24"/>
              </w:rPr>
              <w:t>0.5</w:t>
            </w:r>
            <w:r>
              <w:rPr>
                <w:sz w:val="24"/>
              </w:rPr>
              <w:t>小时、</w:t>
            </w:r>
            <w:r>
              <w:rPr>
                <w:sz w:val="24"/>
              </w:rPr>
              <w:t>1</w:t>
            </w:r>
            <w:r>
              <w:rPr>
                <w:sz w:val="24"/>
              </w:rPr>
              <w:t>小时等常规采样周期，并支持定制。</w:t>
            </w:r>
          </w:p>
        </w:tc>
      </w:tr>
      <w:tr>
        <w:tc>
          <w:tcPr>
            <w:tcW w:type="dxa" w:w="2076"/>
          </w:tcPr>
          <w:p/>
        </w:tc>
        <w:tc>
          <w:tcPr>
            <w:tcW w:type="dxa" w:w="415"/>
          </w:tcPr>
          <w:p>
            <w:pPr>
              <w:pStyle w:val="null3"/>
            </w:pPr>
            <w:r>
              <w:rPr/>
              <w:t>11</w:t>
            </w:r>
          </w:p>
        </w:tc>
        <w:tc>
          <w:tcPr>
            <w:tcW w:type="dxa" w:w="5814"/>
          </w:tcPr>
          <w:p>
            <w:pPr>
              <w:pStyle w:val="null3"/>
              <w:jc w:val="left"/>
            </w:pPr>
            <w:r>
              <w:rPr>
                <w:sz w:val="24"/>
              </w:rPr>
              <w:t>6</w:t>
            </w:r>
            <w:r>
              <w:rPr>
                <w:sz w:val="24"/>
              </w:rPr>
              <w:t>.</w:t>
            </w:r>
            <w:r>
              <w:rPr>
                <w:sz w:val="24"/>
              </w:rPr>
              <w:t>数据传输系统参数要求</w:t>
            </w:r>
            <w:r>
              <w:rPr>
                <w:sz w:val="24"/>
              </w:rPr>
              <w:t>：</w:t>
            </w:r>
          </w:p>
          <w:p>
            <w:pPr>
              <w:pStyle w:val="null3"/>
            </w:pPr>
            <w:r>
              <w:rPr>
                <w:sz w:val="24"/>
              </w:rPr>
              <w:t>（</w:t>
            </w:r>
            <w:r>
              <w:rPr>
                <w:sz w:val="24"/>
              </w:rPr>
              <w:t>1</w:t>
            </w:r>
            <w:r>
              <w:rPr>
                <w:sz w:val="24"/>
              </w:rPr>
              <w:t>）</w:t>
            </w:r>
            <w:r>
              <w:rPr>
                <w:sz w:val="24"/>
              </w:rPr>
              <w:t>通讯方式：北斗通讯</w:t>
            </w:r>
            <w:r>
              <w:rPr>
                <w:sz w:val="24"/>
              </w:rPr>
              <w:t>+ 4G</w:t>
            </w:r>
            <w:r>
              <w:rPr>
                <w:sz w:val="24"/>
              </w:rPr>
              <w:t>通讯组合；</w:t>
            </w:r>
          </w:p>
        </w:tc>
      </w:tr>
      <w:tr>
        <w:tc>
          <w:tcPr>
            <w:tcW w:type="dxa" w:w="2076"/>
          </w:tcPr>
          <w:p/>
        </w:tc>
        <w:tc>
          <w:tcPr>
            <w:tcW w:type="dxa" w:w="415"/>
          </w:tcPr>
          <w:p>
            <w:pPr>
              <w:pStyle w:val="null3"/>
            </w:pPr>
            <w:r>
              <w:rPr/>
              <w:t>12</w:t>
            </w:r>
          </w:p>
        </w:tc>
        <w:tc>
          <w:tcPr>
            <w:tcW w:type="dxa" w:w="5814"/>
          </w:tcPr>
          <w:p>
            <w:pPr>
              <w:pStyle w:val="null3"/>
            </w:pPr>
            <w:r>
              <w:rPr>
                <w:sz w:val="24"/>
              </w:rPr>
              <w:t>（</w:t>
            </w:r>
            <w:r>
              <w:rPr>
                <w:sz w:val="24"/>
              </w:rPr>
              <w:t>2</w:t>
            </w:r>
            <w:r>
              <w:rPr>
                <w:sz w:val="24"/>
              </w:rPr>
              <w:t>）</w:t>
            </w:r>
            <w:r>
              <w:rPr>
                <w:sz w:val="24"/>
              </w:rPr>
              <w:t>数据接收有效率：</w:t>
            </w:r>
            <w:r>
              <w:rPr>
                <w:sz w:val="24"/>
              </w:rPr>
              <w:t>≥</w:t>
            </w:r>
            <w:r>
              <w:rPr>
                <w:sz w:val="24"/>
              </w:rPr>
              <w:t>75%</w:t>
            </w:r>
            <w:r>
              <w:rPr>
                <w:sz w:val="24"/>
              </w:rPr>
              <w:t>。</w:t>
            </w:r>
          </w:p>
        </w:tc>
      </w:tr>
      <w:tr>
        <w:tc>
          <w:tcPr>
            <w:tcW w:type="dxa" w:w="2076"/>
          </w:tcPr>
          <w:p/>
        </w:tc>
        <w:tc>
          <w:tcPr>
            <w:tcW w:type="dxa" w:w="415"/>
          </w:tcPr>
          <w:p>
            <w:pPr>
              <w:pStyle w:val="null3"/>
            </w:pPr>
            <w:r>
              <w:rPr/>
              <w:t>13</w:t>
            </w:r>
          </w:p>
        </w:tc>
        <w:tc>
          <w:tcPr>
            <w:tcW w:type="dxa" w:w="5814"/>
          </w:tcPr>
          <w:p>
            <w:pPr>
              <w:pStyle w:val="null3"/>
              <w:jc w:val="left"/>
            </w:pPr>
            <w:r>
              <w:rPr>
                <w:sz w:val="24"/>
              </w:rPr>
              <w:t>7</w:t>
            </w:r>
            <w:r>
              <w:rPr>
                <w:sz w:val="24"/>
              </w:rPr>
              <w:t>.</w:t>
            </w:r>
            <w:r>
              <w:rPr>
                <w:sz w:val="24"/>
              </w:rPr>
              <w:t>供电系统</w:t>
            </w:r>
            <w:r>
              <w:rPr>
                <w:sz w:val="24"/>
              </w:rPr>
              <w:t>：</w:t>
            </w:r>
          </w:p>
          <w:p>
            <w:pPr>
              <w:pStyle w:val="null3"/>
            </w:pPr>
            <w:r>
              <w:rPr>
                <w:sz w:val="24"/>
              </w:rPr>
              <w:t>（</w:t>
            </w:r>
            <w:r>
              <w:rPr>
                <w:sz w:val="24"/>
              </w:rPr>
              <w:t>1</w:t>
            </w:r>
            <w:r>
              <w:rPr>
                <w:sz w:val="24"/>
              </w:rPr>
              <w:t>）</w:t>
            </w:r>
            <w:r>
              <w:rPr>
                <w:sz w:val="24"/>
              </w:rPr>
              <w:t>组成：采用太阳能电池板供电与蓄电电池供电组合，电压至少可达</w:t>
            </w:r>
            <w:r>
              <w:rPr>
                <w:sz w:val="24"/>
              </w:rPr>
              <w:t>50V</w:t>
            </w:r>
            <w:r>
              <w:rPr>
                <w:sz w:val="24"/>
              </w:rPr>
              <w:t>；</w:t>
            </w:r>
          </w:p>
        </w:tc>
      </w:tr>
      <w:tr>
        <w:tc>
          <w:tcPr>
            <w:tcW w:type="dxa" w:w="2076"/>
          </w:tcPr>
          <w:p/>
        </w:tc>
        <w:tc>
          <w:tcPr>
            <w:tcW w:type="dxa" w:w="415"/>
          </w:tcPr>
          <w:p>
            <w:pPr>
              <w:pStyle w:val="null3"/>
            </w:pPr>
            <w:r>
              <w:rPr/>
              <w:t>14</w:t>
            </w:r>
          </w:p>
        </w:tc>
        <w:tc>
          <w:tcPr>
            <w:tcW w:type="dxa" w:w="5814"/>
          </w:tcPr>
          <w:p>
            <w:pPr>
              <w:pStyle w:val="null3"/>
            </w:pPr>
            <w:r>
              <w:rPr>
                <w:sz w:val="24"/>
              </w:rPr>
              <w:t>（</w:t>
            </w:r>
            <w:r>
              <w:rPr>
                <w:sz w:val="24"/>
              </w:rPr>
              <w:t>2</w:t>
            </w:r>
            <w:r>
              <w:rPr>
                <w:sz w:val="24"/>
              </w:rPr>
              <w:t>）</w:t>
            </w:r>
            <w:r>
              <w:rPr>
                <w:sz w:val="24"/>
              </w:rPr>
              <w:t>续航：在缺失太阳能供电情况下，能保证仪器（平均功率为</w:t>
            </w:r>
            <w:r>
              <w:rPr>
                <w:sz w:val="24"/>
              </w:rPr>
              <w:t>80W</w:t>
            </w:r>
            <w:r>
              <w:rPr>
                <w:sz w:val="24"/>
              </w:rPr>
              <w:t>）及自带拓展设备正常工作至少</w:t>
            </w:r>
            <w:r>
              <w:rPr>
                <w:sz w:val="24"/>
              </w:rPr>
              <w:t>14</w:t>
            </w:r>
            <w:r>
              <w:rPr>
                <w:sz w:val="24"/>
              </w:rPr>
              <w:t>天。</w:t>
            </w:r>
          </w:p>
        </w:tc>
      </w:tr>
      <w:tr>
        <w:tc>
          <w:tcPr>
            <w:tcW w:type="dxa" w:w="2076"/>
          </w:tcPr>
          <w:p>
            <w:pPr>
              <w:pStyle w:val="null3"/>
            </w:pPr>
            <w:r>
              <w:rPr/>
              <w:t>★</w:t>
            </w:r>
          </w:p>
        </w:tc>
        <w:tc>
          <w:tcPr>
            <w:tcW w:type="dxa" w:w="415"/>
          </w:tcPr>
          <w:p>
            <w:pPr>
              <w:pStyle w:val="null3"/>
            </w:pPr>
            <w:r>
              <w:rPr/>
              <w:t>15</w:t>
            </w:r>
          </w:p>
        </w:tc>
        <w:tc>
          <w:tcPr>
            <w:tcW w:type="dxa" w:w="5814"/>
          </w:tcPr>
          <w:p>
            <w:pPr>
              <w:pStyle w:val="null3"/>
              <w:jc w:val="left"/>
            </w:pPr>
            <w:r>
              <w:rPr>
                <w:sz w:val="24"/>
              </w:rPr>
              <w:t>8</w:t>
            </w:r>
            <w:r>
              <w:rPr>
                <w:sz w:val="24"/>
              </w:rPr>
              <w:t>.</w:t>
            </w:r>
            <w:r>
              <w:rPr>
                <w:sz w:val="24"/>
              </w:rPr>
              <w:t>定位系统参数要求</w:t>
            </w:r>
            <w:r>
              <w:rPr>
                <w:sz w:val="24"/>
              </w:rPr>
              <w:t>：</w:t>
            </w:r>
          </w:p>
          <w:p>
            <w:pPr>
              <w:pStyle w:val="null3"/>
            </w:pPr>
            <w:r>
              <w:rPr>
                <w:sz w:val="24"/>
              </w:rPr>
              <w:t>★</w:t>
            </w:r>
            <w:r>
              <w:rPr>
                <w:sz w:val="24"/>
              </w:rPr>
              <w:t>（</w:t>
            </w:r>
            <w:r>
              <w:rPr>
                <w:sz w:val="24"/>
              </w:rPr>
              <w:t>1</w:t>
            </w:r>
            <w:r>
              <w:rPr>
                <w:sz w:val="24"/>
              </w:rPr>
              <w:t>）</w:t>
            </w:r>
            <w:r>
              <w:rPr>
                <w:sz w:val="24"/>
              </w:rPr>
              <w:t>定位技术：支持北斗、</w:t>
            </w:r>
            <w:r>
              <w:rPr>
                <w:sz w:val="24"/>
              </w:rPr>
              <w:t>GPS</w:t>
            </w:r>
            <w:r>
              <w:rPr>
                <w:sz w:val="24"/>
              </w:rPr>
              <w:t>双定位系统；</w:t>
            </w:r>
          </w:p>
        </w:tc>
      </w:tr>
      <w:tr>
        <w:tc>
          <w:tcPr>
            <w:tcW w:type="dxa" w:w="2076"/>
          </w:tcPr>
          <w:p/>
        </w:tc>
        <w:tc>
          <w:tcPr>
            <w:tcW w:type="dxa" w:w="415"/>
          </w:tcPr>
          <w:p>
            <w:pPr>
              <w:pStyle w:val="null3"/>
            </w:pPr>
            <w:r>
              <w:rPr/>
              <w:t>16</w:t>
            </w:r>
          </w:p>
        </w:tc>
        <w:tc>
          <w:tcPr>
            <w:tcW w:type="dxa" w:w="5814"/>
          </w:tcPr>
          <w:p>
            <w:pPr>
              <w:pStyle w:val="null3"/>
            </w:pPr>
            <w:r>
              <w:rPr>
                <w:sz w:val="24"/>
              </w:rPr>
              <w:t>（</w:t>
            </w:r>
            <w:r>
              <w:rPr>
                <w:sz w:val="24"/>
              </w:rPr>
              <w:t>2</w:t>
            </w:r>
            <w:r>
              <w:rPr>
                <w:sz w:val="24"/>
              </w:rPr>
              <w:t>）</w:t>
            </w:r>
            <w:r>
              <w:rPr>
                <w:sz w:val="24"/>
              </w:rPr>
              <w:t>备用定位方式：至少配备铱星信标、北斗信标或者北斗定位锚灯之一</w:t>
            </w:r>
            <w:r>
              <w:rPr>
                <w:sz w:val="24"/>
              </w:rPr>
              <w:t>，以上备用定位方式</w:t>
            </w:r>
            <w:r>
              <w:rPr>
                <w:sz w:val="24"/>
              </w:rPr>
              <w:t>均可独立供电和通信</w:t>
            </w:r>
            <w:r>
              <w:rPr>
                <w:sz w:val="24"/>
              </w:rPr>
              <w:t>。</w:t>
            </w:r>
          </w:p>
        </w:tc>
      </w:tr>
      <w:tr>
        <w:tc>
          <w:tcPr>
            <w:tcW w:type="dxa" w:w="2076"/>
          </w:tcPr>
          <w:p>
            <w:pPr>
              <w:pStyle w:val="null3"/>
            </w:pPr>
            <w:r>
              <w:rPr/>
              <w:t>★</w:t>
            </w:r>
          </w:p>
        </w:tc>
        <w:tc>
          <w:tcPr>
            <w:tcW w:type="dxa" w:w="415"/>
          </w:tcPr>
          <w:p>
            <w:pPr>
              <w:pStyle w:val="null3"/>
            </w:pPr>
            <w:r>
              <w:rPr/>
              <w:t>17</w:t>
            </w:r>
          </w:p>
        </w:tc>
        <w:tc>
          <w:tcPr>
            <w:tcW w:type="dxa" w:w="5814"/>
          </w:tcPr>
          <w:p>
            <w:pPr>
              <w:pStyle w:val="null3"/>
              <w:jc w:val="left"/>
            </w:pPr>
            <w:r>
              <w:rPr>
                <w:sz w:val="24"/>
              </w:rPr>
              <w:t>9</w:t>
            </w:r>
            <w:r>
              <w:rPr>
                <w:sz w:val="24"/>
              </w:rPr>
              <w:t>.</w:t>
            </w:r>
            <w:r>
              <w:rPr>
                <w:sz w:val="24"/>
              </w:rPr>
              <w:t>拓展仪器接口参数要求</w:t>
            </w:r>
            <w:r>
              <w:rPr>
                <w:sz w:val="24"/>
              </w:rPr>
              <w:t>：</w:t>
            </w:r>
          </w:p>
          <w:p>
            <w:pPr>
              <w:pStyle w:val="null3"/>
            </w:pPr>
            <w:r>
              <w:rPr>
                <w:sz w:val="24"/>
              </w:rPr>
              <w:t>★</w:t>
            </w:r>
            <w:r>
              <w:rPr>
                <w:sz w:val="24"/>
              </w:rPr>
              <w:t>拓展接口：至少支持拓展</w:t>
            </w:r>
            <w:r>
              <w:rPr>
                <w:sz w:val="24"/>
              </w:rPr>
              <w:t>300K ADCP</w:t>
            </w:r>
            <w:r>
              <w:rPr>
                <w:sz w:val="24"/>
              </w:rPr>
              <w:t>、小型多参数气象站、</w:t>
            </w:r>
            <w:r>
              <w:rPr>
                <w:sz w:val="24"/>
              </w:rPr>
              <w:t>CTD</w:t>
            </w:r>
            <w:r>
              <w:rPr>
                <w:sz w:val="24"/>
              </w:rPr>
              <w:t>（温盐深）、多参数水质仪；</w:t>
            </w:r>
          </w:p>
        </w:tc>
      </w:tr>
      <w:tr>
        <w:tc>
          <w:tcPr>
            <w:tcW w:type="dxa" w:w="2076"/>
          </w:tcPr>
          <w:p/>
        </w:tc>
        <w:tc>
          <w:tcPr>
            <w:tcW w:type="dxa" w:w="415"/>
          </w:tcPr>
          <w:p>
            <w:pPr>
              <w:pStyle w:val="null3"/>
            </w:pPr>
            <w:r>
              <w:rPr/>
              <w:t>18</w:t>
            </w:r>
          </w:p>
        </w:tc>
        <w:tc>
          <w:tcPr>
            <w:tcW w:type="dxa" w:w="5814"/>
          </w:tcPr>
          <w:p>
            <w:pPr>
              <w:pStyle w:val="null3"/>
              <w:jc w:val="left"/>
            </w:pPr>
            <w:r>
              <w:rPr>
                <w:sz w:val="24"/>
              </w:rPr>
              <w:t>10</w:t>
            </w:r>
            <w:r>
              <w:rPr>
                <w:sz w:val="24"/>
              </w:rPr>
              <w:t>.</w:t>
            </w:r>
            <w:r>
              <w:rPr>
                <w:sz w:val="24"/>
              </w:rPr>
              <w:t>自检系统参数要求</w:t>
            </w:r>
            <w:r>
              <w:rPr>
                <w:sz w:val="24"/>
              </w:rPr>
              <w:t>：</w:t>
            </w:r>
          </w:p>
          <w:p>
            <w:pPr>
              <w:pStyle w:val="null3"/>
            </w:pPr>
            <w:r>
              <w:rPr>
                <w:sz w:val="24"/>
              </w:rPr>
              <w:t>（</w:t>
            </w:r>
            <w:r>
              <w:rPr>
                <w:sz w:val="24"/>
              </w:rPr>
              <w:t>1</w:t>
            </w:r>
            <w:r>
              <w:rPr>
                <w:sz w:val="24"/>
              </w:rPr>
              <w:t>）</w:t>
            </w:r>
            <w:r>
              <w:rPr>
                <w:sz w:val="24"/>
              </w:rPr>
              <w:t>自检功能：能够自检浮标观测系统是否正常工作，至少</w:t>
            </w:r>
            <w:r>
              <w:rPr>
                <w:sz w:val="24"/>
              </w:rPr>
              <w:t>7</w:t>
            </w:r>
            <w:r>
              <w:rPr>
                <w:sz w:val="24"/>
              </w:rPr>
              <w:t>天发送一次自检报告给用户</w:t>
            </w:r>
            <w:r>
              <w:rPr>
                <w:sz w:val="24"/>
              </w:rPr>
              <w:t>；</w:t>
            </w:r>
          </w:p>
        </w:tc>
      </w:tr>
      <w:tr>
        <w:tc>
          <w:tcPr>
            <w:tcW w:type="dxa" w:w="2076"/>
          </w:tcPr>
          <w:p/>
        </w:tc>
        <w:tc>
          <w:tcPr>
            <w:tcW w:type="dxa" w:w="415"/>
          </w:tcPr>
          <w:p>
            <w:pPr>
              <w:pStyle w:val="null3"/>
            </w:pPr>
            <w:r>
              <w:rPr/>
              <w:t>19</w:t>
            </w:r>
          </w:p>
        </w:tc>
        <w:tc>
          <w:tcPr>
            <w:tcW w:type="dxa" w:w="5814"/>
          </w:tcPr>
          <w:p>
            <w:pPr>
              <w:pStyle w:val="null3"/>
            </w:pPr>
            <w:r>
              <w:rPr>
                <w:sz w:val="24"/>
              </w:rPr>
              <w:t>（</w:t>
            </w:r>
            <w:r>
              <w:rPr>
                <w:sz w:val="24"/>
              </w:rPr>
              <w:t>2</w:t>
            </w:r>
            <w:r>
              <w:rPr>
                <w:sz w:val="24"/>
              </w:rPr>
              <w:t>）</w:t>
            </w:r>
            <w:r>
              <w:rPr>
                <w:sz w:val="24"/>
              </w:rPr>
              <w:t>位置偏移反馈：浮标位置发生偏移时，能够自动报警提醒用户。</w:t>
            </w:r>
          </w:p>
        </w:tc>
      </w:tr>
      <w:tr>
        <w:tc>
          <w:tcPr>
            <w:tcW w:type="dxa" w:w="2076"/>
          </w:tcPr>
          <w:p/>
        </w:tc>
        <w:tc>
          <w:tcPr>
            <w:tcW w:type="dxa" w:w="415"/>
          </w:tcPr>
          <w:p>
            <w:pPr>
              <w:pStyle w:val="null3"/>
            </w:pPr>
            <w:r>
              <w:rPr/>
              <w:t>20</w:t>
            </w:r>
          </w:p>
        </w:tc>
        <w:tc>
          <w:tcPr>
            <w:tcW w:type="dxa" w:w="5814"/>
          </w:tcPr>
          <w:p>
            <w:pPr>
              <w:pStyle w:val="null3"/>
              <w:jc w:val="left"/>
            </w:pPr>
            <w:r>
              <w:rPr>
                <w:sz w:val="24"/>
              </w:rPr>
              <w:t>1</w:t>
            </w:r>
            <w:r>
              <w:rPr>
                <w:sz w:val="24"/>
              </w:rPr>
              <w:t>1.</w:t>
            </w:r>
            <w:r>
              <w:rPr>
                <w:sz w:val="24"/>
              </w:rPr>
              <w:t>工作环境</w:t>
            </w:r>
            <w:r>
              <w:rPr>
                <w:sz w:val="24"/>
              </w:rPr>
              <w:t>：</w:t>
            </w:r>
          </w:p>
          <w:p>
            <w:pPr>
              <w:pStyle w:val="null3"/>
            </w:pPr>
            <w:r>
              <w:rPr>
                <w:sz w:val="24"/>
              </w:rPr>
              <w:t>（</w:t>
            </w:r>
            <w:r>
              <w:rPr>
                <w:sz w:val="24"/>
              </w:rPr>
              <w:t>1</w:t>
            </w:r>
            <w:r>
              <w:rPr>
                <w:sz w:val="24"/>
              </w:rPr>
              <w:t>）</w:t>
            </w:r>
            <w:r>
              <w:rPr>
                <w:sz w:val="24"/>
              </w:rPr>
              <w:t>水深：不小于</w:t>
            </w:r>
            <w:r>
              <w:rPr>
                <w:sz w:val="24"/>
              </w:rPr>
              <w:t>50m</w:t>
            </w:r>
            <w:r>
              <w:rPr>
                <w:sz w:val="24"/>
              </w:rPr>
              <w:t>；</w:t>
            </w:r>
          </w:p>
        </w:tc>
      </w:tr>
      <w:tr>
        <w:tc>
          <w:tcPr>
            <w:tcW w:type="dxa" w:w="2076"/>
          </w:tcPr>
          <w:p/>
        </w:tc>
        <w:tc>
          <w:tcPr>
            <w:tcW w:type="dxa" w:w="415"/>
          </w:tcPr>
          <w:p>
            <w:pPr>
              <w:pStyle w:val="null3"/>
            </w:pPr>
            <w:r>
              <w:rPr/>
              <w:t>21</w:t>
            </w:r>
          </w:p>
        </w:tc>
        <w:tc>
          <w:tcPr>
            <w:tcW w:type="dxa" w:w="5814"/>
          </w:tcPr>
          <w:p>
            <w:pPr>
              <w:pStyle w:val="null3"/>
            </w:pPr>
            <w:r>
              <w:rPr>
                <w:sz w:val="24"/>
              </w:rPr>
              <w:t>（</w:t>
            </w:r>
            <w:r>
              <w:rPr>
                <w:sz w:val="24"/>
              </w:rPr>
              <w:t>2</w:t>
            </w:r>
            <w:r>
              <w:rPr>
                <w:sz w:val="24"/>
              </w:rPr>
              <w:t>）</w:t>
            </w:r>
            <w:r>
              <w:rPr>
                <w:sz w:val="24"/>
              </w:rPr>
              <w:t>风速：至少抗</w:t>
            </w:r>
            <w:r>
              <w:rPr>
                <w:sz w:val="24"/>
              </w:rPr>
              <w:t>15</w:t>
            </w:r>
            <w:r>
              <w:rPr>
                <w:sz w:val="24"/>
              </w:rPr>
              <w:t>级台风（不小于</w:t>
            </w:r>
            <w:r>
              <w:rPr>
                <w:sz w:val="24"/>
              </w:rPr>
              <w:t>50m/s</w:t>
            </w:r>
            <w:r>
              <w:rPr>
                <w:sz w:val="24"/>
              </w:rPr>
              <w:t>）；</w:t>
            </w:r>
          </w:p>
        </w:tc>
      </w:tr>
      <w:tr>
        <w:tc>
          <w:tcPr>
            <w:tcW w:type="dxa" w:w="2076"/>
          </w:tcPr>
          <w:p/>
        </w:tc>
        <w:tc>
          <w:tcPr>
            <w:tcW w:type="dxa" w:w="415"/>
          </w:tcPr>
          <w:p>
            <w:pPr>
              <w:pStyle w:val="null3"/>
            </w:pPr>
            <w:r>
              <w:rPr/>
              <w:t>22</w:t>
            </w:r>
          </w:p>
        </w:tc>
        <w:tc>
          <w:tcPr>
            <w:tcW w:type="dxa" w:w="5814"/>
          </w:tcPr>
          <w:p>
            <w:pPr>
              <w:pStyle w:val="null3"/>
            </w:pPr>
            <w:r>
              <w:rPr>
                <w:sz w:val="24"/>
              </w:rPr>
              <w:t>（</w:t>
            </w:r>
            <w:r>
              <w:rPr>
                <w:sz w:val="24"/>
              </w:rPr>
              <w:t>3</w:t>
            </w:r>
            <w:r>
              <w:rPr>
                <w:sz w:val="24"/>
              </w:rPr>
              <w:t>）</w:t>
            </w:r>
            <w:r>
              <w:rPr>
                <w:sz w:val="24"/>
              </w:rPr>
              <w:t>流速：不小于</w:t>
            </w:r>
            <w:r>
              <w:rPr>
                <w:sz w:val="24"/>
              </w:rPr>
              <w:t>5m/s</w:t>
            </w:r>
            <w:r>
              <w:rPr>
                <w:sz w:val="24"/>
              </w:rPr>
              <w:t>；</w:t>
            </w:r>
          </w:p>
        </w:tc>
      </w:tr>
      <w:tr>
        <w:tc>
          <w:tcPr>
            <w:tcW w:type="dxa" w:w="2076"/>
          </w:tcPr>
          <w:p/>
        </w:tc>
        <w:tc>
          <w:tcPr>
            <w:tcW w:type="dxa" w:w="415"/>
          </w:tcPr>
          <w:p>
            <w:pPr>
              <w:pStyle w:val="null3"/>
            </w:pPr>
            <w:r>
              <w:rPr/>
              <w:t>23</w:t>
            </w:r>
          </w:p>
        </w:tc>
        <w:tc>
          <w:tcPr>
            <w:tcW w:type="dxa" w:w="5814"/>
          </w:tcPr>
          <w:p>
            <w:pPr>
              <w:pStyle w:val="null3"/>
            </w:pPr>
            <w:r>
              <w:rPr>
                <w:sz w:val="24"/>
              </w:rPr>
              <w:t>（</w:t>
            </w:r>
            <w:r>
              <w:rPr>
                <w:sz w:val="24"/>
              </w:rPr>
              <w:t>4</w:t>
            </w:r>
            <w:r>
              <w:rPr>
                <w:sz w:val="24"/>
              </w:rPr>
              <w:t>）</w:t>
            </w:r>
            <w:r>
              <w:rPr>
                <w:sz w:val="24"/>
              </w:rPr>
              <w:t>波高：不小于</w:t>
            </w:r>
            <w:r>
              <w:rPr>
                <w:sz w:val="24"/>
              </w:rPr>
              <w:t>20 m</w:t>
            </w:r>
            <w:r>
              <w:rPr>
                <w:sz w:val="24"/>
              </w:rPr>
              <w:t>。</w:t>
            </w:r>
          </w:p>
        </w:tc>
      </w:tr>
      <w:tr>
        <w:tc>
          <w:tcPr>
            <w:tcW w:type="dxa" w:w="2076"/>
          </w:tcPr>
          <w:p/>
        </w:tc>
        <w:tc>
          <w:tcPr>
            <w:tcW w:type="dxa" w:w="415"/>
          </w:tcPr>
          <w:p>
            <w:pPr>
              <w:pStyle w:val="null3"/>
            </w:pPr>
            <w:r>
              <w:rPr/>
              <w:t>24</w:t>
            </w:r>
          </w:p>
        </w:tc>
        <w:tc>
          <w:tcPr>
            <w:tcW w:type="dxa" w:w="5814"/>
          </w:tcPr>
          <w:p>
            <w:pPr>
              <w:pStyle w:val="null3"/>
              <w:jc w:val="left"/>
            </w:pPr>
            <w:r>
              <w:rPr>
                <w:sz w:val="24"/>
              </w:rPr>
              <w:t>12</w:t>
            </w:r>
            <w:r>
              <w:rPr>
                <w:sz w:val="24"/>
              </w:rPr>
              <w:t>.</w:t>
            </w:r>
            <w:r>
              <w:rPr>
                <w:sz w:val="24"/>
              </w:rPr>
              <w:t>维护服务要求</w:t>
            </w:r>
            <w:r>
              <w:rPr>
                <w:sz w:val="24"/>
              </w:rPr>
              <w:t>：</w:t>
            </w:r>
          </w:p>
          <w:p>
            <w:pPr>
              <w:pStyle w:val="null3"/>
            </w:pPr>
            <w:r>
              <w:rPr>
                <w:sz w:val="24"/>
              </w:rPr>
              <w:t>安排有经验的工作人员进行组装调试、首次布放技术指导、首次回收技术指导，并提供</w:t>
            </w:r>
            <w:r>
              <w:rPr>
                <w:sz w:val="24"/>
              </w:rPr>
              <w:t>1</w:t>
            </w:r>
            <w:r>
              <w:rPr>
                <w:sz w:val="24"/>
              </w:rPr>
              <w:t>年现场维护、性能检修、浮标运维。并能提供技术培训。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1.采购代理机构：本项目是指广东有德招标采购有限公司，负责整个采购活动的组织，依法负责编制和发布招标文件，对招标文件拥有最终的解释权，不以任何身份出任评标委员会成员。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广东海洋大学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采购机构代理服务收费标准：各采购包采购代理服务费以中标金额作为计算基数，收费标准按照《广东省物价局粤价函〔2013〕1233号》规定的“货物类”标准收取。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广东有德招标采购有限公司</w:t>
      </w:r>
      <w:r>
        <w:rPr/>
        <w:t>代收。具体操作要求详见</w:t>
      </w:r>
      <w:r>
        <w:rPr/>
        <w:t>广东有德招标采购有限公司</w:t>
      </w:r>
      <w:r>
        <w:rPr/>
        <w:t>有关指引，递交事宜请自行咨询</w:t>
      </w:r>
      <w:r>
        <w:rPr/>
        <w:t>广东有德招标采购有限公司</w:t>
      </w:r>
      <w:r>
        <w:rPr/>
        <w:t>；请各投标人在投标文件递交截止时间前按须知前附表规定的金额递交至</w:t>
      </w:r>
      <w:r>
        <w:rPr/>
        <w:t>广东有德招标采购有限公司</w:t>
      </w:r>
      <w:r>
        <w:rPr/>
        <w:t>，到账情况以开标时</w:t>
      </w:r>
      <w:r>
        <w:rPr/>
        <w:t>广东有德招标采购有限公司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广东有德招标采购有限公司网站(www.youde.net)。</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广东有德招标采购有限公司网站(www.youde.net)。</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梁小姐</w:t>
      </w:r>
    </w:p>
    <w:p>
      <w:pPr>
        <w:pStyle w:val="null3"/>
        <w:ind w:firstLine="480"/>
      </w:pPr>
      <w:r>
        <w:rPr/>
        <w:t>电话：</w:t>
      </w:r>
      <w:r>
        <w:rPr/>
        <w:t>0759-2286602</w:t>
      </w:r>
    </w:p>
    <w:p>
      <w:pPr>
        <w:pStyle w:val="null3"/>
        <w:ind w:firstLine="480"/>
      </w:pPr>
      <w:r>
        <w:rPr/>
        <w:t>传真：</w:t>
      </w:r>
      <w:r>
        <w:rPr/>
        <w:t>/</w:t>
      </w:r>
    </w:p>
    <w:p>
      <w:pPr>
        <w:pStyle w:val="null3"/>
        <w:ind w:firstLine="480"/>
      </w:pPr>
      <w:r>
        <w:rPr/>
        <w:t>邮箱：</w:t>
      </w:r>
      <w:r>
        <w:rPr/>
        <w:t>youdezjfgs@163.com</w:t>
      </w:r>
    </w:p>
    <w:p>
      <w:pPr>
        <w:pStyle w:val="null3"/>
        <w:ind w:firstLine="480"/>
      </w:pPr>
      <w:r>
        <w:rPr/>
        <w:t>地址：</w:t>
      </w:r>
      <w:r>
        <w:rPr/>
        <w:t>湛江经济技术开发区绿华路48号华都汇7号综合楼1909号办公室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盐度计、超声波气象站、数据采集器、潮位仪采购)：综合评分法,是指投标文件满足招标文件全部实质性要求，且按照评审因素的量化指标评审得分最高的投标人为中标候选人的评标方法。（最低报价不是中标的唯一依据。）</w:t>
      </w:r>
    </w:p>
    <w:p>
      <w:pPr>
        <w:pStyle w:val="null3"/>
      </w:pPr>
      <w:r>
        <w:rPr/>
        <w:t>采购包2(图形工作站1、图形工作站2、图形工作站3、GPU计算工作站采购)：综合评分法,是指投标文件满足招标文件全部实质性要求，且按照评审因素的量化指标评审得分最高的投标人为中标候选人的评标方法。（最低报价不是中标的唯一依据。）</w:t>
      </w:r>
    </w:p>
    <w:p>
      <w:pPr>
        <w:pStyle w:val="null3"/>
      </w:pPr>
      <w:r>
        <w:rPr/>
        <w:t>采购包3(3m浮标、声学释放器、声学多普勒流速剖面仪、声学多普勒流速剖面仪（6000m耐压）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广东有德招标采购有限公司</w:t>
      </w:r>
      <w:r>
        <w:rPr/>
        <w:t>统一对外发布。</w:t>
      </w:r>
    </w:p>
    <w:p>
      <w:pPr>
        <w:pStyle w:val="null3"/>
        <w:ind w:firstLine="480"/>
      </w:pPr>
      <w:r>
        <w:rPr/>
        <w:t>（2）对</w:t>
      </w:r>
      <w:r>
        <w:rPr/>
        <w:t>广东有德招标采购有限公司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采购包1（盐度计、超声波气象站、数据采集器、潮位仪采购）：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采购包2（图形工作站1、图形工作站2、图形工作站3、GPU计算工作站采购）：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采购包3（3m浮标、声学释放器、声学多普勒流速剖面仪、声学多普勒流速剖面仪（6000m耐压）采购）：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采购包1（盐度计、超声波气象站、数据采集器、潮位仪采购）：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项材料之一：①提供投标截止日前6个月内任意1个月依法缴纳税收和社会保障资金的证明文件，如依法免税或依法不需要缴纳社会保障资金的，应提供相应文件证明；②提供资格声明函（格式可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项材料之一：①提供2024或2025年度经会计师事务所审计财务状况报告；或基本开户行出具的资信证明和《基本存款账号信息》（或《开户许可证》）；②提供资格声明函（格式可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填报设备及专业技术能力情况或提供资格声明函（格式可自拟或参考招标公告附件）。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或提供《资格声明函》（格式可自拟或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采购包2（图形工作站1、图形工作站2、图形工作站3、GPU计算工作站采购）：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项材料之一：①提供投标截止日前6个月内任意1个月依法缴纳税收和社会保障资金的证明文件，如依法免税或依法不需要缴纳社会保障资金的，应提供相应文件证明；②提供资格声明函（格式可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项材料之一：①提供2024或2025年度经会计师事务所审计财务状况报告；或基本开户行出具的资信证明和《基本存款账号信息》（或《开户许可证》）；②提供资格声明函（格式可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填报设备及专业技术能力情况或提供资格声明函（格式可自拟或参考招标公告附件）。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或提供《资格声明函》（格式可自拟或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采购包3（3m浮标、声学释放器、声学多普勒流速剖面仪、声学多普勒流速剖面仪（6000m耐压）采购）：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2项材料之一：①提供投标截止日前6个月内任意1个月依法缴纳税收和社会保障资金的证明文件，如依法免税或依法不需要缴纳社会保障资金的，应提供相应文件证明；②提供资格声明函（格式可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项材料之一：①提供2024或2025年度经会计师事务所审计财务状况报告；或基本开户行出具的资信证明和《基本存款账号信息》（或《开户许可证》）；②提供资格声明函（格式可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填报设备及专业技术能力情况或提供资格声明函（格式可自拟或参考招标公告附件）。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或提供《资格声明函》（格式可自拟或参考招标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采购包1（盐度计、超声波气象站、数据采集器、潮位仪采购）：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投标文件已按照招标文件要求签署、盖章。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投标报价是固定价且是唯一的，投标报价未超出采购预算。</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投标文件没有法律、法规、规章及招标文件中规定的其它无效投标条款。</w:t>
            </w:r>
          </w:p>
        </w:tc>
      </w:tr>
    </w:tbl>
    <w:p>
      <w:pPr>
        <w:pStyle w:val="null3"/>
      </w:pPr>
      <w:r>
        <w:rPr/>
        <w:t>采购包2（图形工作站1、图形工作站2、图形工作站3、GPU计算工作站采购）：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投标文件已按照招标文件要求签署、盖章。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投标报价是固定价且是唯一的，投标报价未超出采购预算。</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满足招标文件要求，不存在负偏离或不满足的情况。</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投标文件没有法律、法规、规章及招标文件中规定的其它无效投标条款。</w:t>
            </w:r>
          </w:p>
        </w:tc>
      </w:tr>
    </w:tbl>
    <w:p>
      <w:pPr>
        <w:pStyle w:val="null3"/>
      </w:pPr>
      <w:r>
        <w:rPr/>
        <w:t>采购包3（3m浮标、声学释放器、声学多普勒流速剖面仪、声学多普勒流速剖面仪（6000m耐压）采购）：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投标文件已按照招标文件要求签署、盖章。</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报价要求</w:t>
            </w:r>
          </w:p>
        </w:tc>
        <w:tc>
          <w:tcPr>
            <w:tcW w:type="dxa" w:w="4238"/>
          </w:tcPr>
          <w:p>
            <w:pPr>
              <w:pStyle w:val="null3"/>
            </w:pPr>
            <w:r>
              <w:rPr/>
              <w:t>投标报价是固定价且是唯一的，投标报价未超出采购预算。</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满足招标文件要求，不存在负偏离或不满足的情况。</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投标文件没有法律、法规、规章及招标文件中规定的其它无效投标条款。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采购包1(盐度计、超声波气象站、数据采集器、潮位仪采购):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采购需求中技术参数响应情况 (40.0分)</w:t>
            </w:r>
          </w:p>
        </w:tc>
        <w:tc>
          <w:tcPr>
            <w:tcW w:type="dxa" w:w="5076"/>
          </w:tcPr>
          <w:p>
            <w:pPr>
              <w:pStyle w:val="null3"/>
              <w:jc w:val="left"/>
            </w:pPr>
            <w:r>
              <w:rPr/>
              <w:t>根据投标人对《第二章 采购需求》采购包1中的技术参数响应程度进行评审：技术参数共40条，每有1条参数满足或优于采购需求的，得1分，共40分。 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3）投标人需按投标产品的实际参数情况填写，如有弄虚作假的，一经查实，将承担不利后果。</w:t>
            </w:r>
          </w:p>
        </w:tc>
      </w:tr>
      <w:tr>
        <w:tc>
          <w:tcPr>
            <w:tcW w:type="dxa" w:w="922"/>
            <w:gridSpan w:val="2"/>
            <w:vMerge/>
          </w:tcPr>
          <w:p/>
        </w:tc>
        <w:tc>
          <w:tcPr>
            <w:tcW w:type="dxa" w:w="2307"/>
          </w:tcPr>
          <w:p>
            <w:pPr>
              <w:pStyle w:val="null3"/>
              <w:jc w:val="left"/>
            </w:pPr>
            <w:r>
              <w:rPr/>
              <w:t>货物技术要求、质量保证及使用合法性响应方案 (5.0分)</w:t>
            </w:r>
          </w:p>
        </w:tc>
        <w:tc>
          <w:tcPr>
            <w:tcW w:type="dxa" w:w="5076"/>
          </w:tcPr>
          <w:p>
            <w:pPr>
              <w:pStyle w:val="null3"/>
              <w:jc w:val="left"/>
            </w:pPr>
            <w:r>
              <w:rPr/>
              <w:t>根据投标人针对《第二章 采购需求》的“货物技术要求、质量保证及使用合法性”要求制定的响应方案进行评审： ①方案完全满足且优于采购需求的，得5分。 ②方案完全满足采购需求的，得3分。 ③方案不能完全满足采购需求的，得1分。 ④未提供或其他的，得0分。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根据投标人针对《第二章 采购需求》的“培训方案”要求制定的响应方案进行评审： ①方案完全满足且优于采购需求的，得5分。 ②方案完全满足采购需求的，得3分。 ③方案不能完全满足采购需求的，得1分。 ④未提供或其他的，得0分。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投标人自2023年1月1日至今（以合同签订时间为准），完成同类（须包含采购货物的其中一种或以上）业绩情况，每提供一项得2分，最高得8分。 注：须提供合同关键页复印件，否则不得分；合同关键页须包含至少合同首页、采购内容页、双方签字盖章页、日期页等。</w:t>
            </w:r>
          </w:p>
        </w:tc>
      </w:tr>
      <w:tr>
        <w:tc>
          <w:tcPr>
            <w:tcW w:type="dxa" w:w="922"/>
            <w:gridSpan w:val="2"/>
            <w:vMerge/>
          </w:tcPr>
          <w:p/>
        </w:tc>
        <w:tc>
          <w:tcPr>
            <w:tcW w:type="dxa" w:w="2307"/>
          </w:tcPr>
          <w:p>
            <w:pPr>
              <w:pStyle w:val="null3"/>
              <w:jc w:val="left"/>
            </w:pPr>
            <w:r>
              <w:rPr/>
              <w:t>合同货物的包装、交货、安装响应方案 (6.0分)</w:t>
            </w:r>
          </w:p>
        </w:tc>
        <w:tc>
          <w:tcPr>
            <w:tcW w:type="dxa" w:w="5076"/>
          </w:tcPr>
          <w:p>
            <w:pPr>
              <w:pStyle w:val="null3"/>
              <w:jc w:val="left"/>
            </w:pPr>
            <w:r>
              <w:rPr/>
              <w:t>根据投标人针对《第二章 采购需求》的“合同货物的包装、交货、安装”要求制定的响应方案进行评审： ①方案完全满足且优于采购需求的，得6分。 ②方案完全满足采购需求的，得3分。 ③方案不能完全满足采购需求的，得1分。 ④未提供或其他的，得0分。</w:t>
            </w:r>
          </w:p>
        </w:tc>
      </w:tr>
      <w:tr>
        <w:tc>
          <w:tcPr>
            <w:tcW w:type="dxa" w:w="922"/>
            <w:gridSpan w:val="2"/>
            <w:vMerge/>
          </w:tcPr>
          <w:p/>
        </w:tc>
        <w:tc>
          <w:tcPr>
            <w:tcW w:type="dxa" w:w="2307"/>
          </w:tcPr>
          <w:p>
            <w:pPr>
              <w:pStyle w:val="null3"/>
              <w:jc w:val="left"/>
            </w:pPr>
            <w:r>
              <w:rPr/>
              <w:t>质保期及售后服务响应方案 (6.0分)</w:t>
            </w:r>
          </w:p>
        </w:tc>
        <w:tc>
          <w:tcPr>
            <w:tcW w:type="dxa" w:w="5076"/>
          </w:tcPr>
          <w:p>
            <w:pPr>
              <w:pStyle w:val="null3"/>
              <w:jc w:val="left"/>
            </w:pPr>
            <w:r>
              <w:rPr/>
              <w:t>根据投标人针对《第二章 采购需求》的“质保期及售后服务”要求制定的响应方案进行评审： ①方案完全满足且优于采购需求的，得6分。 ②方案完全满足采购需求的，得3分。 ③方案不能完全满足采购需求的，得1分。 ④未提供或其他的，得0分。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 注1：上述罗列的费用，如实际并未发生，则无须提供对应的成本分析及证明材料，但供应商应提供说明。 注2：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采购包2(图形工作站1、图形工作站2、图形工作站3、GPU计算工作站采购):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采购需求中不带“*”“★”号的技术参数响应情况 (36.0分)</w:t>
            </w:r>
          </w:p>
        </w:tc>
        <w:tc>
          <w:tcPr>
            <w:tcW w:type="dxa" w:w="5076"/>
          </w:tcPr>
          <w:p>
            <w:pPr>
              <w:pStyle w:val="null3"/>
              <w:jc w:val="left"/>
            </w:pPr>
            <w:r>
              <w:rPr/>
              <w:t>根据投标人对《第二章 采购需求》采购包2附表一至附表四中不带“*”“★”的技术参数响应程度进行评审：本采购包共4个采购标的，每个采购标的整体视为1项内容，若附表内只要有1条参数负偏离，则视为该采购标的负偏离，4个采购标的共4项。投标人每有1个采购标的的参数全部满足或优于采购需求要求的，得9分，共36分。 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3）投标人需按投标产品的实际参数情况填写，如有弄虚作假的，一经查实，将承担不利后果。（4）图形工作站1、图形工作站2、图形工作站3、GPU计算工作站中“二级指标”标“*”的参数不参与该项评审。</w:t>
            </w:r>
          </w:p>
        </w:tc>
      </w:tr>
      <w:tr>
        <w:tc>
          <w:tcPr>
            <w:tcW w:type="dxa" w:w="922"/>
            <w:gridSpan w:val="2"/>
            <w:vMerge/>
          </w:tcPr>
          <w:p/>
        </w:tc>
        <w:tc>
          <w:tcPr>
            <w:tcW w:type="dxa" w:w="2307"/>
          </w:tcPr>
          <w:p>
            <w:pPr>
              <w:pStyle w:val="null3"/>
              <w:jc w:val="left"/>
            </w:pPr>
            <w:r>
              <w:rPr/>
              <w:t>货物技术要求、质量保证及使用合法性响应方案 (7.0分)</w:t>
            </w:r>
          </w:p>
        </w:tc>
        <w:tc>
          <w:tcPr>
            <w:tcW w:type="dxa" w:w="5076"/>
          </w:tcPr>
          <w:p>
            <w:pPr>
              <w:pStyle w:val="null3"/>
              <w:jc w:val="left"/>
            </w:pPr>
            <w:r>
              <w:rPr/>
              <w:t>根据投标人针对《第二章 采购需求》的“货物技术要求、质量保证及使用合法性”要求制定的响应方案进行评审： ①方案完全满足且优于采购需求的，得7分。 ②方案完全满足采购需求的，得4分。 ③方案不能完全满足采购需求的，得1分。 ④未提供或其他的，得0分。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根据投标人针对《第二章 采购需求》的“培训方案”要求制定的响应方案进行评审： ①方案完全满足且优于采购需求的，得7分。 ②方案完全满足采购需求的，得4分。 ③方案不能完全满足采购需求的，得1分。 ④未提供或其他的，得0分。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投标人自2023年1月1日至今（以合同签订时间为准），完成同类（须包含采购货物的其中一种或以上）业绩情况，每提供一项得2分，最高得8分。 注：须提供合同关键页复印件，否则不得分；合同关键页须包含至少合同首页、采购内容页、双方签字盖章页、日期页等。</w:t>
            </w:r>
          </w:p>
        </w:tc>
      </w:tr>
      <w:tr>
        <w:tc>
          <w:tcPr>
            <w:tcW w:type="dxa" w:w="922"/>
            <w:gridSpan w:val="2"/>
            <w:vMerge/>
          </w:tcPr>
          <w:p/>
        </w:tc>
        <w:tc>
          <w:tcPr>
            <w:tcW w:type="dxa" w:w="2307"/>
          </w:tcPr>
          <w:p>
            <w:pPr>
              <w:pStyle w:val="null3"/>
              <w:jc w:val="left"/>
            </w:pPr>
            <w:r>
              <w:rPr/>
              <w:t>合同货物的包装、交货、安装响应方案 (6.0分)</w:t>
            </w:r>
          </w:p>
        </w:tc>
        <w:tc>
          <w:tcPr>
            <w:tcW w:type="dxa" w:w="5076"/>
          </w:tcPr>
          <w:p>
            <w:pPr>
              <w:pStyle w:val="null3"/>
              <w:jc w:val="left"/>
            </w:pPr>
            <w:r>
              <w:rPr/>
              <w:t>根据投标人针对《第二章 采购需求》的“合同货物的包装、交货、安装”要求制定的响应方案进行评审： ①方案完全满足且优于采购需求的，得6分。 ②方案完全满足采购需求的，得3分。 ③方案不能完全满足采购需求的，得1分。 ④未提供或其他的，得0分。</w:t>
            </w:r>
          </w:p>
        </w:tc>
      </w:tr>
      <w:tr>
        <w:tc>
          <w:tcPr>
            <w:tcW w:type="dxa" w:w="922"/>
            <w:gridSpan w:val="2"/>
            <w:vMerge/>
          </w:tcPr>
          <w:p/>
        </w:tc>
        <w:tc>
          <w:tcPr>
            <w:tcW w:type="dxa" w:w="2307"/>
          </w:tcPr>
          <w:p>
            <w:pPr>
              <w:pStyle w:val="null3"/>
              <w:jc w:val="left"/>
            </w:pPr>
            <w:r>
              <w:rPr/>
              <w:t>质保期及售后服务响应方案 (6.0分)</w:t>
            </w:r>
          </w:p>
        </w:tc>
        <w:tc>
          <w:tcPr>
            <w:tcW w:type="dxa" w:w="5076"/>
          </w:tcPr>
          <w:p>
            <w:pPr>
              <w:pStyle w:val="null3"/>
              <w:jc w:val="left"/>
            </w:pPr>
            <w:r>
              <w:rPr/>
              <w:t>根据投标人针对《第二章 采购需求》的“质保期及售后服务”要求制定的响应方案进行评审： ①方案完全满足且优于采购需求的，得6分。 ②方案完全满足采购需求的，得3分。 ③方案不能完全满足采购需求的，得1分。 ④未提供或其他的，得0分。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 注1：上述罗列的费用，如实际并未发生，则无须提供对应的成本分析及证明材料，但供应商应提供说明。 注2：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采购包3(3m浮标、声学释放器、声学多普勒流速剖面仪、声学多普勒流速剖面仪（6000m耐压）采购):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采购需求中技术参数响应情况 (31.0分)</w:t>
            </w:r>
          </w:p>
        </w:tc>
        <w:tc>
          <w:tcPr>
            <w:tcW w:type="dxa" w:w="5076"/>
          </w:tcPr>
          <w:p>
            <w:pPr>
              <w:pStyle w:val="null3"/>
              <w:jc w:val="left"/>
            </w:pPr>
            <w:r>
              <w:rPr/>
              <w:t>根据投标人对《第二章 采购需求》采购包3中的技术参数响应程度进行评审：技术参数共62条，每有1条参数满足或优于采购需求的，得0.5分，共31分。 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3）投标人需按投标产品的实际参数情况填写，如有弄虚作假的，一经查实，将承担不利后果。</w:t>
            </w:r>
          </w:p>
        </w:tc>
      </w:tr>
      <w:tr>
        <w:tc>
          <w:tcPr>
            <w:tcW w:type="dxa" w:w="922"/>
            <w:gridSpan w:val="2"/>
            <w:vMerge/>
          </w:tcPr>
          <w:p/>
        </w:tc>
        <w:tc>
          <w:tcPr>
            <w:tcW w:type="dxa" w:w="2307"/>
          </w:tcPr>
          <w:p>
            <w:pPr>
              <w:pStyle w:val="null3"/>
              <w:jc w:val="left"/>
            </w:pPr>
            <w:r>
              <w:rPr/>
              <w:t>货物技术要求、质量保证及使用合法性响应方案 (10.0分)</w:t>
            </w:r>
          </w:p>
        </w:tc>
        <w:tc>
          <w:tcPr>
            <w:tcW w:type="dxa" w:w="5076"/>
          </w:tcPr>
          <w:p>
            <w:pPr>
              <w:pStyle w:val="null3"/>
              <w:jc w:val="left"/>
            </w:pPr>
            <w:r>
              <w:rPr/>
              <w:t>根据投标人针对《第二章 采购需求》的“货物技术要求、质量保证及使用合法性”要求制定的响应方案进行评审： ①方案完全满足且优于采购需求的，得10分。 ②方案完全满足采购需求的，得6分。 ③方案不能完全满足采购需求的，得2分。 ④未提供或其他的，得0分。</w:t>
            </w:r>
          </w:p>
        </w:tc>
      </w:tr>
      <w:tr>
        <w:tc>
          <w:tcPr>
            <w:tcW w:type="dxa" w:w="922"/>
            <w:gridSpan w:val="2"/>
            <w:vMerge/>
          </w:tcPr>
          <w:p/>
        </w:tc>
        <w:tc>
          <w:tcPr>
            <w:tcW w:type="dxa" w:w="2307"/>
          </w:tcPr>
          <w:p>
            <w:pPr>
              <w:pStyle w:val="null3"/>
              <w:jc w:val="left"/>
            </w:pPr>
            <w:r>
              <w:rPr/>
              <w:t>培训方案 (9.0分)</w:t>
            </w:r>
          </w:p>
        </w:tc>
        <w:tc>
          <w:tcPr>
            <w:tcW w:type="dxa" w:w="5076"/>
          </w:tcPr>
          <w:p>
            <w:pPr>
              <w:pStyle w:val="null3"/>
              <w:jc w:val="left"/>
            </w:pPr>
            <w:r>
              <w:rPr/>
              <w:t>根据投标人针对《第二章 采购需求》的“培训方案”要求制定的响应方案进行评审： ①方案完全满足且优于采购需求的，得9分。 ②方案完全满足采购需求的，得5分。 ③方案不能完全满足采购需求的，得1分。 ④未提供或其他的，得0分。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投标人自2023年1月1日至今（以合同签订时间为准），完成同类（须包含采购货物的其中一种或以上）业绩情况，每提供一项得2分，最高得8分。 注：须提供合同关键页复印件，否则不得分；合同关键页须包含至少合同首页、采购内容页、双方签字盖章页、日期页等。</w:t>
            </w:r>
          </w:p>
        </w:tc>
      </w:tr>
      <w:tr>
        <w:tc>
          <w:tcPr>
            <w:tcW w:type="dxa" w:w="922"/>
            <w:gridSpan w:val="2"/>
            <w:vMerge/>
          </w:tcPr>
          <w:p/>
        </w:tc>
        <w:tc>
          <w:tcPr>
            <w:tcW w:type="dxa" w:w="2307"/>
          </w:tcPr>
          <w:p>
            <w:pPr>
              <w:pStyle w:val="null3"/>
              <w:jc w:val="left"/>
            </w:pPr>
            <w:r>
              <w:rPr/>
              <w:t>合同货物的包装、交货、安装响应方案 (6.0分)</w:t>
            </w:r>
          </w:p>
        </w:tc>
        <w:tc>
          <w:tcPr>
            <w:tcW w:type="dxa" w:w="5076"/>
          </w:tcPr>
          <w:p>
            <w:pPr>
              <w:pStyle w:val="null3"/>
              <w:jc w:val="left"/>
            </w:pPr>
            <w:r>
              <w:rPr/>
              <w:t>根据投标人针对《第二章 采购需求》的“合同货物的包装、交货、安装”要求制定的响应方案进行评审： ①方案完全满足且优于采购需求的，得6分。 ②方案完全满足采购需求的，得3分。 ③方案不能完全满足采购需求的，得1分。 ④未提供或其他的，得0分。</w:t>
            </w:r>
          </w:p>
        </w:tc>
      </w:tr>
      <w:tr>
        <w:tc>
          <w:tcPr>
            <w:tcW w:type="dxa" w:w="922"/>
            <w:gridSpan w:val="2"/>
            <w:vMerge/>
          </w:tcPr>
          <w:p/>
        </w:tc>
        <w:tc>
          <w:tcPr>
            <w:tcW w:type="dxa" w:w="2307"/>
          </w:tcPr>
          <w:p>
            <w:pPr>
              <w:pStyle w:val="null3"/>
              <w:jc w:val="left"/>
            </w:pPr>
            <w:r>
              <w:rPr/>
              <w:t>质保期及售后服务响应方案 (6.0分)</w:t>
            </w:r>
          </w:p>
        </w:tc>
        <w:tc>
          <w:tcPr>
            <w:tcW w:type="dxa" w:w="5076"/>
          </w:tcPr>
          <w:p>
            <w:pPr>
              <w:pStyle w:val="null3"/>
              <w:jc w:val="left"/>
            </w:pPr>
            <w:r>
              <w:rPr/>
              <w:t>根据投标人针对《第二章 采购需求》的“质保期及售后服务”要求制定的响应方案进行评审： ①方案完全满足且优于采购需求的，得6分。 ②方案完全满足采购需求的，得3分。 ③方案不能完全满足采购需求的，得1分。 ④未提供或其他的，得0分。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供应商应在评标（审）现场合理的时间内提供书面说明。如供应商为厂家的，则对主要材料采购价格、人工费用、厂房（办公场地）费用、设备折旧、包装、运输、售后服务、税金、利润、代理服务费等各项费用组成的报价进行分析说明。如供应商为代理商或经销商的，则对设备采购价格、人工费用、办公场地费用、包装、运输、售后服务、税金、利润、代理服务费等各项费用组成的报价进行分析说明。分析说明须逐一提供佐证材料，包括但不限于：①设备的采购合同，或主要材料的采购合同；②人员工资明细表及银行工资转帐凭证；③自有厂房（或办公场所）的提供房产证明，租赁厂房（或办公场所）的提供租赁合同及发票，委托生产的提供委托生产合同；④生产设备购置合同或租赁合同或委托生产合同。⑤以往同类产品的合同及中标（成交）通知书（或交易发票）。 注1：上述罗列的费用，如实际并未发生，则无须提供对应的成本分析及证明材料，但供应商应提供说明。 注2：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52"/>
          <w:b/>
        </w:rPr>
        <w:t>广东省政府采购</w:t>
      </w:r>
    </w:p>
    <w:p>
      <w:pPr>
        <w:pStyle w:val="null3"/>
        <w:jc w:val="center"/>
      </w:pPr>
      <w:r>
        <w:rPr/>
        <w:t xml:space="preserve"> </w:t>
      </w:r>
    </w:p>
    <w:p>
      <w:pPr>
        <w:pStyle w:val="null3"/>
        <w:spacing w:before="465"/>
        <w:jc w:val="center"/>
      </w:pPr>
      <w:r>
        <w:rPr>
          <w:sz w:val="52"/>
          <w:b/>
        </w:rPr>
        <w:t>合 同 书</w:t>
      </w:r>
    </w:p>
    <w:p>
      <w:pPr>
        <w:pStyle w:val="null3"/>
        <w:spacing w:before="465"/>
        <w:jc w:val="center"/>
      </w:pPr>
      <w:r>
        <w:rPr/>
        <w:t xml:space="preserve"> </w:t>
      </w:r>
    </w:p>
    <w:p>
      <w:pPr>
        <w:pStyle w:val="null3"/>
        <w:spacing w:before="465"/>
        <w:jc w:val="center"/>
      </w:pPr>
      <w:r>
        <w:rPr/>
        <w:t xml:space="preserve"> </w:t>
      </w:r>
    </w:p>
    <w:p>
      <w:pPr>
        <w:pStyle w:val="null3"/>
        <w:spacing w:before="465"/>
        <w:jc w:val="center"/>
      </w:pPr>
      <w:r>
        <w:rPr/>
        <w:t xml:space="preserve"> </w:t>
      </w:r>
    </w:p>
    <w:p>
      <w:pPr>
        <w:pStyle w:val="null3"/>
        <w:spacing w:before="465"/>
        <w:jc w:val="center"/>
      </w:pPr>
      <w:r>
        <w:rPr/>
        <w:t xml:space="preserve"> </w:t>
      </w:r>
    </w:p>
    <w:p>
      <w:pPr>
        <w:pStyle w:val="null3"/>
        <w:spacing w:before="465"/>
        <w:jc w:val="center"/>
      </w:pPr>
      <w:r>
        <w:rPr/>
        <w:t xml:space="preserve"> </w:t>
      </w:r>
    </w:p>
    <w:p>
      <w:pPr>
        <w:pStyle w:val="null3"/>
        <w:spacing w:before="465"/>
        <w:jc w:val="center"/>
      </w:pPr>
      <w:r>
        <w:rPr/>
        <w:t xml:space="preserve"> </w:t>
      </w:r>
    </w:p>
    <w:p>
      <w:pPr>
        <w:pStyle w:val="null3"/>
        <w:spacing w:before="465"/>
        <w:jc w:val="center"/>
      </w:pPr>
      <w:r>
        <w:rPr/>
        <w:t xml:space="preserve"> </w:t>
      </w:r>
    </w:p>
    <w:p>
      <w:pPr>
        <w:pStyle w:val="null3"/>
        <w:spacing w:before="465"/>
        <w:jc w:val="center"/>
      </w:pPr>
      <w:r>
        <w:rPr/>
        <w:t xml:space="preserve"> </w:t>
      </w:r>
    </w:p>
    <w:p>
      <w:pPr>
        <w:pStyle w:val="null3"/>
        <w:jc w:val="both"/>
      </w:pPr>
      <w:r>
        <w:rPr>
          <w:sz w:val="28"/>
        </w:rPr>
        <w:t>采购计划编号：</w:t>
      </w:r>
      <w:r>
        <w:rPr>
          <w:sz w:val="21"/>
          <w:u w:val="single"/>
        </w:rPr>
        <w:t xml:space="preserve">             </w:t>
      </w:r>
    </w:p>
    <w:p>
      <w:pPr>
        <w:pStyle w:val="null3"/>
        <w:ind w:left="2835"/>
        <w:jc w:val="both"/>
      </w:pPr>
      <w:r>
        <w:rPr>
          <w:sz w:val="28"/>
        </w:rPr>
        <w:t>项目编号：</w:t>
      </w:r>
      <w:r>
        <w:rPr>
          <w:sz w:val="21"/>
          <w:u w:val="single"/>
        </w:rPr>
        <w:t xml:space="preserve">                 </w:t>
      </w:r>
    </w:p>
    <w:p>
      <w:pPr>
        <w:pStyle w:val="null3"/>
        <w:ind w:left="2835"/>
        <w:jc w:val="both"/>
      </w:pPr>
      <w:r>
        <w:rPr>
          <w:sz w:val="28"/>
        </w:rPr>
        <w:t>项目名称：</w:t>
      </w:r>
      <w:r>
        <w:rPr>
          <w:sz w:val="21"/>
          <w:u w:val="single"/>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ind w:left="2835"/>
        <w:jc w:val="both"/>
      </w:pPr>
      <w:r>
        <w:rPr/>
        <w:t xml:space="preserve"> </w:t>
      </w:r>
    </w:p>
    <w:p>
      <w:pPr>
        <w:pStyle w:val="null3"/>
        <w:jc w:val="both"/>
      </w:pPr>
      <w:r>
        <w:rPr>
          <w:sz w:val="24"/>
          <w:b/>
        </w:rPr>
        <w:t>甲</w:t>
      </w:r>
      <w:r>
        <w:rPr>
          <w:sz w:val="21"/>
          <w:b/>
        </w:rPr>
        <w:t xml:space="preserve">  </w:t>
      </w:r>
      <w:r>
        <w:rPr>
          <w:sz w:val="24"/>
          <w:b/>
        </w:rPr>
        <w:t>方：广东海洋大学</w:t>
      </w:r>
    </w:p>
    <w:p>
      <w:pPr>
        <w:pStyle w:val="null3"/>
        <w:jc w:val="both"/>
      </w:pPr>
      <w:r>
        <w:rPr>
          <w:sz w:val="24"/>
          <w:b/>
        </w:rPr>
        <w:t>乙</w:t>
      </w:r>
      <w:r>
        <w:rPr>
          <w:sz w:val="21"/>
          <w:b/>
        </w:rPr>
        <w:t xml:space="preserve">  </w:t>
      </w:r>
      <w:r>
        <w:rPr>
          <w:sz w:val="24"/>
          <w:b/>
        </w:rPr>
        <w:t>方：</w:t>
      </w:r>
      <w:r>
        <w:rPr>
          <w:sz w:val="21"/>
          <w:b/>
        </w:rPr>
        <w:t xml:space="preserve"> </w:t>
      </w:r>
    </w:p>
    <w:p>
      <w:pPr>
        <w:pStyle w:val="null3"/>
        <w:ind w:firstLine="480"/>
        <w:jc w:val="both"/>
      </w:pPr>
      <w:r>
        <w:rPr>
          <w:sz w:val="24"/>
        </w:rPr>
        <w:t>根据</w:t>
      </w:r>
      <w:r>
        <w:rPr>
          <w:sz w:val="24"/>
          <w:u w:val="single"/>
        </w:rPr>
        <w:t>202</w:t>
      </w:r>
      <w:r>
        <w:rPr>
          <w:sz w:val="24"/>
          <w:u w:val="single"/>
        </w:rPr>
        <w:t>6</w:t>
      </w:r>
      <w:r>
        <w:rPr>
          <w:sz w:val="24"/>
        </w:rPr>
        <w:t>年</w:t>
      </w:r>
      <w:r>
        <w:rPr>
          <w:sz w:val="21"/>
          <w:u w:val="single"/>
        </w:rPr>
        <w:t xml:space="preserve">     </w:t>
      </w:r>
      <w:r>
        <w:rPr>
          <w:sz w:val="24"/>
        </w:rPr>
        <w:t>月</w:t>
      </w:r>
      <w:r>
        <w:rPr>
          <w:sz w:val="21"/>
          <w:u w:val="single"/>
        </w:rPr>
        <w:t xml:space="preserve">    </w:t>
      </w:r>
      <w:r>
        <w:rPr>
          <w:sz w:val="24"/>
        </w:rPr>
        <w:t xml:space="preserve"> 日的《</w:t>
      </w:r>
      <w:r>
        <w:rPr>
          <w:sz w:val="24"/>
          <w:u w:val="single"/>
        </w:rPr>
        <w:t>广东海洋大学南海海洋灾害监测预警技术创新中心建设项目（编号：YDZB26ZJ011）》</w:t>
      </w:r>
      <w:r>
        <w:rPr>
          <w:sz w:val="24"/>
        </w:rPr>
        <w:t>采购结果和</w:t>
      </w:r>
      <w:r>
        <w:rPr>
          <w:sz w:val="24"/>
        </w:rPr>
        <w:t>招标（磋商）文件、投标（响应）文件</w:t>
      </w:r>
      <w:r>
        <w:rPr>
          <w:sz w:val="24"/>
        </w:rPr>
        <w:t>的内容，按照《中华人民共和国民法典》的规定，甲方向乙方订购以下货物及其服务。</w:t>
      </w:r>
      <w:r>
        <w:rPr>
          <w:sz w:val="24"/>
        </w:rPr>
        <w:t>为明确双方责任和权利，甲、乙双方经协商确定，特签订本合同，共同遵守。具体条款如下：</w:t>
      </w:r>
    </w:p>
    <w:p>
      <w:pPr>
        <w:pStyle w:val="null3"/>
        <w:ind w:firstLine="482"/>
        <w:jc w:val="both"/>
      </w:pPr>
      <w:r>
        <w:rPr>
          <w:sz w:val="24"/>
          <w:b/>
        </w:rPr>
        <w:t>一、合同货物、合同金额</w:t>
      </w:r>
    </w:p>
    <w:p>
      <w:pPr>
        <w:pStyle w:val="null3"/>
        <w:ind w:firstLine="480"/>
        <w:jc w:val="both"/>
      </w:pPr>
      <w:r>
        <w:rPr>
          <w:sz w:val="24"/>
        </w:rPr>
        <w:t>1.1 境内供货的货物</w:t>
      </w:r>
    </w:p>
    <w:tbl>
      <w:tblPr>
        <w:tblW w:w="0" w:type="auto"/>
        <w:tblBorders>
          <w:top w:val="none" w:color="000000" w:sz="4"/>
          <w:left w:val="none" w:color="000000" w:sz="4"/>
          <w:bottom w:val="none" w:color="000000" w:sz="4"/>
          <w:right w:val="none" w:color="000000" w:sz="4"/>
          <w:insideH w:val="none"/>
          <w:insideV w:val="none"/>
        </w:tblBorders>
      </w:tblPr>
      <w:tblGrid>
        <w:gridCol w:w="775"/>
        <w:gridCol w:w="1445"/>
        <w:gridCol w:w="1695"/>
        <w:gridCol w:w="1195"/>
        <w:gridCol w:w="709"/>
        <w:gridCol w:w="1314"/>
        <w:gridCol w:w="1143"/>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1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品牌、规格型号</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w:t>
            </w:r>
          </w:p>
          <w:p>
            <w:pPr>
              <w:pStyle w:val="null3"/>
              <w:jc w:val="center"/>
            </w:pPr>
            <w:r>
              <w:rPr>
                <w:sz w:val="24"/>
                <w:b/>
              </w:rPr>
              <w:t>产地</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(元)</w:t>
            </w:r>
          </w:p>
        </w:tc>
        <w:tc>
          <w:tcPr>
            <w:tcW w:type="dxa" w:w="11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(元)</w:t>
            </w: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13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合计金额(人民币)：</w:t>
            </w:r>
          </w:p>
        </w:tc>
        <w:tc>
          <w:tcPr>
            <w:tcW w:type="dxa" w:w="11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w:t>
            </w:r>
          </w:p>
        </w:tc>
      </w:tr>
    </w:tbl>
    <w:p>
      <w:pPr>
        <w:pStyle w:val="null3"/>
        <w:jc w:val="both"/>
      </w:pPr>
      <w:r>
        <w:rPr>
          <w:sz w:val="24"/>
          <w:b/>
        </w:rPr>
        <w:t>注：</w:t>
      </w:r>
      <w:r>
        <w:rPr>
          <w:sz w:val="24"/>
          <w:b/>
        </w:rPr>
        <w:t>详细技术参数及配置清单见</w:t>
      </w:r>
      <w:r>
        <w:rPr>
          <w:sz w:val="24"/>
          <w:b/>
        </w:rPr>
        <w:t>招标（磋商）文件、乙方的投标（响应）文件</w:t>
      </w:r>
      <w:r>
        <w:rPr>
          <w:sz w:val="24"/>
          <w:b/>
        </w:rPr>
        <w:t>。</w:t>
      </w:r>
    </w:p>
    <w:p>
      <w:pPr>
        <w:pStyle w:val="null3"/>
        <w:ind w:firstLine="480"/>
        <w:jc w:val="both"/>
      </w:pPr>
      <w:r>
        <w:rPr>
          <w:sz w:val="24"/>
        </w:rPr>
        <w:t>1.2 境外免税进口的货物</w:t>
      </w:r>
    </w:p>
    <w:tbl>
      <w:tblPr>
        <w:tblW w:w="0" w:type="auto"/>
        <w:tblBorders>
          <w:top w:val="none" w:color="000000" w:sz="4"/>
          <w:left w:val="none" w:color="000000" w:sz="4"/>
          <w:bottom w:val="none" w:color="000000" w:sz="4"/>
          <w:right w:val="none" w:color="000000" w:sz="4"/>
          <w:insideH w:val="none"/>
          <w:insideV w:val="none"/>
        </w:tblBorders>
      </w:tblPr>
      <w:tblGrid>
        <w:gridCol w:w="799"/>
        <w:gridCol w:w="1401"/>
        <w:gridCol w:w="1716"/>
        <w:gridCol w:w="1192"/>
        <w:gridCol w:w="720"/>
        <w:gridCol w:w="1296"/>
        <w:gridCol w:w="1152"/>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产品名称</w:t>
            </w:r>
          </w:p>
        </w:tc>
        <w:tc>
          <w:tcPr>
            <w:tcW w:type="dxa" w:w="17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品牌、规格型号</w:t>
            </w:r>
          </w:p>
        </w:tc>
        <w:tc>
          <w:tcPr>
            <w:tcW w:type="dxa" w:w="1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制造商/</w:t>
            </w:r>
          </w:p>
          <w:p>
            <w:pPr>
              <w:pStyle w:val="null3"/>
              <w:jc w:val="center"/>
            </w:pPr>
            <w:r>
              <w:rPr>
                <w:sz w:val="24"/>
                <w:b/>
              </w:rPr>
              <w:t>产地</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w:t>
            </w:r>
          </w:p>
          <w:p>
            <w:pPr>
              <w:pStyle w:val="null3"/>
              <w:jc w:val="center"/>
            </w:pPr>
            <w:r>
              <w:rPr>
                <w:sz w:val="24"/>
                <w:b/>
              </w:rPr>
              <w:t>（元）</w:t>
            </w:r>
          </w:p>
        </w:tc>
        <w:tc>
          <w:tcPr>
            <w:tcW w:type="dxa" w:w="1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p>
            <w:pPr>
              <w:pStyle w:val="null3"/>
              <w:jc w:val="center"/>
            </w:pPr>
            <w:r>
              <w:rPr>
                <w:sz w:val="24"/>
                <w:b/>
              </w:rPr>
              <w:t>（元）</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7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合计金额(人民币)：                                </w:t>
            </w:r>
          </w:p>
          <w:p>
            <w:pPr>
              <w:pStyle w:val="null3"/>
              <w:jc w:val="both"/>
            </w:pPr>
            <w:r>
              <w:rPr>
                <w:sz w:val="24"/>
              </w:rPr>
              <w:t>注：设备价格为CIP湛江免税价，含进口代理费用。</w:t>
            </w:r>
          </w:p>
        </w:tc>
      </w:tr>
    </w:tbl>
    <w:p>
      <w:pPr>
        <w:pStyle w:val="null3"/>
        <w:jc w:val="both"/>
      </w:pPr>
      <w:r>
        <w:rPr>
          <w:sz w:val="24"/>
          <w:b/>
        </w:rPr>
        <w:t>注：</w:t>
      </w:r>
      <w:r>
        <w:rPr>
          <w:sz w:val="24"/>
          <w:b/>
        </w:rPr>
        <w:t>详细技术参数及配置清单见</w:t>
      </w:r>
      <w:r>
        <w:rPr>
          <w:sz w:val="24"/>
          <w:b/>
        </w:rPr>
        <w:t>招标（磋商）文件、乙方的投标（响应）文件</w:t>
      </w:r>
      <w:r>
        <w:rPr>
          <w:sz w:val="24"/>
          <w:b/>
        </w:rPr>
        <w:t>。</w:t>
      </w:r>
    </w:p>
    <w:p>
      <w:pPr>
        <w:pStyle w:val="null3"/>
        <w:ind w:firstLine="480"/>
        <w:jc w:val="both"/>
      </w:pPr>
      <w:r>
        <w:rPr>
          <w:sz w:val="24"/>
        </w:rPr>
        <w:t>1.3合同金额</w:t>
      </w:r>
    </w:p>
    <w:p>
      <w:pPr>
        <w:pStyle w:val="null3"/>
        <w:ind w:firstLine="480"/>
        <w:jc w:val="both"/>
      </w:pPr>
      <w:r>
        <w:rPr>
          <w:sz w:val="24"/>
        </w:rPr>
        <w:t>1.3.1境内供货的货物总金额为：</w:t>
      </w:r>
      <w:r>
        <w:rPr>
          <w:sz w:val="24"/>
          <w:u w:val="single"/>
        </w:rPr>
        <w:t xml:space="preserve">       （¥    ）</w:t>
      </w:r>
      <w:r>
        <w:rPr>
          <w:sz w:val="24"/>
        </w:rPr>
        <w:t>，该总金额包括货物设计、制造、仓储、包装、运输及保险、安装及安装辅料、装卸、调试、培训、随机附件、标配工具、货物正常使用所需的配件、质保期服务、一切技术服务和售后服务费用及合同实施执行过程中的不可预见费用等所有的含税费用。</w:t>
      </w:r>
    </w:p>
    <w:p>
      <w:pPr>
        <w:pStyle w:val="null3"/>
        <w:ind w:firstLine="480"/>
        <w:jc w:val="both"/>
      </w:pPr>
      <w:r>
        <w:rPr>
          <w:sz w:val="24"/>
        </w:rPr>
        <w:t>1.3.2境外免税进口的货物总金额为：（CIP湛江免税价）</w:t>
      </w:r>
      <w:r>
        <w:rPr>
          <w:sz w:val="24"/>
          <w:u w:val="single"/>
        </w:rPr>
        <w:t xml:space="preserve">          （￥      ） </w:t>
      </w:r>
      <w:r>
        <w:rPr>
          <w:sz w:val="24"/>
        </w:rPr>
        <w:t>。该金额已包括：</w:t>
      </w:r>
    </w:p>
    <w:p>
      <w:pPr>
        <w:pStyle w:val="null3"/>
        <w:ind w:firstLine="480"/>
        <w:jc w:val="both"/>
      </w:pPr>
      <w:r>
        <w:rPr>
          <w:sz w:val="24"/>
        </w:rPr>
        <w:t>1）合同内所有货物及配件费。</w:t>
      </w:r>
    </w:p>
    <w:p>
      <w:pPr>
        <w:pStyle w:val="null3"/>
        <w:ind w:firstLine="480"/>
        <w:jc w:val="both"/>
      </w:pPr>
      <w:r>
        <w:rPr>
          <w:sz w:val="24"/>
        </w:rPr>
        <w:t>2）机场码头费；</w:t>
      </w:r>
    </w:p>
    <w:p>
      <w:pPr>
        <w:pStyle w:val="null3"/>
        <w:ind w:firstLine="480"/>
        <w:jc w:val="both"/>
      </w:pPr>
      <w:r>
        <w:rPr>
          <w:sz w:val="24"/>
        </w:rPr>
        <w:t>3）安装调试费、质保期服务及合同实施执行过程中的不可预见费用等所有的含税费用；</w:t>
      </w:r>
    </w:p>
    <w:p>
      <w:pPr>
        <w:pStyle w:val="null3"/>
        <w:ind w:firstLine="480"/>
        <w:jc w:val="both"/>
      </w:pPr>
      <w:r>
        <w:rPr>
          <w:sz w:val="24"/>
        </w:rPr>
        <w:t>4）安装中的相关费用（包括安装过程中损耗、额外材料、设计费等）；</w:t>
      </w:r>
    </w:p>
    <w:p>
      <w:pPr>
        <w:pStyle w:val="null3"/>
        <w:ind w:firstLine="480"/>
        <w:jc w:val="both"/>
      </w:pPr>
      <w:r>
        <w:rPr>
          <w:sz w:val="24"/>
        </w:rPr>
        <w:t>5）货物运至最终目的地的内陆运输、保险和伴随货物交运的有关费用；</w:t>
      </w:r>
    </w:p>
    <w:p>
      <w:pPr>
        <w:pStyle w:val="null3"/>
        <w:ind w:firstLine="480"/>
        <w:jc w:val="both"/>
      </w:pPr>
      <w:r>
        <w:rPr>
          <w:sz w:val="24"/>
        </w:rPr>
        <w:t>6）人员培训和售后服务的相关费用；</w:t>
      </w:r>
    </w:p>
    <w:p>
      <w:pPr>
        <w:pStyle w:val="null3"/>
        <w:ind w:firstLine="480"/>
        <w:jc w:val="both"/>
      </w:pPr>
      <w:r>
        <w:rPr>
          <w:sz w:val="24"/>
        </w:rPr>
        <w:t>7）对于特殊货物，需要特殊处理的费用。</w:t>
      </w:r>
    </w:p>
    <w:p>
      <w:pPr>
        <w:pStyle w:val="null3"/>
        <w:ind w:firstLine="480"/>
        <w:jc w:val="both"/>
      </w:pPr>
      <w:r>
        <w:rPr>
          <w:sz w:val="24"/>
        </w:rPr>
        <w:t>8）外贸进口有关的一切费用（外贸代理公司的代理费用、清关费用、银行手续费、海关监管手续费、报关费用、商检费用、申办机电批文费用、机场码头费等）。甲方享受海关科教用品免税政策，</w:t>
      </w:r>
      <w:r>
        <w:rPr>
          <w:sz w:val="24"/>
          <w:u w:val="single"/>
        </w:rPr>
        <w:t>由甲方委托进口代理公司办理免税进口相关事宜。</w:t>
      </w:r>
    </w:p>
    <w:p>
      <w:pPr>
        <w:pStyle w:val="null3"/>
        <w:ind w:firstLine="482"/>
        <w:jc w:val="both"/>
      </w:pPr>
      <w:r>
        <w:rPr>
          <w:sz w:val="24"/>
          <w:b/>
          <w:u w:val="single"/>
        </w:rPr>
        <w:t>9）如国家政策原因影响导致不能办理免税或免税外加征关税所产生的税金，或因乙方原因自愿放弃办理免税所产生的税金，均由乙方承担。</w:t>
      </w:r>
    </w:p>
    <w:p>
      <w:pPr>
        <w:pStyle w:val="null3"/>
        <w:ind w:firstLine="482"/>
        <w:jc w:val="both"/>
      </w:pPr>
      <w:r>
        <w:rPr>
          <w:sz w:val="24"/>
          <w:b/>
        </w:rPr>
        <w:t>二、合同组成</w:t>
      </w:r>
    </w:p>
    <w:p>
      <w:pPr>
        <w:pStyle w:val="null3"/>
        <w:ind w:firstLine="480"/>
        <w:jc w:val="both"/>
      </w:pPr>
      <w:r>
        <w:rPr>
          <w:sz w:val="24"/>
        </w:rPr>
        <w:t>详细价格、技术说明及其它有关合同货物的特定信息及本项目的投标（响应）文件、招标（</w:t>
      </w:r>
      <w:r>
        <w:rPr>
          <w:sz w:val="24"/>
        </w:rPr>
        <w:t>磋商</w:t>
      </w:r>
      <w:r>
        <w:rPr>
          <w:sz w:val="24"/>
        </w:rPr>
        <w:t>）文件等均为本合同不可分割的一部分。</w:t>
      </w:r>
    </w:p>
    <w:p>
      <w:pPr>
        <w:pStyle w:val="null3"/>
        <w:ind w:firstLine="482"/>
        <w:jc w:val="both"/>
      </w:pPr>
      <w:r>
        <w:rPr>
          <w:sz w:val="24"/>
          <w:b/>
        </w:rPr>
        <w:t>三、合同货物技术要求、质量保证及使用合法性</w:t>
      </w:r>
    </w:p>
    <w:p>
      <w:pPr>
        <w:pStyle w:val="null3"/>
        <w:ind w:firstLine="480"/>
        <w:jc w:val="both"/>
      </w:pPr>
      <w:r>
        <w:rPr>
          <w:sz w:val="24"/>
        </w:rPr>
        <w:t>3.1乙方所提供的货物须符合国家有关规范、标准，并满足本合同技术要求。</w:t>
      </w:r>
    </w:p>
    <w:p>
      <w:pPr>
        <w:pStyle w:val="null3"/>
        <w:ind w:firstLine="480"/>
        <w:jc w:val="both"/>
      </w:pPr>
      <w:r>
        <w:rPr>
          <w:sz w:val="24"/>
        </w:rPr>
        <w:t>3.2乙方保证所提供的货物是全新、未曾使用过的。</w:t>
      </w:r>
    </w:p>
    <w:p>
      <w:pPr>
        <w:pStyle w:val="null3"/>
        <w:ind w:firstLine="480"/>
        <w:jc w:val="both"/>
      </w:pPr>
      <w:r>
        <w:rPr>
          <w:sz w:val="24"/>
        </w:rPr>
        <w:t>3.3</w:t>
      </w:r>
      <w:r>
        <w:rPr>
          <w:sz w:val="24"/>
        </w:rPr>
        <w:t>乙方保证合同项下提供的货物不侵犯任何第三方的专利、商标或版权，在中国境内可依常规安全、合法使用。否则，乙方须承担对第三方的专利或版权的侵权责任并承担因此给甲方造成的损失（包括但不限于相关的诉讼费、律师费、违约金等费用）</w:t>
      </w:r>
      <w:r>
        <w:rPr>
          <w:sz w:val="24"/>
        </w:rPr>
        <w:t>。</w:t>
      </w:r>
    </w:p>
    <w:p>
      <w:pPr>
        <w:pStyle w:val="null3"/>
        <w:ind w:firstLine="480"/>
        <w:jc w:val="both"/>
      </w:pPr>
      <w:r>
        <w:rPr>
          <w:sz w:val="24"/>
        </w:rPr>
        <w:t>3.4进口产品须具备原产地证明和商检局的检验证明及合法进货渠道证明。</w:t>
      </w:r>
    </w:p>
    <w:p>
      <w:pPr>
        <w:pStyle w:val="null3"/>
        <w:ind w:firstLine="482"/>
        <w:jc w:val="both"/>
      </w:pPr>
      <w:r>
        <w:rPr>
          <w:sz w:val="24"/>
          <w:b/>
        </w:rPr>
        <w:t>四、合同货物的包装、交货、安装及验收</w:t>
      </w:r>
    </w:p>
    <w:p>
      <w:pPr>
        <w:pStyle w:val="null3"/>
        <w:ind w:firstLine="480"/>
        <w:jc w:val="both"/>
      </w:pPr>
      <w:r>
        <w:rPr>
          <w:sz w:val="24"/>
        </w:rPr>
        <w:t xml:space="preserve">4.1 合同货物的包装：货物的包装均应有良好的防湿、防锈、防潮、防雨、防腐及防碰撞的措施。凡由于包装不良造成的损失和由此产生的费用均由乙方承担。   </w:t>
      </w:r>
    </w:p>
    <w:p>
      <w:pPr>
        <w:pStyle w:val="null3"/>
        <w:ind w:firstLine="480"/>
        <w:jc w:val="both"/>
      </w:pPr>
      <w:r>
        <w:rPr>
          <w:sz w:val="24"/>
        </w:rPr>
        <w:t>4.2 合同货物</w:t>
      </w:r>
      <w:r>
        <w:rPr>
          <w:sz w:val="24"/>
        </w:rPr>
        <w:t>的交货：</w:t>
      </w:r>
    </w:p>
    <w:p>
      <w:pPr>
        <w:pStyle w:val="null3"/>
        <w:ind w:firstLine="480"/>
        <w:jc w:val="both"/>
      </w:pPr>
      <w:r>
        <w:rPr>
          <w:sz w:val="24"/>
        </w:rPr>
        <w:t>4.2.1 乙方交货时间：</w:t>
      </w:r>
    </w:p>
    <w:p>
      <w:pPr>
        <w:pStyle w:val="null3"/>
        <w:ind w:firstLine="480"/>
        <w:jc w:val="both"/>
      </w:pPr>
      <w:r>
        <w:rPr>
          <w:sz w:val="24"/>
        </w:rPr>
        <w:t>国内货物：合同签订后</w:t>
      </w:r>
      <w:r>
        <w:rPr>
          <w:sz w:val="24"/>
          <w:u w:val="single"/>
        </w:rPr>
        <w:t>30天内</w:t>
      </w:r>
      <w:r>
        <w:rPr>
          <w:sz w:val="24"/>
        </w:rPr>
        <w:t>完成供货、安装、调试。</w:t>
      </w:r>
    </w:p>
    <w:p>
      <w:pPr>
        <w:pStyle w:val="null3"/>
        <w:ind w:firstLine="480"/>
        <w:jc w:val="both"/>
      </w:pPr>
      <w:r>
        <w:rPr>
          <w:sz w:val="24"/>
        </w:rPr>
        <w:t>国外货物：乙方须在本合同签订及取得该项目仪器设备进口免税批文之日起</w:t>
      </w:r>
      <w:r>
        <w:rPr>
          <w:sz w:val="24"/>
          <w:u w:val="single"/>
        </w:rPr>
        <w:t>60个工作日内</w:t>
      </w:r>
      <w:r>
        <w:rPr>
          <w:sz w:val="24"/>
        </w:rPr>
        <w:t>完成供货、安装、调试。</w:t>
      </w:r>
    </w:p>
    <w:p>
      <w:pPr>
        <w:pStyle w:val="null3"/>
        <w:ind w:firstLine="480"/>
        <w:jc w:val="both"/>
      </w:pPr>
      <w:r>
        <w:rPr>
          <w:sz w:val="24"/>
        </w:rPr>
        <w:t>4.2.2 乙方交货地点：送货至广东海洋大学指定</w:t>
      </w:r>
      <w:r>
        <w:rPr>
          <w:sz w:val="24"/>
        </w:rPr>
        <w:t>地点，安装及调试完毕。</w:t>
      </w:r>
    </w:p>
    <w:p>
      <w:pPr>
        <w:pStyle w:val="null3"/>
        <w:ind w:firstLine="480"/>
        <w:jc w:val="both"/>
      </w:pPr>
      <w:r>
        <w:rPr>
          <w:sz w:val="24"/>
        </w:rPr>
        <w:t>4.2.3 乙方应保证所提供的货物须为原厂商未启封全新包装且为</w:t>
      </w:r>
      <w:r>
        <w:rPr>
          <w:sz w:val="24"/>
          <w:u w:val="single"/>
        </w:rPr>
        <w:t>202</w:t>
      </w:r>
      <w:r>
        <w:rPr>
          <w:sz w:val="24"/>
          <w:u w:val="single"/>
        </w:rPr>
        <w:t>5</w:t>
      </w:r>
      <w:r>
        <w:rPr>
          <w:sz w:val="24"/>
          <w:u w:val="single"/>
        </w:rPr>
        <w:t>年1月1日</w:t>
      </w:r>
      <w:r>
        <w:rPr>
          <w:sz w:val="24"/>
        </w:rPr>
        <w:t>之后生产，同时应将所供货物的用户手册、使用说明书等有关资料与货物一同交付给甲方。</w:t>
      </w:r>
    </w:p>
    <w:p>
      <w:pPr>
        <w:pStyle w:val="null3"/>
        <w:ind w:firstLine="480"/>
        <w:jc w:val="both"/>
      </w:pPr>
      <w:r>
        <w:rPr>
          <w:sz w:val="24"/>
        </w:rPr>
        <w:t>乙方应保证所提供货物的技术性能达到合同的各项技术要求，否则将被看作性能不合格，甲方有权拒收并要求赔偿。</w:t>
      </w:r>
    </w:p>
    <w:p>
      <w:pPr>
        <w:pStyle w:val="null3"/>
        <w:ind w:firstLine="480"/>
        <w:jc w:val="both"/>
      </w:pPr>
      <w:r>
        <w:rPr>
          <w:sz w:val="24"/>
        </w:rPr>
        <w:t>乙方应保证所提供的产品规格、型号、技术参数、产地须与合同、</w:t>
      </w:r>
      <w:r>
        <w:rPr>
          <w:sz w:val="24"/>
        </w:rPr>
        <w:t>招标（磋商</w:t>
      </w:r>
      <w:r>
        <w:rPr>
          <w:sz w:val="24"/>
        </w:rPr>
        <w:t>）</w:t>
      </w:r>
      <w:r>
        <w:rPr>
          <w:sz w:val="24"/>
        </w:rPr>
        <w:t>文件</w:t>
      </w:r>
      <w:r>
        <w:rPr>
          <w:sz w:val="24"/>
        </w:rPr>
        <w:t>、</w:t>
      </w:r>
      <w:r>
        <w:rPr>
          <w:sz w:val="24"/>
        </w:rPr>
        <w:t>投标（响应）</w:t>
      </w:r>
      <w:r>
        <w:rPr>
          <w:sz w:val="24"/>
        </w:rPr>
        <w:t>文件</w:t>
      </w:r>
      <w:r>
        <w:rPr>
          <w:sz w:val="24"/>
        </w:rPr>
        <w:t>规定一致，若出现不符，甲方有权拒收，乙方须及时办理退换货并负担全部费用及由此给甲方造成的全部损失。</w:t>
      </w:r>
    </w:p>
    <w:p>
      <w:pPr>
        <w:pStyle w:val="null3"/>
        <w:ind w:firstLine="480"/>
        <w:jc w:val="both"/>
      </w:pPr>
      <w:r>
        <w:rPr>
          <w:sz w:val="24"/>
        </w:rPr>
        <w:t>4.3 合同货物的安装、调试：</w:t>
      </w:r>
    </w:p>
    <w:p>
      <w:pPr>
        <w:pStyle w:val="null3"/>
        <w:ind w:firstLine="480"/>
        <w:jc w:val="both"/>
      </w:pPr>
      <w:r>
        <w:rPr>
          <w:sz w:val="24"/>
        </w:rPr>
        <w:t>4</w:t>
      </w:r>
      <w:r>
        <w:rPr>
          <w:sz w:val="24"/>
        </w:rPr>
        <w:t>.</w:t>
      </w:r>
      <w:r>
        <w:rPr>
          <w:sz w:val="24"/>
        </w:rPr>
        <w:t>3</w:t>
      </w:r>
      <w:r>
        <w:rPr>
          <w:sz w:val="24"/>
        </w:rPr>
        <w:t>.</w:t>
      </w:r>
      <w:r>
        <w:rPr>
          <w:sz w:val="24"/>
        </w:rPr>
        <w:t>1乙方负责合同项下货物的安装、调试，一切费用由乙方负责。</w:t>
      </w:r>
    </w:p>
    <w:p>
      <w:pPr>
        <w:pStyle w:val="null3"/>
        <w:ind w:firstLine="480"/>
        <w:jc w:val="both"/>
      </w:pPr>
      <w:r>
        <w:rPr>
          <w:sz w:val="24"/>
        </w:rPr>
        <w:t>如果合同货物运输和调试过程中因事故造成货物短缺、损坏，乙方应及时安排换装，以保证合同货物安装、调试的成功完成。换货的相关费用由乙方承担。</w:t>
      </w:r>
    </w:p>
    <w:p>
      <w:pPr>
        <w:pStyle w:val="null3"/>
        <w:ind w:firstLine="480"/>
        <w:jc w:val="both"/>
      </w:pPr>
      <w:r>
        <w:rPr>
          <w:sz w:val="24"/>
        </w:rPr>
        <w:t>4.3.2货物到达甲方指定地点后，乙方应派有资质的技术人员到甲方指定地完成安装、调试工作。</w:t>
      </w:r>
    </w:p>
    <w:p>
      <w:pPr>
        <w:pStyle w:val="null3"/>
        <w:ind w:firstLine="480"/>
        <w:jc w:val="both"/>
      </w:pPr>
      <w:r>
        <w:rPr>
          <w:sz w:val="24"/>
        </w:rPr>
        <w:t>4.3.3货物安装、调试过程中，乙方技术人员应负责对甲方人员进行使用、维护保养及相关培训。</w:t>
      </w:r>
    </w:p>
    <w:p>
      <w:pPr>
        <w:pStyle w:val="null3"/>
        <w:ind w:firstLine="480"/>
        <w:jc w:val="both"/>
      </w:pPr>
      <w:r>
        <w:rPr>
          <w:sz w:val="24"/>
        </w:rPr>
        <w:t>4.3.4乙方负责其技术人员在甲方现场进行安装、调试期间所产生的费用（包括但不限于人工费、交通费、人身损害赔偿费等）；如因乙方责任造成的延期，所有因安装、调试延期而产生的费用由乙方负责。</w:t>
      </w:r>
    </w:p>
    <w:p>
      <w:pPr>
        <w:pStyle w:val="null3"/>
        <w:ind w:firstLine="480"/>
        <w:jc w:val="both"/>
      </w:pPr>
      <w:r>
        <w:rPr>
          <w:sz w:val="24"/>
        </w:rPr>
        <w:t>4</w:t>
      </w:r>
      <w:r>
        <w:rPr>
          <w:sz w:val="24"/>
        </w:rPr>
        <w:t>.</w:t>
      </w:r>
      <w:r>
        <w:rPr>
          <w:sz w:val="24"/>
        </w:rPr>
        <w:t>3</w:t>
      </w:r>
      <w:r>
        <w:rPr>
          <w:sz w:val="24"/>
        </w:rPr>
        <w:t>.</w:t>
      </w:r>
      <w:r>
        <w:rPr>
          <w:sz w:val="24"/>
        </w:rPr>
        <w:t>5乙方须将货物、系统安装并调试至正常运行的最佳状态。</w:t>
      </w:r>
    </w:p>
    <w:p>
      <w:pPr>
        <w:pStyle w:val="null3"/>
        <w:ind w:firstLine="480"/>
        <w:jc w:val="both"/>
      </w:pPr>
      <w:r>
        <w:rPr>
          <w:sz w:val="24"/>
        </w:rPr>
        <w:t>4.3.6乙方进行安装、调试时须对各调试场地内的其他货物、设施有良好保护措施。</w:t>
      </w:r>
    </w:p>
    <w:p>
      <w:pPr>
        <w:pStyle w:val="null3"/>
        <w:ind w:firstLine="480"/>
        <w:jc w:val="both"/>
      </w:pPr>
      <w:r>
        <w:rPr>
          <w:sz w:val="24"/>
        </w:rPr>
        <w:t>4.3.7乙方安装、调试期间需做到安全文明施工，不损坏甲方的设备设施，否则原价赔偿。</w:t>
      </w:r>
    </w:p>
    <w:p>
      <w:pPr>
        <w:pStyle w:val="null3"/>
        <w:ind w:firstLine="480"/>
        <w:jc w:val="both"/>
      </w:pPr>
      <w:r>
        <w:rPr>
          <w:sz w:val="24"/>
        </w:rPr>
        <w:t>4.4 货物的验收：</w:t>
      </w:r>
    </w:p>
    <w:p>
      <w:pPr>
        <w:pStyle w:val="null3"/>
        <w:ind w:firstLine="480"/>
        <w:jc w:val="both"/>
      </w:pPr>
      <w:r>
        <w:rPr>
          <w:sz w:val="24"/>
        </w:rPr>
        <w:t>4.4.1</w:t>
      </w:r>
      <w:r>
        <w:rPr>
          <w:sz w:val="24"/>
        </w:rPr>
        <w:t>乙方对合同货物安装、调试和培训完成后，认为达到使用要求的，应向甲方提出书面验收申请，甲</w:t>
      </w:r>
      <w:r>
        <w:rPr>
          <w:sz w:val="24"/>
        </w:rPr>
        <w:t>方无异议的，</w:t>
      </w:r>
      <w:r>
        <w:rPr>
          <w:sz w:val="24"/>
          <w:u w:val="single"/>
        </w:rPr>
        <w:t>7</w:t>
      </w:r>
      <w:r>
        <w:rPr>
          <w:sz w:val="24"/>
          <w:u w:val="single"/>
        </w:rPr>
        <w:t>日内组织验收</w:t>
      </w:r>
      <w:r>
        <w:rPr>
          <w:sz w:val="24"/>
        </w:rPr>
        <w:t>，验收应在甲</w:t>
      </w:r>
      <w:r>
        <w:rPr>
          <w:sz w:val="24"/>
        </w:rPr>
        <w:t>乙双方共同参加下进行。</w:t>
      </w:r>
    </w:p>
    <w:p>
      <w:pPr>
        <w:pStyle w:val="null3"/>
        <w:ind w:firstLine="480"/>
        <w:jc w:val="both"/>
      </w:pPr>
      <w:r>
        <w:rPr>
          <w:sz w:val="24"/>
        </w:rPr>
        <w:t>4.4.2货物的验收按合同规定的技术要求和</w:t>
      </w:r>
      <w:r>
        <w:rPr>
          <w:sz w:val="24"/>
        </w:rPr>
        <w:t>国家有关的规定、规范</w:t>
      </w:r>
      <w:r>
        <w:rPr>
          <w:sz w:val="24"/>
        </w:rPr>
        <w:t>进行，质量需符合国家对相关产品的质量标准。</w:t>
      </w:r>
    </w:p>
    <w:p>
      <w:pPr>
        <w:pStyle w:val="null3"/>
        <w:ind w:firstLine="480"/>
        <w:jc w:val="both"/>
      </w:pPr>
      <w:r>
        <w:rPr>
          <w:sz w:val="24"/>
        </w:rPr>
        <w:t>验收时如发现所交付的货物有短装、次品、损坏或其它不符合本合同规定的，甲方应作出详尽的现场记录，并交由乙方签字确认，或由甲乙双方签署备忘录。此现场记录或备忘录可用作补充、缺失和更换损坏部件的有效证据。由此产生的有关费用由乙方承担。</w:t>
      </w:r>
    </w:p>
    <w:p>
      <w:pPr>
        <w:pStyle w:val="null3"/>
        <w:ind w:firstLine="480"/>
        <w:jc w:val="both"/>
      </w:pPr>
      <w:r>
        <w:rPr>
          <w:sz w:val="24"/>
        </w:rPr>
        <w:t>4.4.3因货物质量问题发生较大争议时，由广东省质检部门鉴定或双方共同委托有资质的机构进行鉴定。货物符合合同技术要求的，鉴定费由甲方承担；否则鉴定费由乙方承担。对验收或鉴定确认不合格的货物，乙方应在5个工作日内整改完毕并按合同约定的质量标准交货，否则甲方有权拒收。</w:t>
      </w:r>
    </w:p>
    <w:p>
      <w:pPr>
        <w:pStyle w:val="null3"/>
        <w:ind w:firstLine="482"/>
        <w:jc w:val="both"/>
      </w:pPr>
      <w:r>
        <w:rPr>
          <w:sz w:val="24"/>
          <w:b/>
        </w:rPr>
        <w:t>五、质保期及售后服务</w:t>
      </w:r>
    </w:p>
    <w:p>
      <w:pPr>
        <w:pStyle w:val="null3"/>
        <w:ind w:firstLine="480"/>
        <w:jc w:val="both"/>
      </w:pPr>
      <w:r>
        <w:rPr>
          <w:sz w:val="24"/>
        </w:rPr>
        <w:t>5.1</w:t>
      </w:r>
      <w:r>
        <w:rPr>
          <w:sz w:val="24"/>
        </w:rPr>
        <w:t>质保期：所有产品均需提供</w:t>
      </w:r>
      <w:r>
        <w:rPr>
          <w:sz w:val="24"/>
          <w:u w:val="single"/>
        </w:rPr>
        <w:t>至少</w:t>
      </w:r>
      <w:r>
        <w:rPr>
          <w:sz w:val="24"/>
          <w:u w:val="single"/>
        </w:rPr>
        <w:t>3</w:t>
      </w:r>
      <w:r>
        <w:rPr>
          <w:sz w:val="24"/>
          <w:u w:val="single"/>
        </w:rPr>
        <w:t>年</w:t>
      </w:r>
      <w:r>
        <w:rPr>
          <w:sz w:val="24"/>
        </w:rPr>
        <w:t>质</w:t>
      </w:r>
      <w:r>
        <w:rPr>
          <w:sz w:val="24"/>
        </w:rPr>
        <w:t>量保证和上门保修服务（另有特别说明的货物除外）</w:t>
      </w:r>
      <w:r>
        <w:rPr>
          <w:sz w:val="24"/>
        </w:rPr>
        <w:t>，</w:t>
      </w:r>
      <w:r>
        <w:rPr>
          <w:sz w:val="24"/>
        </w:rPr>
        <w:t>质保期从货物验收合格之日起</w:t>
      </w:r>
      <w:r>
        <w:rPr>
          <w:sz w:val="24"/>
        </w:rPr>
        <w:t>，</w:t>
      </w:r>
      <w:r>
        <w:rPr>
          <w:sz w:val="24"/>
        </w:rPr>
        <w:t>质保期内的上门保修服务及因设备故障维修产生的相关费用已包含在投标报价中，甲方不额外支付</w:t>
      </w:r>
      <w:r>
        <w:rPr>
          <w:sz w:val="24"/>
        </w:rPr>
        <w:t>。</w:t>
      </w:r>
    </w:p>
    <w:p>
      <w:pPr>
        <w:pStyle w:val="null3"/>
        <w:ind w:firstLine="480"/>
        <w:jc w:val="both"/>
      </w:pPr>
      <w:r>
        <w:rPr>
          <w:sz w:val="24"/>
        </w:rPr>
        <w:t>乙方</w:t>
      </w:r>
      <w:r>
        <w:rPr>
          <w:sz w:val="24"/>
        </w:rPr>
        <w:t>应指派专人负责与</w:t>
      </w:r>
      <w:r>
        <w:rPr>
          <w:sz w:val="24"/>
        </w:rPr>
        <w:t>甲方</w:t>
      </w:r>
      <w:r>
        <w:rPr>
          <w:sz w:val="24"/>
        </w:rPr>
        <w:t>联系售后服务事宜。在</w:t>
      </w:r>
      <w:r>
        <w:rPr>
          <w:sz w:val="24"/>
        </w:rPr>
        <w:t>质保</w:t>
      </w:r>
      <w:r>
        <w:rPr>
          <w:sz w:val="24"/>
        </w:rPr>
        <w:t>期内货物</w:t>
      </w:r>
      <w:r>
        <w:rPr>
          <w:sz w:val="24"/>
        </w:rPr>
        <w:t>质量出现问题，无论设备因何种原因发生何种故障，</w:t>
      </w:r>
      <w:r>
        <w:rPr>
          <w:sz w:val="24"/>
        </w:rPr>
        <w:t>乙方</w:t>
      </w:r>
      <w:r>
        <w:rPr>
          <w:sz w:val="24"/>
        </w:rPr>
        <w:t>须在接到通知后</w:t>
      </w:r>
      <w:r>
        <w:rPr>
          <w:sz w:val="24"/>
        </w:rPr>
        <w:t>2</w:t>
      </w:r>
      <w:r>
        <w:rPr>
          <w:sz w:val="24"/>
        </w:rPr>
        <w:t>小时内有专人回复。若维修工程电话不能解决故障，</w:t>
      </w:r>
      <w:r>
        <w:rPr>
          <w:sz w:val="24"/>
        </w:rPr>
        <w:t>乙方</w:t>
      </w:r>
      <w:r>
        <w:rPr>
          <w:sz w:val="24"/>
        </w:rPr>
        <w:t>须保证在24小时内派人到现场进行处理，同时负责三包（包修、包退、包换），如在甲方规定时间内不能解决问题的，应在48小时内免费提供</w:t>
      </w:r>
      <w:r>
        <w:rPr>
          <w:sz w:val="24"/>
        </w:rPr>
        <w:t>相同</w:t>
      </w:r>
      <w:r>
        <w:rPr>
          <w:sz w:val="24"/>
        </w:rPr>
        <w:t>的货物给</w:t>
      </w:r>
      <w:r>
        <w:rPr>
          <w:sz w:val="24"/>
        </w:rPr>
        <w:t>甲方</w:t>
      </w:r>
      <w:r>
        <w:rPr>
          <w:sz w:val="24"/>
        </w:rPr>
        <w:t>代用，并保证满足</w:t>
      </w:r>
      <w:r>
        <w:rPr>
          <w:sz w:val="24"/>
        </w:rPr>
        <w:t>甲方</w:t>
      </w:r>
      <w:r>
        <w:rPr>
          <w:sz w:val="24"/>
        </w:rPr>
        <w:t>工作需求，直到原货物修复。</w:t>
      </w:r>
      <w:r>
        <w:rPr>
          <w:sz w:val="24"/>
        </w:rPr>
        <w:t>质保</w:t>
      </w:r>
      <w:r>
        <w:rPr>
          <w:sz w:val="24"/>
        </w:rPr>
        <w:t>期内发生的所有费用由</w:t>
      </w:r>
      <w:r>
        <w:rPr>
          <w:sz w:val="24"/>
        </w:rPr>
        <w:t>乙方</w:t>
      </w:r>
      <w:r>
        <w:rPr>
          <w:sz w:val="24"/>
        </w:rPr>
        <w:t>负责，需要重新更换货物的，</w:t>
      </w:r>
      <w:r>
        <w:rPr>
          <w:sz w:val="24"/>
        </w:rPr>
        <w:t>乙方</w:t>
      </w:r>
      <w:r>
        <w:rPr>
          <w:sz w:val="24"/>
        </w:rPr>
        <w:t>应承担更换货物所产生的一切费用。</w:t>
      </w:r>
    </w:p>
    <w:p>
      <w:pPr>
        <w:pStyle w:val="null3"/>
        <w:ind w:firstLine="480"/>
        <w:jc w:val="both"/>
      </w:pPr>
      <w:r>
        <w:rPr>
          <w:sz w:val="24"/>
        </w:rPr>
        <w:t>下列情况乙方不负责免费保修：</w:t>
      </w:r>
    </w:p>
    <w:p>
      <w:pPr>
        <w:pStyle w:val="null3"/>
        <w:ind w:firstLine="480"/>
        <w:jc w:val="both"/>
      </w:pPr>
      <w:r>
        <w:rPr>
          <w:sz w:val="24"/>
        </w:rPr>
        <w:t>（1）不按照货物使用说明书提供的方法使用而引致系统或货物故障损坏；</w:t>
      </w:r>
    </w:p>
    <w:p>
      <w:pPr>
        <w:pStyle w:val="null3"/>
        <w:ind w:firstLine="480"/>
        <w:jc w:val="both"/>
      </w:pPr>
      <w:r>
        <w:rPr>
          <w:sz w:val="24"/>
        </w:rPr>
        <w:t>（2）擅自修改系统或改装货物；</w:t>
      </w:r>
    </w:p>
    <w:p>
      <w:pPr>
        <w:pStyle w:val="null3"/>
        <w:ind w:firstLine="480"/>
        <w:jc w:val="both"/>
      </w:pPr>
      <w:r>
        <w:rPr>
          <w:sz w:val="24"/>
        </w:rPr>
        <w:t>（3）各种天灾等外来因素造成的损坏。</w:t>
      </w:r>
    </w:p>
    <w:p>
      <w:pPr>
        <w:pStyle w:val="null3"/>
        <w:ind w:firstLine="480"/>
        <w:jc w:val="both"/>
      </w:pPr>
      <w:r>
        <w:rPr>
          <w:sz w:val="24"/>
        </w:rPr>
        <w:t xml:space="preserve">5.2 </w:t>
      </w:r>
      <w:r>
        <w:rPr>
          <w:sz w:val="24"/>
        </w:rPr>
        <w:t>货物</w:t>
      </w:r>
      <w:r>
        <w:rPr>
          <w:sz w:val="24"/>
        </w:rPr>
        <w:t>安装调试完毕，乙方须组织甲方使用人员进行使用及日常维护等的培训，主要内容为货物的基本结构、性能、主要部件/模块的构造及维护、日常使用与管理、常见故障的排除、紧急情况的处理等。</w:t>
      </w:r>
    </w:p>
    <w:p>
      <w:pPr>
        <w:pStyle w:val="null3"/>
        <w:ind w:firstLine="480"/>
        <w:jc w:val="both"/>
      </w:pPr>
      <w:r>
        <w:rPr>
          <w:sz w:val="24"/>
        </w:rPr>
        <w:t>5.3</w:t>
      </w:r>
      <w:r>
        <w:rPr>
          <w:sz w:val="24"/>
        </w:rPr>
        <w:t>维护服务要求：</w:t>
      </w:r>
      <w:r>
        <w:rPr>
          <w:sz w:val="24"/>
        </w:rPr>
        <w:t>乙方</w:t>
      </w:r>
      <w:r>
        <w:rPr>
          <w:sz w:val="24"/>
        </w:rPr>
        <w:t>安排有经验的工作人员进行组装调试、首次加电技术指导，并能提供技术培训</w:t>
      </w:r>
      <w:r>
        <w:rPr>
          <w:sz w:val="24"/>
        </w:rPr>
        <w:t>。</w:t>
      </w:r>
    </w:p>
    <w:p>
      <w:pPr>
        <w:pStyle w:val="null3"/>
        <w:ind w:firstLine="480"/>
        <w:jc w:val="both"/>
      </w:pPr>
      <w:r>
        <w:rPr>
          <w:sz w:val="24"/>
        </w:rPr>
        <w:t>5.</w:t>
      </w:r>
      <w:r>
        <w:rPr>
          <w:sz w:val="24"/>
        </w:rPr>
        <w:t>4</w:t>
      </w:r>
      <w:r>
        <w:rPr>
          <w:sz w:val="24"/>
        </w:rPr>
        <w:t>售后服务未尽事宜，以乙方投标文件中的售后服务承诺作为补充，售后服务承诺优于合同约定的，以乙方承诺为准。</w:t>
      </w:r>
    </w:p>
    <w:p>
      <w:pPr>
        <w:pStyle w:val="null3"/>
        <w:ind w:firstLine="480"/>
        <w:jc w:val="both"/>
      </w:pPr>
      <w:r>
        <w:rPr>
          <w:sz w:val="24"/>
        </w:rPr>
        <w:t>5.</w:t>
      </w:r>
      <w:r>
        <w:rPr>
          <w:sz w:val="24"/>
        </w:rPr>
        <w:t>5</w:t>
      </w:r>
      <w:r>
        <w:rPr>
          <w:sz w:val="24"/>
        </w:rPr>
        <w:t>负责维修的单位信息</w:t>
      </w:r>
    </w:p>
    <w:tbl>
      <w:tblPr>
        <w:tblW w:w="0" w:type="auto"/>
        <w:tblBorders>
          <w:top w:val="none" w:color="000000" w:sz="4"/>
          <w:left w:val="none" w:color="000000" w:sz="4"/>
          <w:bottom w:val="none" w:color="000000" w:sz="4"/>
          <w:right w:val="none" w:color="000000" w:sz="4"/>
          <w:insideH w:val="none"/>
          <w:insideV w:val="none"/>
        </w:tblBorders>
      </w:tblPr>
      <w:tblGrid>
        <w:gridCol w:w="2066"/>
        <w:gridCol w:w="2066"/>
        <w:gridCol w:w="2066"/>
        <w:gridCol w:w="2066"/>
      </w:tblGrid>
      <w:tr>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rPr>
              <w:t>名称：</w:t>
            </w:r>
          </w:p>
        </w:tc>
        <w:tc>
          <w:tcPr>
            <w:tcW w:type="dxa" w:w="619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                                    公司</w:t>
            </w:r>
            <w:r>
              <w:rPr>
                <w:sz w:val="24"/>
              </w:rPr>
              <w:t>；</w:t>
            </w:r>
          </w:p>
        </w:tc>
      </w:tr>
      <w:tr>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rPr>
              <w:t>地址：</w:t>
            </w:r>
          </w:p>
        </w:tc>
        <w:tc>
          <w:tcPr>
            <w:tcW w:type="dxa" w:w="6198"/>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      市      路      号      室</w:t>
            </w:r>
            <w:r>
              <w:rPr>
                <w:sz w:val="24"/>
              </w:rPr>
              <w:t>；</w:t>
            </w:r>
          </w:p>
        </w:tc>
      </w:tr>
      <w:tr>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rPr>
              <w:t>联 系 人：</w:t>
            </w:r>
          </w:p>
        </w:tc>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                 ；</w:t>
            </w:r>
          </w:p>
        </w:tc>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rPr>
              <w:t>电话：</w:t>
            </w:r>
          </w:p>
        </w:tc>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u w:val="single"/>
              </w:rPr>
              <w:t xml:space="preserve">                 ；</w:t>
            </w:r>
          </w:p>
        </w:tc>
      </w:tr>
      <w:tr>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rPr>
              <w:t>手机：</w:t>
            </w:r>
          </w:p>
        </w:tc>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u w:val="single"/>
              </w:rPr>
              <w:t xml:space="preserve">                 ；</w:t>
            </w:r>
          </w:p>
        </w:tc>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right"/>
            </w:pPr>
            <w:r>
              <w:rPr>
                <w:sz w:val="24"/>
              </w:rPr>
              <w:t>邮箱：</w:t>
            </w:r>
          </w:p>
        </w:tc>
        <w:tc>
          <w:tcPr>
            <w:tcW w:type="dxa" w:w="206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u w:val="single"/>
              </w:rPr>
              <w:t xml:space="preserve">                 ；</w:t>
            </w:r>
          </w:p>
        </w:tc>
      </w:tr>
    </w:tbl>
    <w:p>
      <w:pPr>
        <w:pStyle w:val="null3"/>
        <w:ind w:firstLine="482"/>
        <w:jc w:val="both"/>
      </w:pPr>
      <w:r>
        <w:rPr>
          <w:sz w:val="24"/>
          <w:b/>
        </w:rPr>
        <w:t>六、付款条款的约定</w:t>
      </w:r>
    </w:p>
    <w:p>
      <w:pPr>
        <w:pStyle w:val="null3"/>
        <w:ind w:firstLine="482"/>
        <w:jc w:val="both"/>
      </w:pPr>
      <w:r>
        <w:rPr>
          <w:sz w:val="24"/>
          <w:b/>
        </w:rPr>
        <w:t>6.1境内供货的货物：</w:t>
      </w:r>
    </w:p>
    <w:p>
      <w:pPr>
        <w:pStyle w:val="null3"/>
        <w:ind w:firstLine="480"/>
        <w:jc w:val="both"/>
      </w:pPr>
      <w:r>
        <w:rPr>
          <w:sz w:val="24"/>
        </w:rPr>
        <w:t>6.1.1付款办法</w:t>
      </w:r>
    </w:p>
    <w:p>
      <w:pPr>
        <w:pStyle w:val="null3"/>
        <w:ind w:firstLine="480"/>
        <w:jc w:val="both"/>
      </w:pPr>
      <w:r>
        <w:rPr>
          <w:sz w:val="24"/>
        </w:rPr>
        <w:t>（1）非中小企业：</w:t>
      </w:r>
    </w:p>
    <w:p>
      <w:pPr>
        <w:pStyle w:val="null3"/>
        <w:ind w:firstLine="480"/>
        <w:jc w:val="both"/>
      </w:pPr>
      <w:r>
        <w:rPr>
          <w:sz w:val="24"/>
        </w:rPr>
        <w:t>1期：全部货物</w:t>
      </w:r>
      <w:r>
        <w:rPr>
          <w:sz w:val="24"/>
        </w:rPr>
        <w:t>现场安装及调试完毕并验收合格，甲方收到乙方出具的货物结算款全额增值税专用发票后，在</w:t>
      </w:r>
      <w:r>
        <w:rPr>
          <w:sz w:val="24"/>
          <w:u w:val="single"/>
        </w:rPr>
        <w:t>10个工作日内</w:t>
      </w:r>
      <w:r>
        <w:rPr>
          <w:sz w:val="24"/>
        </w:rPr>
        <w:t>支付结算款的100％给乙方，若乙方不提供货物结算款全额增值税专用发票的，甲方有权拒绝付款。</w:t>
      </w:r>
      <w:r>
        <w:br/>
      </w:r>
      <w:r>
        <w:rPr>
          <w:sz w:val="24"/>
        </w:rPr>
        <w:t xml:space="preserve">    （2）中小企业：</w:t>
      </w:r>
    </w:p>
    <w:p>
      <w:pPr>
        <w:pStyle w:val="null3"/>
        <w:ind w:firstLine="480"/>
        <w:jc w:val="both"/>
      </w:pPr>
      <w:r>
        <w:rPr>
          <w:sz w:val="24"/>
        </w:rPr>
        <w:t>1期：支付比例30%，签订合同后，乙方提供合同货款30%的增值税专用发票给甲方，甲</w:t>
      </w:r>
      <w:r>
        <w:rPr>
          <w:sz w:val="24"/>
        </w:rPr>
        <w:t>方在</w:t>
      </w:r>
      <w:r>
        <w:rPr>
          <w:sz w:val="24"/>
          <w:u w:val="single"/>
        </w:rPr>
        <w:t>5</w:t>
      </w:r>
      <w:r>
        <w:rPr>
          <w:sz w:val="24"/>
          <w:u w:val="single"/>
        </w:rPr>
        <w:t>个工作日内</w:t>
      </w:r>
      <w:r>
        <w:rPr>
          <w:sz w:val="24"/>
        </w:rPr>
        <w:t>向乙方支付</w:t>
      </w:r>
      <w:r>
        <w:rPr>
          <w:sz w:val="24"/>
        </w:rPr>
        <w:t>30%的合同货款作为预付款。</w:t>
      </w:r>
    </w:p>
    <w:p>
      <w:pPr>
        <w:pStyle w:val="null3"/>
        <w:ind w:firstLine="480"/>
        <w:jc w:val="both"/>
      </w:pPr>
      <w:r>
        <w:rPr>
          <w:sz w:val="24"/>
        </w:rPr>
        <w:t>2期：支付比例70%，全部货物现场安装及调试完毕并验收合格，乙方提供合同货款70%的增值税专用发票给甲方作为报账凭证，甲方在</w:t>
      </w:r>
      <w:r>
        <w:rPr>
          <w:sz w:val="24"/>
          <w:u w:val="single"/>
        </w:rPr>
        <w:t>10个工作日内</w:t>
      </w:r>
      <w:r>
        <w:rPr>
          <w:sz w:val="24"/>
        </w:rPr>
        <w:t>支付合同货款70%给乙方。</w:t>
      </w:r>
    </w:p>
    <w:p>
      <w:pPr>
        <w:pStyle w:val="null3"/>
        <w:ind w:firstLine="480"/>
        <w:jc w:val="both"/>
      </w:pPr>
      <w:r>
        <w:rPr>
          <w:sz w:val="24"/>
        </w:rPr>
        <w:t>若乙方不提供供货货物结算款增值税专用发票的，甲方有权拒绝付款。</w:t>
      </w:r>
    </w:p>
    <w:p>
      <w:pPr>
        <w:pStyle w:val="null3"/>
        <w:ind w:firstLine="482"/>
        <w:jc w:val="both"/>
      </w:pPr>
      <w:r>
        <w:rPr>
          <w:sz w:val="24"/>
          <w:b/>
        </w:rPr>
        <w:t>6.2境外免税进口设备：</w:t>
      </w:r>
    </w:p>
    <w:p>
      <w:pPr>
        <w:pStyle w:val="null3"/>
        <w:ind w:firstLine="480"/>
        <w:jc w:val="both"/>
      </w:pPr>
      <w:r>
        <w:rPr>
          <w:sz w:val="24"/>
        </w:rPr>
        <w:t>本条款涉及到的汇率，均指当日平均汇率。</w:t>
      </w:r>
    </w:p>
    <w:p>
      <w:pPr>
        <w:pStyle w:val="null3"/>
        <w:ind w:firstLine="480"/>
        <w:jc w:val="both"/>
      </w:pPr>
      <w:r>
        <w:rPr>
          <w:sz w:val="24"/>
        </w:rPr>
        <w:t>6.2.1付款方式约定：</w:t>
      </w:r>
    </w:p>
    <w:p>
      <w:pPr>
        <w:pStyle w:val="null3"/>
        <w:ind w:firstLine="480"/>
        <w:jc w:val="both"/>
      </w:pPr>
      <w:r>
        <w:rPr>
          <w:sz w:val="24"/>
        </w:rPr>
        <w:t>（1）在合同的供货期内的，支付方式为：“人民币全包价”，即合同约定为人民币合同，进口货款、代理手续费、国内清关费用等所有支出全包人民币价格，以人民币中标价签订采购合同、人民币结算、人民币支付。</w:t>
      </w:r>
    </w:p>
    <w:p>
      <w:pPr>
        <w:pStyle w:val="null3"/>
        <w:ind w:firstLine="480"/>
        <w:jc w:val="both"/>
      </w:pPr>
      <w:r>
        <w:rPr>
          <w:sz w:val="24"/>
        </w:rPr>
        <w:t>（2）超出合同供货期的，支付方式为：以开标日的人民币对美元汇率将合同人民币金额换算为美元金额后，按结算日人民币对美元汇率结算，以人民币支付，但结算总金额限于合同人民币总金额内。</w:t>
      </w:r>
    </w:p>
    <w:p>
      <w:pPr>
        <w:pStyle w:val="null3"/>
        <w:ind w:firstLine="480"/>
        <w:jc w:val="both"/>
      </w:pPr>
      <w:r>
        <w:rPr>
          <w:sz w:val="24"/>
        </w:rPr>
        <w:t>6.2.2具体付款办法</w:t>
      </w:r>
    </w:p>
    <w:p>
      <w:pPr>
        <w:pStyle w:val="null3"/>
        <w:ind w:firstLine="480"/>
        <w:jc w:val="both"/>
      </w:pPr>
      <w:r>
        <w:rPr>
          <w:sz w:val="24"/>
        </w:rPr>
        <w:t>合同签订后，由甲方委托进口代理公司配合乙方办理免税进口相关事宜，乙方须先行垫付货款办理货物进口。</w:t>
      </w:r>
      <w:r>
        <w:rPr>
          <w:sz w:val="24"/>
        </w:rPr>
        <w:t>全部货物现场安装及调试完毕并验收合格后，甲方根据进口代理公司出具的境外免税进口货物结算请款材料后，在</w:t>
      </w:r>
      <w:r>
        <w:rPr>
          <w:sz w:val="24"/>
          <w:u w:val="single"/>
        </w:rPr>
        <w:t>10个工作日内</w:t>
      </w:r>
      <w:r>
        <w:rPr>
          <w:sz w:val="24"/>
        </w:rPr>
        <w:t>办理付款，具体如</w:t>
      </w:r>
      <w:r>
        <w:rPr>
          <w:sz w:val="24"/>
        </w:rPr>
        <w:t>下：</w:t>
      </w:r>
    </w:p>
    <w:p>
      <w:pPr>
        <w:pStyle w:val="null3"/>
        <w:ind w:firstLine="480"/>
        <w:jc w:val="both"/>
      </w:pPr>
      <w:r>
        <w:rPr>
          <w:sz w:val="24"/>
        </w:rPr>
        <w:t>（1）在合同的供货期内的，通过进口代理公司支付结算请款额的100％。</w:t>
      </w:r>
    </w:p>
    <w:p>
      <w:pPr>
        <w:pStyle w:val="null3"/>
        <w:ind w:firstLine="480"/>
        <w:jc w:val="both"/>
      </w:pPr>
      <w:r>
        <w:rPr>
          <w:sz w:val="24"/>
        </w:rPr>
        <w:t>（2）超出合同供货期的，以开标日的人民币对美元汇率将合同人民币金额换算为美元金额后，按结算日人民币对美元汇率进行结算，通过进口代理公司以人民币支付结算金额（支付的结算总金额限于合同人民币总金额内）。</w:t>
      </w:r>
    </w:p>
    <w:p>
      <w:pPr>
        <w:pStyle w:val="null3"/>
        <w:ind w:firstLine="482"/>
        <w:jc w:val="both"/>
      </w:pPr>
      <w:r>
        <w:rPr>
          <w:sz w:val="24"/>
          <w:b/>
        </w:rPr>
        <w:t>6.3</w:t>
      </w:r>
      <w:r>
        <w:rPr>
          <w:sz w:val="24"/>
          <w:b/>
        </w:rPr>
        <w:t>履约保证金</w:t>
      </w:r>
      <w:r>
        <w:rPr>
          <w:sz w:val="24"/>
        </w:rPr>
        <w:t>（</w:t>
      </w:r>
      <w:r>
        <w:rPr>
          <w:sz w:val="24"/>
        </w:rPr>
        <w:t>联系电话：0759-2383383</w:t>
      </w:r>
      <w:r>
        <w:rPr>
          <w:sz w:val="24"/>
        </w:rPr>
        <w:t>）</w:t>
      </w:r>
    </w:p>
    <w:p>
      <w:pPr>
        <w:pStyle w:val="null3"/>
        <w:ind w:firstLine="480"/>
        <w:jc w:val="both"/>
      </w:pPr>
      <w:r>
        <w:rPr>
          <w:sz w:val="24"/>
        </w:rPr>
        <w:t>（</w:t>
      </w:r>
      <w:r>
        <w:rPr>
          <w:sz w:val="24"/>
        </w:rPr>
        <w:t>1</w:t>
      </w:r>
      <w:r>
        <w:rPr>
          <w:sz w:val="24"/>
        </w:rPr>
        <w:t>）</w:t>
      </w:r>
      <w:r>
        <w:rPr>
          <w:sz w:val="24"/>
        </w:rPr>
        <w:t>履约保证金金额:人民币</w:t>
      </w:r>
      <w:r>
        <w:rPr>
          <w:sz w:val="21"/>
          <w:u w:val="single"/>
        </w:rPr>
        <w:t xml:space="preserve">                </w:t>
      </w:r>
      <w:r>
        <w:rPr>
          <w:sz w:val="24"/>
        </w:rPr>
        <w:t>元整(￥</w:t>
      </w:r>
      <w:r>
        <w:rPr>
          <w:sz w:val="21"/>
          <w:u w:val="single"/>
        </w:rPr>
        <w:t xml:space="preserve">           </w:t>
      </w:r>
      <w:r>
        <w:rPr>
          <w:sz w:val="24"/>
        </w:rPr>
        <w:t>整)。</w:t>
      </w:r>
    </w:p>
    <w:p>
      <w:pPr>
        <w:pStyle w:val="null3"/>
        <w:ind w:firstLine="480"/>
        <w:jc w:val="both"/>
      </w:pPr>
      <w:r>
        <w:rPr>
          <w:sz w:val="24"/>
        </w:rPr>
        <w:t>乙方</w:t>
      </w:r>
      <w:r>
        <w:rPr>
          <w:sz w:val="24"/>
        </w:rPr>
        <w:t>在合同签订后5个工作日内应向</w:t>
      </w:r>
      <w:r>
        <w:rPr>
          <w:sz w:val="24"/>
        </w:rPr>
        <w:t>甲方</w:t>
      </w:r>
      <w:r>
        <w:rPr>
          <w:sz w:val="24"/>
        </w:rPr>
        <w:t>支付合同金额的</w:t>
      </w:r>
      <w:r>
        <w:rPr>
          <w:sz w:val="24"/>
        </w:rPr>
        <w:t>5</w:t>
      </w:r>
      <w:r>
        <w:rPr>
          <w:sz w:val="24"/>
        </w:rPr>
        <w:t>%</w:t>
      </w:r>
      <w:r>
        <w:rPr>
          <w:sz w:val="24"/>
        </w:rPr>
        <w:t>作为履约保证金（</w:t>
      </w:r>
      <w:r>
        <w:rPr>
          <w:sz w:val="24"/>
        </w:rPr>
        <w:t>乙方</w:t>
      </w:r>
      <w:r>
        <w:rPr>
          <w:sz w:val="24"/>
        </w:rPr>
        <w:t>在银行转账时需备注写明招标采购合同编号，以便</w:t>
      </w:r>
      <w:r>
        <w:rPr>
          <w:sz w:val="24"/>
        </w:rPr>
        <w:t>甲方</w:t>
      </w:r>
      <w:r>
        <w:rPr>
          <w:sz w:val="24"/>
        </w:rPr>
        <w:t>财务人员查核）。</w:t>
      </w:r>
    </w:p>
    <w:p>
      <w:pPr>
        <w:pStyle w:val="null3"/>
        <w:ind w:firstLine="480"/>
        <w:jc w:val="both"/>
      </w:pPr>
      <w:r>
        <w:rPr>
          <w:sz w:val="24"/>
        </w:rPr>
        <w:t>（2）如乙方逾期不缴纳履约保证金，视为乙方放弃中标资格。</w:t>
      </w:r>
    </w:p>
    <w:p>
      <w:pPr>
        <w:pStyle w:val="null3"/>
        <w:ind w:firstLine="480"/>
        <w:jc w:val="both"/>
      </w:pPr>
      <w:r>
        <w:rPr>
          <w:sz w:val="24"/>
        </w:rPr>
        <w:t xml:space="preserve">（3）履约保证金的退还：项目验收合格后1个月内，乙方凭验收单据以及履约保证金收据向甲方提交退还申请，甲方在收到乙方申请及规定单据之日起10个工作日内无息退还给乙方，否则不予退还履约保证金。 </w:t>
      </w:r>
    </w:p>
    <w:p>
      <w:pPr>
        <w:pStyle w:val="null3"/>
        <w:ind w:firstLine="480"/>
        <w:jc w:val="both"/>
      </w:pPr>
      <w:r>
        <w:rPr>
          <w:sz w:val="24"/>
        </w:rPr>
        <w:t>（4）履约保证金可以以履约保函（保险）形式提供，目前"广东政府采购智慧云平台金融服务中心(https://gdgpo.czt.gd.gov.cn/zcdservice/zcd/guangdong/)已实现电子履约保函（保险）在线办理功能，有意愿供应商可自行办理提供。</w:t>
      </w:r>
    </w:p>
    <w:p>
      <w:pPr>
        <w:pStyle w:val="null3"/>
        <w:ind w:firstLine="482"/>
        <w:jc w:val="both"/>
      </w:pPr>
      <w:r>
        <w:rPr>
          <w:sz w:val="24"/>
          <w:b/>
        </w:rPr>
        <w:t>七、技术服务</w:t>
      </w:r>
    </w:p>
    <w:p>
      <w:pPr>
        <w:pStyle w:val="null3"/>
        <w:ind w:firstLine="480"/>
        <w:jc w:val="both"/>
      </w:pPr>
      <w:r>
        <w:rPr>
          <w:sz w:val="24"/>
        </w:rPr>
        <w:t>7.1乙方应派员到甲方指定地点配合工作。</w:t>
      </w:r>
    </w:p>
    <w:p>
      <w:pPr>
        <w:pStyle w:val="null3"/>
        <w:ind w:firstLine="480"/>
        <w:jc w:val="both"/>
      </w:pPr>
      <w:r>
        <w:rPr>
          <w:sz w:val="24"/>
        </w:rPr>
        <w:t>7.2乙方按甲方提供的合同执行进度计划，并配合甲方及相关部门做好合同执行进度上的工作。</w:t>
      </w:r>
    </w:p>
    <w:p>
      <w:pPr>
        <w:pStyle w:val="null3"/>
        <w:ind w:firstLine="482"/>
        <w:jc w:val="both"/>
      </w:pPr>
      <w:r>
        <w:rPr>
          <w:sz w:val="24"/>
          <w:b/>
        </w:rPr>
        <w:t>八、不可抗力</w:t>
      </w:r>
    </w:p>
    <w:p>
      <w:pPr>
        <w:pStyle w:val="null3"/>
        <w:ind w:firstLine="480"/>
        <w:jc w:val="both"/>
      </w:pPr>
      <w:r>
        <w:rPr>
          <w:sz w:val="24"/>
        </w:rPr>
        <w:t>8.1不可抗力指战争、严重火灾、洪水、台风、地震等法律规定的不可抗力事件。</w:t>
      </w:r>
    </w:p>
    <w:p>
      <w:pPr>
        <w:pStyle w:val="null3"/>
        <w:ind w:firstLine="480"/>
        <w:jc w:val="both"/>
      </w:pPr>
      <w:r>
        <w:rPr>
          <w:sz w:val="24"/>
        </w:rPr>
        <w:t>8.2签约双方中任何一方由于不可抗力影响合同执行时，发生不可抗力一方应尽快将事故通知另一方。在此情况下，乙方仍然有责任采取必要的措施加速供货，双方应通过友好协商尽快解决本合同的执行问题。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82"/>
        <w:jc w:val="both"/>
      </w:pPr>
      <w:r>
        <w:rPr>
          <w:sz w:val="24"/>
          <w:b/>
        </w:rPr>
        <w:t>九、索赔</w:t>
      </w:r>
    </w:p>
    <w:p>
      <w:pPr>
        <w:pStyle w:val="null3"/>
        <w:ind w:firstLine="480"/>
        <w:jc w:val="both"/>
      </w:pPr>
      <w:r>
        <w:rPr>
          <w:sz w:val="24"/>
        </w:rPr>
        <w:t>9.1如有异议，甲方有权根据有关政府部门或有资质的检验机构的检验结果向乙方提出索赔。</w:t>
      </w:r>
    </w:p>
    <w:p>
      <w:pPr>
        <w:pStyle w:val="null3"/>
        <w:ind w:firstLine="480"/>
        <w:jc w:val="both"/>
      </w:pPr>
      <w:r>
        <w:rPr>
          <w:sz w:val="24"/>
        </w:rPr>
        <w:t>9.2在合同执行期间，乙方应按照甲方同意的下列一种或多种方式解决索赔事宜：</w:t>
      </w:r>
    </w:p>
    <w:p>
      <w:pPr>
        <w:pStyle w:val="null3"/>
        <w:ind w:firstLine="480"/>
        <w:jc w:val="both"/>
      </w:pPr>
      <w:r>
        <w:rPr>
          <w:sz w:val="24"/>
        </w:rPr>
        <w:t>(1) 乙方同意退货，应在3日内将货款全额退还给甲方，并承担由此发生的一切费用和赔偿甲方所遭受的损失。</w:t>
      </w:r>
    </w:p>
    <w:p>
      <w:pPr>
        <w:pStyle w:val="null3"/>
      </w:pPr>
      <w:r>
        <w:rPr>
          <w:sz w:val="24"/>
        </w:rPr>
        <w:t xml:space="preserve">       (2) 用符合规格、质量和性能要求的新零件、部件或货物来更换有缺陷的部分或修补缺陷的部分，乙方应承担一切费用和风险并赔偿甲方所遭受的损失。同时，相应延长免费质保期。</w:t>
      </w:r>
    </w:p>
    <w:p>
      <w:pPr>
        <w:pStyle w:val="null3"/>
      </w:pPr>
      <w:r>
        <w:rPr>
          <w:sz w:val="24"/>
        </w:rPr>
        <w:t xml:space="preserve">       9.3如果在甲方发出索赔通知后30天内，乙方未作答复，上述索赔应视为已被乙方接受。甲方将从合同款项中扣回索赔金额。如果这些金额不足以抵扣，甲方有权继续向乙方追偿。</w:t>
      </w:r>
    </w:p>
    <w:p>
      <w:pPr>
        <w:pStyle w:val="null3"/>
      </w:pPr>
      <w:r>
        <w:rPr>
          <w:sz w:val="24"/>
        </w:rPr>
        <w:t xml:space="preserve">       十、违约与处罚</w:t>
      </w:r>
    </w:p>
    <w:p>
      <w:pPr>
        <w:pStyle w:val="null3"/>
      </w:pPr>
      <w:r>
        <w:rPr>
          <w:sz w:val="24"/>
        </w:rPr>
        <w:t xml:space="preserve">       10.1甲方应在合同规定的时间内支付货款，逾期付款的，乙方有权要求甲方以欠付款项为基数，按照年利率5%支付实际逾期付款天数的违约金。</w:t>
      </w:r>
    </w:p>
    <w:p>
      <w:pPr>
        <w:pStyle w:val="null3"/>
      </w:pPr>
      <w:r>
        <w:rPr>
          <w:sz w:val="24"/>
        </w:rPr>
        <w:t xml:space="preserve">       10.2乙方未能按时全部交货的，则甲方可按拖延天数，向乙方加收拖欠合同金额的年5%的利率违约金。逾期15天以上的，甲方有权单方直接终止合同，要求乙方退还所收取的货款，并没收乙方履约保证金和要求乙方按合同金额的25%支付违约金，若乙方的违约行为造成甲方的损失高于违约金的，甲方有权向乙方追加赔偿。</w:t>
      </w:r>
    </w:p>
    <w:p>
      <w:pPr>
        <w:pStyle w:val="null3"/>
      </w:pPr>
      <w:r>
        <w:rPr>
          <w:sz w:val="24"/>
        </w:rPr>
        <w:t xml:space="preserve">       10.3乙方交付的货物不符合合同规定的，甲方有权拒收并没收乙方的履约保证金，乙方还应按合同金额的25%向甲方支付违约金。</w:t>
      </w:r>
    </w:p>
    <w:p>
      <w:pPr>
        <w:pStyle w:val="null3"/>
      </w:pPr>
      <w:r>
        <w:rPr>
          <w:sz w:val="24"/>
        </w:rPr>
        <w:t xml:space="preserve">       10.4甲方无正当理由拒收货物的，甲方应按合同金额的5%向乙方支付违约金。</w:t>
      </w:r>
    </w:p>
    <w:p>
      <w:pPr>
        <w:pStyle w:val="null3"/>
        <w:ind w:firstLine="480"/>
        <w:jc w:val="both"/>
      </w:pPr>
      <w:r>
        <w:rPr>
          <w:sz w:val="24"/>
        </w:rPr>
        <w:t>10.5</w:t>
      </w:r>
      <w:r>
        <w:rPr>
          <w:sz w:val="24"/>
        </w:rPr>
        <w:t>在质保期内，乙方违反合同售后服务条款约定，或者拒不提供售后服务的，或售后服务不符合约定的，乙方须向甲方支付本合同金额</w:t>
      </w:r>
      <w:r>
        <w:rPr>
          <w:sz w:val="24"/>
          <w:u w:val="single"/>
        </w:rPr>
        <w:t>30</w:t>
      </w:r>
      <w:r>
        <w:rPr>
          <w:sz w:val="24"/>
        </w:rPr>
        <w:t>%的违约金。造成甲方损失的，还应承担赔偿责任。</w:t>
      </w:r>
    </w:p>
    <w:p>
      <w:pPr>
        <w:pStyle w:val="null3"/>
        <w:ind w:firstLine="480"/>
        <w:jc w:val="both"/>
      </w:pPr>
      <w:r>
        <w:rPr>
          <w:sz w:val="24"/>
        </w:rPr>
        <w:t>10.6</w:t>
      </w:r>
      <w:r>
        <w:rPr>
          <w:sz w:val="24"/>
        </w:rPr>
        <w:t>其它违约责任按《中华人民共和国民法典》处理。</w:t>
      </w:r>
    </w:p>
    <w:p>
      <w:pPr>
        <w:pStyle w:val="null3"/>
        <w:ind w:firstLine="482"/>
        <w:jc w:val="both"/>
      </w:pPr>
      <w:r>
        <w:rPr>
          <w:sz w:val="24"/>
          <w:b/>
        </w:rPr>
        <w:t>十一、合同终止</w:t>
      </w:r>
    </w:p>
    <w:p>
      <w:pPr>
        <w:pStyle w:val="null3"/>
        <w:ind w:firstLine="480"/>
        <w:jc w:val="both"/>
      </w:pPr>
      <w:r>
        <w:rPr>
          <w:sz w:val="24"/>
        </w:rPr>
        <w:t>如果一方严重违反合同，另一方可立即终止本合同。</w:t>
      </w:r>
    </w:p>
    <w:p>
      <w:pPr>
        <w:pStyle w:val="null3"/>
        <w:ind w:firstLine="482"/>
        <w:jc w:val="both"/>
      </w:pPr>
      <w:r>
        <w:rPr>
          <w:sz w:val="24"/>
          <w:b/>
        </w:rPr>
        <w:t>十二、法律诉讼</w:t>
      </w:r>
    </w:p>
    <w:p>
      <w:pPr>
        <w:pStyle w:val="null3"/>
        <w:ind w:firstLine="480"/>
        <w:jc w:val="both"/>
      </w:pPr>
      <w:r>
        <w:rPr>
          <w:sz w:val="24"/>
        </w:rPr>
        <w:t>签约双方在履约中发生争执和分歧，双方应通过友好协商解决，若经协商不能达成协议时，则向合同签订所在地人民法院提起诉讼。受理期间，双方应继续执行合同其余部分。违约方应承担守约方的律师费、诉讼费、诉讼保全保险费等费用。</w:t>
      </w:r>
    </w:p>
    <w:p>
      <w:pPr>
        <w:pStyle w:val="null3"/>
        <w:ind w:firstLine="482"/>
        <w:jc w:val="both"/>
      </w:pPr>
      <w:r>
        <w:rPr>
          <w:sz w:val="24"/>
          <w:b/>
        </w:rPr>
        <w:t>十三、廉政条约：</w:t>
      </w:r>
      <w:r>
        <w:rPr>
          <w:sz w:val="24"/>
        </w:rPr>
        <w:t>甲、乙双方所有人员严格遵守国家廉政方面的规定。</w:t>
      </w:r>
    </w:p>
    <w:p>
      <w:pPr>
        <w:pStyle w:val="null3"/>
        <w:ind w:firstLine="482"/>
        <w:jc w:val="both"/>
      </w:pPr>
      <w:r>
        <w:rPr>
          <w:sz w:val="24"/>
          <w:b/>
        </w:rPr>
        <w:t>十四、其他</w:t>
      </w:r>
    </w:p>
    <w:p>
      <w:pPr>
        <w:pStyle w:val="null3"/>
        <w:ind w:firstLine="480"/>
        <w:jc w:val="both"/>
      </w:pPr>
      <w:r>
        <w:rPr>
          <w:sz w:val="24"/>
        </w:rPr>
        <w:t>14.1本合同一式</w:t>
      </w:r>
      <w:r>
        <w:rPr>
          <w:sz w:val="24"/>
          <w:u w:val="single"/>
        </w:rPr>
        <w:t xml:space="preserve"> 6 </w:t>
      </w:r>
      <w:r>
        <w:rPr>
          <w:sz w:val="24"/>
        </w:rPr>
        <w:t xml:space="preserve">份，具有同等法律效力，甲方执 </w:t>
      </w:r>
      <w:r>
        <w:rPr>
          <w:sz w:val="24"/>
          <w:u w:val="single"/>
        </w:rPr>
        <w:t>4</w:t>
      </w:r>
      <w:r>
        <w:rPr>
          <w:sz w:val="24"/>
        </w:rPr>
        <w:t>份、乙方执</w:t>
      </w:r>
      <w:r>
        <w:rPr>
          <w:sz w:val="24"/>
          <w:u w:val="single"/>
        </w:rPr>
        <w:t xml:space="preserve"> 2 </w:t>
      </w:r>
      <w:r>
        <w:rPr>
          <w:sz w:val="24"/>
        </w:rPr>
        <w:t>份。本合同在甲乙双方法人代表或其授权代表签字盖章后生效，如双方签字的日期不一致时以最后一个日期为准；如合同有一方未填写日期，即以另一方日期为准。</w:t>
      </w:r>
    </w:p>
    <w:p>
      <w:pPr>
        <w:pStyle w:val="null3"/>
        <w:ind w:firstLine="480"/>
        <w:jc w:val="both"/>
      </w:pPr>
      <w:r>
        <w:rPr>
          <w:sz w:val="24"/>
        </w:rPr>
        <w:t>14.2下列文件是本合同的一部分，并与本合同一起阅读和解释：</w:t>
      </w:r>
    </w:p>
    <w:p>
      <w:pPr>
        <w:pStyle w:val="null3"/>
        <w:ind w:firstLine="480"/>
        <w:jc w:val="both"/>
      </w:pPr>
      <w:r>
        <w:rPr>
          <w:sz w:val="24"/>
        </w:rPr>
        <w:t>（1）中标通知书（采购评审结果通知）；</w:t>
      </w:r>
    </w:p>
    <w:p>
      <w:pPr>
        <w:pStyle w:val="null3"/>
        <w:ind w:firstLine="480"/>
        <w:jc w:val="both"/>
      </w:pPr>
      <w:r>
        <w:rPr>
          <w:sz w:val="24"/>
        </w:rPr>
        <w:t>（2）乙方提交的</w:t>
      </w:r>
      <w:r>
        <w:rPr>
          <w:sz w:val="24"/>
        </w:rPr>
        <w:t>投标</w:t>
      </w:r>
      <w:r>
        <w:rPr>
          <w:sz w:val="24"/>
        </w:rPr>
        <w:t>（响应）</w:t>
      </w:r>
      <w:r>
        <w:rPr>
          <w:sz w:val="24"/>
        </w:rPr>
        <w:t>文件</w:t>
      </w:r>
      <w:r>
        <w:rPr>
          <w:sz w:val="24"/>
        </w:rPr>
        <w:t>；</w:t>
      </w:r>
    </w:p>
    <w:p>
      <w:pPr>
        <w:pStyle w:val="null3"/>
        <w:ind w:firstLine="480"/>
        <w:jc w:val="both"/>
      </w:pPr>
      <w:r>
        <w:rPr>
          <w:sz w:val="24"/>
        </w:rPr>
        <w:t>（3）</w:t>
      </w:r>
      <w:r>
        <w:rPr>
          <w:sz w:val="24"/>
        </w:rPr>
        <w:t>招标</w:t>
      </w:r>
      <w:r>
        <w:rPr>
          <w:sz w:val="24"/>
        </w:rPr>
        <w:t>（</w:t>
      </w:r>
      <w:r>
        <w:rPr>
          <w:sz w:val="24"/>
        </w:rPr>
        <w:t>磋商</w:t>
      </w:r>
      <w:r>
        <w:rPr>
          <w:sz w:val="24"/>
        </w:rPr>
        <w:t>）</w:t>
      </w:r>
      <w:r>
        <w:rPr>
          <w:sz w:val="24"/>
        </w:rPr>
        <w:t>文件</w:t>
      </w:r>
      <w:r>
        <w:rPr>
          <w:sz w:val="24"/>
        </w:rPr>
        <w:t>。</w:t>
      </w:r>
    </w:p>
    <w:p>
      <w:pPr>
        <w:pStyle w:val="null3"/>
        <w:ind w:firstLine="480"/>
        <w:jc w:val="both"/>
      </w:pPr>
      <w:r>
        <w:rPr>
          <w:sz w:val="24"/>
        </w:rPr>
        <w:t>14.3</w:t>
      </w:r>
      <w:r>
        <w:rPr>
          <w:sz w:val="24"/>
        </w:rPr>
        <w:t>本合同</w:t>
      </w:r>
      <w:r>
        <w:rPr>
          <w:sz w:val="24"/>
        </w:rPr>
        <w:t>未尽</w:t>
      </w:r>
      <w:r>
        <w:rPr>
          <w:sz w:val="24"/>
        </w:rPr>
        <w:t>事宜，以</w:t>
      </w:r>
      <w:r>
        <w:rPr>
          <w:sz w:val="24"/>
        </w:rPr>
        <w:t>招标</w:t>
      </w:r>
      <w:r>
        <w:rPr>
          <w:sz w:val="24"/>
        </w:rPr>
        <w:t>（</w:t>
      </w:r>
      <w:r>
        <w:rPr>
          <w:sz w:val="24"/>
        </w:rPr>
        <w:t>磋商</w:t>
      </w:r>
      <w:r>
        <w:rPr>
          <w:sz w:val="24"/>
        </w:rPr>
        <w:t>）、</w:t>
      </w:r>
      <w:r>
        <w:rPr>
          <w:sz w:val="24"/>
        </w:rPr>
        <w:t>投标</w:t>
      </w:r>
      <w:r>
        <w:rPr>
          <w:sz w:val="24"/>
        </w:rPr>
        <w:t>（响应）</w:t>
      </w:r>
      <w:r>
        <w:rPr>
          <w:sz w:val="24"/>
        </w:rPr>
        <w:t>文件</w:t>
      </w:r>
      <w:r>
        <w:rPr>
          <w:sz w:val="24"/>
        </w:rPr>
        <w:t>为准，并由双方协商处理。</w:t>
      </w:r>
    </w:p>
    <w:p>
      <w:pPr>
        <w:pStyle w:val="null3"/>
        <w:ind w:firstLine="480"/>
        <w:jc w:val="both"/>
      </w:pPr>
      <w:r>
        <w:rPr>
          <w:sz w:val="24"/>
        </w:rPr>
        <w:t>14.4如一方地址、电话、传真号码、银行账号有变更，应在变更当日内书面通知对方，否则，应承担相应责任。</w:t>
      </w:r>
    </w:p>
    <w:p>
      <w:pPr>
        <w:pStyle w:val="null3"/>
        <w:ind w:firstLine="482"/>
        <w:jc w:val="both"/>
      </w:pPr>
      <w:r>
        <w:rPr>
          <w:sz w:val="24"/>
          <w:b/>
        </w:rPr>
        <w:t>十五、合同签约地点：广东省湛江市麻章区海大路1号广东海洋大学湖光校区</w:t>
      </w:r>
    </w:p>
    <w:tbl>
      <w:tblPr>
        <w:tblW w:w="0" w:type="auto"/>
        <w:tblBorders>
          <w:top w:val="none" w:color="000000" w:sz="4"/>
          <w:left w:val="none" w:color="000000" w:sz="4"/>
          <w:bottom w:val="none" w:color="000000" w:sz="4"/>
          <w:right w:val="none" w:color="000000" w:sz="4"/>
          <w:insideH w:val="none"/>
          <w:insideV w:val="none"/>
        </w:tblBorders>
      </w:tblPr>
      <w:tblGrid>
        <w:gridCol w:w="1367"/>
        <w:gridCol w:w="2785"/>
        <w:gridCol w:w="1367"/>
        <w:gridCol w:w="2772"/>
      </w:tblGrid>
      <w:tr>
        <w:tc>
          <w:tcPr>
            <w:tcW w:type="dxa" w:w="1367"/>
            <w:tcBorders>
              <w:top w:val="dotted"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b/>
              </w:rPr>
              <w:t>甲方（盖章）：</w:t>
            </w:r>
          </w:p>
        </w:tc>
        <w:tc>
          <w:tcPr>
            <w:tcW w:type="dxa" w:w="2785"/>
            <w:tcBorders>
              <w:top w:val="dotted"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b/>
              </w:rPr>
              <w:t>广东海洋大学</w:t>
            </w:r>
          </w:p>
        </w:tc>
        <w:tc>
          <w:tcPr>
            <w:tcW w:type="dxa" w:w="1367"/>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b/>
              </w:rPr>
              <w:t>乙方（盖章）：</w:t>
            </w:r>
          </w:p>
        </w:tc>
        <w:tc>
          <w:tcPr>
            <w:tcW w:type="dxa" w:w="2772"/>
            <w:tcBorders>
              <w:top w:val="dotted"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法人代表：</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法人代表：</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签约代表：</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签约代表：</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地址：</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rPr>
              <w:t>广东省湛江市麻章区海大路</w:t>
            </w:r>
            <w:r>
              <w:rPr>
                <w:sz w:val="24"/>
              </w:rPr>
              <w:t>1</w:t>
            </w:r>
            <w:r>
              <w:rPr>
                <w:sz w:val="24"/>
              </w:rPr>
              <w:t>号</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地址：</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纳税人识别号：</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rPr>
              <w:t>1244000045625261X8</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统一社会信用代码：</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开户行：</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rPr>
              <w:t>中国银行股份有限公司湛江霞山支行</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开户行：</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银行账号：</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rPr>
              <w:t>679557760592</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银行账号：</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电话：</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rPr>
              <w:t>0759-2396211</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电话：</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传真：</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rPr>
              <w:t>0759-2383282</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传真：</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p>
        </w:tc>
      </w:tr>
      <w:tr>
        <w:tc>
          <w:tcPr>
            <w:tcW w:type="dxa" w:w="1367"/>
            <w:tcBorders>
              <w:top w:val="none" w:color="000000" w:sz="4"/>
              <w:left w:val="dotted"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签约日期：</w:t>
            </w:r>
          </w:p>
        </w:tc>
        <w:tc>
          <w:tcPr>
            <w:tcW w:type="dxa" w:w="2785"/>
            <w:tcBorders>
              <w:top w:val="none" w:color="000000" w:sz="4"/>
              <w:left w:val="none" w:color="000000" w:sz="4"/>
              <w:bottom w:val="dotted" w:color="000000" w:sz="4"/>
              <w:right w:val="double" w:color="000000" w:sz="4"/>
            </w:tcBorders>
            <w:tcMar>
              <w:top w:type="dxa" w:w="0"/>
              <w:left w:type="dxa" w:w="105"/>
              <w:bottom w:type="dxa" w:w="0"/>
              <w:right w:type="dxa" w:w="105"/>
            </w:tcMar>
            <w:vAlign w:val="top"/>
          </w:tcPr>
          <w:p>
            <w:pPr>
              <w:pStyle w:val="null3"/>
              <w:jc w:val="both"/>
            </w:pPr>
            <w:r>
              <w:rPr>
                <w:sz w:val="24"/>
                <w:u w:val="single"/>
              </w:rPr>
              <w:t>202</w:t>
            </w:r>
            <w:r>
              <w:rPr>
                <w:sz w:val="24"/>
                <w:u w:val="single"/>
              </w:rPr>
              <w:t>6</w:t>
            </w:r>
            <w:r>
              <w:rPr>
                <w:sz w:val="24"/>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1"/>
                <w:u w:val="single"/>
              </w:rPr>
              <w:t xml:space="preserve"> </w:t>
            </w:r>
            <w:r>
              <w:rPr>
                <w:sz w:val="24"/>
              </w:rPr>
              <w:t>日</w:t>
            </w:r>
          </w:p>
        </w:tc>
        <w:tc>
          <w:tcPr>
            <w:tcW w:type="dxa" w:w="1367"/>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right"/>
            </w:pPr>
            <w:r>
              <w:rPr>
                <w:sz w:val="24"/>
              </w:rPr>
              <w:t>签约日期：</w:t>
            </w:r>
          </w:p>
        </w:tc>
        <w:tc>
          <w:tcPr>
            <w:tcW w:type="dxa" w:w="2772"/>
            <w:tcBorders>
              <w:top w:val="none" w:color="000000" w:sz="4"/>
              <w:left w:val="none" w:color="000000" w:sz="4"/>
              <w:bottom w:val="dotted" w:color="000000" w:sz="4"/>
              <w:right w:val="dotted" w:color="000000" w:sz="4"/>
            </w:tcBorders>
            <w:tcMar>
              <w:top w:type="dxa" w:w="0"/>
              <w:left w:type="dxa" w:w="105"/>
              <w:bottom w:type="dxa" w:w="0"/>
              <w:right w:type="dxa" w:w="105"/>
            </w:tcMar>
            <w:vAlign w:val="top"/>
          </w:tcPr>
          <w:p>
            <w:pPr>
              <w:pStyle w:val="null3"/>
              <w:jc w:val="both"/>
            </w:pPr>
            <w:r>
              <w:rPr>
                <w:sz w:val="24"/>
                <w:u w:val="single"/>
              </w:rPr>
              <w:t>202</w:t>
            </w:r>
            <w:r>
              <w:rPr>
                <w:sz w:val="24"/>
                <w:u w:val="single"/>
              </w:rPr>
              <w:t>6</w:t>
            </w:r>
            <w:r>
              <w:rPr>
                <w:sz w:val="24"/>
              </w:rPr>
              <w:t>年</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4"/>
              </w:rPr>
              <w:t>月</w:t>
            </w:r>
            <w:r>
              <w:rPr>
                <w:sz w:val="21"/>
                <w:u w:val="single"/>
              </w:rPr>
              <w:t xml:space="preserve">  </w:t>
            </w:r>
            <w:r>
              <w:rPr>
                <w:sz w:val="21"/>
                <w:u w:val="single"/>
              </w:rPr>
              <w:t xml:space="preserve">   </w:t>
            </w:r>
            <w:r>
              <w:rPr>
                <w:sz w:val="21"/>
                <w:u w:val="single"/>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440001-2026-23645</w:t>
      </w:r>
    </w:p>
    <w:p>
      <w:pPr>
        <w:pStyle w:val="null3"/>
        <w:jc w:val="center"/>
        <w:outlineLvl w:val="3"/>
      </w:pPr>
      <w:r>
        <w:rPr>
          <w:sz w:val="24"/>
          <w:b/>
        </w:rPr>
        <w:t>采购项目编号：</w:t>
      </w:r>
      <w:r>
        <w:rPr>
          <w:sz w:val="24"/>
          <w:b/>
        </w:rPr>
        <w:t>YDZB26ZJ011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广东有德招标采购有限公司</w:t>
      </w:r>
    </w:p>
    <w:p>
      <w:pPr>
        <w:pStyle w:val="null3"/>
        <w:ind w:firstLine="480"/>
      </w:pPr>
      <w:r>
        <w:rPr/>
        <w:t xml:space="preserve"> 你方组织的</w:t>
      </w:r>
      <w:r>
        <w:rPr>
          <w:u w:val="single"/>
        </w:rPr>
        <w:t>“</w:t>
      </w:r>
      <w:r>
        <w:rPr>
          <w:u w:val="single"/>
        </w:rPr>
        <w:t>广东海洋大学南海海洋灾害监测预警技术创新中心建设项目</w:t>
      </w:r>
      <w:r>
        <w:rPr>
          <w:u w:val="single"/>
        </w:rPr>
        <w:t>”</w:t>
      </w:r>
      <w:r>
        <w:rPr/>
        <w:t>项目的招标[采购项目编号为：</w:t>
      </w:r>
      <w:r>
        <w:rPr>
          <w:u w:val="single"/>
        </w:rPr>
        <w:t>YDZB26ZJ011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广东海洋大学南海海洋灾害监测预警技术创新中心建设项目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广东有德招标采购有限公司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广东海洋大学南海海洋灾害监测预警技术创新中心建设项目</w:t>
      </w:r>
      <w:r>
        <w:rPr/>
        <w:t>”项目采购[采购项目编号为</w:t>
      </w:r>
      <w:r>
        <w:rPr/>
        <w:t>YDZB26ZJ011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广东海洋大学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广东有德招标采购有限公司</w:t>
      </w:r>
    </w:p>
    <w:p>
      <w:pPr>
        <w:pStyle w:val="null3"/>
        <w:ind w:firstLine="480"/>
      </w:pPr>
      <w:r>
        <w:rPr/>
        <w:t xml:space="preserve"> 如果我方在贵采购代理机构组织的</w:t>
      </w:r>
      <w:r>
        <w:rPr/>
        <w:t>广东海洋大学南海海洋灾害监测预警技术创新中心建设项目</w:t>
      </w:r>
      <w:r>
        <w:rPr/>
        <w:t>招标中获中标（采购项目编号：</w:t>
      </w:r>
      <w:r>
        <w:rPr/>
        <w:t>YDZB26ZJ011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广东有德招标采购有限公司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广东有德招标采购有限公司</w:t>
      </w:r>
    </w:p>
    <w:p>
      <w:pPr>
        <w:pStyle w:val="null3"/>
        <w:ind w:firstLine="480"/>
      </w:pPr>
      <w:r>
        <w:rPr/>
        <w:t>我单位已登记并准备参与“</w:t>
      </w:r>
      <w:r>
        <w:rPr/>
        <w:t>广东海洋大学南海海洋灾害监测预警技术创新中心建设项目</w:t>
      </w:r>
      <w:r>
        <w:rPr/>
        <w:t>”项目（采购项目编号：</w:t>
      </w:r>
      <w:r>
        <w:rPr/>
        <w:t>YDZB26ZJ011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