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5429D">
      <w:pPr>
        <w:pStyle w:val="7"/>
        <w:keepNext w:val="0"/>
        <w:keepLines w:val="0"/>
        <w:pageBreakBefore w:val="0"/>
        <w:widowControl w:val="0"/>
        <w:kinsoku/>
        <w:wordWrap/>
        <w:overflowPunct/>
        <w:topLinePunct/>
        <w:autoSpaceDE/>
        <w:autoSpaceDN/>
        <w:bidi w:val="0"/>
        <w:adjustRightInd w:val="0"/>
        <w:snapToGrid w:val="0"/>
        <w:spacing w:line="520" w:lineRule="exact"/>
        <w:jc w:val="center"/>
        <w:textAlignment w:val="auto"/>
        <w:rPr>
          <w:rFonts w:hint="default" w:eastAsia="宋体"/>
          <w:b/>
          <w:bCs/>
          <w:color w:val="auto"/>
          <w:spacing w:val="0"/>
          <w:w w:val="100"/>
          <w:sz w:val="36"/>
          <w:szCs w:val="36"/>
          <w:highlight w:val="none"/>
          <w:lang w:val="en-US" w:eastAsia="zh-CN"/>
        </w:rPr>
      </w:pPr>
      <w:r>
        <w:rPr>
          <w:rFonts w:hint="eastAsia"/>
          <w:b/>
          <w:bCs/>
          <w:color w:val="auto"/>
          <w:spacing w:val="0"/>
          <w:w w:val="100"/>
          <w:sz w:val="36"/>
          <w:szCs w:val="36"/>
          <w:highlight w:val="none"/>
          <w:lang w:val="en-US" w:eastAsia="zh-CN"/>
        </w:rPr>
        <w:t>政府采购合同</w:t>
      </w:r>
    </w:p>
    <w:p w14:paraId="34702D73">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rPr>
      </w:pPr>
    </w:p>
    <w:p w14:paraId="0651EC91">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sz w:val="24"/>
          <w:szCs w:val="24"/>
        </w:rPr>
        <w:t>与项目编号一致</w:t>
      </w:r>
      <w:r>
        <w:rPr>
          <w:rFonts w:hint="eastAsia" w:ascii="宋体" w:hAnsi="宋体" w:eastAsia="宋体" w:cs="宋体"/>
          <w:sz w:val="24"/>
          <w:szCs w:val="24"/>
          <w:lang w:val="en-US" w:eastAsia="zh-CN"/>
        </w:rPr>
        <w:t>)</w:t>
      </w:r>
    </w:p>
    <w:p w14:paraId="569864FB">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计划号/备案号：</w:t>
      </w:r>
      <w:r>
        <w:rPr>
          <w:rFonts w:hint="eastAsia" w:ascii="宋体" w:hAnsi="宋体" w:eastAsia="宋体" w:cs="宋体"/>
          <w:sz w:val="24"/>
          <w:szCs w:val="24"/>
          <w:u w:val="single"/>
        </w:rPr>
        <w:t xml:space="preserve">                </w:t>
      </w:r>
    </w:p>
    <w:p w14:paraId="71BC69DD">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签订地点：</w:t>
      </w:r>
      <w:r>
        <w:rPr>
          <w:rFonts w:hint="eastAsia" w:ascii="宋体" w:hAnsi="宋体" w:eastAsia="宋体" w:cs="宋体"/>
          <w:sz w:val="24"/>
          <w:szCs w:val="24"/>
          <w:u w:val="single"/>
        </w:rPr>
        <w:t xml:space="preserve">                     </w:t>
      </w:r>
    </w:p>
    <w:p w14:paraId="7876FAF6">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签订时间：</w:t>
      </w:r>
      <w:r>
        <w:rPr>
          <w:rFonts w:hint="eastAsia" w:ascii="宋体" w:hAnsi="宋体" w:eastAsia="宋体" w:cs="宋体"/>
          <w:sz w:val="24"/>
          <w:szCs w:val="24"/>
          <w:u w:val="single"/>
        </w:rPr>
        <w:t xml:space="preserve">                     </w:t>
      </w:r>
    </w:p>
    <w:p w14:paraId="14DBF71F">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采购人名称(甲方)：</w:t>
      </w:r>
      <w:r>
        <w:rPr>
          <w:rFonts w:hint="eastAsia" w:ascii="宋体" w:hAnsi="宋体" w:eastAsia="宋体" w:cs="宋体"/>
          <w:sz w:val="24"/>
          <w:szCs w:val="24"/>
          <w:u w:val="single"/>
        </w:rPr>
        <w:t xml:space="preserve">                              </w:t>
      </w:r>
    </w:p>
    <w:p w14:paraId="64EF1810">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中标供应商</w:t>
      </w:r>
      <w:r>
        <w:rPr>
          <w:rFonts w:hint="eastAsia" w:ascii="宋体" w:hAnsi="宋体" w:eastAsia="宋体" w:cs="宋体"/>
          <w:sz w:val="24"/>
          <w:szCs w:val="24"/>
        </w:rPr>
        <w:t>名称(乙方)：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07FA222">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合同类型：委托合同(</w:t>
      </w:r>
      <w:r>
        <w:rPr>
          <w:rFonts w:hint="eastAsia" w:ascii="宋体" w:hAnsi="宋体" w:eastAsia="宋体" w:cs="宋体"/>
          <w:b/>
          <w:bCs/>
          <w:color w:val="auto"/>
          <w:sz w:val="24"/>
          <w:szCs w:val="24"/>
          <w:highlight w:val="none"/>
          <w:u w:val="single"/>
          <w:lang w:val="en-US" w:eastAsia="zh-CN"/>
        </w:rPr>
        <w:t>本合同为中小企业预留合同)</w:t>
      </w:r>
    </w:p>
    <w:p w14:paraId="09CC65D5">
      <w:pPr>
        <w:pStyle w:val="7"/>
        <w:keepNext w:val="0"/>
        <w:keepLines w:val="0"/>
        <w:pageBreakBefore w:val="0"/>
        <w:widowControl w:val="0"/>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p>
    <w:p w14:paraId="4F5E913D">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sz w:val="24"/>
          <w:szCs w:val="24"/>
        </w:rPr>
      </w:pPr>
      <w:r>
        <w:rPr>
          <w:rFonts w:hint="eastAsia"/>
          <w:sz w:val="24"/>
          <w:szCs w:val="24"/>
        </w:rPr>
        <w:t>根据</w:t>
      </w:r>
      <w:r>
        <w:rPr>
          <w:rFonts w:hint="eastAsia"/>
          <w:sz w:val="24"/>
          <w:szCs w:val="24"/>
          <w:lang w:eastAsia="zh-CN"/>
        </w:rPr>
        <w:t>《中华人民共和国民法典》</w:t>
      </w:r>
      <w:r>
        <w:rPr>
          <w:rFonts w:hint="eastAsia"/>
          <w:sz w:val="24"/>
          <w:szCs w:val="24"/>
        </w:rPr>
        <w:t>《中华人民共和国政府采购法》《中华人民共和国政府采购法实施条例》《政府采购货物和服务招标投标管理办法》</w:t>
      </w:r>
      <w:r>
        <w:rPr>
          <w:rFonts w:hint="eastAsia"/>
          <w:sz w:val="24"/>
          <w:szCs w:val="24"/>
          <w:lang w:eastAsia="zh-CN"/>
        </w:rPr>
        <w:t>(</w:t>
      </w:r>
      <w:r>
        <w:rPr>
          <w:rFonts w:hint="eastAsia"/>
          <w:sz w:val="24"/>
          <w:szCs w:val="24"/>
        </w:rPr>
        <w:t>财政部令第</w:t>
      </w:r>
      <w:r>
        <w:rPr>
          <w:rFonts w:hint="eastAsia"/>
          <w:sz w:val="24"/>
          <w:szCs w:val="24"/>
          <w:lang w:val="en-US" w:eastAsia="zh-CN"/>
        </w:rPr>
        <w:t>87</w:t>
      </w:r>
      <w:r>
        <w:rPr>
          <w:rFonts w:hint="eastAsia"/>
          <w:sz w:val="24"/>
          <w:szCs w:val="24"/>
        </w:rPr>
        <w:t>号</w:t>
      </w:r>
      <w:r>
        <w:rPr>
          <w:rFonts w:hint="eastAsia"/>
          <w:sz w:val="24"/>
          <w:szCs w:val="24"/>
          <w:lang w:eastAsia="zh-CN"/>
        </w:rPr>
        <w:t>)</w:t>
      </w:r>
      <w:r>
        <w:rPr>
          <w:rFonts w:hint="eastAsia"/>
          <w:sz w:val="24"/>
          <w:szCs w:val="24"/>
        </w:rPr>
        <w:t>及</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lang w:eastAsia="zh-CN"/>
        </w:rPr>
        <w:t>(</w:t>
      </w:r>
      <w:r>
        <w:rPr>
          <w:rFonts w:hint="eastAsia"/>
          <w:sz w:val="24"/>
          <w:szCs w:val="24"/>
        </w:rPr>
        <w:t>采购项目的名称</w:t>
      </w:r>
      <w:r>
        <w:rPr>
          <w:rFonts w:hint="eastAsia"/>
          <w:sz w:val="24"/>
          <w:szCs w:val="24"/>
          <w:lang w:eastAsia="zh-CN"/>
        </w:rPr>
        <w:t>)、</w:t>
      </w:r>
      <w:r>
        <w:rPr>
          <w:rFonts w:hint="eastAsia"/>
          <w:sz w:val="24"/>
          <w:szCs w:val="24"/>
        </w:rPr>
        <w:t>项目编号</w:t>
      </w:r>
      <w:r>
        <w:rPr>
          <w:rFonts w:hint="eastAsia"/>
          <w:sz w:val="24"/>
          <w:szCs w:val="24"/>
          <w:u w:val="single"/>
        </w:rPr>
        <w:t>：</w:t>
      </w:r>
      <w:r>
        <w:rPr>
          <w:rFonts w:hint="eastAsia"/>
          <w:sz w:val="24"/>
          <w:szCs w:val="24"/>
          <w:u w:val="single"/>
          <w:lang w:val="en-US" w:eastAsia="zh-CN"/>
        </w:rPr>
        <w:t xml:space="preserve">       </w:t>
      </w:r>
      <w:r>
        <w:rPr>
          <w:rFonts w:hint="eastAsia"/>
          <w:sz w:val="24"/>
          <w:szCs w:val="24"/>
          <w:lang w:val="en-US" w:eastAsia="zh-CN"/>
        </w:rPr>
        <w:t>(采购项目的编号</w:t>
      </w:r>
      <w:r>
        <w:rPr>
          <w:rFonts w:hint="eastAsia"/>
          <w:sz w:val="24"/>
          <w:szCs w:val="24"/>
        </w:rPr>
        <w:t>)的《招标文件》、乙方的《投标文件》及《中标通知书》，甲、乙双方同意签订本合同。详细技术说明及其他有关合同项目的特定信息由合同附件予以说明，合同附件及本项目的</w:t>
      </w:r>
      <w:r>
        <w:rPr>
          <w:rFonts w:hint="eastAsia"/>
          <w:sz w:val="24"/>
          <w:szCs w:val="24"/>
          <w:lang w:val="en-US" w:eastAsia="zh-CN"/>
        </w:rPr>
        <w:t>招标</w:t>
      </w:r>
      <w:r>
        <w:rPr>
          <w:rFonts w:hint="eastAsia"/>
          <w:sz w:val="24"/>
          <w:szCs w:val="24"/>
        </w:rPr>
        <w:t>文件、投标文件、《中标通知书》等均为本合同不可分割的部分。双方同意共同遵守如下条款</w:t>
      </w:r>
      <w:r>
        <w:rPr>
          <w:rFonts w:hint="eastAsia" w:ascii="宋体" w:hAnsi="宋体" w:eastAsia="宋体" w:cs="宋体"/>
          <w:color w:val="auto"/>
          <w:sz w:val="24"/>
          <w:szCs w:val="24"/>
        </w:rPr>
        <w:t>：</w:t>
      </w:r>
    </w:p>
    <w:p w14:paraId="5E1B8943">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0" w:name="_Toc22997"/>
      <w:bookmarkStart w:id="1" w:name="_Toc13846"/>
      <w:r>
        <w:rPr>
          <w:rFonts w:hint="eastAsia" w:ascii="宋体" w:hAnsi="宋体" w:eastAsia="宋体" w:cs="宋体"/>
          <w:sz w:val="24"/>
          <w:szCs w:val="24"/>
        </w:rPr>
        <w:t>项目基本情况</w:t>
      </w:r>
      <w:bookmarkEnd w:id="0"/>
      <w:bookmarkEnd w:id="1"/>
    </w:p>
    <w:p w14:paraId="43185904">
      <w:pPr>
        <w:pStyle w:val="9"/>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为保证</w:t>
      </w:r>
      <w:bookmarkStart w:id="72" w:name="_GoBack"/>
      <w:bookmarkEnd w:id="72"/>
      <w:r>
        <w:rPr>
          <w:rFonts w:hint="eastAsia" w:cs="宋体"/>
          <w:sz w:val="24"/>
          <w:szCs w:val="24"/>
          <w:highlight w:val="none"/>
          <w:lang w:val="en-US" w:eastAsia="zh-CN"/>
        </w:rPr>
        <w:t>成都市棕北中学西区实验学校</w:t>
      </w:r>
      <w:r>
        <w:rPr>
          <w:rFonts w:hint="eastAsia" w:ascii="宋体" w:hAnsi="宋体" w:eastAsia="宋体" w:cs="宋体"/>
          <w:sz w:val="24"/>
          <w:szCs w:val="24"/>
          <w:highlight w:val="none"/>
          <w:lang w:val="en-US" w:eastAsia="zh-CN"/>
        </w:rPr>
        <w:t>食品原料的卫生安全、提高原材料的采购质量，确保教师就餐的安全、营养，使教师的健康和人身安全得到保障。</w:t>
      </w:r>
    </w:p>
    <w:p w14:paraId="2250324A">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highlight w:val="none"/>
        </w:rPr>
      </w:pPr>
      <w:bookmarkStart w:id="2" w:name="_Toc17136"/>
      <w:bookmarkStart w:id="3" w:name="_Toc4344"/>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履行</w:t>
      </w:r>
      <w:bookmarkEnd w:id="2"/>
      <w:bookmarkEnd w:id="3"/>
    </w:p>
    <w:p w14:paraId="13D1F89A">
      <w:pPr>
        <w:pStyle w:val="9"/>
        <w:keepNext w:val="0"/>
        <w:keepLines w:val="0"/>
        <w:pageBreakBefore w:val="0"/>
        <w:widowControl w:val="0"/>
        <w:numPr>
          <w:ilvl w:val="1"/>
          <w:numId w:val="4"/>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服务</w:t>
      </w:r>
      <w:r>
        <w:rPr>
          <w:rFonts w:hint="eastAsia" w:ascii="宋体" w:hAnsi="宋体" w:eastAsia="宋体" w:cs="宋体"/>
          <w:sz w:val="24"/>
          <w:szCs w:val="24"/>
          <w:highlight w:val="none"/>
          <w:lang w:val="en-US" w:eastAsia="zh-CN"/>
        </w:rPr>
        <w:t>期限：采购合同签订生效后</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年。</w:t>
      </w:r>
    </w:p>
    <w:p w14:paraId="6C098C05">
      <w:pPr>
        <w:pStyle w:val="9"/>
        <w:keepNext w:val="0"/>
        <w:keepLines w:val="0"/>
        <w:pageBreakBefore w:val="0"/>
        <w:widowControl w:val="0"/>
        <w:numPr>
          <w:ilvl w:val="1"/>
          <w:numId w:val="4"/>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服务</w:t>
      </w:r>
      <w:r>
        <w:rPr>
          <w:rFonts w:hint="eastAsia" w:ascii="宋体" w:hAnsi="宋体" w:eastAsia="宋体" w:cs="宋体"/>
          <w:sz w:val="24"/>
          <w:szCs w:val="24"/>
          <w:highlight w:val="none"/>
          <w:lang w:val="en-US" w:eastAsia="zh-CN"/>
        </w:rPr>
        <w:t>地点：</w:t>
      </w:r>
      <w:r>
        <w:rPr>
          <w:rFonts w:hint="eastAsia" w:cs="宋体"/>
          <w:sz w:val="24"/>
          <w:szCs w:val="24"/>
          <w:highlight w:val="none"/>
          <w:lang w:val="en-US" w:eastAsia="zh-CN"/>
        </w:rPr>
        <w:t>成都市棕北中学西区实验学校。</w:t>
      </w:r>
    </w:p>
    <w:p w14:paraId="4262A111">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lang w:val="en-US" w:eastAsia="zh-CN"/>
        </w:rPr>
      </w:pPr>
      <w:bookmarkStart w:id="4" w:name="_Toc17749"/>
      <w:bookmarkStart w:id="5" w:name="_Toc26327"/>
      <w:bookmarkStart w:id="6" w:name="_Toc211911348"/>
      <w:bookmarkStart w:id="7" w:name="_Toc212019594"/>
      <w:bookmarkStart w:id="8" w:name="_Toc241833903"/>
      <w:bookmarkStart w:id="9" w:name="_Toc211854449"/>
      <w:bookmarkStart w:id="10" w:name="_Toc286993786"/>
      <w:bookmarkStart w:id="11" w:name="_Toc238984975"/>
      <w:bookmarkStart w:id="12" w:name="_Toc185395249"/>
      <w:bookmarkStart w:id="13" w:name="_Toc239568418"/>
      <w:bookmarkStart w:id="14" w:name="_Toc225670751"/>
      <w:bookmarkStart w:id="15" w:name="_Toc237145406"/>
      <w:bookmarkStart w:id="16" w:name="_Toc247334841"/>
      <w:bookmarkStart w:id="17" w:name="_Toc283019214"/>
      <w:bookmarkStart w:id="18" w:name="_Toc225244852"/>
      <w:bookmarkStart w:id="19" w:name="_Toc251768862"/>
      <w:bookmarkStart w:id="20" w:name="_Toc282696226"/>
      <w:bookmarkStart w:id="21" w:name="_Toc239233914"/>
      <w:bookmarkStart w:id="22" w:name="_Toc232492928"/>
      <w:bookmarkStart w:id="23" w:name="_Toc225654644"/>
      <w:r>
        <w:rPr>
          <w:rFonts w:hint="eastAsia" w:ascii="宋体" w:hAnsi="宋体" w:eastAsia="宋体" w:cs="宋体"/>
          <w:sz w:val="24"/>
          <w:szCs w:val="24"/>
        </w:rPr>
        <w:t>质量标准</w:t>
      </w:r>
      <w:bookmarkEnd w:id="4"/>
      <w:bookmarkEnd w:id="5"/>
    </w:p>
    <w:p w14:paraId="35A0D9E5">
      <w:pPr>
        <w:pStyle w:val="9"/>
        <w:keepNext w:val="0"/>
        <w:keepLines w:val="0"/>
        <w:pageBreakBefore w:val="0"/>
        <w:widowControl w:val="0"/>
        <w:numPr>
          <w:ilvl w:val="1"/>
          <w:numId w:val="0"/>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详见</w:t>
      </w:r>
      <w:r>
        <w:rPr>
          <w:rFonts w:hint="eastAsia" w:cs="宋体"/>
          <w:sz w:val="24"/>
          <w:szCs w:val="24"/>
          <w:lang w:val="en-US" w:eastAsia="zh-CN"/>
        </w:rPr>
        <w:t>招标文件</w:t>
      </w:r>
      <w:r>
        <w:rPr>
          <w:rFonts w:hint="eastAsia" w:ascii="宋体" w:hAnsi="宋体" w:eastAsia="宋体" w:cs="宋体"/>
          <w:sz w:val="24"/>
          <w:szCs w:val="24"/>
          <w:lang w:val="en-US" w:eastAsia="zh-CN"/>
        </w:rPr>
        <w:t>及乙方</w:t>
      </w:r>
      <w:r>
        <w:rPr>
          <w:rFonts w:hint="eastAsia" w:cs="宋体"/>
          <w:sz w:val="24"/>
          <w:szCs w:val="24"/>
          <w:lang w:val="en-US" w:eastAsia="zh-CN"/>
        </w:rPr>
        <w:t>投标</w:t>
      </w:r>
      <w:r>
        <w:rPr>
          <w:rFonts w:hint="eastAsia" w:ascii="宋体" w:hAnsi="宋体" w:eastAsia="宋体" w:cs="宋体"/>
          <w:sz w:val="24"/>
          <w:szCs w:val="24"/>
          <w:lang w:val="en-US" w:eastAsia="zh-CN"/>
        </w:rPr>
        <w:t>文件。</w:t>
      </w:r>
    </w:p>
    <w:p w14:paraId="6E2DB2EF">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lang w:val="en-US" w:eastAsia="zh-CN"/>
        </w:rPr>
      </w:pPr>
      <w:bookmarkStart w:id="24" w:name="_Toc21593"/>
      <w:bookmarkStart w:id="25" w:name="_Toc16558"/>
      <w:r>
        <w:rPr>
          <w:rFonts w:hint="eastAsia" w:ascii="宋体" w:hAnsi="宋体" w:eastAsia="宋体" w:cs="宋体"/>
          <w:sz w:val="24"/>
          <w:szCs w:val="24"/>
          <w:lang w:val="en-US" w:eastAsia="zh-CN"/>
        </w:rPr>
        <w:t>验收要求</w:t>
      </w:r>
      <w:bookmarkEnd w:id="24"/>
      <w:bookmarkEnd w:id="25"/>
    </w:p>
    <w:p w14:paraId="488BA11F">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(1)验收主体：甲方</w:t>
      </w:r>
    </w:p>
    <w:p w14:paraId="48C75ECB">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(2)验收组织方式：自行验收；</w:t>
      </w:r>
    </w:p>
    <w:p w14:paraId="47B8F6C7">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(3)是否邀请本项目其他供应商：否；</w:t>
      </w:r>
    </w:p>
    <w:p w14:paraId="42B60597">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(4)是否邀请专家：否；</w:t>
      </w:r>
    </w:p>
    <w:p w14:paraId="162043FD">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(5)是否邀请服务对象：否；</w:t>
      </w:r>
    </w:p>
    <w:p w14:paraId="5012E253">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(6)是否邀请第三方检测机构：否；</w:t>
      </w:r>
    </w:p>
    <w:p w14:paraId="31FE4F77">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(7)验收程序：分段性验收；</w:t>
      </w:r>
    </w:p>
    <w:p w14:paraId="07A440CC">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验收条件说明：每次到货后，甲方将及时安排验收员按照订购食材的品名规格、产地、数量、包装、生产日期、保质期、检验(检疫)报告之规定进行初步验收,甲方业务管理人、食堂服务承包方及乙方送货人三方签字确认。物资验收时若发现送货数量与订货数量不相符，甲方有权根据实际情况决定是否进行验收。一般情况下，乙方所送物资超过甲方订单数时，超过10%以上的部分甲方可不验收；乙方所送物资低于甲方订单数时，低于10%以上的部分乙方应负责及时补足。如食材不符合合同及订单要求的,乙方应按照甲方要求及时调整更换,甲方也可以拒绝接收。</w:t>
      </w:r>
    </w:p>
    <w:p w14:paraId="39E415C2">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(9)技术验收内容：</w:t>
      </w:r>
    </w:p>
    <w:p w14:paraId="4A17B256">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包括采购内容、项目要求、商务条件、售后服务等涉及本项目的所有内容。</w:t>
      </w:r>
    </w:p>
    <w:p w14:paraId="386C04BD">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(10)商务验收内容：</w:t>
      </w:r>
    </w:p>
    <w:p w14:paraId="6E2C906E">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(10.1)验收时如发现所提供的服务不符合标准及合同规定之情形者，甲方应做出详尽的现场记录，或由甲乙双方签署备忘录，此现场记录或备忘录可用作补充、缺失和整改的有效证据，由此产生的时间延误与有关费用由乙方承担，验收期限相应顺延；</w:t>
      </w:r>
    </w:p>
    <w:p w14:paraId="397604C8">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(10.2)如验收合格，双方签署验收报告；</w:t>
      </w:r>
    </w:p>
    <w:p w14:paraId="52B7EF28">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(10.3)项目验收结果合格的，乙方凭《验收报告》办理相关手续；验收不合格且拒不整改的，将不予支付采购资金； </w:t>
      </w:r>
    </w:p>
    <w:p w14:paraId="70ACD9BA">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(11)验收标准：</w:t>
      </w:r>
    </w:p>
    <w:p w14:paraId="2A0BA7F1">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国家有关规定以及采购文件的质量要求和技术指标(包括每一项技术和商务要求的履约情况)、乙方的响应文件及承诺与本合同约定标准进行验收；甲乙双方如对质量要求和技术指标的约定标准有相互抵触或异议的事项，由甲方在国家有关规定、采购文件、响应文件及承诺与采购合同约定中按质量要求和技术指标比较优胜的原则确定该项的约定标准进行验收；</w:t>
      </w:r>
    </w:p>
    <w:p w14:paraId="79D01472">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(12)履约验收其他事项：</w:t>
      </w:r>
    </w:p>
    <w:p w14:paraId="7885A055">
      <w:pPr>
        <w:pStyle w:val="10"/>
        <w:keepNext w:val="0"/>
        <w:keepLines w:val="0"/>
        <w:pageBreakBefore w:val="0"/>
        <w:widowControl w:val="0"/>
        <w:numPr>
          <w:ilvl w:val="-1"/>
          <w:numId w:val="0"/>
        </w:numPr>
        <w:kinsoku/>
        <w:overflow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其他未尽事宜按照《财政部关于进一步加强政府采购需求和履约验收管理的指导意见》(财库〔2016〕205号)、《政府采购需求管理办法》(财库〔2021〕22 号)及</w:t>
      </w:r>
      <w:r>
        <w:rPr>
          <w:rFonts w:hint="eastAsia" w:cs="宋体"/>
          <w:sz w:val="24"/>
          <w:szCs w:val="24"/>
          <w:lang w:val="en-US" w:eastAsia="zh-CN"/>
        </w:rPr>
        <w:t>招标</w:t>
      </w:r>
      <w:r>
        <w:rPr>
          <w:rFonts w:hint="eastAsia" w:ascii="宋体" w:hAnsi="宋体" w:eastAsia="宋体" w:cs="宋体"/>
          <w:sz w:val="24"/>
          <w:szCs w:val="24"/>
          <w:lang w:val="en-US" w:eastAsia="zh-CN"/>
        </w:rPr>
        <w:t>文件、乙方的</w:t>
      </w:r>
      <w:r>
        <w:rPr>
          <w:rFonts w:hint="eastAsia" w:cs="宋体"/>
          <w:sz w:val="24"/>
          <w:szCs w:val="24"/>
          <w:lang w:val="en-US" w:eastAsia="zh-CN"/>
        </w:rPr>
        <w:t>投标</w:t>
      </w:r>
      <w:r>
        <w:rPr>
          <w:rFonts w:hint="eastAsia" w:ascii="宋体" w:hAnsi="宋体" w:eastAsia="宋体" w:cs="宋体"/>
          <w:sz w:val="24"/>
          <w:szCs w:val="24"/>
          <w:lang w:val="en-US" w:eastAsia="zh-CN"/>
        </w:rPr>
        <w:t>文件及承诺以及合同约定标准进行验收。</w:t>
      </w:r>
    </w:p>
    <w:p w14:paraId="05DF2534">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26" w:name="_Toc951"/>
      <w:bookmarkStart w:id="27" w:name="_Toc1910"/>
      <w:r>
        <w:rPr>
          <w:rFonts w:hint="eastAsia" w:ascii="宋体" w:hAnsi="宋体" w:eastAsia="宋体" w:cs="宋体"/>
          <w:sz w:val="24"/>
          <w:szCs w:val="24"/>
          <w:lang w:val="en-US" w:eastAsia="zh-CN"/>
        </w:rPr>
        <w:t>合同价款</w:t>
      </w:r>
      <w:r>
        <w:rPr>
          <w:rFonts w:hint="eastAsia" w:ascii="宋体" w:hAnsi="宋体" w:eastAsia="宋体" w:cs="宋体"/>
          <w:sz w:val="24"/>
          <w:szCs w:val="24"/>
        </w:rPr>
        <w:t>及</w:t>
      </w:r>
      <w:bookmarkEnd w:id="26"/>
      <w:r>
        <w:rPr>
          <w:rFonts w:hint="eastAsia" w:ascii="宋体" w:hAnsi="宋体" w:eastAsia="宋体" w:cs="宋体"/>
          <w:sz w:val="24"/>
          <w:szCs w:val="24"/>
          <w:lang w:val="en-US" w:eastAsia="zh-CN"/>
        </w:rPr>
        <w:t>资金支付方式、时间、条件</w:t>
      </w:r>
      <w:bookmarkEnd w:id="27"/>
    </w:p>
    <w:p w14:paraId="3ACD026D">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合同价是供应商响应</w:t>
      </w:r>
      <w:r>
        <w:rPr>
          <w:rFonts w:hint="eastAsia" w:ascii="宋体" w:hAnsi="宋体" w:eastAsia="宋体" w:cs="宋体"/>
          <w:sz w:val="24"/>
          <w:szCs w:val="24"/>
          <w:lang w:val="en-US" w:eastAsia="zh-CN"/>
        </w:rPr>
        <w:t>采购</w:t>
      </w:r>
      <w:r>
        <w:rPr>
          <w:rFonts w:hint="eastAsia" w:ascii="宋体" w:hAnsi="宋体" w:eastAsia="宋体" w:cs="宋体"/>
          <w:sz w:val="24"/>
          <w:szCs w:val="24"/>
        </w:rPr>
        <w:t>项目要求的全部工作内容的价格体现，包含完成本项目所涉及人员劳务、差旅、设备投入、原材料采购、运输、冷藏、二次搬运、保险、风险、税金、利润、招标代理服务费以及</w:t>
      </w:r>
      <w:r>
        <w:rPr>
          <w:rFonts w:hint="eastAsia" w:ascii="宋体" w:hAnsi="宋体" w:eastAsia="宋体" w:cs="宋体"/>
          <w:sz w:val="24"/>
          <w:szCs w:val="24"/>
          <w:lang w:val="en-US" w:eastAsia="zh-CN"/>
        </w:rPr>
        <w:t>招标</w:t>
      </w:r>
      <w:r>
        <w:rPr>
          <w:rFonts w:hint="eastAsia" w:ascii="宋体" w:hAnsi="宋体" w:eastAsia="宋体" w:cs="宋体"/>
          <w:sz w:val="24"/>
          <w:szCs w:val="24"/>
        </w:rPr>
        <w:t>文件规定的一切费用。</w:t>
      </w:r>
    </w:p>
    <w:p w14:paraId="28BBF632">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(1)</w:t>
      </w:r>
      <w:r>
        <w:rPr>
          <w:rFonts w:hint="eastAsia" w:ascii="宋体" w:hAnsi="宋体" w:eastAsia="宋体" w:cs="宋体"/>
          <w:color w:val="auto"/>
          <w:sz w:val="24"/>
          <w:szCs w:val="24"/>
          <w:highlight w:val="none"/>
          <w:lang w:val="en-US" w:eastAsia="zh-CN"/>
        </w:rPr>
        <w:t>结算率：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0A8F2F44">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eastAsia="zh-CN"/>
        </w:rPr>
        <w:t>)由</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与</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eastAsia="zh-CN"/>
        </w:rPr>
        <w:t>在月末按规定据实结算。</w:t>
      </w:r>
    </w:p>
    <w:p w14:paraId="1C649A81">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eastAsia="zh-CN"/>
        </w:rPr>
        <w:t>)对于满足采购合同约定资金支付条件的，</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应当自收到</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eastAsia="zh-CN"/>
        </w:rPr>
        <w:t>发票后10个工作日内将资金支付到合同约定的供应商账户。</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不得以机构变动、人员更替、内部程序、政策调整、单位放假等为由延迟付款，不得将磋商文件和合同中未规定的义务作为向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eastAsia="zh-CN"/>
        </w:rPr>
        <w:t>付款的条件。</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无故拒绝或者延迟支付采购合同款项的，应当依照采购合同约定承担违约责任。</w:t>
      </w:r>
    </w:p>
    <w:p w14:paraId="3B50EF70">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zh-CN" w:eastAsia="zh-CN"/>
        </w:rPr>
        <w:t>)每次付款前，</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eastAsia="zh-CN"/>
        </w:rPr>
        <w:t>须向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出具合法有效完整的增值税发票及凭证资料后进行支付结算，付款方式均采用公对公的银行转账，</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接受转账的开户信息以合同载明的为准。如因</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eastAsia="zh-CN"/>
        </w:rPr>
        <w:t>未按照要求提供合法有效的发票导致逾期付款的，不视为</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违约，</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val="zh-CN" w:eastAsia="zh-CN"/>
        </w:rPr>
        <w:t>不承担任何责任。</w:t>
      </w:r>
    </w:p>
    <w:p w14:paraId="24BDA735">
      <w:pPr>
        <w:keepNext w:val="0"/>
        <w:keepLines w:val="0"/>
        <w:pageBreakBefore w:val="0"/>
        <w:widowControl w:val="0"/>
        <w:tabs>
          <w:tab w:val="left" w:pos="0"/>
        </w:tabs>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napToGrid w:val="0"/>
          <w:color w:val="auto"/>
          <w:kern w:val="2"/>
          <w:sz w:val="24"/>
          <w:szCs w:val="24"/>
          <w:highlight w:val="none"/>
          <w:u w:val="none"/>
          <w:lang w:val="en-US" w:eastAsia="zh-CN" w:bidi="ar-SA"/>
        </w:rPr>
      </w:pPr>
      <w:r>
        <w:rPr>
          <w:rFonts w:hint="eastAsia" w:ascii="宋体" w:hAnsi="宋体" w:eastAsia="宋体" w:cs="宋体"/>
          <w:snapToGrid w:val="0"/>
          <w:color w:val="auto"/>
          <w:kern w:val="2"/>
          <w:sz w:val="24"/>
          <w:szCs w:val="24"/>
          <w:highlight w:val="none"/>
          <w:u w:val="none"/>
          <w:lang w:val="en-US" w:eastAsia="zh-CN" w:bidi="ar-SA"/>
        </w:rPr>
        <w:t>账户名称：</w:t>
      </w:r>
      <w:r>
        <w:rPr>
          <w:rFonts w:hint="eastAsia" w:ascii="宋体" w:hAnsi="宋体" w:eastAsia="宋体" w:cs="宋体"/>
          <w:snapToGrid w:val="0"/>
          <w:color w:val="auto"/>
          <w:kern w:val="2"/>
          <w:sz w:val="24"/>
          <w:szCs w:val="24"/>
          <w:highlight w:val="none"/>
          <w:u w:val="single"/>
          <w:lang w:val="en-US" w:eastAsia="zh-CN" w:bidi="ar-SA"/>
        </w:rPr>
        <w:t xml:space="preserve">                  </w:t>
      </w:r>
    </w:p>
    <w:p w14:paraId="13E4999B">
      <w:pPr>
        <w:keepNext w:val="0"/>
        <w:keepLines w:val="0"/>
        <w:pageBreakBefore w:val="0"/>
        <w:widowControl w:val="0"/>
        <w:tabs>
          <w:tab w:val="left" w:pos="0"/>
        </w:tabs>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napToGrid w:val="0"/>
          <w:color w:val="auto"/>
          <w:kern w:val="2"/>
          <w:sz w:val="24"/>
          <w:szCs w:val="24"/>
          <w:highlight w:val="none"/>
          <w:u w:val="single"/>
          <w:lang w:val="en-US" w:eastAsia="zh-CN" w:bidi="ar-SA"/>
        </w:rPr>
      </w:pPr>
      <w:r>
        <w:rPr>
          <w:rFonts w:hint="eastAsia" w:ascii="宋体" w:hAnsi="宋体" w:eastAsia="宋体" w:cs="宋体"/>
          <w:snapToGrid w:val="0"/>
          <w:color w:val="auto"/>
          <w:kern w:val="2"/>
          <w:sz w:val="24"/>
          <w:szCs w:val="24"/>
          <w:highlight w:val="none"/>
          <w:u w:val="none"/>
          <w:lang w:val="en-US" w:eastAsia="zh-CN" w:bidi="ar-SA"/>
        </w:rPr>
        <w:t>开户银行：</w:t>
      </w:r>
      <w:r>
        <w:rPr>
          <w:rFonts w:hint="eastAsia" w:ascii="宋体" w:hAnsi="宋体" w:eastAsia="宋体" w:cs="宋体"/>
          <w:snapToGrid w:val="0"/>
          <w:color w:val="auto"/>
          <w:kern w:val="2"/>
          <w:sz w:val="24"/>
          <w:szCs w:val="24"/>
          <w:highlight w:val="none"/>
          <w:u w:val="single"/>
          <w:lang w:val="en-US" w:eastAsia="zh-CN" w:bidi="ar-SA"/>
        </w:rPr>
        <w:t xml:space="preserve">                  </w:t>
      </w:r>
    </w:p>
    <w:p w14:paraId="1D8A1DAD">
      <w:pPr>
        <w:keepNext w:val="0"/>
        <w:keepLines w:val="0"/>
        <w:pageBreakBefore w:val="0"/>
        <w:widowControl w:val="0"/>
        <w:tabs>
          <w:tab w:val="left" w:pos="0"/>
        </w:tabs>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napToGrid w:val="0"/>
          <w:color w:val="auto"/>
          <w:kern w:val="2"/>
          <w:sz w:val="24"/>
          <w:szCs w:val="24"/>
          <w:highlight w:val="none"/>
          <w:u w:val="single"/>
          <w:lang w:val="en-US" w:eastAsia="zh-CN" w:bidi="ar-SA"/>
        </w:rPr>
      </w:pPr>
      <w:r>
        <w:rPr>
          <w:rFonts w:hint="eastAsia" w:ascii="宋体" w:hAnsi="宋体" w:eastAsia="宋体" w:cs="宋体"/>
          <w:snapToGrid w:val="0"/>
          <w:color w:val="auto"/>
          <w:kern w:val="2"/>
          <w:sz w:val="24"/>
          <w:szCs w:val="24"/>
          <w:highlight w:val="none"/>
          <w:u w:val="none"/>
          <w:lang w:val="en-US" w:eastAsia="zh-CN" w:bidi="ar-SA"/>
        </w:rPr>
        <w:t>银行行号：</w:t>
      </w:r>
      <w:r>
        <w:rPr>
          <w:rFonts w:hint="eastAsia" w:ascii="宋体" w:hAnsi="宋体" w:eastAsia="宋体" w:cs="宋体"/>
          <w:snapToGrid w:val="0"/>
          <w:color w:val="auto"/>
          <w:kern w:val="2"/>
          <w:sz w:val="24"/>
          <w:szCs w:val="24"/>
          <w:highlight w:val="none"/>
          <w:u w:val="single"/>
          <w:lang w:val="en-US" w:eastAsia="zh-CN" w:bidi="ar-SA"/>
        </w:rPr>
        <w:t xml:space="preserve">                  </w:t>
      </w:r>
    </w:p>
    <w:p w14:paraId="04AF1708">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napToGrid w:val="0"/>
          <w:color w:val="auto"/>
          <w:kern w:val="2"/>
          <w:sz w:val="24"/>
          <w:szCs w:val="24"/>
          <w:highlight w:val="none"/>
          <w:u w:val="none"/>
          <w:lang w:val="en-US" w:eastAsia="zh-CN" w:bidi="ar-SA"/>
        </w:rPr>
        <w:t>银行账号：</w:t>
      </w:r>
      <w:r>
        <w:rPr>
          <w:rFonts w:hint="eastAsia" w:ascii="宋体" w:hAnsi="宋体" w:eastAsia="宋体" w:cs="宋体"/>
          <w:snapToGrid w:val="0"/>
          <w:color w:val="auto"/>
          <w:kern w:val="2"/>
          <w:sz w:val="24"/>
          <w:szCs w:val="24"/>
          <w:highlight w:val="none"/>
          <w:u w:val="single"/>
          <w:lang w:val="en-US" w:eastAsia="zh-CN" w:bidi="ar-SA"/>
        </w:rPr>
        <w:t xml:space="preserve">                  </w:t>
      </w:r>
    </w:p>
    <w:p w14:paraId="67F0A699">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b/>
          <w:bCs w:val="0"/>
          <w:color w:val="auto"/>
          <w:sz w:val="24"/>
          <w:szCs w:val="24"/>
        </w:rPr>
      </w:pPr>
      <w:bookmarkStart w:id="28" w:name="_Toc2590"/>
      <w:bookmarkStart w:id="29" w:name="_Toc22960"/>
      <w:r>
        <w:rPr>
          <w:rFonts w:hint="eastAsia" w:cs="宋体"/>
          <w:b/>
          <w:bCs w:val="0"/>
          <w:color w:val="auto"/>
          <w:sz w:val="24"/>
          <w:szCs w:val="24"/>
          <w:lang w:val="en-US" w:eastAsia="zh-CN"/>
        </w:rPr>
        <w:t>基准价</w:t>
      </w:r>
    </w:p>
    <w:p w14:paraId="2BB4D316">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基准价的确定：以成都市发改委官网、成都市城市居民生活价格服务公益平台、各区(市)县发改委官网能查到价格的食材，询价方式为线上询价，以最近一次公布的食材均价为食材基准价(按区域公布的计算本区域均价，未公布的区域按成都市城市居民生活价格服务公益平台均价)。线上无法询价的食材，询价方式为线下询价，以学校附近至少2个综合市场(农贸市场、大型商超等)相应食材当天均价作为食材基准价。上述情况均未涉及的食材，询价工作在牵头单位纪检、财务人员监督下，结合食材相关成本，商议讨论确定食材基准价。特价食材等明显低于市场价的食材价格不作为询价参考。无法确定食材基准价的食材应更换为同类便于询价议价的食材。</w:t>
      </w:r>
    </w:p>
    <w:p w14:paraId="379FE54E">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2.报价要求：本项目</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的报价均应按结算率进行报价，在实际结算时</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将按</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的结算率进行结算，即：实际结算单价＝基准价×(结算率)【例如：基准价20元/kg，报价的结算率为80%，结算单价：20元/kg×(80%)=16元/kg】。报价不得＞100%，否则视为无效</w:t>
      </w:r>
      <w:r>
        <w:rPr>
          <w:rFonts w:hint="eastAsia" w:ascii="宋体" w:hAnsi="宋体" w:eastAsia="宋体" w:cs="宋体"/>
          <w:b w:val="0"/>
          <w:bCs/>
          <w:color w:val="auto"/>
          <w:sz w:val="24"/>
          <w:szCs w:val="24"/>
          <w:lang w:val="en-US" w:eastAsia="zh-CN"/>
        </w:rPr>
        <w:t>投标</w:t>
      </w:r>
      <w:r>
        <w:rPr>
          <w:rFonts w:hint="eastAsia" w:ascii="宋体" w:hAnsi="宋体" w:eastAsia="宋体" w:cs="宋体"/>
          <w:b w:val="0"/>
          <w:bCs/>
          <w:color w:val="auto"/>
          <w:sz w:val="24"/>
          <w:szCs w:val="24"/>
        </w:rPr>
        <w:t>处理。</w:t>
      </w:r>
    </w:p>
    <w:p w14:paraId="59EB5148">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3.配送执行价格计算公式：实际结算价格＝基准价×(结算率)。</w:t>
      </w:r>
    </w:p>
    <w:p w14:paraId="7E1BAB83">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4.结算率的确定：以</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的结算率为准，若</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未按此要求与</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签订合同，则视为放弃</w:t>
      </w:r>
      <w:r>
        <w:rPr>
          <w:rFonts w:hint="eastAsia" w:ascii="宋体" w:hAnsi="宋体" w:eastAsia="宋体" w:cs="宋体"/>
          <w:b w:val="0"/>
          <w:bCs/>
          <w:color w:val="auto"/>
          <w:sz w:val="24"/>
          <w:szCs w:val="24"/>
          <w:lang w:eastAsia="zh-CN"/>
        </w:rPr>
        <w:t>中标</w:t>
      </w:r>
      <w:r>
        <w:rPr>
          <w:rFonts w:hint="eastAsia" w:ascii="宋体" w:hAnsi="宋体" w:eastAsia="宋体" w:cs="宋体"/>
          <w:b w:val="0"/>
          <w:bCs/>
          <w:color w:val="auto"/>
          <w:sz w:val="24"/>
          <w:szCs w:val="24"/>
        </w:rPr>
        <w:t>权利，</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有权按推荐</w:t>
      </w:r>
      <w:r>
        <w:rPr>
          <w:rFonts w:hint="eastAsia" w:ascii="宋体" w:hAnsi="宋体" w:eastAsia="宋体" w:cs="宋体"/>
          <w:b w:val="0"/>
          <w:bCs/>
          <w:color w:val="auto"/>
          <w:sz w:val="24"/>
          <w:szCs w:val="24"/>
          <w:lang w:eastAsia="zh-CN"/>
        </w:rPr>
        <w:t>中标</w:t>
      </w:r>
      <w:r>
        <w:rPr>
          <w:rFonts w:hint="eastAsia" w:ascii="宋体" w:hAnsi="宋体" w:eastAsia="宋体" w:cs="宋体"/>
          <w:b w:val="0"/>
          <w:bCs/>
          <w:color w:val="auto"/>
          <w:sz w:val="24"/>
          <w:szCs w:val="24"/>
        </w:rPr>
        <w:t>候选人顺序与下一顺位供应商签订合同。</w:t>
      </w:r>
    </w:p>
    <w:p w14:paraId="4C9146BD">
      <w:pPr>
        <w:pStyle w:val="7"/>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按照不低于采购预算10%的比例预留采购份额，通过脱贫地区农副产品网络销售平台为</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代购脱贫地区农副产品，</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按平台价格支付给</w:t>
      </w:r>
      <w:r>
        <w:rPr>
          <w:rFonts w:hint="eastAsia" w:ascii="宋体" w:hAnsi="宋体" w:eastAsia="宋体" w:cs="宋体"/>
          <w:b w:val="0"/>
          <w:bCs/>
          <w:color w:val="auto"/>
          <w:sz w:val="24"/>
          <w:szCs w:val="24"/>
          <w:lang w:val="en-US" w:eastAsia="zh-CN"/>
        </w:rPr>
        <w:t>乙方</w:t>
      </w:r>
      <w:r>
        <w:rPr>
          <w:rFonts w:hint="eastAsia" w:ascii="宋体" w:hAnsi="宋体" w:eastAsia="宋体" w:cs="宋体"/>
          <w:b w:val="0"/>
          <w:bCs/>
          <w:color w:val="auto"/>
          <w:sz w:val="24"/>
          <w:szCs w:val="24"/>
        </w:rPr>
        <w:t>。脱贫地区农副产品是指在832个脱贫县域内注册的企业、农民专业合作社、家庭农场等出产的农副产品，具体食材品类由</w:t>
      </w:r>
      <w:r>
        <w:rPr>
          <w:rFonts w:hint="eastAsia" w:ascii="宋体" w:hAnsi="宋体" w:eastAsia="宋体" w:cs="宋体"/>
          <w:b w:val="0"/>
          <w:bCs/>
          <w:color w:val="auto"/>
          <w:sz w:val="24"/>
          <w:szCs w:val="24"/>
          <w:lang w:val="en-US" w:eastAsia="zh-CN"/>
        </w:rPr>
        <w:t>甲方</w:t>
      </w:r>
      <w:r>
        <w:rPr>
          <w:rFonts w:hint="eastAsia" w:ascii="宋体" w:hAnsi="宋体" w:eastAsia="宋体" w:cs="宋体"/>
          <w:b w:val="0"/>
          <w:bCs/>
          <w:color w:val="auto"/>
          <w:sz w:val="24"/>
          <w:szCs w:val="24"/>
        </w:rPr>
        <w:t>确定。</w:t>
      </w:r>
    </w:p>
    <w:p w14:paraId="3D12EBA4">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履约保证金</w:t>
      </w:r>
      <w:bookmarkEnd w:id="28"/>
      <w:bookmarkEnd w:id="29"/>
    </w:p>
    <w:p w14:paraId="3F2488BB">
      <w:pPr>
        <w:pStyle w:val="9"/>
        <w:keepNext w:val="0"/>
        <w:keepLines w:val="0"/>
        <w:pageBreakBefore w:val="0"/>
        <w:widowControl w:val="0"/>
        <w:numPr>
          <w:ilvl w:val="1"/>
          <w:numId w:val="5"/>
        </w:numPr>
        <w:kinsoku/>
        <w:overflowPunct/>
        <w:autoSpaceDE/>
        <w:autoSpaceDN/>
        <w:bidi w:val="0"/>
        <w:spacing w:line="520" w:lineRule="exact"/>
        <w:ind w:left="0" w:leftChars="0"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bCs/>
          <w:color w:val="auto"/>
          <w:kern w:val="0"/>
          <w:sz w:val="24"/>
          <w:szCs w:val="24"/>
          <w:highlight w:val="none"/>
        </w:rPr>
        <w:t>应向</w:t>
      </w:r>
      <w:r>
        <w:rPr>
          <w:rFonts w:hint="eastAsia" w:ascii="宋体" w:hAnsi="宋体" w:eastAsia="宋体" w:cs="宋体"/>
          <w:bCs/>
          <w:color w:val="auto"/>
          <w:kern w:val="0"/>
          <w:sz w:val="24"/>
          <w:szCs w:val="24"/>
          <w:highlight w:val="none"/>
          <w:lang w:val="en-US" w:eastAsia="zh-CN"/>
        </w:rPr>
        <w:t>甲方</w:t>
      </w:r>
      <w:r>
        <w:rPr>
          <w:rFonts w:hint="eastAsia" w:ascii="宋体" w:hAnsi="宋体" w:eastAsia="宋体" w:cs="宋体"/>
          <w:bCs/>
          <w:color w:val="auto"/>
          <w:kern w:val="0"/>
          <w:sz w:val="24"/>
          <w:szCs w:val="24"/>
          <w:highlight w:val="none"/>
        </w:rPr>
        <w:t>支付</w:t>
      </w:r>
      <w:r>
        <w:rPr>
          <w:rFonts w:hint="eastAsia" w:ascii="宋体" w:hAnsi="宋体" w:eastAsia="宋体" w:cs="宋体"/>
          <w:bCs/>
          <w:color w:val="auto"/>
          <w:kern w:val="0"/>
          <w:sz w:val="24"/>
          <w:szCs w:val="24"/>
          <w:highlight w:val="none"/>
          <w:lang w:val="en-US" w:eastAsia="zh-CN"/>
        </w:rPr>
        <w:t>采购合同</w:t>
      </w:r>
      <w:r>
        <w:rPr>
          <w:rFonts w:hint="eastAsia" w:ascii="宋体" w:hAnsi="宋体" w:eastAsia="宋体" w:cs="宋体"/>
          <w:bCs/>
          <w:color w:val="auto"/>
          <w:kern w:val="0"/>
          <w:sz w:val="24"/>
          <w:szCs w:val="24"/>
          <w:highlight w:val="none"/>
        </w:rPr>
        <w:t>金额</w:t>
      </w:r>
      <w:r>
        <w:rPr>
          <w:rFonts w:hint="eastAsia" w:ascii="宋体" w:hAnsi="宋体" w:eastAsia="宋体" w:cs="宋体"/>
          <w:bCs/>
          <w:color w:val="auto"/>
          <w:kern w:val="0"/>
          <w:sz w:val="24"/>
          <w:szCs w:val="24"/>
          <w:highlight w:val="none"/>
          <w:lang w:val="en-US" w:eastAsia="zh-CN"/>
        </w:rPr>
        <w:t>的</w:t>
      </w:r>
      <w:r>
        <w:rPr>
          <w:rFonts w:hint="eastAsia" w:ascii="宋体" w:hAnsi="宋体" w:eastAsia="宋体" w:cs="宋体"/>
          <w:bCs/>
          <w:color w:val="auto"/>
          <w:kern w:val="0"/>
          <w:sz w:val="24"/>
          <w:szCs w:val="24"/>
          <w:highlight w:val="none"/>
        </w:rPr>
        <w:t>5%</w:t>
      </w:r>
      <w:r>
        <w:rPr>
          <w:rFonts w:hint="eastAsia" w:ascii="宋体" w:hAnsi="宋体" w:eastAsia="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元(大写：人民币</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整)作为履约保证金。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未能履行合同约定的部分或全部义务，</w:t>
      </w:r>
      <w:r>
        <w:rPr>
          <w:rFonts w:hint="eastAsia" w:ascii="宋体" w:hAnsi="宋体" w:eastAsia="宋体" w:cs="宋体"/>
          <w:bCs/>
          <w:color w:val="auto"/>
          <w:kern w:val="0"/>
          <w:sz w:val="24"/>
          <w:szCs w:val="24"/>
          <w:highlight w:val="none"/>
          <w:lang w:val="en-US" w:eastAsia="zh-CN"/>
        </w:rPr>
        <w:t>甲方</w:t>
      </w:r>
      <w:r>
        <w:rPr>
          <w:rFonts w:hint="eastAsia" w:ascii="宋体" w:hAnsi="宋体" w:eastAsia="宋体" w:cs="宋体"/>
          <w:color w:val="auto"/>
          <w:sz w:val="24"/>
          <w:szCs w:val="24"/>
          <w:highlight w:val="none"/>
        </w:rPr>
        <w:t>根据配送产品质量和服务考核对履约保证金进行部分扣除或全部扣除</w:t>
      </w:r>
      <w:r>
        <w:rPr>
          <w:rFonts w:hint="eastAsia" w:ascii="宋体" w:hAnsi="宋体" w:eastAsia="宋体" w:cs="宋体"/>
          <w:bCs/>
          <w:color w:val="auto"/>
          <w:kern w:val="0"/>
          <w:sz w:val="24"/>
          <w:szCs w:val="24"/>
          <w:highlight w:val="none"/>
        </w:rPr>
        <w:t>。</w:t>
      </w:r>
    </w:p>
    <w:p w14:paraId="47A617ED">
      <w:pPr>
        <w:pStyle w:val="9"/>
        <w:keepNext w:val="0"/>
        <w:keepLines w:val="0"/>
        <w:pageBreakBefore w:val="0"/>
        <w:widowControl w:val="0"/>
        <w:numPr>
          <w:ilvl w:val="1"/>
          <w:numId w:val="5"/>
        </w:numPr>
        <w:kinsoku/>
        <w:overflowPunct/>
        <w:autoSpaceDE/>
        <w:autoSpaceDN/>
        <w:bidi w:val="0"/>
        <w:spacing w:line="520" w:lineRule="exact"/>
        <w:ind w:left="0" w:leftChars="0"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交款方式：</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93F3D01">
      <w:pPr>
        <w:pStyle w:val="9"/>
        <w:keepNext w:val="0"/>
        <w:keepLines w:val="0"/>
        <w:pageBreakBefore w:val="0"/>
        <w:widowControl w:val="0"/>
        <w:numPr>
          <w:ilvl w:val="1"/>
          <w:numId w:val="5"/>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bCs/>
          <w:color w:val="auto"/>
          <w:kern w:val="0"/>
          <w:sz w:val="24"/>
          <w:szCs w:val="24"/>
          <w:highlight w:val="none"/>
        </w:rPr>
        <w:t>收款单位：</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sz w:val="24"/>
          <w:szCs w:val="24"/>
        </w:rPr>
        <w:t>。</w:t>
      </w:r>
    </w:p>
    <w:p w14:paraId="46F8D2B5">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违约责任及退出机制</w:t>
      </w:r>
    </w:p>
    <w:p w14:paraId="546BF41C">
      <w:pPr>
        <w:pStyle w:val="13"/>
        <w:keepNext w:val="0"/>
        <w:keepLines w:val="0"/>
        <w:pageBreakBefore w:val="0"/>
        <w:widowControl w:val="0"/>
        <w:numPr>
          <w:ilvl w:val="2"/>
          <w:numId w:val="0"/>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详见</w:t>
      </w:r>
      <w:r>
        <w:rPr>
          <w:rFonts w:hint="eastAsia" w:cs="宋体"/>
          <w:sz w:val="24"/>
          <w:szCs w:val="24"/>
          <w:lang w:val="en-US" w:eastAsia="zh-CN"/>
        </w:rPr>
        <w:t>招标文件</w:t>
      </w:r>
      <w:r>
        <w:rPr>
          <w:rFonts w:hint="eastAsia" w:ascii="宋体" w:hAnsi="宋体" w:eastAsia="宋体" w:cs="宋体"/>
          <w:sz w:val="24"/>
          <w:szCs w:val="24"/>
          <w:lang w:val="en-US" w:eastAsia="zh-CN"/>
        </w:rPr>
        <w:t>及乙方</w:t>
      </w:r>
      <w:r>
        <w:rPr>
          <w:rFonts w:hint="eastAsia" w:cs="宋体"/>
          <w:sz w:val="24"/>
          <w:szCs w:val="24"/>
          <w:lang w:val="en-US" w:eastAsia="zh-CN"/>
        </w:rPr>
        <w:t>投标</w:t>
      </w:r>
      <w:r>
        <w:rPr>
          <w:rFonts w:hint="eastAsia" w:ascii="宋体" w:hAnsi="宋体" w:eastAsia="宋体" w:cs="宋体"/>
          <w:sz w:val="24"/>
          <w:szCs w:val="24"/>
          <w:lang w:val="en-US" w:eastAsia="zh-CN"/>
        </w:rPr>
        <w:t>文件</w:t>
      </w:r>
      <w:r>
        <w:rPr>
          <w:rFonts w:hint="eastAsia" w:ascii="宋体" w:hAnsi="宋体" w:eastAsia="宋体" w:cs="宋体"/>
          <w:sz w:val="24"/>
          <w:szCs w:val="24"/>
          <w:lang w:val="en-US"/>
        </w:rPr>
        <w:t>。</w:t>
      </w:r>
    </w:p>
    <w:p w14:paraId="544E1F75">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30" w:name="_Toc29369"/>
      <w:bookmarkStart w:id="31" w:name="_Toc22166"/>
      <w:r>
        <w:rPr>
          <w:rFonts w:hint="eastAsia" w:ascii="宋体" w:hAnsi="宋体" w:eastAsia="宋体" w:cs="宋体"/>
          <w:sz w:val="24"/>
          <w:szCs w:val="24"/>
        </w:rPr>
        <w:t>不可抗力事件处理</w:t>
      </w:r>
      <w:bookmarkEnd w:id="30"/>
      <w:bookmarkEnd w:id="31"/>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D9EAD95">
      <w:pPr>
        <w:pStyle w:val="3"/>
        <w:keepNext w:val="0"/>
        <w:keepLines w:val="0"/>
        <w:pageBreakBefore w:val="0"/>
        <w:widowControl w:val="0"/>
        <w:numPr>
          <w:ilvl w:val="1"/>
          <w:numId w:val="6"/>
        </w:numPr>
        <w:tabs>
          <w:tab w:val="left" w:pos="0"/>
        </w:tabs>
        <w:kinsoku/>
        <w:wordWrap w:val="0"/>
        <w:overflowPunct/>
        <w:topLinePunct/>
        <w:autoSpaceDE/>
        <w:autoSpaceDN/>
        <w:bidi w:val="0"/>
        <w:adjustRightInd/>
        <w:snapToGrid/>
        <w:spacing w:before="0" w:beforeAutospacing="0" w:after="0" w:afterAutospacing="0" w:line="520" w:lineRule="exact"/>
        <w:ind w:left="0" w:leftChars="0" w:firstLine="480" w:firstLineChars="200"/>
        <w:textAlignment w:val="auto"/>
        <w:rPr>
          <w:rFonts w:hint="eastAsia" w:ascii="宋体" w:hAnsi="宋体" w:eastAsia="宋体" w:cs="宋体"/>
          <w:kern w:val="2"/>
          <w:sz w:val="24"/>
          <w:szCs w:val="24"/>
          <w:lang w:bidi="ar"/>
        </w:rPr>
      </w:pPr>
      <w:bookmarkStart w:id="32" w:name="_Toc225244857"/>
      <w:bookmarkStart w:id="33" w:name="_Toc211854454"/>
      <w:bookmarkStart w:id="34" w:name="_Toc225670756"/>
      <w:bookmarkStart w:id="35" w:name="_Toc237145411"/>
      <w:bookmarkStart w:id="36" w:name="_Toc251768867"/>
      <w:bookmarkStart w:id="37" w:name="_Toc239568423"/>
      <w:bookmarkStart w:id="38" w:name="_Toc212019599"/>
      <w:bookmarkStart w:id="39" w:name="_Toc286993792"/>
      <w:bookmarkStart w:id="40" w:name="_Toc185395254"/>
      <w:bookmarkStart w:id="41" w:name="_Toc247334846"/>
      <w:bookmarkStart w:id="42" w:name="_Toc239233919"/>
      <w:bookmarkStart w:id="43" w:name="_Toc211911353"/>
      <w:bookmarkStart w:id="44" w:name="_Toc241833908"/>
      <w:bookmarkStart w:id="45" w:name="_Toc232492933"/>
      <w:bookmarkStart w:id="46" w:name="_Toc238984980"/>
      <w:bookmarkStart w:id="47" w:name="_Toc225654649"/>
      <w:r>
        <w:rPr>
          <w:rFonts w:hint="eastAsia" w:ascii="宋体" w:hAnsi="宋体" w:eastAsia="宋体" w:cs="宋体"/>
          <w:kern w:val="2"/>
          <w:sz w:val="24"/>
          <w:szCs w:val="24"/>
          <w:lang w:bidi="ar"/>
        </w:rPr>
        <w:t>在合同有效期内，任何一方因不可抗力事件导致不能履行合同，则合同履行期可延长，其延长期与不可抗力影响期相同。</w:t>
      </w:r>
    </w:p>
    <w:p w14:paraId="30B3BE11">
      <w:pPr>
        <w:pStyle w:val="3"/>
        <w:keepNext w:val="0"/>
        <w:keepLines w:val="0"/>
        <w:pageBreakBefore w:val="0"/>
        <w:widowControl w:val="0"/>
        <w:numPr>
          <w:ilvl w:val="1"/>
          <w:numId w:val="6"/>
        </w:numPr>
        <w:tabs>
          <w:tab w:val="left" w:pos="0"/>
        </w:tabs>
        <w:kinsoku/>
        <w:wordWrap w:val="0"/>
        <w:overflowPunct/>
        <w:topLinePunct/>
        <w:autoSpaceDE/>
        <w:autoSpaceDN/>
        <w:bidi w:val="0"/>
        <w:adjustRightInd/>
        <w:snapToGrid/>
        <w:spacing w:before="0" w:beforeAutospacing="0" w:after="0" w:afterAutospacing="0" w:line="520" w:lineRule="exact"/>
        <w:ind w:left="0" w:leftChars="0" w:firstLine="480" w:firstLineChars="200"/>
        <w:textAlignment w:val="auto"/>
        <w:rPr>
          <w:rFonts w:hint="eastAsia" w:ascii="宋体" w:hAnsi="宋体" w:eastAsia="宋体" w:cs="宋体"/>
          <w:kern w:val="2"/>
          <w:sz w:val="24"/>
          <w:szCs w:val="24"/>
          <w:lang w:bidi="ar"/>
        </w:rPr>
      </w:pPr>
      <w:r>
        <w:rPr>
          <w:rFonts w:hint="eastAsia" w:ascii="宋体" w:hAnsi="宋体" w:eastAsia="宋体" w:cs="宋体"/>
          <w:kern w:val="2"/>
          <w:sz w:val="24"/>
          <w:szCs w:val="24"/>
          <w:lang w:bidi="ar"/>
        </w:rPr>
        <w:t>不可抗力事件发生后，应立即通知对方，并寄送有关权威机构出具的证明。</w:t>
      </w:r>
    </w:p>
    <w:p w14:paraId="0EE37069">
      <w:pPr>
        <w:pStyle w:val="3"/>
        <w:keepNext w:val="0"/>
        <w:keepLines w:val="0"/>
        <w:pageBreakBefore w:val="0"/>
        <w:widowControl w:val="0"/>
        <w:numPr>
          <w:ilvl w:val="1"/>
          <w:numId w:val="6"/>
        </w:numPr>
        <w:tabs>
          <w:tab w:val="left" w:pos="0"/>
        </w:tabs>
        <w:kinsoku/>
        <w:wordWrap w:val="0"/>
        <w:overflowPunct/>
        <w:topLinePunct/>
        <w:autoSpaceDE/>
        <w:autoSpaceDN/>
        <w:bidi w:val="0"/>
        <w:adjustRightInd/>
        <w:snapToGrid/>
        <w:spacing w:before="0" w:beforeAutospacing="0" w:after="0" w:afterAutospacing="0"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bidi="ar"/>
        </w:rPr>
        <w:t>不可抗力事件延续××天以上，</w:t>
      </w:r>
      <w:r>
        <w:rPr>
          <w:rFonts w:hint="eastAsia" w:ascii="宋体" w:hAnsi="宋体" w:eastAsia="宋体" w:cs="宋体"/>
          <w:kern w:val="2"/>
          <w:sz w:val="24"/>
          <w:szCs w:val="24"/>
          <w:lang w:val="en-US" w:eastAsia="zh-CN" w:bidi="ar"/>
        </w:rPr>
        <w:t>三</w:t>
      </w:r>
      <w:r>
        <w:rPr>
          <w:rFonts w:hint="eastAsia" w:ascii="宋体" w:hAnsi="宋体" w:eastAsia="宋体" w:cs="宋体"/>
          <w:kern w:val="2"/>
          <w:sz w:val="24"/>
          <w:szCs w:val="24"/>
          <w:lang w:bidi="ar"/>
        </w:rPr>
        <w:t>方应通过友好协商，确定是否继续履行合同。</w:t>
      </w:r>
    </w:p>
    <w:p w14:paraId="4E48903F">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48" w:name="_Toc32699"/>
      <w:bookmarkStart w:id="49" w:name="_Toc13858"/>
      <w:r>
        <w:rPr>
          <w:rFonts w:hint="eastAsia" w:ascii="宋体" w:hAnsi="宋体" w:eastAsia="宋体" w:cs="宋体"/>
          <w:sz w:val="24"/>
          <w:szCs w:val="24"/>
        </w:rPr>
        <w:t>解决</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ascii="宋体" w:hAnsi="宋体" w:eastAsia="宋体" w:cs="宋体"/>
          <w:sz w:val="24"/>
          <w:szCs w:val="24"/>
          <w:lang w:val="en-US" w:eastAsia="zh-CN"/>
        </w:rPr>
        <w:t>争议的方法</w:t>
      </w:r>
      <w:bookmarkEnd w:id="48"/>
      <w:bookmarkEnd w:id="49"/>
    </w:p>
    <w:p w14:paraId="7824CA9E">
      <w:pPr>
        <w:pStyle w:val="3"/>
        <w:keepNext w:val="0"/>
        <w:keepLines w:val="0"/>
        <w:pageBreakBefore w:val="0"/>
        <w:widowControl w:val="0"/>
        <w:numPr>
          <w:ilvl w:val="0"/>
          <w:numId w:val="0"/>
        </w:numPr>
        <w:suppressLineNumbers w:val="0"/>
        <w:tabs>
          <w:tab w:val="left" w:pos="0"/>
        </w:tabs>
        <w:kinsoku/>
        <w:wordWrap w:val="0"/>
        <w:overflowPunct/>
        <w:topLinePunct/>
        <w:autoSpaceDE/>
        <w:autoSpaceDN/>
        <w:bidi w:val="0"/>
        <w:adjustRightInd w:val="0"/>
        <w:snapToGrid w:val="0"/>
        <w:spacing w:before="0" w:beforeAutospacing="0" w:after="0" w:afterAutospacing="0" w:line="520" w:lineRule="exact"/>
        <w:ind w:left="0" w:leftChars="0" w:right="0" w:rightChars="0" w:firstLine="480" w:firstLineChars="200"/>
        <w:jc w:val="left"/>
        <w:textAlignment w:val="auto"/>
        <w:outlineLvl w:val="9"/>
        <w:rPr>
          <w:rFonts w:hint="eastAsia" w:ascii="宋体" w:hAnsi="宋体" w:eastAsia="宋体" w:cs="宋体"/>
          <w:kern w:val="2"/>
          <w:sz w:val="24"/>
          <w:szCs w:val="24"/>
        </w:rPr>
      </w:pPr>
      <w:bookmarkStart w:id="50" w:name="_Toc282696231"/>
      <w:bookmarkStart w:id="51" w:name="_Toc247334847"/>
      <w:bookmarkStart w:id="52" w:name="_Toc185395255"/>
      <w:bookmarkStart w:id="53" w:name="_Toc239233920"/>
      <w:bookmarkStart w:id="54" w:name="_Toc238984981"/>
      <w:bookmarkStart w:id="55" w:name="_Toc286993793"/>
      <w:bookmarkStart w:id="56" w:name="_Toc239568424"/>
      <w:bookmarkStart w:id="57" w:name="_Toc212019600"/>
      <w:bookmarkStart w:id="58" w:name="_Toc251768868"/>
      <w:bookmarkStart w:id="59" w:name="_Toc225244858"/>
      <w:bookmarkStart w:id="60" w:name="_Toc241833909"/>
      <w:bookmarkStart w:id="61" w:name="_Toc237145412"/>
      <w:bookmarkStart w:id="62" w:name="_Toc232492934"/>
      <w:bookmarkStart w:id="63" w:name="_Toc211911354"/>
      <w:bookmarkStart w:id="64" w:name="_Toc211854455"/>
      <w:bookmarkStart w:id="65" w:name="_Toc283019219"/>
      <w:bookmarkStart w:id="66" w:name="_Toc225654650"/>
      <w:bookmarkStart w:id="67" w:name="_Toc225670757"/>
      <w:r>
        <w:rPr>
          <w:rFonts w:hint="eastAsia" w:ascii="宋体" w:hAnsi="宋体" w:eastAsia="宋体" w:cs="宋体"/>
          <w:snapToGrid/>
          <w:kern w:val="2"/>
          <w:sz w:val="24"/>
          <w:szCs w:val="24"/>
          <w:lang w:val="en-US" w:eastAsia="zh-CN" w:bidi="ar"/>
        </w:rPr>
        <w:t xml:space="preserve">在执行本合同中发生的或与本合同有关的争端，三方应通过友好协商解决，经协商不能达成协议时，任何一方均可向甲方所在地有管辖权的人民法院提起诉讼。  </w:t>
      </w:r>
    </w:p>
    <w:p w14:paraId="170B4C6F">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68" w:name="_Toc21756"/>
      <w:bookmarkStart w:id="69" w:name="_Toc11341"/>
      <w:r>
        <w:rPr>
          <w:rFonts w:hint="eastAsia" w:ascii="宋体" w:hAnsi="宋体" w:eastAsia="宋体" w:cs="宋体"/>
          <w:sz w:val="24"/>
          <w:szCs w:val="24"/>
        </w:rPr>
        <w:t>合同</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ascii="宋体" w:hAnsi="宋体" w:eastAsia="宋体" w:cs="宋体"/>
          <w:sz w:val="24"/>
          <w:szCs w:val="24"/>
        </w:rPr>
        <w:t>生效及其他</w:t>
      </w:r>
      <w:bookmarkEnd w:id="68"/>
      <w:bookmarkEnd w:id="69"/>
    </w:p>
    <w:p w14:paraId="534EAAA5">
      <w:pPr>
        <w:pStyle w:val="9"/>
        <w:keepNext w:val="0"/>
        <w:keepLines w:val="0"/>
        <w:pageBreakBefore w:val="0"/>
        <w:widowControl w:val="0"/>
        <w:numPr>
          <w:ilvl w:val="1"/>
          <w:numId w:val="7"/>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合同经双方法定代表人或授权委托代理人签字并加盖单位公章后生效。</w:t>
      </w:r>
    </w:p>
    <w:p w14:paraId="298C8B30">
      <w:pPr>
        <w:pStyle w:val="9"/>
        <w:keepNext w:val="0"/>
        <w:keepLines w:val="0"/>
        <w:pageBreakBefore w:val="0"/>
        <w:widowControl w:val="0"/>
        <w:numPr>
          <w:ilvl w:val="1"/>
          <w:numId w:val="7"/>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合同执行中涉及采购资金和采购内容修改或补充的，须经政府采购监管部门审批，并签书面补充协议报政府采购监督管理部门备案，方可作为主合同不可分割的一部分。</w:t>
      </w:r>
    </w:p>
    <w:p w14:paraId="6D101B2C">
      <w:pPr>
        <w:pStyle w:val="9"/>
        <w:keepNext w:val="0"/>
        <w:keepLines w:val="0"/>
        <w:pageBreakBefore w:val="0"/>
        <w:widowControl w:val="0"/>
        <w:numPr>
          <w:ilvl w:val="1"/>
          <w:numId w:val="7"/>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kern w:val="2"/>
          <w:sz w:val="24"/>
          <w:szCs w:val="24"/>
          <w:highlight w:val="none"/>
          <w:lang w:bidi="ar"/>
        </w:rPr>
        <w:t>【·】</w:t>
      </w:r>
      <w:r>
        <w:rPr>
          <w:rFonts w:hint="eastAsia" w:ascii="宋体" w:hAnsi="宋体" w:eastAsia="宋体" w:cs="宋体"/>
          <w:sz w:val="24"/>
          <w:szCs w:val="24"/>
        </w:rPr>
        <w:t>份，自双方签章之日起起效。甲方</w:t>
      </w:r>
      <w:r>
        <w:rPr>
          <w:rFonts w:hint="eastAsia" w:ascii="宋体" w:hAnsi="宋体" w:eastAsia="宋体" w:cs="宋体"/>
          <w:kern w:val="2"/>
          <w:sz w:val="24"/>
          <w:szCs w:val="24"/>
          <w:highlight w:val="none"/>
          <w:lang w:bidi="ar"/>
        </w:rPr>
        <w:t>【·】</w:t>
      </w:r>
      <w:r>
        <w:rPr>
          <w:rFonts w:hint="eastAsia" w:ascii="宋体" w:hAnsi="宋体" w:eastAsia="宋体" w:cs="宋体"/>
          <w:sz w:val="24"/>
          <w:szCs w:val="24"/>
        </w:rPr>
        <w:t>份，乙方</w:t>
      </w:r>
      <w:r>
        <w:rPr>
          <w:rFonts w:hint="eastAsia" w:ascii="宋体" w:hAnsi="宋体" w:eastAsia="宋体" w:cs="宋体"/>
          <w:kern w:val="2"/>
          <w:sz w:val="24"/>
          <w:szCs w:val="24"/>
          <w:highlight w:val="none"/>
          <w:lang w:bidi="ar"/>
        </w:rPr>
        <w:t>【·】</w:t>
      </w:r>
      <w:r>
        <w:rPr>
          <w:rFonts w:hint="eastAsia" w:ascii="宋体" w:hAnsi="宋体" w:eastAsia="宋体" w:cs="宋体"/>
          <w:sz w:val="24"/>
          <w:szCs w:val="24"/>
        </w:rPr>
        <w:t>份，政府采购代理机构</w:t>
      </w:r>
      <w:r>
        <w:rPr>
          <w:rFonts w:hint="eastAsia" w:ascii="宋体" w:hAnsi="宋体" w:eastAsia="宋体" w:cs="宋体"/>
          <w:kern w:val="2"/>
          <w:sz w:val="24"/>
          <w:szCs w:val="24"/>
          <w:highlight w:val="none"/>
          <w:lang w:bidi="ar"/>
        </w:rPr>
        <w:t>【·】</w:t>
      </w:r>
      <w:r>
        <w:rPr>
          <w:rFonts w:hint="eastAsia" w:ascii="宋体" w:hAnsi="宋体" w:eastAsia="宋体" w:cs="宋体"/>
          <w:sz w:val="24"/>
          <w:szCs w:val="24"/>
        </w:rPr>
        <w:t>份，同级财政部门备案</w:t>
      </w:r>
      <w:r>
        <w:rPr>
          <w:rFonts w:hint="eastAsia" w:ascii="宋体" w:hAnsi="宋体" w:eastAsia="宋体" w:cs="宋体"/>
          <w:kern w:val="2"/>
          <w:sz w:val="24"/>
          <w:szCs w:val="24"/>
          <w:highlight w:val="none"/>
          <w:lang w:bidi="ar"/>
        </w:rPr>
        <w:t>【·】</w:t>
      </w:r>
      <w:r>
        <w:rPr>
          <w:rFonts w:hint="eastAsia" w:ascii="宋体" w:hAnsi="宋体" w:eastAsia="宋体" w:cs="宋体"/>
          <w:sz w:val="24"/>
          <w:szCs w:val="24"/>
        </w:rPr>
        <w:t>份，具有同等法律效力。</w:t>
      </w:r>
    </w:p>
    <w:p w14:paraId="426E29DA">
      <w:pPr>
        <w:pStyle w:val="8"/>
        <w:keepNext w:val="0"/>
        <w:keepLines w:val="0"/>
        <w:pageBreakBefore w:val="0"/>
        <w:widowControl w:val="0"/>
        <w:kinsoku/>
        <w:overflowPunct/>
        <w:autoSpaceDE/>
        <w:autoSpaceDN/>
        <w:bidi w:val="0"/>
        <w:spacing w:line="520" w:lineRule="exact"/>
        <w:ind w:left="0" w:leftChars="0" w:firstLine="482" w:firstLineChars="200"/>
        <w:textAlignment w:val="auto"/>
        <w:rPr>
          <w:rFonts w:hint="eastAsia" w:ascii="宋体" w:hAnsi="宋体" w:eastAsia="宋体" w:cs="宋体"/>
          <w:sz w:val="24"/>
          <w:szCs w:val="24"/>
        </w:rPr>
      </w:pPr>
      <w:bookmarkStart w:id="70" w:name="_Toc32004"/>
      <w:bookmarkStart w:id="71" w:name="_Toc6750"/>
      <w:r>
        <w:rPr>
          <w:rFonts w:hint="eastAsia" w:ascii="宋体" w:hAnsi="宋体" w:eastAsia="宋体" w:cs="宋体"/>
          <w:sz w:val="24"/>
          <w:szCs w:val="24"/>
        </w:rPr>
        <w:t>附件</w:t>
      </w:r>
      <w:bookmarkEnd w:id="70"/>
      <w:bookmarkEnd w:id="71"/>
    </w:p>
    <w:p w14:paraId="58BA35DF">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《招标文件》；</w:t>
      </w:r>
    </w:p>
    <w:p w14:paraId="5DE3F329">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项目修改澄清文件；</w:t>
      </w:r>
    </w:p>
    <w:p w14:paraId="219C4331">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《投标文件》；</w:t>
      </w:r>
    </w:p>
    <w:p w14:paraId="3E86A6BE">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《中标通知书》；</w:t>
      </w:r>
    </w:p>
    <w:p w14:paraId="00E0CAA8">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补充合同；</w:t>
      </w:r>
    </w:p>
    <w:p w14:paraId="05ECA2D8">
      <w:pPr>
        <w:pStyle w:val="9"/>
        <w:keepNext w:val="0"/>
        <w:keepLines w:val="0"/>
        <w:pageBreakBefore w:val="0"/>
        <w:widowControl w:val="0"/>
        <w:numPr>
          <w:ilvl w:val="1"/>
          <w:numId w:val="8"/>
        </w:numPr>
        <w:kinsoku/>
        <w:overflowPunct/>
        <w:autoSpaceDE/>
        <w:autoSpaceDN/>
        <w:bidi w:val="0"/>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其他。</w:t>
      </w:r>
    </w:p>
    <w:p w14:paraId="3D2B4C01">
      <w:pPr>
        <w:pStyle w:val="14"/>
        <w:keepNext w:val="0"/>
        <w:keepLines w:val="0"/>
        <w:pageBreakBefore/>
        <w:widowControl w:val="0"/>
        <w:kinsoku/>
        <w:wordWrap/>
        <w:overflowPunct/>
        <w:topLinePunct w:val="0"/>
        <w:autoSpaceDE/>
        <w:autoSpaceDN/>
        <w:bidi w:val="0"/>
        <w:adjustRightInd w:val="0"/>
        <w:snapToGrid w:val="0"/>
        <w:spacing w:before="313" w:beforeLines="100" w:after="313" w:afterLines="100"/>
        <w:jc w:val="center"/>
        <w:textAlignment w:val="auto"/>
        <w:rPr>
          <w:rFonts w:hint="eastAsia"/>
          <w:b/>
          <w:bCs/>
        </w:rPr>
      </w:pPr>
      <w:r>
        <w:rPr>
          <w:rFonts w:hint="eastAsia"/>
          <w:b/>
          <w:bCs/>
          <w:lang w:val="en-US" w:eastAsia="zh-CN"/>
        </w:rPr>
        <w:t>(本页无正文)</w:t>
      </w:r>
    </w:p>
    <w:tbl>
      <w:tblPr>
        <w:tblStyle w:val="5"/>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192DE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6CEFD0FB">
            <w:pPr>
              <w:pStyle w:val="7"/>
              <w:bidi w:val="0"/>
              <w:rPr>
                <w:rFonts w:hint="eastAsia" w:ascii="宋体" w:hAnsi="宋体" w:eastAsia="宋体" w:cs="宋体"/>
                <w:sz w:val="21"/>
                <w:szCs w:val="21"/>
              </w:rPr>
            </w:pPr>
            <w:r>
              <w:rPr>
                <w:rFonts w:hint="eastAsia" w:ascii="宋体" w:hAnsi="宋体" w:eastAsia="宋体" w:cs="宋体"/>
                <w:sz w:val="21"/>
                <w:szCs w:val="21"/>
              </w:rPr>
              <w:t>甲方：   (盖章)</w:t>
            </w:r>
          </w:p>
        </w:tc>
        <w:tc>
          <w:tcPr>
            <w:tcW w:w="4981" w:type="dxa"/>
            <w:vAlign w:val="center"/>
          </w:tcPr>
          <w:p w14:paraId="58E76B14">
            <w:pPr>
              <w:pStyle w:val="7"/>
              <w:bidi w:val="0"/>
              <w:rPr>
                <w:rFonts w:hint="eastAsia" w:ascii="宋体" w:hAnsi="宋体" w:eastAsia="宋体" w:cs="宋体"/>
                <w:sz w:val="21"/>
                <w:szCs w:val="21"/>
              </w:rPr>
            </w:pPr>
            <w:r>
              <w:rPr>
                <w:rFonts w:hint="eastAsia" w:ascii="宋体" w:hAnsi="宋体" w:eastAsia="宋体" w:cs="宋体"/>
                <w:sz w:val="21"/>
                <w:szCs w:val="21"/>
              </w:rPr>
              <w:t>乙方：   (盖章)</w:t>
            </w:r>
          </w:p>
        </w:tc>
      </w:tr>
      <w:tr w14:paraId="382F2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3234C6E6">
            <w:pPr>
              <w:pStyle w:val="7"/>
              <w:bidi w:val="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lang w:eastAsia="zh-CN"/>
              </w:rPr>
              <w:t>被授权人</w:t>
            </w:r>
            <w:r>
              <w:rPr>
                <w:rFonts w:hint="eastAsia" w:ascii="宋体" w:hAnsi="宋体" w:eastAsia="宋体" w:cs="宋体"/>
                <w:sz w:val="21"/>
                <w:szCs w:val="21"/>
              </w:rPr>
              <w:t>)：</w:t>
            </w:r>
          </w:p>
        </w:tc>
        <w:tc>
          <w:tcPr>
            <w:tcW w:w="4981" w:type="dxa"/>
            <w:vAlign w:val="center"/>
          </w:tcPr>
          <w:p w14:paraId="2D52494D">
            <w:pPr>
              <w:pStyle w:val="7"/>
              <w:bidi w:val="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lang w:eastAsia="zh-CN"/>
              </w:rPr>
              <w:t>被授权人</w:t>
            </w:r>
            <w:r>
              <w:rPr>
                <w:rFonts w:hint="eastAsia" w:ascii="宋体" w:hAnsi="宋体" w:eastAsia="宋体" w:cs="宋体"/>
                <w:sz w:val="21"/>
                <w:szCs w:val="21"/>
              </w:rPr>
              <w:t>)：</w:t>
            </w:r>
          </w:p>
        </w:tc>
      </w:tr>
      <w:tr w14:paraId="19351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7310AAD5">
            <w:pPr>
              <w:pStyle w:val="7"/>
              <w:bidi w:val="0"/>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eastAsia="zh-CN"/>
              </w:rPr>
              <w:t>(</w:t>
            </w:r>
            <w:r>
              <w:rPr>
                <w:rFonts w:hint="eastAsia" w:ascii="宋体" w:hAnsi="宋体" w:eastAsia="宋体" w:cs="宋体"/>
                <w:sz w:val="21"/>
                <w:szCs w:val="21"/>
              </w:rPr>
              <w:t>住所</w:t>
            </w:r>
            <w:r>
              <w:rPr>
                <w:rFonts w:hint="eastAsia" w:ascii="宋体" w:hAnsi="宋体" w:eastAsia="宋体" w:cs="宋体"/>
                <w:sz w:val="21"/>
                <w:szCs w:val="21"/>
                <w:lang w:eastAsia="zh-CN"/>
              </w:rPr>
              <w:t>)</w:t>
            </w:r>
            <w:r>
              <w:rPr>
                <w:rFonts w:hint="eastAsia" w:ascii="宋体" w:hAnsi="宋体" w:eastAsia="宋体" w:cs="宋体"/>
                <w:sz w:val="21"/>
                <w:szCs w:val="21"/>
              </w:rPr>
              <w:t>：</w:t>
            </w:r>
          </w:p>
        </w:tc>
        <w:tc>
          <w:tcPr>
            <w:tcW w:w="4981" w:type="dxa"/>
            <w:vAlign w:val="center"/>
          </w:tcPr>
          <w:p w14:paraId="6ED92BB3">
            <w:pPr>
              <w:pStyle w:val="7"/>
              <w:bidi w:val="0"/>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eastAsia="zh-CN"/>
              </w:rPr>
              <w:t>(</w:t>
            </w:r>
            <w:r>
              <w:rPr>
                <w:rFonts w:hint="eastAsia" w:ascii="宋体" w:hAnsi="宋体" w:eastAsia="宋体" w:cs="宋体"/>
                <w:sz w:val="21"/>
                <w:szCs w:val="21"/>
              </w:rPr>
              <w:t>住所</w:t>
            </w:r>
            <w:r>
              <w:rPr>
                <w:rFonts w:hint="eastAsia" w:ascii="宋体" w:hAnsi="宋体" w:eastAsia="宋体" w:cs="宋体"/>
                <w:sz w:val="21"/>
                <w:szCs w:val="21"/>
                <w:lang w:eastAsia="zh-CN"/>
              </w:rPr>
              <w:t>)</w:t>
            </w:r>
            <w:r>
              <w:rPr>
                <w:rFonts w:hint="eastAsia" w:ascii="宋体" w:hAnsi="宋体" w:eastAsia="宋体" w:cs="宋体"/>
                <w:sz w:val="21"/>
                <w:szCs w:val="21"/>
              </w:rPr>
              <w:t>：</w:t>
            </w:r>
          </w:p>
        </w:tc>
      </w:tr>
      <w:tr w14:paraId="1CDD0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7DAEDBE">
            <w:pPr>
              <w:pStyle w:val="7"/>
              <w:bidi w:val="0"/>
              <w:rPr>
                <w:rFonts w:hint="eastAsia" w:ascii="宋体" w:hAnsi="宋体" w:eastAsia="宋体" w:cs="宋体"/>
                <w:sz w:val="21"/>
                <w:szCs w:val="21"/>
              </w:rPr>
            </w:pPr>
            <w:r>
              <w:rPr>
                <w:rFonts w:hint="eastAsia" w:ascii="宋体" w:hAnsi="宋体" w:eastAsia="宋体" w:cs="宋体"/>
                <w:sz w:val="21"/>
                <w:szCs w:val="21"/>
              </w:rPr>
              <w:t>开户银行：</w:t>
            </w:r>
          </w:p>
        </w:tc>
        <w:tc>
          <w:tcPr>
            <w:tcW w:w="4981" w:type="dxa"/>
            <w:vAlign w:val="center"/>
          </w:tcPr>
          <w:p w14:paraId="14632AFC">
            <w:pPr>
              <w:pStyle w:val="7"/>
              <w:bidi w:val="0"/>
              <w:rPr>
                <w:rFonts w:hint="eastAsia" w:ascii="宋体" w:hAnsi="宋体" w:eastAsia="宋体" w:cs="宋体"/>
                <w:sz w:val="21"/>
                <w:szCs w:val="21"/>
              </w:rPr>
            </w:pPr>
            <w:r>
              <w:rPr>
                <w:rFonts w:hint="eastAsia" w:ascii="宋体" w:hAnsi="宋体" w:eastAsia="宋体" w:cs="宋体"/>
                <w:sz w:val="21"/>
                <w:szCs w:val="21"/>
              </w:rPr>
              <w:t>开户银行：</w:t>
            </w:r>
          </w:p>
        </w:tc>
      </w:tr>
      <w:tr w14:paraId="12EF9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2B0271CA">
            <w:pPr>
              <w:pStyle w:val="7"/>
              <w:bidi w:val="0"/>
              <w:rPr>
                <w:rFonts w:hint="eastAsia" w:ascii="宋体" w:hAnsi="宋体" w:eastAsia="宋体" w:cs="宋体"/>
                <w:sz w:val="21"/>
                <w:szCs w:val="21"/>
              </w:rPr>
            </w:pPr>
            <w:r>
              <w:rPr>
                <w:rFonts w:hint="eastAsia" w:ascii="宋体" w:hAnsi="宋体" w:eastAsia="宋体" w:cs="宋体"/>
                <w:sz w:val="21"/>
                <w:szCs w:val="21"/>
              </w:rPr>
              <w:t>账号：</w:t>
            </w:r>
          </w:p>
        </w:tc>
        <w:tc>
          <w:tcPr>
            <w:tcW w:w="4981" w:type="dxa"/>
            <w:vAlign w:val="center"/>
          </w:tcPr>
          <w:p w14:paraId="084548FD">
            <w:pPr>
              <w:pStyle w:val="7"/>
              <w:bidi w:val="0"/>
              <w:rPr>
                <w:rFonts w:hint="eastAsia" w:ascii="宋体" w:hAnsi="宋体" w:eastAsia="宋体" w:cs="宋体"/>
                <w:sz w:val="21"/>
                <w:szCs w:val="21"/>
              </w:rPr>
            </w:pPr>
            <w:r>
              <w:rPr>
                <w:rFonts w:hint="eastAsia" w:ascii="宋体" w:hAnsi="宋体" w:eastAsia="宋体" w:cs="宋体"/>
                <w:sz w:val="21"/>
                <w:szCs w:val="21"/>
              </w:rPr>
              <w:t>账号：</w:t>
            </w:r>
          </w:p>
        </w:tc>
      </w:tr>
      <w:tr w14:paraId="2177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4BA0DB3C">
            <w:pPr>
              <w:pStyle w:val="7"/>
              <w:bidi w:val="0"/>
              <w:rPr>
                <w:rFonts w:hint="eastAsia" w:ascii="宋体" w:hAnsi="宋体" w:eastAsia="宋体" w:cs="宋体"/>
                <w:sz w:val="21"/>
                <w:szCs w:val="21"/>
              </w:rPr>
            </w:pPr>
            <w:r>
              <w:rPr>
                <w:rFonts w:hint="eastAsia" w:ascii="宋体" w:hAnsi="宋体" w:eastAsia="宋体" w:cs="宋体"/>
                <w:sz w:val="21"/>
                <w:szCs w:val="21"/>
              </w:rPr>
              <w:t xml:space="preserve">电话： </w:t>
            </w:r>
          </w:p>
        </w:tc>
        <w:tc>
          <w:tcPr>
            <w:tcW w:w="4981" w:type="dxa"/>
            <w:vAlign w:val="center"/>
          </w:tcPr>
          <w:p w14:paraId="102B4A34">
            <w:pPr>
              <w:pStyle w:val="7"/>
              <w:bidi w:val="0"/>
              <w:rPr>
                <w:rFonts w:hint="eastAsia" w:ascii="宋体" w:hAnsi="宋体" w:eastAsia="宋体" w:cs="宋体"/>
                <w:sz w:val="21"/>
                <w:szCs w:val="21"/>
              </w:rPr>
            </w:pPr>
            <w:r>
              <w:rPr>
                <w:rFonts w:hint="eastAsia" w:ascii="宋体" w:hAnsi="宋体" w:eastAsia="宋体" w:cs="宋体"/>
                <w:sz w:val="21"/>
                <w:szCs w:val="21"/>
              </w:rPr>
              <w:t xml:space="preserve">电话： </w:t>
            </w:r>
          </w:p>
        </w:tc>
      </w:tr>
      <w:tr w14:paraId="76084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17DF8EA3">
            <w:pPr>
              <w:pStyle w:val="7"/>
              <w:bidi w:val="0"/>
              <w:rPr>
                <w:rFonts w:hint="eastAsia" w:ascii="宋体" w:hAnsi="宋体" w:eastAsia="宋体" w:cs="宋体"/>
                <w:sz w:val="21"/>
                <w:szCs w:val="21"/>
              </w:rPr>
            </w:pPr>
            <w:r>
              <w:rPr>
                <w:rFonts w:hint="eastAsia" w:ascii="宋体" w:hAnsi="宋体" w:eastAsia="宋体" w:cs="宋体"/>
                <w:sz w:val="21"/>
                <w:szCs w:val="21"/>
              </w:rPr>
              <w:t>传真：</w:t>
            </w:r>
          </w:p>
        </w:tc>
        <w:tc>
          <w:tcPr>
            <w:tcW w:w="4981" w:type="dxa"/>
            <w:vAlign w:val="center"/>
          </w:tcPr>
          <w:p w14:paraId="09BD2322">
            <w:pPr>
              <w:pStyle w:val="7"/>
              <w:bidi w:val="0"/>
              <w:rPr>
                <w:rFonts w:hint="eastAsia" w:ascii="宋体" w:hAnsi="宋体" w:eastAsia="宋体" w:cs="宋体"/>
                <w:sz w:val="21"/>
                <w:szCs w:val="21"/>
              </w:rPr>
            </w:pPr>
            <w:r>
              <w:rPr>
                <w:rFonts w:hint="eastAsia" w:ascii="宋体" w:hAnsi="宋体" w:eastAsia="宋体" w:cs="宋体"/>
                <w:sz w:val="21"/>
                <w:szCs w:val="21"/>
              </w:rPr>
              <w:t>传真：</w:t>
            </w:r>
          </w:p>
        </w:tc>
      </w:tr>
      <w:tr w14:paraId="6715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45D88B26">
            <w:pPr>
              <w:pStyle w:val="7"/>
              <w:bidi w:val="0"/>
              <w:rPr>
                <w:rFonts w:hint="eastAsia" w:ascii="宋体" w:hAnsi="宋体" w:eastAsia="宋体" w:cs="宋体"/>
                <w:sz w:val="21"/>
                <w:szCs w:val="21"/>
              </w:rPr>
            </w:pPr>
            <w:r>
              <w:rPr>
                <w:rFonts w:hint="eastAsia" w:ascii="宋体" w:hAnsi="宋体" w:eastAsia="宋体" w:cs="宋体"/>
                <w:sz w:val="21"/>
                <w:szCs w:val="21"/>
              </w:rPr>
              <w:t>签约日期：XX年XX月XX日</w:t>
            </w:r>
          </w:p>
        </w:tc>
        <w:tc>
          <w:tcPr>
            <w:tcW w:w="4981" w:type="dxa"/>
            <w:vAlign w:val="center"/>
          </w:tcPr>
          <w:p w14:paraId="5DE0CC15">
            <w:pPr>
              <w:pStyle w:val="7"/>
              <w:bidi w:val="0"/>
              <w:rPr>
                <w:rFonts w:hint="eastAsia" w:ascii="宋体" w:hAnsi="宋体" w:eastAsia="宋体" w:cs="宋体"/>
                <w:sz w:val="21"/>
                <w:szCs w:val="21"/>
              </w:rPr>
            </w:pPr>
            <w:r>
              <w:rPr>
                <w:rFonts w:hint="eastAsia" w:ascii="宋体" w:hAnsi="宋体" w:eastAsia="宋体" w:cs="宋体"/>
                <w:sz w:val="21"/>
                <w:szCs w:val="21"/>
              </w:rPr>
              <w:t>签约日期：XX年XX月XX日</w:t>
            </w:r>
          </w:p>
        </w:tc>
      </w:tr>
    </w:tbl>
    <w:p w14:paraId="29820A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635A9"/>
    <w:multiLevelType w:val="singleLevel"/>
    <w:tmpl w:val="A80635A9"/>
    <w:lvl w:ilvl="0" w:tentative="0">
      <w:start w:val="1"/>
      <w:numFmt w:val="chineseCounting"/>
      <w:pStyle w:val="8"/>
      <w:suff w:val="nothing"/>
      <w:lvlText w:val="第%1条  "/>
      <w:lvlJc w:val="left"/>
      <w:pPr>
        <w:ind w:left="0" w:firstLine="0"/>
      </w:pPr>
      <w:rPr>
        <w:rFonts w:hint="eastAsia"/>
      </w:rPr>
    </w:lvl>
  </w:abstractNum>
  <w:abstractNum w:abstractNumId="1">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11"/>
      <w:suff w:val="nothing"/>
      <w:lvlText w:val="%4."/>
      <w:lvlJc w:val="left"/>
      <w:pPr>
        <w:tabs>
          <w:tab w:val="left" w:pos="0"/>
        </w:tabs>
        <w:ind w:left="0" w:firstLine="0"/>
      </w:pPr>
      <w:rPr>
        <w:rFonts w:hint="eastAsia" w:ascii="宋体" w:hAnsi="宋体" w:eastAsia="宋体" w:cs="宋体"/>
      </w:rPr>
    </w:lvl>
    <w:lvl w:ilvl="4" w:tentative="0">
      <w:start w:val="1"/>
      <w:numFmt w:val="decimal"/>
      <w:pStyle w:val="10"/>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9"/>
      <w:suff w:val="nothing"/>
      <w:lvlText w:val="(%2)"/>
      <w:lvlJc w:val="left"/>
      <w:pPr>
        <w:ind w:left="877" w:firstLine="0"/>
      </w:pPr>
      <w:rPr>
        <w:rFonts w:hint="eastAsia" w:ascii="宋体" w:hAnsi="宋体" w:eastAsia="宋体" w:cs="宋体"/>
      </w:rPr>
    </w:lvl>
    <w:lvl w:ilvl="2" w:tentative="0">
      <w:start w:val="1"/>
      <w:numFmt w:val="decimal"/>
      <w:pStyle w:val="13"/>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7D78E590"/>
    <w:multiLevelType w:val="multilevel"/>
    <w:tmpl w:val="7D78E590"/>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8036C"/>
    <w:rsid w:val="08654AEC"/>
    <w:rsid w:val="330B1397"/>
    <w:rsid w:val="35C66810"/>
    <w:rsid w:val="47D8036C"/>
    <w:rsid w:val="565C6518"/>
    <w:rsid w:val="57E01DC9"/>
    <w:rsid w:val="6F360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pPr>
    <w:rPr>
      <w:rFonts w:ascii="Times New Roma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01、普通正文"/>
    <w:basedOn w:val="1"/>
    <w:qFormat/>
    <w:uiPriority w:val="0"/>
    <w:pPr>
      <w:tabs>
        <w:tab w:val="left" w:pos="0"/>
      </w:tabs>
      <w:wordWrap w:val="0"/>
      <w:topLinePunct/>
    </w:pPr>
    <w:rPr>
      <w:snapToGrid w:val="0"/>
    </w:rPr>
  </w:style>
  <w:style w:type="paragraph" w:customStyle="1" w:styleId="8">
    <w:name w:val="21、合同二级标题序号"/>
    <w:basedOn w:val="7"/>
    <w:qFormat/>
    <w:uiPriority w:val="0"/>
    <w:pPr>
      <w:numPr>
        <w:ilvl w:val="0"/>
        <w:numId w:val="1"/>
      </w:numPr>
      <w:ind w:firstLine="803" w:firstLineChars="200"/>
      <w:outlineLvl w:val="1"/>
    </w:pPr>
    <w:rPr>
      <w:rFonts w:ascii="宋体" w:hAnsi="宋体" w:eastAsia="宋体"/>
      <w:b/>
    </w:rPr>
  </w:style>
  <w:style w:type="paragraph" w:customStyle="1" w:styleId="9">
    <w:name w:val="05、“(一)”正文三级标题"/>
    <w:basedOn w:val="1"/>
    <w:qFormat/>
    <w:uiPriority w:val="0"/>
    <w:pPr>
      <w:numPr>
        <w:ilvl w:val="1"/>
        <w:numId w:val="2"/>
      </w:numPr>
      <w:tabs>
        <w:tab w:val="left" w:pos="0"/>
      </w:tabs>
      <w:wordWrap w:val="0"/>
      <w:topLinePunct/>
      <w:ind w:firstLine="803" w:firstLineChars="200"/>
    </w:pPr>
    <w:rPr>
      <w:rFonts w:ascii="宋体" w:hAnsi="宋体" w:eastAsia="宋体"/>
    </w:rPr>
  </w:style>
  <w:style w:type="paragraph" w:customStyle="1" w:styleId="10">
    <w:name w:val="18、“1.1”五级标题"/>
    <w:basedOn w:val="11"/>
    <w:qFormat/>
    <w:uiPriority w:val="0"/>
    <w:pPr>
      <w:numPr>
        <w:ilvl w:val="4"/>
        <w:numId w:val="3"/>
      </w:numPr>
      <w:tabs>
        <w:tab w:val="left" w:pos="0"/>
      </w:tabs>
      <w:ind w:firstLine="803" w:firstLineChars="200"/>
    </w:pPr>
  </w:style>
  <w:style w:type="paragraph" w:customStyle="1" w:styleId="11">
    <w:name w:val="17“1.”四级标题"/>
    <w:basedOn w:val="12"/>
    <w:qFormat/>
    <w:uiPriority w:val="0"/>
    <w:pPr>
      <w:numPr>
        <w:ilvl w:val="3"/>
        <w:numId w:val="3"/>
      </w:numPr>
      <w:ind w:firstLine="803" w:firstLineChars="200"/>
    </w:pPr>
    <w:rPr>
      <w:rFonts w:ascii="宋体" w:hAnsi="宋体" w:eastAsia="宋体"/>
    </w:rPr>
  </w:style>
  <w:style w:type="paragraph" w:customStyle="1" w:styleId="12">
    <w:name w:val="02、首行缩进2字符正文"/>
    <w:basedOn w:val="1"/>
    <w:qFormat/>
    <w:uiPriority w:val="0"/>
    <w:pPr>
      <w:tabs>
        <w:tab w:val="left" w:pos="0"/>
      </w:tabs>
      <w:wordWrap w:val="0"/>
      <w:topLinePunct/>
      <w:ind w:firstLine="480" w:firstLineChars="200"/>
    </w:pPr>
  </w:style>
  <w:style w:type="paragraph" w:customStyle="1" w:styleId="13">
    <w:name w:val="06、“1.”正文四级标题"/>
    <w:basedOn w:val="1"/>
    <w:qFormat/>
    <w:uiPriority w:val="0"/>
    <w:pPr>
      <w:numPr>
        <w:ilvl w:val="2"/>
        <w:numId w:val="2"/>
      </w:numPr>
      <w:tabs>
        <w:tab w:val="left" w:pos="0"/>
      </w:tabs>
      <w:wordWrap w:val="0"/>
      <w:topLinePunct/>
      <w:ind w:firstLine="803" w:firstLineChars="200"/>
    </w:pPr>
    <w:rPr>
      <w:rFonts w:ascii="宋体" w:hAnsi="宋体" w:eastAsia="宋体"/>
      <w:snapToGrid w:val="0"/>
    </w:rPr>
  </w:style>
  <w:style w:type="paragraph" w:customStyle="1" w:styleId="14">
    <w:name w:val="00、封面正文(与其他内容无关的格式)"/>
    <w:basedOn w:val="1"/>
    <w:qFormat/>
    <w:uiPriority w:val="0"/>
    <w:pPr>
      <w:tabs>
        <w:tab w:val="left" w:pos="0"/>
      </w:tabs>
    </w:pPr>
    <w:rPr>
      <w:rFonts w:ascii="宋体" w:hAnsi="宋体"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3002</Words>
  <Characters>3103</Characters>
  <Lines>0</Lines>
  <Paragraphs>0</Paragraphs>
  <TotalTime>0</TotalTime>
  <ScaleCrop>false</ScaleCrop>
  <LinksUpToDate>false</LinksUpToDate>
  <CharactersWithSpaces>3387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2025-02-26T08:28:00Z</dcterms:created>
  <dc:creator>1</dc:creator>
  <cp:lastModifiedBy>1</cp:lastModifiedBy>
  <dcterms:modified xsi:type="dcterms:W3CDTF">2025-03-05T07:09:55Z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AA589AF979D84B5C9EFF9E9DF2737AA0_11</vt:lpwstr>
  </property>
  <property fmtid="{D5CDD505-2E9C-101B-9397-08002B2CF9AE}" pid="4" name="KSOTemplateDocerSaveRecord">
    <vt:lpwstr>eyJoZGlkIjoiNTY5NmM1ZGVmZDEwMmJjN2YwN2EyYzFiNzYxYTU0ZGIiLCJ1c2VySWQiOiI1MjY0NTczOTYifQ==</vt:lpwstr>
  </property>
</Properties>
</file>