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版本号：N511424202500001520250515001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2025-2028年高龄及困难老年人意外伤害险保险服务项目(三次)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N5114242025000015</w:t>
      </w:r>
    </w:p>
    <w:p>
      <w:pPr>
        <w:pStyle w:val="null3"/>
        <w:jc w:val="center"/>
        <w:outlineLvl w:val="2"/>
      </w:pPr>
      <w:r>
        <w:rPr>
          <w:rFonts w:ascii="仿宋_GB2312" w:hAnsi="仿宋_GB2312" w:cs="仿宋_GB2312" w:eastAsia="仿宋_GB2312"/>
          <w:sz w:val="28"/>
          <w:b/>
        </w:rPr>
        <w:t>丹棱县民政局</w:t>
      </w:r>
    </w:p>
    <w:p>
      <w:pPr>
        <w:pStyle w:val="null3"/>
        <w:jc w:val="center"/>
        <w:outlineLvl w:val="2"/>
      </w:pPr>
      <w:r>
        <w:rPr>
          <w:rFonts w:ascii="仿宋_GB2312" w:hAnsi="仿宋_GB2312" w:cs="仿宋_GB2312" w:eastAsia="仿宋_GB2312"/>
          <w:sz w:val="28"/>
          <w:b/>
        </w:rPr>
        <w:t>蜀熙建工有限公司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蜀熙建工有限公司</w:t>
      </w:r>
      <w:r>
        <w:rPr>
          <w:rFonts w:ascii="仿宋_GB2312" w:hAnsi="仿宋_GB2312" w:cs="仿宋_GB2312" w:eastAsia="仿宋_GB2312"/>
        </w:rPr>
        <w:t xml:space="preserve"> （以下简称“代理机构”）受 </w:t>
      </w:r>
      <w:r>
        <w:rPr>
          <w:rFonts w:ascii="仿宋_GB2312" w:hAnsi="仿宋_GB2312" w:cs="仿宋_GB2312" w:eastAsia="仿宋_GB2312"/>
        </w:rPr>
        <w:t>丹棱县民政局</w:t>
      </w:r>
      <w:r>
        <w:rPr>
          <w:rFonts w:ascii="仿宋_GB2312" w:hAnsi="仿宋_GB2312" w:cs="仿宋_GB2312" w:eastAsia="仿宋_GB2312"/>
        </w:rPr>
        <w:t xml:space="preserve"> 委托，拟对 </w:t>
      </w:r>
      <w:r>
        <w:rPr>
          <w:rFonts w:ascii="仿宋_GB2312" w:hAnsi="仿宋_GB2312" w:cs="仿宋_GB2312" w:eastAsia="仿宋_GB2312"/>
        </w:rPr>
        <w:t>2025-2028年高龄及困难老年人意外伤害险保险服务项目(三次)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眉山市丹棱县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N5114242025000015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2025-2028年高龄及困难老年人意外伤害险保险服务项目(三次)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眉山市老龄委《关于开展老年人意外伤害保险工作的实施意见》(眉老委办发〔2016〕14号)文件精神，为持续保障老年人权益，提高老年人及其家庭抗风险能力，减少因老年人意外伤害引发的矛盾和纠纷，促进社会和谐稳定，拟继续实施采购老年人意外伤害保险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1、供应商须具备有效的《经营保险业务许可证》（描述：供应商须具备《经营保险业务许可证》，供应商提供相关证明材料并进行电子签章）</w:t>
      </w:r>
    </w:p>
    <w:p>
      <w:pPr>
        <w:pStyle w:val="null3"/>
        <w:jc w:val="left"/>
      </w:pPr>
      <w:r>
        <w:rPr>
          <w:rFonts w:ascii="仿宋_GB2312" w:hAnsi="仿宋_GB2312" w:cs="仿宋_GB2312" w:eastAsia="仿宋_GB2312"/>
        </w:rPr>
        <w:t>2、供应商应获得中国保险监督管理委员会批准经营意外伤害保险业务的资质（描述：供应商需在项目电子化交易系统中提供中国保险监督管理委员会批准经营意外伤害保险业务的资质证明材料并进行电子签章）</w:t>
      </w:r>
    </w:p>
    <w:p>
      <w:pPr>
        <w:pStyle w:val="null3"/>
        <w:jc w:val="left"/>
      </w:pPr>
      <w:r>
        <w:rPr>
          <w:rFonts w:ascii="仿宋_GB2312" w:hAnsi="仿宋_GB2312" w:cs="仿宋_GB2312" w:eastAsia="仿宋_GB2312"/>
        </w:rPr>
        <w:t>3、本项目接受石油、石化、电力、电信、保险、银行等行业有特殊情况的分公司参加投标，供应商分支机构投标的须在响应文件中提供总公司对分公司授权证明书（描述：供应商分支机构投标的，需在项目电子化交易系统中提供总公司对分公司授权证明书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丹棱县民政局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丹棱县康平路5号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028-37262446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蜀熙建工有限公司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四川省眉山市东坡区裴城路359号永和苑商住小区二期3幢2层1号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028-37265470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采购包1：1,636,000.00元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关于进一步放开建设项目专业服务价格的通知》(发改办价格【2015】299号文)规定标准收取代理服务费(含税)，本项目按照成本加合理利润方式确定代理服务费为:12000.00元(大写:壹万贰仟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丹棱县民政局</w:t>
      </w:r>
      <w:r>
        <w:rPr>
          <w:rFonts w:ascii="仿宋_GB2312" w:hAnsi="仿宋_GB2312" w:cs="仿宋_GB2312" w:eastAsia="仿宋_GB2312"/>
        </w:rPr>
        <w:t xml:space="preserve"> 和 </w:t>
      </w:r>
      <w:r>
        <w:rPr>
          <w:rFonts w:ascii="仿宋_GB2312" w:hAnsi="仿宋_GB2312" w:cs="仿宋_GB2312" w:eastAsia="仿宋_GB2312"/>
        </w:rPr>
        <w:t>蜀熙建工有限公司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丹棱县民政局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蜀熙建工有限公司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的要求、采购文件规定的要求和成交的响应文件及承诺、合同以及根据国家相关规范及行业验收规范、标准执行的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的要求、采购文件规定的要求和成交的响应文件及承诺、合同以及根据国家相关规范及行业验收规范、标准执行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的要求、采购文件规定的要求和成交的响应文件及承诺、合同以及根据国家相关规范及行业验收规范、标准执行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的要求、采购文件规定的要求和成交的响应文件及承诺、合同以及根据国家相关规范及行业验收规范、标准执行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丹棱县民政局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蜀熙建工有限公司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蜀熙建工有限公司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联系电话：028-37262446</w:t>
      </w:r>
    </w:p>
    <w:p>
      <w:pPr>
        <w:pStyle w:val="null3"/>
        <w:jc w:val="left"/>
      </w:pPr>
      <w:r>
        <w:rPr>
          <w:rFonts w:ascii="仿宋_GB2312" w:hAnsi="仿宋_GB2312" w:cs="仿宋_GB2312" w:eastAsia="仿宋_GB2312"/>
        </w:rPr>
        <w:t>地址：丹棱县康平路5号</w:t>
      </w:r>
    </w:p>
    <w:p>
      <w:pPr>
        <w:pStyle w:val="null3"/>
        <w:jc w:val="left"/>
      </w:pPr>
      <w:r>
        <w:rPr>
          <w:rFonts w:ascii="仿宋_GB2312" w:hAnsi="仿宋_GB2312" w:cs="仿宋_GB2312" w:eastAsia="仿宋_GB2312"/>
        </w:rPr>
        <w:t>邮编：620200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联系电话：028-37265470</w:t>
      </w:r>
    </w:p>
    <w:p>
      <w:pPr>
        <w:pStyle w:val="null3"/>
        <w:jc w:val="left"/>
      </w:pPr>
      <w:r>
        <w:rPr>
          <w:rFonts w:ascii="仿宋_GB2312" w:hAnsi="仿宋_GB2312" w:cs="仿宋_GB2312" w:eastAsia="仿宋_GB2312"/>
        </w:rPr>
        <w:t>地址： 四川省眉山市东坡区裴城路359号永和苑商住小区二期3幢2层1号</w:t>
      </w:r>
    </w:p>
    <w:p>
      <w:pPr>
        <w:pStyle w:val="null3"/>
        <w:jc w:val="left"/>
      </w:pPr>
      <w:r>
        <w:rPr>
          <w:rFonts w:ascii="仿宋_GB2312" w:hAnsi="仿宋_GB2312" w:cs="仿宋_GB2312" w:eastAsia="仿宋_GB2312"/>
        </w:rPr>
        <w:t>邮编：620000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1,636,000.00</w:t>
      </w:r>
    </w:p>
    <w:p>
      <w:pPr>
        <w:pStyle w:val="null3"/>
        <w:jc w:val="left"/>
      </w:pPr>
      <w:r>
        <w:rPr>
          <w:rFonts w:ascii="仿宋_GB2312" w:hAnsi="仿宋_GB2312" w:cs="仿宋_GB2312" w:eastAsia="仿宋_GB2312"/>
        </w:rPr>
        <w:t>采购包最高限价（元）: 1,636,000.00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C18990000 其他金融服务</w:t>
            </w:r>
          </w:p>
        </w:tc>
        <w:tc>
          <w:tcPr>
            <w:tcW w:type="dxa" w:w="821"/>
          </w:tcPr>
          <w:p>
            <w:pPr>
              <w:pStyle w:val="null3"/>
              <w:jc w:val="left"/>
            </w:pPr>
            <w:r>
              <w:rPr>
                <w:rFonts w:ascii="仿宋_GB2312" w:hAnsi="仿宋_GB2312" w:cs="仿宋_GB2312" w:eastAsia="仿宋_GB2312"/>
              </w:rPr>
              <w:t>2025-2028年高龄及困难老年人意外伤害险保险服务项目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1,636,000.00</w:t>
            </w:r>
          </w:p>
        </w:tc>
        <w:tc>
          <w:tcPr>
            <w:tcW w:type="dxa" w:w="821"/>
          </w:tcPr>
          <w:p>
            <w:pPr>
              <w:pStyle w:val="null3"/>
              <w:jc w:val="left"/>
            </w:pPr>
            <w:r>
              <w:rPr>
                <w:rFonts w:ascii="仿宋_GB2312" w:hAnsi="仿宋_GB2312" w:cs="仿宋_GB2312" w:eastAsia="仿宋_GB2312"/>
              </w:rPr>
              <w:t>保险业金融机构</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2025-2028年高龄及困难老年人意外伤害险保险服务项目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1.本项目限价为预估人数估算金额，单价限价为 40 元/人/年，结算时按同比例下浮单价据实结算； 2.供应商必须按格式填写； 3.报价表中，各项服务应包括其实施安全措施、差旅、保险等一切费用，供应商应在投标报价时自行考虑综合费用。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标的名称：2025-2028年高龄及困难老年人意外伤害险保险服务项目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项目要求</w:t>
            </w:r>
          </w:p>
        </w:tc>
        <w:tc>
          <w:tcPr>
            <w:tcW w:type="dxa" w:w="5814"/>
          </w:tcPr>
          <w:p>
            <w:pPr>
              <w:pStyle w:val="null3"/>
              <w:jc w:val="left"/>
            </w:pPr>
            <w:r>
              <w:rPr>
                <w:rFonts w:ascii="仿宋_GB2312" w:hAnsi="仿宋_GB2312" w:cs="仿宋_GB2312" w:eastAsia="仿宋_GB2312"/>
                <w:sz w:val="24"/>
              </w:rPr>
              <w:t>一、项目概述</w:t>
            </w:r>
          </w:p>
          <w:p>
            <w:pPr>
              <w:pStyle w:val="null3"/>
              <w:ind w:firstLine="480"/>
              <w:jc w:val="left"/>
            </w:pPr>
            <w:r>
              <w:rPr>
                <w:rFonts w:ascii="仿宋_GB2312" w:hAnsi="仿宋_GB2312" w:cs="仿宋_GB2312" w:eastAsia="仿宋_GB2312"/>
                <w:sz w:val="24"/>
              </w:rPr>
              <w:t>根据眉山市老龄委《关于开展老年人意外伤害保险工作的实施意见》</w:t>
            </w:r>
            <w:r>
              <w:rPr>
                <w:rFonts w:ascii="仿宋_GB2312" w:hAnsi="仿宋_GB2312" w:cs="仿宋_GB2312" w:eastAsia="仿宋_GB2312"/>
                <w:sz w:val="24"/>
              </w:rPr>
              <w:t>(眉老委办发〔2016]14号)文件精神，为持续保障老年人权益，提高老年人及其家庭抗风险能力，减少因老年人意外伤害引发的矛盾和纠纷，促进社会和谐稳定，拟继续实施采购老年人意外伤害保险服务。</w:t>
            </w:r>
          </w:p>
          <w:p>
            <w:pPr>
              <w:pStyle w:val="null3"/>
              <w:ind w:firstLine="480"/>
              <w:jc w:val="left"/>
            </w:pPr>
            <w:r>
              <w:rPr>
                <w:rFonts w:ascii="仿宋_GB2312" w:hAnsi="仿宋_GB2312" w:cs="仿宋_GB2312" w:eastAsia="仿宋_GB2312"/>
                <w:sz w:val="24"/>
              </w:rPr>
              <w:t>以实际购买数量据实结算采购老年人意外伤害保险服务。最高限价</w:t>
            </w:r>
            <w:r>
              <w:rPr>
                <w:rFonts w:ascii="仿宋_GB2312" w:hAnsi="仿宋_GB2312" w:cs="仿宋_GB2312" w:eastAsia="仿宋_GB2312"/>
                <w:sz w:val="24"/>
              </w:rPr>
              <w:t>163.6万元</w:t>
            </w:r>
            <w:r>
              <w:rPr>
                <w:rFonts w:ascii="仿宋_GB2312" w:hAnsi="仿宋_GB2312" w:cs="仿宋_GB2312" w:eastAsia="仿宋_GB2312"/>
                <w:sz w:val="24"/>
              </w:rPr>
              <w:t>，该最高限价按40元保险费/人/年计算所得，根据供应商报价，每人保险费按所报总价同比例下浮进行结算。拟定为三年，从2025年4月1日-2028年3月31日。</w:t>
            </w:r>
          </w:p>
          <w:p>
            <w:pPr>
              <w:pStyle w:val="null3"/>
              <w:jc w:val="left"/>
            </w:pPr>
            <w:r>
              <w:rPr>
                <w:rFonts w:ascii="仿宋_GB2312" w:hAnsi="仿宋_GB2312" w:cs="仿宋_GB2312" w:eastAsia="仿宋_GB2312"/>
                <w:sz w:val="24"/>
              </w:rPr>
              <w:t>二、技术服务内容及要求</w:t>
            </w:r>
          </w:p>
          <w:p>
            <w:pPr>
              <w:pStyle w:val="null3"/>
              <w:jc w:val="left"/>
            </w:pPr>
            <w:r>
              <w:rPr>
                <w:rFonts w:ascii="仿宋_GB2312" w:hAnsi="仿宋_GB2312" w:cs="仿宋_GB2312" w:eastAsia="仿宋_GB2312"/>
                <w:sz w:val="24"/>
              </w:rPr>
              <w:t>（一）、保险对象：丹棱县年满</w:t>
            </w:r>
            <w:r>
              <w:rPr>
                <w:rFonts w:ascii="仿宋_GB2312" w:hAnsi="仿宋_GB2312" w:cs="仿宋_GB2312" w:eastAsia="仿宋_GB2312"/>
                <w:sz w:val="24"/>
              </w:rPr>
              <w:t>80周岁（含）以上所有高龄老年人</w:t>
            </w:r>
            <w:r>
              <w:rPr>
                <w:rFonts w:ascii="仿宋_GB2312" w:hAnsi="仿宋_GB2312" w:cs="仿宋_GB2312" w:eastAsia="仿宋_GB2312"/>
                <w:sz w:val="24"/>
              </w:rPr>
              <w:t>（说明：以身份证上生日日期为准且在上一年度</w:t>
            </w:r>
            <w:r>
              <w:rPr>
                <w:rFonts w:ascii="仿宋_GB2312" w:hAnsi="仿宋_GB2312" w:cs="仿宋_GB2312" w:eastAsia="仿宋_GB2312"/>
                <w:sz w:val="24"/>
              </w:rPr>
              <w:t>12月31日之前年满80周岁（含）以上）</w:t>
            </w:r>
            <w:r>
              <w:rPr>
                <w:rFonts w:ascii="仿宋_GB2312" w:hAnsi="仿宋_GB2312" w:cs="仿宋_GB2312" w:eastAsia="仿宋_GB2312"/>
                <w:sz w:val="24"/>
              </w:rPr>
              <w:t>；</w:t>
            </w:r>
            <w:r>
              <w:rPr>
                <w:rFonts w:ascii="仿宋_GB2312" w:hAnsi="仿宋_GB2312" w:cs="仿宋_GB2312" w:eastAsia="仿宋_GB2312"/>
                <w:sz w:val="24"/>
              </w:rPr>
              <w:t>年龄在</w:t>
            </w:r>
            <w:r>
              <w:rPr>
                <w:rFonts w:ascii="仿宋_GB2312" w:hAnsi="仿宋_GB2312" w:cs="仿宋_GB2312" w:eastAsia="仿宋_GB2312"/>
                <w:sz w:val="24"/>
              </w:rPr>
              <w:t>60-79周</w:t>
            </w:r>
            <w:r>
              <w:rPr>
                <w:rFonts w:ascii="仿宋_GB2312" w:hAnsi="仿宋_GB2312" w:cs="仿宋_GB2312" w:eastAsia="仿宋_GB2312"/>
                <w:sz w:val="24"/>
              </w:rPr>
              <w:t>岁之间的低保对象、特困对象、已脱贫对象、优抚对象、计生特扶对象、监测对象。</w:t>
            </w:r>
            <w:r>
              <w:rPr>
                <w:rFonts w:ascii="仿宋_GB2312" w:hAnsi="仿宋_GB2312" w:cs="仿宋_GB2312" w:eastAsia="仿宋_GB2312"/>
                <w:sz w:val="24"/>
              </w:rPr>
              <w:t>（说明：以身份证上生日日期为准且在上一年度</w:t>
            </w:r>
            <w:r>
              <w:rPr>
                <w:rFonts w:ascii="仿宋_GB2312" w:hAnsi="仿宋_GB2312" w:cs="仿宋_GB2312" w:eastAsia="仿宋_GB2312"/>
                <w:sz w:val="24"/>
              </w:rPr>
              <w:t>12月31日之前年满60周岁（含）以上）</w:t>
            </w:r>
          </w:p>
          <w:p>
            <w:pPr>
              <w:pStyle w:val="null3"/>
              <w:jc w:val="left"/>
            </w:pPr>
            <w:r>
              <w:rPr>
                <w:rFonts w:ascii="仿宋_GB2312" w:hAnsi="仿宋_GB2312" w:cs="仿宋_GB2312" w:eastAsia="仿宋_GB2312"/>
                <w:sz w:val="24"/>
              </w:rPr>
              <w:t>（二）、被保险人与受益人：本保险的被保险人为上述保险对象，受益人为法律规定对象，被保险人作为本保险第一求偿对象，当被保险人无法求偿时由受益人进行求偿。</w:t>
            </w:r>
          </w:p>
          <w:p>
            <w:pPr>
              <w:pStyle w:val="null3"/>
              <w:jc w:val="left"/>
            </w:pPr>
            <w:r>
              <w:rPr>
                <w:rFonts w:ascii="仿宋_GB2312" w:hAnsi="仿宋_GB2312" w:cs="仿宋_GB2312" w:eastAsia="仿宋_GB2312"/>
                <w:sz w:val="24"/>
              </w:rPr>
              <w:t>（三）、保险内容：</w:t>
            </w:r>
          </w:p>
          <w:p>
            <w:pPr>
              <w:pStyle w:val="null3"/>
              <w:jc w:val="left"/>
            </w:pPr>
            <w:r>
              <w:rPr>
                <w:rFonts w:ascii="仿宋_GB2312" w:hAnsi="仿宋_GB2312" w:cs="仿宋_GB2312" w:eastAsia="仿宋_GB2312"/>
                <w:sz w:val="24"/>
              </w:rPr>
              <w:t>1、丹棱县年龄在60-79周岁之间的低保对象、特困对象、已脱贫对象、优抚对象、计生特扶对象、监测对象</w:t>
            </w:r>
          </w:p>
          <w:tbl>
            <w:tblPr>
              <w:tblBorders>
                <w:top w:val="none" w:color="000000" w:sz="4"/>
                <w:left w:val="none" w:color="000000" w:sz="4"/>
                <w:bottom w:val="none" w:color="000000" w:sz="4"/>
                <w:right w:val="none" w:color="000000" w:sz="4"/>
                <w:insideH w:val="none"/>
                <w:insideV w:val="none"/>
              </w:tblBorders>
            </w:tblPr>
            <w:tblGrid>
              <w:gridCol w:w="1256"/>
              <w:gridCol w:w="2124"/>
              <w:gridCol w:w="2206"/>
            </w:tblGrid>
            <w:tr>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保险期间</w:t>
                  </w:r>
                </w:p>
              </w:tc>
              <w:tc>
                <w:tcPr>
                  <w:tcW w:type="dxa" w:w="2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保险责任</w:t>
                  </w:r>
                </w:p>
              </w:tc>
              <w:tc>
                <w:tcPr>
                  <w:tcW w:type="dxa" w:w="2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保险金额</w:t>
                  </w:r>
                </w:p>
              </w:tc>
            </w:tr>
            <w:tr>
              <w:tc>
                <w:tcPr>
                  <w:tcW w:type="dxa" w:w="1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一年</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意外身故、伤残</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20000元</w:t>
                  </w:r>
                </w:p>
              </w:tc>
            </w:tr>
            <w:tr>
              <w:tc>
                <w:tcPr>
                  <w:tcW w:type="dxa" w:w="1256"/>
                  <w:vMerge/>
                  <w:tcBorders>
                    <w:top w:val="none" w:color="000000" w:sz="4"/>
                    <w:left w:val="single" w:color="000000" w:sz="4"/>
                    <w:bottom w:val="single" w:color="000000" w:sz="4"/>
                    <w:right w:val="single" w:color="000000" w:sz="4"/>
                  </w:tcBorders>
                </w:tcP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意外医疗费用</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600元</w:t>
                  </w:r>
                </w:p>
              </w:tc>
            </w:tr>
            <w:tr>
              <w:tc>
                <w:tcPr>
                  <w:tcW w:type="dxa" w:w="1256"/>
                  <w:vMerge/>
                  <w:tcBorders>
                    <w:top w:val="none" w:color="000000" w:sz="4"/>
                    <w:left w:val="single" w:color="000000" w:sz="4"/>
                    <w:bottom w:val="single" w:color="000000" w:sz="4"/>
                    <w:right w:val="single" w:color="000000" w:sz="4"/>
                  </w:tcBorders>
                </w:tcP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意外住院津贴</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3600元（20元/天）</w:t>
                  </w:r>
                </w:p>
              </w:tc>
            </w:tr>
          </w:tbl>
          <w:p>
            <w:pPr>
              <w:pStyle w:val="null3"/>
              <w:jc w:val="left"/>
            </w:pPr>
            <w:r>
              <w:rPr>
                <w:rFonts w:ascii="仿宋_GB2312" w:hAnsi="仿宋_GB2312" w:cs="仿宋_GB2312" w:eastAsia="仿宋_GB2312"/>
                <w:sz w:val="24"/>
              </w:rPr>
              <w:t>保险责任描述：保险责任应涵盖意外伤害身故、意外伤害残疾、意外伤害医疗（门诊和住院）、意外伤害住院日津贴。</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意外身故是指被保险人因意外伤害发生之日起</w:t>
            </w:r>
            <w:r>
              <w:rPr>
                <w:rFonts w:ascii="仿宋_GB2312" w:hAnsi="仿宋_GB2312" w:cs="仿宋_GB2312" w:eastAsia="仿宋_GB2312"/>
                <w:sz w:val="24"/>
              </w:rPr>
              <w:t>180日内因该意外伤害导致身故的，赔付身故保险金2万元。（需扣除已给付的该被保险人的伤残保险金，对该被保险人的保险责任终止）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意外伤残指被保险人遭受意外伤害，并自该意外伤害发生之日起</w:t>
            </w:r>
            <w:r>
              <w:rPr>
                <w:rFonts w:ascii="仿宋_GB2312" w:hAnsi="仿宋_GB2312" w:cs="仿宋_GB2312" w:eastAsia="仿宋_GB2312"/>
                <w:sz w:val="24"/>
              </w:rPr>
              <w:t>180日内因该意外伤害导致身体伤残的，按行业标准——《人身保险伤残评定》进行鉴定后，保险人按下表对应的金额给付伤残保险金。</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5598"/>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人身保险伤残程度与保险金给付比例表</w:t>
                  </w:r>
                </w:p>
              </w:tc>
            </w:tr>
            <w:tr>
              <w:tc>
                <w:tcPr>
                  <w:tcW w:type="dxa" w:w="27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伤残等级</w:t>
                  </w:r>
                </w:p>
              </w:tc>
              <w:tc>
                <w:tcPr>
                  <w:tcW w:type="dxa" w:w="27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给付金额（万元）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八</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九</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十</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意外医疗费用补偿：</w:t>
            </w:r>
          </w:p>
          <w:p>
            <w:pPr>
              <w:pStyle w:val="null3"/>
              <w:jc w:val="left"/>
            </w:pPr>
            <w:r>
              <w:rPr>
                <w:rFonts w:ascii="仿宋_GB2312" w:hAnsi="仿宋_GB2312" w:cs="仿宋_GB2312" w:eastAsia="仿宋_GB2312"/>
                <w:sz w:val="24"/>
              </w:rPr>
              <w:t>在保险期间内，被保险人遭受意外伤害，在二级以上（含二级）医院或医疗保障部门认可的医院诊疗（包括门诊和住院），对符合基本医疗保险支付范围的医疗费用，在扣除从其他途径获得补偿或给付的部分后，其余额按</w:t>
            </w:r>
            <w:r>
              <w:rPr>
                <w:rFonts w:ascii="仿宋_GB2312" w:hAnsi="仿宋_GB2312" w:cs="仿宋_GB2312" w:eastAsia="仿宋_GB2312"/>
                <w:sz w:val="24"/>
              </w:rPr>
              <w:t>90%给付医疗保险金。未从其他途径获得补偿的，扣除100元免赔额后，按75%给付医疗保险金。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意外伤害住院津贴：</w:t>
            </w:r>
          </w:p>
          <w:p>
            <w:pPr>
              <w:pStyle w:val="null3"/>
              <w:jc w:val="left"/>
            </w:pPr>
            <w:r>
              <w:rPr>
                <w:rFonts w:ascii="仿宋_GB2312" w:hAnsi="仿宋_GB2312" w:cs="仿宋_GB2312" w:eastAsia="仿宋_GB2312"/>
                <w:sz w:val="24"/>
              </w:rPr>
              <w:t>被保险人因意外伤害，在二级以上（含二级）或医疗保障部门认可的医院住院治疗时，保险人每天补助</w:t>
            </w:r>
            <w:r>
              <w:rPr>
                <w:rFonts w:ascii="仿宋_GB2312" w:hAnsi="仿宋_GB2312" w:cs="仿宋_GB2312" w:eastAsia="仿宋_GB2312"/>
                <w:sz w:val="24"/>
              </w:rPr>
              <w:t>20元。每次住院时间以九十日为限，一个保单年度内如果多次住院的，累计给付日以一百八十日为限。</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年满</w:t>
            </w:r>
            <w:r>
              <w:rPr>
                <w:rFonts w:ascii="仿宋_GB2312" w:hAnsi="仿宋_GB2312" w:cs="仿宋_GB2312" w:eastAsia="仿宋_GB2312"/>
                <w:sz w:val="24"/>
              </w:rPr>
              <w:t>80周岁（含）以上所有老年人：</w:t>
            </w:r>
          </w:p>
          <w:tbl>
            <w:tblPr>
              <w:tblBorders>
                <w:top w:val="none" w:color="000000" w:sz="4"/>
                <w:left w:val="none" w:color="000000" w:sz="4"/>
                <w:bottom w:val="none" w:color="000000" w:sz="4"/>
                <w:right w:val="none" w:color="000000" w:sz="4"/>
                <w:insideH w:val="none"/>
                <w:insideV w:val="none"/>
              </w:tblBorders>
            </w:tblPr>
            <w:tblGrid>
              <w:gridCol w:w="1469"/>
              <w:gridCol w:w="1736"/>
              <w:gridCol w:w="2393"/>
            </w:tblGrid>
            <w:tr>
              <w:tc>
                <w:tcPr>
                  <w:tcW w:type="dxa" w:w="1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保险期间</w:t>
                  </w:r>
                </w:p>
              </w:tc>
              <w:tc>
                <w:tcPr>
                  <w:tcW w:type="dxa" w:w="1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保险责任</w:t>
                  </w:r>
                </w:p>
              </w:tc>
              <w:tc>
                <w:tcPr>
                  <w:tcW w:type="dxa" w:w="2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保险金额</w:t>
                  </w:r>
                </w:p>
              </w:tc>
            </w:tr>
            <w:tr>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一年</w:t>
                  </w:r>
                </w:p>
              </w:tc>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意外身故</w:t>
                  </w:r>
                </w:p>
              </w:tc>
              <w:tc>
                <w:tcPr>
                  <w:tcW w:type="dxa" w:w="2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5000元</w:t>
                  </w:r>
                </w:p>
              </w:tc>
            </w:tr>
            <w:tr>
              <w:tc>
                <w:tcPr>
                  <w:tcW w:type="dxa" w:w="1469"/>
                  <w:vMerge/>
                  <w:tcBorders>
                    <w:top w:val="none" w:color="000000" w:sz="4"/>
                    <w:left w:val="single" w:color="000000" w:sz="4"/>
                    <w:bottom w:val="single" w:color="000000" w:sz="4"/>
                    <w:right w:val="single" w:color="000000" w:sz="4"/>
                  </w:tcBorders>
                </w:tcPr>
                <w:p/>
              </w:tc>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意外伤残</w:t>
                  </w:r>
                </w:p>
              </w:tc>
              <w:tc>
                <w:tcPr>
                  <w:tcW w:type="dxa" w:w="2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20000元</w:t>
                  </w:r>
                </w:p>
              </w:tc>
            </w:tr>
            <w:tr>
              <w:tc>
                <w:tcPr>
                  <w:tcW w:type="dxa" w:w="1469"/>
                  <w:vMerge/>
                  <w:tcBorders>
                    <w:top w:val="none" w:color="000000" w:sz="4"/>
                    <w:left w:val="single" w:color="000000" w:sz="4"/>
                    <w:bottom w:val="single" w:color="000000" w:sz="4"/>
                    <w:right w:val="single" w:color="000000" w:sz="4"/>
                  </w:tcBorders>
                </w:tcPr>
                <w:p/>
              </w:tc>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意外住院津贴</w:t>
                  </w:r>
                </w:p>
              </w:tc>
              <w:tc>
                <w:tcPr>
                  <w:tcW w:type="dxa" w:w="2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27000元（150元/天）</w:t>
                  </w:r>
                </w:p>
              </w:tc>
            </w:tr>
          </w:tbl>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1）、</w:t>
            </w:r>
            <w:r>
              <w:rPr>
                <w:rFonts w:ascii="仿宋_GB2312" w:hAnsi="仿宋_GB2312" w:cs="仿宋_GB2312" w:eastAsia="仿宋_GB2312"/>
                <w:sz w:val="24"/>
              </w:rPr>
              <w:t>意外身故：意外身故是指被保险人因意外伤害发生之日起</w:t>
            </w:r>
            <w:r>
              <w:rPr>
                <w:rFonts w:ascii="仿宋_GB2312" w:hAnsi="仿宋_GB2312" w:cs="仿宋_GB2312" w:eastAsia="仿宋_GB2312"/>
                <w:sz w:val="24"/>
              </w:rPr>
              <w:t>180日内因该意外伤害导致身故的，赔付身故保险金5000元。（需扣除已给付的该被保险人的伤残保险金，对该被保险人的保险责任终止）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意外伤残：意外伤残指被保险人遭受意外伤害，并自该意外伤害发生之日起</w:t>
            </w:r>
            <w:r>
              <w:rPr>
                <w:rFonts w:ascii="仿宋_GB2312" w:hAnsi="仿宋_GB2312" w:cs="仿宋_GB2312" w:eastAsia="仿宋_GB2312"/>
                <w:sz w:val="24"/>
              </w:rPr>
              <w:t>180日内因该意外伤害导致身体伤残的，按行业标准——《人身保险伤残评定》进行鉴定后，保险人按下表对应的金额给付伤残保险金。</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人身保险伤残程度与保险金给付比例表</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伤残等级</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给付金额（万元）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八</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九</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十</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意外伤害住院津贴：</w:t>
            </w:r>
          </w:p>
          <w:p>
            <w:pPr>
              <w:pStyle w:val="null3"/>
              <w:jc w:val="left"/>
            </w:pPr>
            <w:r>
              <w:rPr>
                <w:rFonts w:ascii="仿宋_GB2312" w:hAnsi="仿宋_GB2312" w:cs="仿宋_GB2312" w:eastAsia="仿宋_GB2312"/>
                <w:sz w:val="24"/>
              </w:rPr>
              <w:t>被保险人因意外伤害，在二级以上（含二级）医院或</w:t>
            </w:r>
            <w:r>
              <w:rPr>
                <w:rFonts w:ascii="仿宋_GB2312" w:hAnsi="仿宋_GB2312" w:cs="仿宋_GB2312" w:eastAsia="仿宋_GB2312"/>
                <w:sz w:val="24"/>
              </w:rPr>
              <w:t>医疗保障部门</w:t>
            </w:r>
            <w:r>
              <w:rPr>
                <w:rFonts w:ascii="仿宋_GB2312" w:hAnsi="仿宋_GB2312" w:cs="仿宋_GB2312" w:eastAsia="仿宋_GB2312"/>
                <w:sz w:val="24"/>
              </w:rPr>
              <w:t>认可的医院住院治疗时，保险人每天补</w:t>
            </w:r>
            <w:r>
              <w:rPr>
                <w:rFonts w:ascii="仿宋_GB2312" w:hAnsi="仿宋_GB2312" w:cs="仿宋_GB2312" w:eastAsia="仿宋_GB2312"/>
                <w:sz w:val="24"/>
              </w:rPr>
              <w:t>助</w:t>
            </w:r>
            <w:r>
              <w:rPr>
                <w:rFonts w:ascii="仿宋_GB2312" w:hAnsi="仿宋_GB2312" w:cs="仿宋_GB2312" w:eastAsia="仿宋_GB2312"/>
                <w:sz w:val="24"/>
              </w:rPr>
              <w:t>150元</w:t>
            </w:r>
            <w:r>
              <w:rPr>
                <w:rFonts w:ascii="仿宋_GB2312" w:hAnsi="仿宋_GB2312" w:cs="仿宋_GB2312" w:eastAsia="仿宋_GB2312"/>
                <w:sz w:val="24"/>
              </w:rPr>
              <w:t>。每次住院时间以九十日为限，一个保单年度内如果多次住院的，累计给付日以一百八十日为限。</w:t>
            </w:r>
          </w:p>
          <w:p>
            <w:pPr>
              <w:pStyle w:val="null3"/>
              <w:jc w:val="left"/>
            </w:pPr>
            <w:r>
              <w:rPr>
                <w:rFonts w:ascii="仿宋_GB2312" w:hAnsi="仿宋_GB2312" w:cs="仿宋_GB2312" w:eastAsia="仿宋_GB2312"/>
                <w:sz w:val="24"/>
              </w:rPr>
              <w:t>（四）保险机构要求：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1）、承诺提供针对老年人优惠特色服务或增值服务，并在合同期期间在丹棱县内开展关爱老年人关爱慈善活动。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2）、承诺配备有法律知识背景的专业调解接待人员，建立专门从事接待调解工作的调解室，建立配套信访投诉台账资料。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3）、承诺派专人对老年人意外伤害保险运行情况进行分析和精算，每月汇总、报送老年人意外伤害保险相关报告、报表、文件、信息和资料。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4）、供应商针对本项目配备相应的专业人员，承诺提供出险人理赔进度及赔款实时查询，并具备线上理赔支付功能。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五）、若采购项目合同签订后，全（眉山）市对相关保险内容有调整的，按最新标准执行。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六）商务要求：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1）、服务期限：三年，从2025年4月1日-2028年3月31日。</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2）、服务地点：丹棱县。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、付款方式：合同签订后，达到付款条件起30日内，预付2025年保费的30%（成交供应商若为民营中小企业，则预付40%）；</w:t>
            </w:r>
            <w:r>
              <w:rPr>
                <w:rFonts w:ascii="仿宋_GB2312" w:hAnsi="仿宋_GB2312" w:cs="仿宋_GB2312" w:eastAsia="仿宋_GB2312"/>
                <w:sz w:val="24"/>
              </w:rPr>
              <w:t>以实际购买数量为准进行费用结算</w:t>
            </w:r>
            <w:r>
              <w:rPr>
                <w:rFonts w:ascii="仿宋_GB2312" w:hAnsi="仿宋_GB2312" w:cs="仿宋_GB2312" w:eastAsia="仿宋_GB2312"/>
                <w:sz w:val="24"/>
              </w:rPr>
              <w:t>，达到付款条件起30日内，采购人</w:t>
            </w:r>
            <w:r>
              <w:rPr>
                <w:rFonts w:ascii="仿宋_GB2312" w:hAnsi="仿宋_GB2312" w:cs="仿宋_GB2312" w:eastAsia="仿宋_GB2312"/>
                <w:sz w:val="24"/>
              </w:rPr>
              <w:t>将</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年剩余保费一次性转至</w:t>
            </w:r>
            <w:r>
              <w:rPr>
                <w:rFonts w:ascii="仿宋_GB2312" w:hAnsi="仿宋_GB2312" w:cs="仿宋_GB2312" w:eastAsia="仿宋_GB2312"/>
                <w:sz w:val="24"/>
              </w:rPr>
              <w:t>成交供应商</w:t>
            </w:r>
            <w:r>
              <w:rPr>
                <w:rFonts w:ascii="仿宋_GB2312" w:hAnsi="仿宋_GB2312" w:cs="仿宋_GB2312" w:eastAsia="仿宋_GB2312"/>
                <w:sz w:val="24"/>
              </w:rPr>
              <w:t>指定账户，</w:t>
            </w:r>
            <w:r>
              <w:rPr>
                <w:rFonts w:ascii="仿宋_GB2312" w:hAnsi="仿宋_GB2312" w:cs="仿宋_GB2312" w:eastAsia="仿宋_GB2312"/>
                <w:sz w:val="24"/>
              </w:rPr>
              <w:t>后续每年保费在每年合同生效日后的</w:t>
            </w:r>
            <w:r>
              <w:rPr>
                <w:rFonts w:ascii="仿宋_GB2312" w:hAnsi="仿宋_GB2312" w:cs="仿宋_GB2312" w:eastAsia="仿宋_GB2312"/>
                <w:sz w:val="24"/>
              </w:rPr>
              <w:t>30个工作日内，将相应年度保费</w:t>
            </w:r>
            <w:r>
              <w:rPr>
                <w:rFonts w:ascii="仿宋_GB2312" w:hAnsi="仿宋_GB2312" w:cs="仿宋_GB2312" w:eastAsia="仿宋_GB2312"/>
                <w:sz w:val="24"/>
              </w:rPr>
              <w:t>一次性转至</w:t>
            </w:r>
            <w:r>
              <w:rPr>
                <w:rFonts w:ascii="仿宋_GB2312" w:hAnsi="仿宋_GB2312" w:cs="仿宋_GB2312" w:eastAsia="仿宋_GB2312"/>
                <w:sz w:val="24"/>
              </w:rPr>
              <w:t>成交供应商</w:t>
            </w:r>
            <w:r>
              <w:rPr>
                <w:rFonts w:ascii="仿宋_GB2312" w:hAnsi="仿宋_GB2312" w:cs="仿宋_GB2312" w:eastAsia="仿宋_GB2312"/>
                <w:sz w:val="24"/>
              </w:rPr>
              <w:t>指定账户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供应商报价需符合项目的预算控制价要求，超出项目预算控制价的报价为无效投标，投标报价估算错误等引起的风险由供应商自行承担；报价应包括材料、交通、保险、税费、人工费、人员派驻及完成本项目所涉及的所有费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5）验收要求：按照政府采购相关法律法规以及《财政部关于进一步加强政府采购需求和履约验收管理 的指导意见》（财库〔2016〕205 号）的要求、采购文件、行业标准、投标文件及承诺以及合同约定标准进行验收。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自合同签订之日起1095日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眉山市丹棱县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号）的要求、采购文件规定的要求和成交的响应文件及承诺、合同以及根据国家相关规范及行业验收规范、标准执行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1、合同签订后，达到付款条件起30日内，据实情况说明为预付2025年保费的30%（成交供应商若为民营中小企业，则预付40% ）</w:t>
            </w:r>
          </w:p>
          <w:p>
            <w:pPr>
              <w:pStyle w:val="null3"/>
              <w:jc w:val="left"/>
            </w:pPr>
            <w:r>
              <w:rPr>
                <w:rFonts w:ascii="仿宋_GB2312" w:hAnsi="仿宋_GB2312" w:cs="仿宋_GB2312" w:eastAsia="仿宋_GB2312"/>
              </w:rPr>
              <w:t>2、以实际购买数量为准进行费用结算，达到付款条件起30日内，据实情况说明为采购人将2025年剩余保费一次性转至成交供应商指定账户，后续每年保费在每年合同生效日后的30个工作日内，将相应年度保费一次性转至成交供应商指定账户</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甲乙双方必须遵守本合同并执行合同中的各项规定，保证本合同的正常履行。②如因乙方工作人员在履行职务过程中的疏忽、失职、过错等故意或者过失原因给甲方造成损失或侵害，包括但不限于甲方本身的财产损失、由此而导致的甲方对任何第三方的法律责任等，乙方对此均应承担全部的赔偿责任。③在执行本合同中发生的或与本合同有关的争端，双方应通过友好协商解决，经协商在30天内不能达成协议时，应提交眉山仲裁委员会仲裁。④在仲裁期间，乙方不得停止服务，并应保证政府采购合同的继续履行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度或2024年度经审计的财务报告复印件(包含审计报告和审计报告中所涉及的财务报表和报表附注)，②可提供2023年度或2024年度供应商完整的全套财务报表(应当包括资产负债表、利润表、现金流量表、所有者权益变动表附注)，③可提供截至响应文件递交截止日年内银行出具的资信证明(复印件)，④供应商注册时间截至响应文件递交截止日不足一年的，也可提供在工商备案的公司章程(复印件)，⑤可提供具有健全的财务会计制度承诺(原件)。供应商需在项目电子化交易系统中按要求上传相应证明文件并进行电子签章。以上5条供应商可任选其一提供材料。</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供应商须具备有效的《经营保险业务许可证》</w:t>
            </w:r>
          </w:p>
        </w:tc>
        <w:tc>
          <w:tcPr>
            <w:tcW w:type="dxa" w:w="3322"/>
          </w:tcPr>
          <w:p>
            <w:pPr>
              <w:pStyle w:val="null3"/>
              <w:jc w:val="left"/>
            </w:pPr>
            <w:r>
              <w:rPr>
                <w:rFonts w:ascii="仿宋_GB2312" w:hAnsi="仿宋_GB2312" w:cs="仿宋_GB2312" w:eastAsia="仿宋_GB2312"/>
              </w:rPr>
              <w:t>供应商须具备《经营保险业务许可证》，供应商提供相关证明材料并进行电子签章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供应商应获得中国保险监督管理委员会批准经营意外伤害保险业务的资质</w:t>
            </w:r>
          </w:p>
        </w:tc>
        <w:tc>
          <w:tcPr>
            <w:tcW w:type="dxa" w:w="3322"/>
          </w:tcPr>
          <w:p>
            <w:pPr>
              <w:pStyle w:val="null3"/>
              <w:jc w:val="left"/>
            </w:pPr>
            <w:r>
              <w:rPr>
                <w:rFonts w:ascii="仿宋_GB2312" w:hAnsi="仿宋_GB2312" w:cs="仿宋_GB2312" w:eastAsia="仿宋_GB2312"/>
              </w:rPr>
              <w:t>供应商需在项目电子化交易系统中提供中国保险监督管理委员会批准经营意外伤害保险业务的资质证明材料并进行电子签章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本项目接受石油、石化、电力、电信、保险、银行等行业有特殊情况的分公司参加投标，供应商分支机构投标的须在响应文件中提供总公司对分公司授权证明书</w:t>
            </w:r>
          </w:p>
        </w:tc>
        <w:tc>
          <w:tcPr>
            <w:tcW w:type="dxa" w:w="3322"/>
          </w:tcPr>
          <w:p>
            <w:pPr>
              <w:pStyle w:val="null3"/>
              <w:jc w:val="left"/>
            </w:pPr>
            <w:r>
              <w:rPr>
                <w:rFonts w:ascii="仿宋_GB2312" w:hAnsi="仿宋_GB2312" w:cs="仿宋_GB2312" w:eastAsia="仿宋_GB2312"/>
              </w:rPr>
              <w:t>供应商分支机构投标的，需在项目电子化交易系统中提供总公司对分公司授权证明书并进行电子签章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1.在磋商过程中，磋商小组认为供应商报价低于采购预算50 %或者低于其他有效供应商报价算术平均价40%，有可能影 响产品质量或者不能诚信履约的，磋商小组应当要求其在评 审现场合理的时间内提供成本构成书面说明，并提交相关证 明材料。书面说明应当按照国家财务会计制度的规定要求， 逐项就供应商提供的货物、工程和服务的主营业务成本(应根据供应商企业类型予以区别)、税金及附加、销售费用、 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偿付能力</w:t>
            </w:r>
          </w:p>
        </w:tc>
        <w:tc>
          <w:tcPr>
            <w:tcW w:type="dxa" w:w="2575"/>
          </w:tcPr>
          <w:p>
            <w:pPr>
              <w:pStyle w:val="null3"/>
              <w:jc w:val="left"/>
            </w:pPr>
            <w:r>
              <w:rPr>
                <w:rFonts w:ascii="仿宋_GB2312" w:hAnsi="仿宋_GB2312" w:cs="仿宋_GB2312" w:eastAsia="仿宋_GB2312"/>
              </w:rPr>
              <w:t>以供应商2024年第1-4季度综合偿付能力充足率为准，充足率均在200%以上的得25分。每有一次充足率在180%＜充足率≤200%的扣3分，每有1次充足率在150%≤充足率≤180%的扣6.25分，扣完为止。如有一次充足率低于150%的本项不得分。注：以供应商总公司2024年第1-4季度偿付能力季度报告摘要中综合偿付能力为准。提供复印件并加盖供应商鲜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风险综合评级</w:t>
            </w:r>
          </w:p>
        </w:tc>
        <w:tc>
          <w:tcPr>
            <w:tcW w:type="dxa" w:w="2575"/>
          </w:tcPr>
          <w:p>
            <w:pPr>
              <w:pStyle w:val="null3"/>
              <w:jc w:val="left"/>
            </w:pPr>
            <w:r>
              <w:rPr>
                <w:rFonts w:ascii="仿宋_GB2312" w:hAnsi="仿宋_GB2312" w:cs="仿宋_GB2312" w:eastAsia="仿宋_GB2312"/>
              </w:rPr>
              <w:t>根据供应商总公司2024年第一季度到第四个季度风险综合评级评分。全部评级为AAA的得22分，每有一次评级为AA的扣1分，每有一次评级为A的扣2分，每有一次评级为BBB及以下的扣5.5分，直到扣完为止。如有一次评级为D的则本项不得分。注：提供相关网站查询结果截图并加盖供应商鲜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近三年（2022年至今）完成的类似业绩，每有一个得2分，最高得10分。 注:提供合同复印件和中标（成交通知书）并加盖鲜章。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方案中应包含但不限于以下内容： 1、承保实施方案（包含但不限于：①承保服务方案；②宣传方案和保障措施；③保险责任种类；④承保服务流程；）2、理赔服务方案（包含但不限于：①理赔实施方案；②理赔详细流程的分布；③理赔时间、出险快速处理等；）3、质量保障方案（包含但不限于：①项目实施总体方案；②业务咨询方案；③政策宣传方案；④纠纷处置方案等；）方案中包含但不限于以上11条内容的得33分，每缺失一项扣3分，方案每有一处缺陷或不足（缺陷或不足指：内容与本项目需求无关或不适用项目实际情況、内容表述歧义或错误、内容前后表达矛盾或不一致、内容描述不详细或不足、仅有框架或标题、明显复制其他项目内容、项目基本信息歧义或错误、不符合本项目涉及的相关规范或标准要求的任意一种情形）的扣1.5分，扣完为止。</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