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版本号：SZT2026-SN-SC-ZC-GC-000920260417001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曲江院区PCR实验室改造项目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SZT2026-SN-SC-ZC-GC-0009</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曲江院区PCR实验室改造项目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SZT2026-SN-SC-ZC-GC-0009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曲江院区PCR实验室改造项目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妇女儿童医院曲江院区PCR实验室改造项目，医学检验中心、医学遗传中心、转化医学中心PCR实验室达标改造，总面积约655平方米。主要内容：设计图纸范围内的拆除工程、新建墙面工程、天棚工程、给排水工程、空调通风工程、电气工程等，具体内容详见本项目竞争性磋商文件、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采购包1（曲江院区PCR实验室改造）：属于专门面向中小企业采购。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具有良好的商业信誉和健全的财务会计制度：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http://acc.mof.gov.cn)。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附《基本存款账户信息》或《银行开户许可证》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3、税收缴纳证明：提供响应文件截止时间前1年内（不包含开标当月）至少3个月的依法缴纳税收的相关凭据（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供应商需在项目电子化交易系统中按要求上传相应证明文件并进行电子签章。</w:t>
      </w:r>
    </w:p>
    <w:p>
      <w:pPr>
        <w:pStyle w:val="null3"/>
      </w:pPr>
      <w:r>
        <w:rPr>
          <w:rFonts w:ascii="仿宋_GB2312" w:hAnsi="仿宋_GB2312" w:cs="仿宋_GB2312" w:eastAsia="仿宋_GB2312"/>
        </w:rPr>
        <w:t>4、社会保障资金缴纳证明：提供响应文件截止时间前1年内（不包含开标当月）至少3个月的社会保障资金缴存单据或社保机构开具的社会保险参保缴费情况证明，单据或证明上应有社保机构或代收机构的公章或业务专用章；（依法不需要缴纳社会保障资金的投标供应商应提供相关证明）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的说明及承诺：具有履行合同所必需的设备和专业技术能力的说明及承诺（提供相应承诺）供应商需在项目电子化交易系统中按要求上传相应证明文件并进行电子签章。</w:t>
      </w:r>
    </w:p>
    <w:p>
      <w:pPr>
        <w:pStyle w:val="null3"/>
      </w:pPr>
      <w:r>
        <w:rPr>
          <w:rFonts w:ascii="仿宋_GB2312" w:hAnsi="仿宋_GB2312" w:cs="仿宋_GB2312" w:eastAsia="仿宋_GB2312"/>
        </w:rPr>
        <w:t>6、提供参加本次政府采购活动前三年内在经营活动中没有重大违法记录的书面声明：提供参加本次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供应商资质要求：供应商须具有建设行政主管部门颁发的建筑装修装饰工程专业承包二级及以上资质证书和建筑机电安装工程专业承包二级及以上资质证书，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8、拟派项目负责人资质和专业要求：：拟派项目负责人资质和专业要求：须具备建设行政主管部门颁发的建筑机电安装专业注册建造师二级及以上执业资格和有效的安全生产考核合格B证，在本单位注册且未担任其他在建工程项目的项目经理（提供无在建承诺函）。供应商需在项目电子化交易系统中按要求上传相应证明文件并进行电子签章。</w:t>
      </w:r>
    </w:p>
    <w:p>
      <w:pPr>
        <w:pStyle w:val="null3"/>
      </w:pPr>
      <w:r>
        <w:rPr>
          <w:rFonts w:ascii="仿宋_GB2312" w:hAnsi="仿宋_GB2312" w:cs="仿宋_GB2312" w:eastAsia="仿宋_GB2312"/>
        </w:rPr>
        <w:t>9、信用查询：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10、不接受联合体磋商：不接受联合体磋商（提供相应承诺）；供应商需在项目电子化交易系统中按要求上传相应证明文件并进行电子签章。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寇祎祎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王哲、米成、肖懿、胡婷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开户名称：陕西中技招标有限公司（备注：(编号后四位）项目+磋商保证金）</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的收取参见国家计委颁布的《招标代理服务收费管理暂行办法》（计价格〔2002〕1980号）和（发改办价格〔2003〕857号）收费标准下浮20%收取。2、中标/成交供应商在领取成交通知书前，须向采购代理机构一次性支付招标代理服务费。招标代理服务费缴存账户： 开户名称：陕西中技招标有限公司 开户行名称：招商银行西安分行营业部 账号：1299 1681 2810 001 转账事由/备注：(编号后四位）项目招标代理服务费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一、达到国家施工验收规范合格标准。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联系人：戴杨</w:t>
      </w:r>
    </w:p>
    <w:p>
      <w:pPr>
        <w:pStyle w:val="null3"/>
      </w:pPr>
      <w:r>
        <w:rPr>
          <w:rFonts w:ascii="仿宋_GB2312" w:hAnsi="仿宋_GB2312" w:cs="仿宋_GB2312" w:eastAsia="仿宋_GB2312"/>
        </w:rPr>
        <w:t>联系电话：029-87304326转856</w:t>
      </w:r>
    </w:p>
    <w:p>
      <w:pPr>
        <w:pStyle w:val="null3"/>
      </w:pPr>
      <w:r>
        <w:rPr>
          <w:rFonts w:ascii="仿宋_GB2312" w:hAnsi="仿宋_GB2312" w:cs="仿宋_GB2312" w:eastAsia="仿宋_GB2312"/>
        </w:rPr>
        <w:t>地址：西安市高新区高新四路1号高科广场A座10楼1001室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2,750,000.00</w:t>
      </w:r>
    </w:p>
    <w:p>
      <w:pPr>
        <w:pStyle w:val="null3"/>
      </w:pPr>
      <w:r>
        <w:rPr>
          <w:rFonts w:ascii="仿宋_GB2312" w:hAnsi="仿宋_GB2312" w:cs="仿宋_GB2312" w:eastAsia="仿宋_GB2312"/>
        </w:rPr>
        <w:t>采购包最高限价（元）: 2,749,629.81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曲江院区PCR实验室改造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标的名称：曲江院区PCR实验室改造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建设地点：</w:t>
            </w:r>
            <w:r>
              <w:rPr>
                <w:rFonts w:ascii="仿宋_GB2312" w:hAnsi="仿宋_GB2312" w:cs="仿宋_GB2312" w:eastAsia="仿宋_GB2312"/>
                <w:sz w:val="24"/>
              </w:rPr>
              <w:t>西北妇女儿童医院曲江院区。</w:t>
            </w:r>
          </w:p>
          <w:p>
            <w:pPr>
              <w:pStyle w:val="null3"/>
              <w:jc w:val="both"/>
            </w:pPr>
            <w:r>
              <w:rPr>
                <w:rFonts w:ascii="仿宋_GB2312" w:hAnsi="仿宋_GB2312" w:cs="仿宋_GB2312" w:eastAsia="仿宋_GB2312"/>
                <w:sz w:val="24"/>
              </w:rPr>
              <w:t>工程规模：</w:t>
            </w:r>
            <w:r>
              <w:rPr>
                <w:rFonts w:ascii="仿宋_GB2312" w:hAnsi="仿宋_GB2312" w:cs="仿宋_GB2312" w:eastAsia="仿宋_GB2312"/>
                <w:sz w:val="24"/>
              </w:rPr>
              <w:t>医学检验中心、医学遗传中心、转化医学中心</w:t>
            </w:r>
            <w:r>
              <w:rPr>
                <w:rFonts w:ascii="仿宋_GB2312" w:hAnsi="仿宋_GB2312" w:cs="仿宋_GB2312" w:eastAsia="仿宋_GB2312"/>
                <w:sz w:val="24"/>
              </w:rPr>
              <w:t>PCR实验室达标改造，总面积约655平方米。</w:t>
            </w:r>
          </w:p>
          <w:p>
            <w:pPr>
              <w:pStyle w:val="null3"/>
              <w:jc w:val="both"/>
            </w:pPr>
            <w:r>
              <w:rPr>
                <w:rFonts w:ascii="仿宋_GB2312" w:hAnsi="仿宋_GB2312" w:cs="仿宋_GB2312" w:eastAsia="仿宋_GB2312"/>
                <w:sz w:val="24"/>
              </w:rPr>
              <w:t>二、改造提升内容</w:t>
            </w:r>
          </w:p>
          <w:p>
            <w:pPr>
              <w:pStyle w:val="null3"/>
              <w:jc w:val="both"/>
            </w:pPr>
            <w:r>
              <w:rPr>
                <w:rFonts w:ascii="仿宋_GB2312" w:hAnsi="仿宋_GB2312" w:cs="仿宋_GB2312" w:eastAsia="仿宋_GB2312"/>
                <w:sz w:val="24"/>
              </w:rPr>
              <w:t>主要内容：设计图纸范围内的拆除工程、新建墙面工程、天棚工程、给排水工程、空调通风工程、电气工程等，具体内容详见本项目竞争性磋商文件、图纸及工程量清单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三、工期要求：</w:t>
            </w:r>
            <w:r>
              <w:rPr>
                <w:rFonts w:ascii="仿宋_GB2312" w:hAnsi="仿宋_GB2312" w:cs="仿宋_GB2312" w:eastAsia="仿宋_GB2312"/>
                <w:sz w:val="24"/>
              </w:rPr>
              <w:t>45个日历天内</w:t>
            </w:r>
          </w:p>
          <w:p>
            <w:pPr>
              <w:pStyle w:val="null3"/>
              <w:jc w:val="both"/>
            </w:pPr>
            <w:r>
              <w:rPr>
                <w:rFonts w:ascii="仿宋_GB2312" w:hAnsi="仿宋_GB2312" w:cs="仿宋_GB2312" w:eastAsia="仿宋_GB2312"/>
                <w:sz w:val="24"/>
              </w:rPr>
              <w:t>四、工程质量：</w:t>
            </w:r>
            <w:r>
              <w:rPr>
                <w:rFonts w:ascii="仿宋_GB2312" w:hAnsi="仿宋_GB2312" w:cs="仿宋_GB2312" w:eastAsia="仿宋_GB2312"/>
                <w:sz w:val="24"/>
              </w:rPr>
              <w:t>合格，达到国家</w:t>
            </w:r>
            <w:r>
              <w:rPr>
                <w:rFonts w:ascii="仿宋_GB2312" w:hAnsi="仿宋_GB2312" w:cs="仿宋_GB2312" w:eastAsia="仿宋_GB2312"/>
                <w:sz w:val="24"/>
              </w:rPr>
              <w:t>PCR验收标准。</w:t>
            </w:r>
          </w:p>
          <w:p>
            <w:pPr>
              <w:pStyle w:val="null3"/>
              <w:jc w:val="both"/>
            </w:pPr>
            <w:r>
              <w:rPr>
                <w:rFonts w:ascii="仿宋_GB2312" w:hAnsi="仿宋_GB2312" w:cs="仿宋_GB2312" w:eastAsia="仿宋_GB2312"/>
                <w:sz w:val="24"/>
              </w:rPr>
              <w:t>五</w:t>
            </w:r>
            <w:r>
              <w:rPr>
                <w:rFonts w:ascii="仿宋_GB2312" w:hAnsi="仿宋_GB2312" w:cs="仿宋_GB2312" w:eastAsia="仿宋_GB2312"/>
                <w:sz w:val="24"/>
              </w:rPr>
              <w:t>、付款方式：</w:t>
            </w:r>
            <w:r>
              <w:rPr>
                <w:rFonts w:ascii="仿宋_GB2312" w:hAnsi="仿宋_GB2312" w:cs="仿宋_GB2312" w:eastAsia="仿宋_GB2312"/>
                <w:sz w:val="24"/>
              </w:rPr>
              <w:t>银行转账，分期付款。工程竣工验收合格后，支付工程审定金额的</w:t>
            </w:r>
            <w:r>
              <w:rPr>
                <w:rFonts w:ascii="仿宋_GB2312" w:hAnsi="仿宋_GB2312" w:cs="仿宋_GB2312" w:eastAsia="仿宋_GB2312"/>
                <w:sz w:val="24"/>
              </w:rPr>
              <w:t>97%，剩余3%待缺陷责任期满2年后一次性无息支付。付款前由</w:t>
            </w:r>
            <w:r>
              <w:rPr>
                <w:rFonts w:ascii="仿宋_GB2312" w:hAnsi="仿宋_GB2312" w:cs="仿宋_GB2312" w:eastAsia="仿宋_GB2312"/>
                <w:sz w:val="24"/>
              </w:rPr>
              <w:t>供应商</w:t>
            </w:r>
            <w:r>
              <w:rPr>
                <w:rFonts w:ascii="仿宋_GB2312" w:hAnsi="仿宋_GB2312" w:cs="仿宋_GB2312" w:eastAsia="仿宋_GB2312"/>
                <w:sz w:val="24"/>
              </w:rPr>
              <w:t>开具本工程审计后符合税法规定的发票。</w:t>
            </w:r>
          </w:p>
          <w:p>
            <w:pPr>
              <w:pStyle w:val="null3"/>
              <w:jc w:val="both"/>
            </w:pPr>
            <w:r>
              <w:rPr>
                <w:rFonts w:ascii="仿宋_GB2312" w:hAnsi="仿宋_GB2312" w:cs="仿宋_GB2312" w:eastAsia="仿宋_GB2312"/>
                <w:sz w:val="24"/>
              </w:rPr>
              <w:t>六</w:t>
            </w:r>
            <w:r>
              <w:rPr>
                <w:rFonts w:ascii="仿宋_GB2312" w:hAnsi="仿宋_GB2312" w:cs="仿宋_GB2312" w:eastAsia="仿宋_GB2312"/>
                <w:sz w:val="24"/>
              </w:rPr>
              <w:t>、项目缺陷责任期：</w:t>
            </w:r>
            <w:r>
              <w:rPr>
                <w:rFonts w:ascii="仿宋_GB2312" w:hAnsi="仿宋_GB2312" w:cs="仿宋_GB2312" w:eastAsia="仿宋_GB2312"/>
                <w:sz w:val="24"/>
              </w:rPr>
              <w:t>2年（防水质量保修期：5年），项目缺陷责任期从项目验收合格完成之日起算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七、工程量清单、图纸、主材表（详见附件）</w:t>
            </w:r>
          </w:p>
          <w:p>
            <w:pPr>
              <w:pStyle w:val="null3"/>
              <w:jc w:val="left"/>
            </w:pPr>
            <w:r>
              <w:rPr>
                <w:rFonts w:ascii="仿宋_GB2312" w:hAnsi="仿宋_GB2312" w:cs="仿宋_GB2312" w:eastAsia="仿宋_GB2312"/>
                <w:sz w:val="24"/>
              </w:rPr>
              <w:t>八、施工要求</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在施工期间，成交供应商必须注意施工区域内的人员安全</w:t>
            </w:r>
            <w:r>
              <w:rPr>
                <w:rFonts w:ascii="仿宋_GB2312" w:hAnsi="仿宋_GB2312" w:cs="仿宋_GB2312" w:eastAsia="仿宋_GB2312"/>
                <w:sz w:val="24"/>
              </w:rPr>
              <w:t>,加强安全措施，并对施工人员进行安全教育。施工人员必须持 证上岗，遵守工程建设安全生产有关管理规定，严格按安全标准组织施工，采取必要的安全生产措施，消除事故隐患。安全措施不力造成事故责任和发生的费用由成交供应商承担。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达到现行“合格”标准，符合国家、行业、地方规定以及磋商文件规定的质量和安全标准要求。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采购标的对应的中小企业划分标准所属行业为建筑业。划型标准按照中小企业划型标准规定（工信部联企业[2011]300号）执行。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一、本项目最高限价：2,749,629.81元，暂列金额按照120000.00元计入； 二、建设地点：西北妇女儿童医院曲江院区。 三、合同形式：固定综合单价合同形式。合同总价为暂定总价款（已含税），综合单价和合同总价中已包含承包人为完成本工程所应承担的所有费用，包括但不限于工程直接费用、间接费用以及为实施工程的协调费用等。结算时按实际工程量乘以固定综合单价进行调整。综合单价中包括的风险范围：除政策性调整、不可抗力以及专用条款另有约定外的所有风险。付款方式详见合同内。 四、履约验收方案： （一）、达到国家施工验收规范合格标准。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五、其他说明： 1、本项目磋商文件第三章 磋商项目技术、服务、商务及其它要求 商务要求中“一次性付清”为系统固定描述内容，具体付款方式以下列内容为准：银行转账，分期付款。工程竣工验收合格后，支付工程审定金额的97%，剩余3%待缺陷责任期满2年后一次性无息支付。付款前由供应商开具本工程审计后符合税法规定的发票。 2、本项目不组织统一踏勘现场，各供应商可自行前往项目所在地进行踏勘。过程中所产生的任何费用及安全问题由供应商自行承担。不论供应商是否踏勘，与本项目实施的所有因素、细节由供应商自行考虑并承担相关不利风险，任何因忽视或误解工地情况而导致的索赔或工期延长申请将不获批准。 3、为顺利推进政府采购电子化交易平台应用工作，供应商需要在线提交所有通过电子化交易平台实施的政府采购项目的响应文件，同时，线下提交纸质版响应文件壹份（中标成交供应商需在中标后另行提供两套文件）、电子版壹份（U盘一份标明供应商名称）。若电子响应文件与纸质响应文件不一致的，以电子响应文件为准；线下递交文件时间及地点：递交截止时间同响应文件递交截止时间一致，递交地点为：西安市高新区高新四路 1 号高科广场 A座5楼0503会议室。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具有独立承担民事责任能力的法人、其他组织或自然人，并出具合法有效的营业执照或事业单位法人证书等国家规定的相关证明，自然人参与的提供其身份证明； 2、税收缴纳证明：提供响应文件截止时间前1年内（不包含开标当月）至少3个月的依法缴纳税收的相关凭据（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 3、社会保障资金缴纳证明：提供响应文件截止时间前1年内（不包含开标当月）至少3个月的社会保障资金缴存单据或社保机构开具的社会保险参保缴费情况证明，单据或证明上应有社保机构或代收机构的公章或业务专用章；（依法不需要缴纳社会保障资金的投标供应商应提供相关证明）。 4、具有履行合同所必需的设备和专业技术能力的说明及承诺（提供相应承诺）。 5、提供参加本次政府采购活动前三年内在经营活动中没有重大违法记录的书面声明。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http://acc.mof.gov.cn)。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附《基本存款账户信息》或《银行开户许可证》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http://acc.mof.gov.cn)。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附《基本存款账户信息》或《银行开户许可证》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时间前1年内（不包含开标当月）至少3个月的依法缴纳税收的相关凭据（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1年内（不包含开标当月）至少3个月的社会保障资金缴存单据或社保机构开具的社会保险参保缴费情况证明，单据或证明上应有社保机构或代收机构的公章或业务专用章；（依法不需要缴纳社会保障资金的投标供应商应提供相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具有履行合同所必需的设备和专业技术能力的说明及承诺</w:t>
            </w:r>
          </w:p>
        </w:tc>
        <w:tc>
          <w:tcPr>
            <w:tcW w:type="dxa" w:w="3322"/>
          </w:tcPr>
          <w:p>
            <w:pPr>
              <w:pStyle w:val="null3"/>
            </w:pPr>
            <w:r>
              <w:rPr>
                <w:rFonts w:ascii="仿宋_GB2312" w:hAnsi="仿宋_GB2312" w:cs="仿宋_GB2312" w:eastAsia="仿宋_GB2312"/>
              </w:rPr>
              <w:t>具有履行合同所必需的设备和专业技术能力的说明及承诺（提供相应承诺）供应商需在项目电子化交易系统中按要求上传相应证明文件并进行电子签章。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建筑装修装饰工程专业承包二级及以上资质证书和建筑机电安装工程专业承包二级及以上资质证书，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负责人资质和专业要求：须具备建设行政主管部门颁发的建筑机电安装专业注册建造师二级及以上执业资格和有效的安全生产考核合格B证，在本单位注册且未担任其他在建工程项目的项目经理（提供无在建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一、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二、供应商通过项目电子化交易系统在磋商小组要求的合理时间内提交说明，否则无效。 三、强化政府采购异常低价审查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付款方式是否满足磋商文件的要求；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1、报价唯一；2、报价货币符合磋商文件要求；3、未超出磋商文件规定的采购预算或最高限价。</w:t>
            </w:r>
          </w:p>
        </w:tc>
        <w:tc>
          <w:tcPr>
            <w:tcW w:type="dxa" w:w="1661"/>
          </w:tcPr>
          <w:p>
            <w:pPr>
              <w:pStyle w:val="null3"/>
            </w:pPr>
            <w:r>
              <w:rPr>
                <w:rFonts w:ascii="仿宋_GB2312" w:hAnsi="仿宋_GB2312" w:cs="仿宋_GB2312" w:eastAsia="仿宋_GB2312"/>
              </w:rPr>
              <w:t>已标价工程量清单 报价函 标的清单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磋商有效期是否符合磋商文件要求；</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w:t>
            </w:r>
          </w:p>
        </w:tc>
        <w:tc>
          <w:tcPr>
            <w:tcW w:type="dxa" w:w="3322"/>
          </w:tcPr>
          <w:p>
            <w:pPr>
              <w:pStyle w:val="null3"/>
            </w:pPr>
            <w:r>
              <w:rPr>
                <w:rFonts w:ascii="仿宋_GB2312" w:hAnsi="仿宋_GB2312" w:cs="仿宋_GB2312" w:eastAsia="仿宋_GB2312"/>
              </w:rPr>
              <w:t>工期、质量是否符合磋商文件的要求</w:t>
            </w:r>
          </w:p>
        </w:tc>
        <w:tc>
          <w:tcPr>
            <w:tcW w:type="dxa" w:w="1661"/>
          </w:tcPr>
          <w:p>
            <w:pPr>
              <w:pStyle w:val="null3"/>
            </w:pPr>
            <w:r>
              <w:rPr>
                <w:rFonts w:ascii="仿宋_GB2312" w:hAnsi="仿宋_GB2312" w:cs="仿宋_GB2312" w:eastAsia="仿宋_GB2312"/>
              </w:rPr>
              <w:t>技术服务合同条款及其他商务要求应答表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（一）不同供应商的响应文件由同一单位或者个人编制； （二）不同供应商委托同一单位或者个人办理磋商事宜； （三）不同供应商的响应文件载明的项目管理成员或者联系人员为同一人； （四）不同供应商的响应文件异常一致或者磋商报价呈规律性差异； （五）不同供应商的响应文件相互混装； (六）不同供应商的磋商保证金从同一单位或者个人的账户转出。</w:t>
            </w:r>
          </w:p>
        </w:tc>
        <w:tc>
          <w:tcPr>
            <w:tcW w:type="dxa" w:w="1661"/>
          </w:tcPr>
          <w:p>
            <w:pPr>
              <w:pStyle w:val="null3"/>
            </w:pPr>
            <w:r>
              <w:rPr>
                <w:rFonts w:ascii="仿宋_GB2312" w:hAnsi="仿宋_GB2312" w:cs="仿宋_GB2312" w:eastAsia="仿宋_GB2312"/>
              </w:rPr>
              <w:t>响应文件封面 已标价工程量清单 项目负责人.docx 供应商应提交的相关资格证明材料.docx 报价函 法定代表人身份证明及授权书.docx 响应函 项目部人员.docx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技术服务合同条款及其他商务要求应答表 标的清单 法定代表人身份证明及授权书.docx 响应函 报价表.docx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整体施工方案</w:t>
            </w:r>
          </w:p>
        </w:tc>
        <w:tc>
          <w:tcPr>
            <w:tcW w:type="dxa" w:w="2492"/>
          </w:tcPr>
          <w:p>
            <w:pPr>
              <w:pStyle w:val="null3"/>
            </w:pPr>
            <w:r>
              <w:rPr>
                <w:rFonts w:ascii="仿宋_GB2312" w:hAnsi="仿宋_GB2312" w:cs="仿宋_GB2312" w:eastAsia="仿宋_GB2312"/>
              </w:rPr>
              <w:t>方案科学合理、安全可行，完全满足项目要求的得6分； 方案有一定的可行性，基本能满足项目要求的得4分； 方案内容粗略，仅为简要概述的得2分； 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整体施工方案.docx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措施内容包含①安全生产管理制度；②安全施工措施；③安全应急预案方案。 措施内容全面详细、阐述条理清晰详尽、符合本项目采购需求得6分； 以上分项每缺少一项内容扣2分； 有某一项不完整或不符合实际要求或不满足实施要求或套用其他项目内容的每项扣1分； 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确保安全生产的技术组织措施.docx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措施内容包含①质量目标管理体系；②确保质量的技术组织措施；③施工质量控制措施。 措施内容全面详细、阐述条理清晰详尽、措施到位、符合本项目采购需求得6分； 以上分项每缺少一项内容扣2分； 有某一项不完整或不符合实际要求或不满足实施要求或套用其他项目内容的每项扣1分；未提供的得0分。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施工进度计划和工期保证措施</w:t>
            </w:r>
          </w:p>
        </w:tc>
        <w:tc>
          <w:tcPr>
            <w:tcW w:type="dxa" w:w="2492"/>
          </w:tcPr>
          <w:p>
            <w:pPr>
              <w:pStyle w:val="null3"/>
            </w:pPr>
            <w:r>
              <w:rPr>
                <w:rFonts w:ascii="仿宋_GB2312" w:hAnsi="仿宋_GB2312" w:cs="仿宋_GB2312" w:eastAsia="仿宋_GB2312"/>
              </w:rPr>
              <w:t>针对本项目特点，制定切实可行的施工进度计划和工期保证措施； 内容完备、科学、合理、针对性强得2分； 内容一般、基本可行得1分； 未提供的得0分。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施工进度计划和工期保证措施.docx</w:t>
            </w:r>
          </w:p>
        </w:tc>
      </w:tr>
      <w:tr>
        <w:tc>
          <w:tcPr>
            <w:tcW w:type="dxa" w:w="831"/>
            <w:vMerge/>
          </w:tcPr>
          <w:p/>
        </w:tc>
        <w:tc>
          <w:tcPr>
            <w:tcW w:type="dxa" w:w="1661"/>
          </w:tcPr>
          <w:p>
            <w:pPr>
              <w:pStyle w:val="null3"/>
            </w:pPr>
            <w:r>
              <w:rPr>
                <w:rFonts w:ascii="仿宋_GB2312" w:hAnsi="仿宋_GB2312" w:cs="仿宋_GB2312" w:eastAsia="仿宋_GB2312"/>
              </w:rPr>
              <w:t>劳动力配备计划和有效的控制措施</w:t>
            </w:r>
          </w:p>
        </w:tc>
        <w:tc>
          <w:tcPr>
            <w:tcW w:type="dxa" w:w="2492"/>
          </w:tcPr>
          <w:p>
            <w:pPr>
              <w:pStyle w:val="null3"/>
            </w:pPr>
            <w:r>
              <w:rPr>
                <w:rFonts w:ascii="仿宋_GB2312" w:hAnsi="仿宋_GB2312" w:cs="仿宋_GB2312" w:eastAsia="仿宋_GB2312"/>
              </w:rPr>
              <w:t>针对本项目特点，制定切实可行的劳动力配备计划和有效的控制措施； 内容科学、合理、针对性强得2分； 内容一般、基本可行得1分； 未提供的得0分。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劳动力配备计划和有效的控制措施.docx</w:t>
            </w:r>
          </w:p>
        </w:tc>
      </w:tr>
      <w:tr>
        <w:tc>
          <w:tcPr>
            <w:tcW w:type="dxa" w:w="831"/>
            <w:vMerge/>
          </w:tcPr>
          <w:p/>
        </w:tc>
        <w:tc>
          <w:tcPr>
            <w:tcW w:type="dxa" w:w="1661"/>
          </w:tcPr>
          <w:p>
            <w:pPr>
              <w:pStyle w:val="null3"/>
            </w:pPr>
            <w:r>
              <w:rPr>
                <w:rFonts w:ascii="仿宋_GB2312" w:hAnsi="仿宋_GB2312" w:cs="仿宋_GB2312" w:eastAsia="仿宋_GB2312"/>
              </w:rPr>
              <w:t>材料采购计划及保证措施</w:t>
            </w:r>
          </w:p>
        </w:tc>
        <w:tc>
          <w:tcPr>
            <w:tcW w:type="dxa" w:w="2492"/>
          </w:tcPr>
          <w:p>
            <w:pPr>
              <w:pStyle w:val="null3"/>
            </w:pPr>
            <w:r>
              <w:rPr>
                <w:rFonts w:ascii="仿宋_GB2312" w:hAnsi="仿宋_GB2312" w:cs="仿宋_GB2312" w:eastAsia="仿宋_GB2312"/>
              </w:rPr>
              <w:t>针对本项目特点，制定切实可行的材料采购计划及保证措施； 内容完备、科学、合理、针对性强得2分； 内容一般、基本可行得1分； 未提供的得0分。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材料采购计划及保证措施.docx</w:t>
            </w:r>
          </w:p>
        </w:tc>
      </w:tr>
      <w:tr>
        <w:tc>
          <w:tcPr>
            <w:tcW w:type="dxa" w:w="831"/>
            <w:vMerge/>
          </w:tcPr>
          <w:p/>
        </w:tc>
        <w:tc>
          <w:tcPr>
            <w:tcW w:type="dxa" w:w="1661"/>
          </w:tcPr>
          <w:p>
            <w:pPr>
              <w:pStyle w:val="null3"/>
            </w:pPr>
            <w:r>
              <w:rPr>
                <w:rFonts w:ascii="仿宋_GB2312" w:hAnsi="仿宋_GB2312" w:cs="仿宋_GB2312" w:eastAsia="仿宋_GB2312"/>
              </w:rPr>
              <w:t>造价控制措施</w:t>
            </w:r>
          </w:p>
        </w:tc>
        <w:tc>
          <w:tcPr>
            <w:tcW w:type="dxa" w:w="2492"/>
          </w:tcPr>
          <w:p>
            <w:pPr>
              <w:pStyle w:val="null3"/>
            </w:pPr>
            <w:r>
              <w:rPr>
                <w:rFonts w:ascii="仿宋_GB2312" w:hAnsi="仿宋_GB2312" w:cs="仿宋_GB2312" w:eastAsia="仿宋_GB2312"/>
              </w:rPr>
              <w:t>措施内容科学合理、合理性及针对性强，完全满足项目要求的得4分； 组织措施稍有欠缺，有一定的可行性，但能够满足项目需求的得2分； 组织措施内容粗略，仅为简要概述的得1分； 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造价控制措施.docx</w:t>
            </w:r>
          </w:p>
        </w:tc>
      </w:tr>
      <w:tr>
        <w:tc>
          <w:tcPr>
            <w:tcW w:type="dxa" w:w="831"/>
            <w:vMerge/>
          </w:tcPr>
          <w:p/>
        </w:tc>
        <w:tc>
          <w:tcPr>
            <w:tcW w:type="dxa" w:w="1661"/>
          </w:tcPr>
          <w:p>
            <w:pPr>
              <w:pStyle w:val="null3"/>
            </w:pPr>
            <w:r>
              <w:rPr>
                <w:rFonts w:ascii="仿宋_GB2312" w:hAnsi="仿宋_GB2312" w:cs="仿宋_GB2312" w:eastAsia="仿宋_GB2312"/>
              </w:rPr>
              <w:t>拟投入本项目的主要材料</w:t>
            </w:r>
          </w:p>
        </w:tc>
        <w:tc>
          <w:tcPr>
            <w:tcW w:type="dxa" w:w="2492"/>
          </w:tcPr>
          <w:p>
            <w:pPr>
              <w:pStyle w:val="null3"/>
            </w:pPr>
            <w:r>
              <w:rPr>
                <w:rFonts w:ascii="仿宋_GB2312" w:hAnsi="仿宋_GB2312" w:cs="仿宋_GB2312" w:eastAsia="仿宋_GB2312"/>
              </w:rPr>
              <w:t>根据供应商针对本项目拟投入主要材料产品选型合理、环保、为市场主流产品，满足磋商文件要求、国家及行业相关质量规定，附相关证明材料进行评审： 拟投的主要材料选型合理、环保、品牌选用相当于或与参照品牌一致，实用性强，完全满足本项目需求的得6分； 拟投的主要材料选型比较合理、环保、品牌选用相当于或与参照品牌部分一致，实用性较强，基本满足本项目需求的4分； 拟投的主要材料选型基本合理、环保、品牌选用与参照品牌不一致，实用性一般，基本满足本项目需求的2分； 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拟投入本项目的主要材料.docx</w:t>
            </w:r>
          </w:p>
          <w:p>
            <w:pPr>
              <w:pStyle w:val="null3"/>
            </w:pPr>
            <w:r>
              <w:rPr>
                <w:rFonts w:ascii="仿宋_GB2312" w:hAnsi="仿宋_GB2312" w:cs="仿宋_GB2312" w:eastAsia="仿宋_GB2312"/>
              </w:rPr>
              <w:t>主要设备材料品牌表.docx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（1）具有中级职称的得1分，高级职称的得2分； 评审依据：提供身份证、学历证、职称证书及本单位出具得在职证明或劳务合同复印件加盖公章。 （2）业绩 提供2023年1月1日起至今（时间以合同签订时间为准）同类项目业绩，每提供一份符合要求的业绩得1分，最高得2分。 评审依据：提供完整合同复印件加盖公章，合同内容包括合同标的、合同金额、签字盖章页的页面，合同中须体现项目负责人姓名，如合同中未体现项目负责人姓名须提供业服务主单位提供的服务评价或证明材料，未提供或提供不全均不得分。 注：项目负责人业绩与企业业绩可重复计分。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项目部人员</w:t>
            </w:r>
          </w:p>
        </w:tc>
        <w:tc>
          <w:tcPr>
            <w:tcW w:type="dxa" w:w="2492"/>
          </w:tcPr>
          <w:p>
            <w:pPr>
              <w:pStyle w:val="null3"/>
            </w:pPr>
            <w:r>
              <w:rPr>
                <w:rFonts w:ascii="仿宋_GB2312" w:hAnsi="仿宋_GB2312" w:cs="仿宋_GB2312" w:eastAsia="仿宋_GB2312"/>
              </w:rPr>
              <w:t>根据供应商提供的拟派项目部人员的职称、注册执业资格、拟任岗位等基本情况，对拟派项目部人员数量、专业搭配及人员资质及经验情况赋分。 人员岗位配备充足、齐全、科学合理，得5分； 人员团队配备基本科学合理得3分； 人员配备不完善，分工不合理，证件缺少较多得1分； 未提供的得0分。 评审依据：评审时以供应商提供的拟派项目部人员相关证书、简历情况及人员数量为准。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项目部人员.docx</w:t>
            </w:r>
          </w:p>
        </w:tc>
      </w:tr>
      <w:tr>
        <w:tc>
          <w:tcPr>
            <w:tcW w:type="dxa" w:w="831"/>
            <w:vMerge/>
          </w:tcPr>
          <w:p/>
        </w:tc>
        <w:tc>
          <w:tcPr>
            <w:tcW w:type="dxa" w:w="1661"/>
          </w:tcPr>
          <w:p>
            <w:pPr>
              <w:pStyle w:val="null3"/>
            </w:pPr>
            <w:r>
              <w:rPr>
                <w:rFonts w:ascii="仿宋_GB2312" w:hAnsi="仿宋_GB2312" w:cs="仿宋_GB2312" w:eastAsia="仿宋_GB2312"/>
              </w:rPr>
              <w:t>施工机械设备配备投入计划</w:t>
            </w:r>
          </w:p>
        </w:tc>
        <w:tc>
          <w:tcPr>
            <w:tcW w:type="dxa" w:w="2492"/>
          </w:tcPr>
          <w:p>
            <w:pPr>
              <w:pStyle w:val="null3"/>
            </w:pPr>
            <w:r>
              <w:rPr>
                <w:rFonts w:ascii="仿宋_GB2312" w:hAnsi="仿宋_GB2312" w:cs="仿宋_GB2312" w:eastAsia="仿宋_GB2312"/>
              </w:rPr>
              <w:t>计划科学合理、合理性及针对性强，完全满足项目要求的得5分； 计划稍有欠缺，有一定的可行性，能够满足项目需求的得3分； 计划粗略，仅为简要概述的得1分；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施工机械设备配备投入计划.docx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根据本项目要求，供应商对于项目实施过程中可能出现的突发状况有切实可行的应对方案及措施； 措施内容详细且科学合理，有具体可行的响应时限，得2分； 措施内容仅为简要概述无具体可行内容的，或仅提供响应时限的，得1分； 其他不得分，未提供的得0分。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供应商拟投入的主要材料中每有一项为节能产品并经国家认证的得0.5分，最高得1分；未提供的得0分。 主要材料中每有一项为环境标志产品并经国家认证的得0.5分，最高得1分；未提供的得0分。 评审依据：证明材料以经国家确定的认证机构出具的、处于有效期内的节能产品或环境标志产品认证证书为准。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提供供应商2023年1月1日起至开标截止时间前（以合同(协议)签订日期为准）同类项目业绩合同； 每提供1份符合要求的业绩得2分，最高得8分。 注：需提供完整合同复印件并加盖公章，合同内容清晰可辨包括合同标的、合同金额、签字盖章页的页面，未提供或提供不全均得0分。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 其他供应商的价格分统一按照下列公式计算： 磋商报价得分=（磋商基准价/最终磋商报价）×40 注：1.所有磋商报价总价以人民币元为单位，保留两位小数点。2、本项目为专门面向中小企业项目，专门面向中小企业采购的项目，不再执行价格评审优惠的扶持政策。3、评分分值计算保留小数点后两位，第三位“四舍五入”。</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详见附件：整体施工方案.docx</w:t>
      </w:r>
    </w:p>
    <w:p>
      <w:pPr>
        <w:pStyle w:val="null3"/>
        <w:ind w:firstLine="960"/>
      </w:pPr>
      <w:r>
        <w:rPr>
          <w:rFonts w:ascii="仿宋_GB2312" w:hAnsi="仿宋_GB2312" w:cs="仿宋_GB2312" w:eastAsia="仿宋_GB2312"/>
        </w:rPr>
        <w:t>详见附件：确保安全生产的技术组织措施.docx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详见附件：施工进度计划和工期保证措施.docx</w:t>
      </w:r>
    </w:p>
    <w:p>
      <w:pPr>
        <w:pStyle w:val="null3"/>
        <w:ind w:firstLine="960"/>
      </w:pPr>
      <w:r>
        <w:rPr>
          <w:rFonts w:ascii="仿宋_GB2312" w:hAnsi="仿宋_GB2312" w:cs="仿宋_GB2312" w:eastAsia="仿宋_GB2312"/>
        </w:rPr>
        <w:t>详见附件：劳动力配备计划和有效的控制措施.docx</w:t>
      </w:r>
    </w:p>
    <w:p>
      <w:pPr>
        <w:pStyle w:val="null3"/>
        <w:ind w:firstLine="960"/>
      </w:pPr>
      <w:r>
        <w:rPr>
          <w:rFonts w:ascii="仿宋_GB2312" w:hAnsi="仿宋_GB2312" w:cs="仿宋_GB2312" w:eastAsia="仿宋_GB2312"/>
        </w:rPr>
        <w:t>详见附件：材料采购计划及保证措施.docx</w:t>
      </w:r>
    </w:p>
    <w:p>
      <w:pPr>
        <w:pStyle w:val="null3"/>
        <w:ind w:firstLine="960"/>
      </w:pPr>
      <w:r>
        <w:rPr>
          <w:rFonts w:ascii="仿宋_GB2312" w:hAnsi="仿宋_GB2312" w:cs="仿宋_GB2312" w:eastAsia="仿宋_GB2312"/>
        </w:rPr>
        <w:t>详见附件：造价控制措施.docx</w:t>
      </w:r>
    </w:p>
    <w:p>
      <w:pPr>
        <w:pStyle w:val="null3"/>
        <w:ind w:firstLine="960"/>
      </w:pPr>
      <w:r>
        <w:rPr>
          <w:rFonts w:ascii="仿宋_GB2312" w:hAnsi="仿宋_GB2312" w:cs="仿宋_GB2312" w:eastAsia="仿宋_GB2312"/>
        </w:rPr>
        <w:t>详见附件：拟投入本项目的主要材料.docx</w:t>
      </w:r>
    </w:p>
    <w:p>
      <w:pPr>
        <w:pStyle w:val="null3"/>
        <w:ind w:firstLine="960"/>
      </w:pPr>
      <w:r>
        <w:rPr>
          <w:rFonts w:ascii="仿宋_GB2312" w:hAnsi="仿宋_GB2312" w:cs="仿宋_GB2312" w:eastAsia="仿宋_GB2312"/>
        </w:rPr>
        <w:t>详见附件：主要设备材料品牌表.docx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详见附件：项目部人员.docx</w:t>
      </w:r>
    </w:p>
    <w:p>
      <w:pPr>
        <w:pStyle w:val="null3"/>
        <w:ind w:firstLine="960"/>
      </w:pPr>
      <w:r>
        <w:rPr>
          <w:rFonts w:ascii="仿宋_GB2312" w:hAnsi="仿宋_GB2312" w:cs="仿宋_GB2312" w:eastAsia="仿宋_GB2312"/>
        </w:rPr>
        <w:t>详见附件：施工机械设备配备投入计划.docx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