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pPr w:leftFromText="180" w:rightFromText="180" w:vertAnchor="page" w:horzAnchor="page" w:tblpXSpec="center" w:tblpY="1998"/>
        <w:tblOverlap w:val="never"/>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33"/>
        <w:gridCol w:w="255"/>
        <w:gridCol w:w="5317"/>
        <w:gridCol w:w="637"/>
      </w:tblGrid>
      <w:tr w14:paraId="7E60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5" w:type="dxa"/>
            <w:gridSpan w:val="5"/>
            <w:tcBorders>
              <w:top w:val="nil"/>
              <w:left w:val="nil"/>
              <w:bottom w:val="nil"/>
              <w:right w:val="nil"/>
            </w:tcBorders>
          </w:tcPr>
          <w:p w14:paraId="77F8CB51">
            <w:pPr>
              <w:jc w:val="center"/>
              <w:rPr>
                <w:rFonts w:ascii="Times New Roman" w:hAnsi="Times New Roman" w:eastAsia="方正小标宋_GBK" w:cs="Times New Roman"/>
                <w:color w:val="000000" w:themeColor="text1"/>
                <w:sz w:val="72"/>
                <w:szCs w:val="72"/>
                <w14:textFill>
                  <w14:solidFill>
                    <w14:schemeClr w14:val="tx1"/>
                  </w14:solidFill>
                </w14:textFill>
              </w:rPr>
            </w:pPr>
          </w:p>
        </w:tc>
      </w:tr>
      <w:tr w14:paraId="7373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5" w:type="dxa"/>
            <w:gridSpan w:val="5"/>
            <w:tcBorders>
              <w:top w:val="nil"/>
              <w:left w:val="nil"/>
              <w:bottom w:val="nil"/>
              <w:right w:val="nil"/>
            </w:tcBorders>
          </w:tcPr>
          <w:p w14:paraId="7FD4F55E">
            <w:pPr>
              <w:jc w:val="center"/>
              <w:rPr>
                <w:rFonts w:ascii="Times New Roman" w:hAnsi="Times New Roman" w:eastAsia="方正小标宋_GBK" w:cs="Times New Roman"/>
                <w:b/>
                <w:color w:val="000000" w:themeColor="text1"/>
                <w:sz w:val="20"/>
                <w:szCs w:val="21"/>
                <w14:textFill>
                  <w14:solidFill>
                    <w14:schemeClr w14:val="tx1"/>
                  </w14:solidFill>
                </w14:textFill>
              </w:rPr>
            </w:pPr>
            <w:r>
              <w:rPr>
                <w:rFonts w:ascii="Times New Roman" w:hAnsi="Times New Roman" w:eastAsia="方正小标宋_GBK" w:cs="Times New Roman"/>
                <w:color w:val="000000" w:themeColor="text1"/>
                <w:sz w:val="56"/>
                <w:szCs w:val="56"/>
                <w14:textFill>
                  <w14:solidFill>
                    <w14:schemeClr w14:val="tx1"/>
                  </w14:solidFill>
                </w14:textFill>
              </w:rPr>
              <w:t>政府采购项目</w:t>
            </w:r>
          </w:p>
        </w:tc>
      </w:tr>
      <w:tr w14:paraId="7DC4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495" w:type="dxa"/>
            <w:gridSpan w:val="5"/>
            <w:tcBorders>
              <w:top w:val="nil"/>
              <w:left w:val="nil"/>
              <w:bottom w:val="nil"/>
              <w:right w:val="nil"/>
            </w:tcBorders>
          </w:tcPr>
          <w:p w14:paraId="69CB01D5">
            <w:pPr>
              <w:jc w:val="center"/>
              <w:rPr>
                <w:rFonts w:ascii="Times New Roman" w:hAnsi="Times New Roman" w:cs="Times New Roman"/>
                <w:color w:val="000000" w:themeColor="text1"/>
                <w:sz w:val="40"/>
                <w:szCs w:val="21"/>
                <w14:textFill>
                  <w14:solidFill>
                    <w14:schemeClr w14:val="tx1"/>
                  </w14:solidFill>
                </w14:textFill>
              </w:rPr>
            </w:pPr>
            <w:r>
              <w:rPr>
                <w:rFonts w:ascii="Times New Roman" w:hAnsi="Times New Roman" w:eastAsia="方正小标宋_GBK" w:cs="Times New Roman"/>
                <w:color w:val="000000" w:themeColor="text1"/>
                <w:sz w:val="56"/>
                <w:szCs w:val="56"/>
                <w14:textFill>
                  <w14:solidFill>
                    <w14:schemeClr w14:val="tx1"/>
                  </w14:solidFill>
                </w14:textFill>
              </w:rPr>
              <w:t>采 购 需 求</w:t>
            </w:r>
          </w:p>
        </w:tc>
      </w:tr>
      <w:tr w14:paraId="0CC6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1" w:hRule="atLeast"/>
          <w:jc w:val="center"/>
        </w:trPr>
        <w:tc>
          <w:tcPr>
            <w:tcW w:w="9495" w:type="dxa"/>
            <w:gridSpan w:val="5"/>
            <w:tcBorders>
              <w:top w:val="nil"/>
              <w:left w:val="nil"/>
              <w:bottom w:val="nil"/>
              <w:right w:val="nil"/>
            </w:tcBorders>
          </w:tcPr>
          <w:p w14:paraId="1464C672">
            <w:pPr>
              <w:pStyle w:val="28"/>
              <w:jc w:val="both"/>
              <w:rPr>
                <w:rFonts w:ascii="Times New Roman" w:hAnsi="Times New Roman" w:cs="Times New Roman"/>
                <w:color w:val="000000" w:themeColor="text1"/>
                <w14:textFill>
                  <w14:solidFill>
                    <w14:schemeClr w14:val="tx1"/>
                  </w14:solidFill>
                </w14:textFill>
              </w:rPr>
            </w:pPr>
          </w:p>
        </w:tc>
      </w:tr>
      <w:tr w14:paraId="5E1D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653" w:type="dxa"/>
            <w:vMerge w:val="restart"/>
            <w:tcBorders>
              <w:top w:val="nil"/>
              <w:left w:val="nil"/>
              <w:bottom w:val="nil"/>
              <w:right w:val="nil"/>
            </w:tcBorders>
            <w:vAlign w:val="center"/>
          </w:tcPr>
          <w:p w14:paraId="5E97F1A3">
            <w:pPr>
              <w:adjustRightInd w:val="0"/>
              <w:snapToGrid w:val="0"/>
              <w:rPr>
                <w:rFonts w:ascii="Times New Roman" w:hAnsi="Times New Roman" w:eastAsia="楷体_GB2312" w:cs="Times New Roman"/>
                <w:color w:val="000000" w:themeColor="text1"/>
                <w:sz w:val="52"/>
                <w14:textFill>
                  <w14:solidFill>
                    <w14:schemeClr w14:val="tx1"/>
                  </w14:solidFill>
                </w14:textFill>
              </w:rPr>
            </w:pPr>
          </w:p>
        </w:tc>
        <w:tc>
          <w:tcPr>
            <w:tcW w:w="2633" w:type="dxa"/>
            <w:tcBorders>
              <w:top w:val="nil"/>
              <w:left w:val="nil"/>
              <w:bottom w:val="nil"/>
              <w:right w:val="nil"/>
            </w:tcBorders>
            <w:vAlign w:val="center"/>
          </w:tcPr>
          <w:p w14:paraId="3B75D824">
            <w:pPr>
              <w:jc w:val="distribute"/>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采购项目名称：</w:t>
            </w:r>
          </w:p>
        </w:tc>
        <w:tc>
          <w:tcPr>
            <w:tcW w:w="255" w:type="dxa"/>
            <w:tcBorders>
              <w:top w:val="nil"/>
              <w:left w:val="nil"/>
              <w:bottom w:val="nil"/>
              <w:right w:val="nil"/>
            </w:tcBorders>
            <w:vAlign w:val="center"/>
          </w:tcPr>
          <w:p w14:paraId="6136C357">
            <w:pPr>
              <w:pStyle w:val="29"/>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5317" w:type="dxa"/>
            <w:tcBorders>
              <w:top w:val="nil"/>
              <w:left w:val="nil"/>
              <w:bottom w:val="nil"/>
              <w:right w:val="nil"/>
            </w:tcBorders>
            <w:vAlign w:val="center"/>
          </w:tcPr>
          <w:p w14:paraId="7F8F4635">
            <w:pPr>
              <w:jc w:val="left"/>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pP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2026年度杨家溪</w:t>
            </w:r>
            <w:r>
              <w:rPr>
                <w:rFonts w:hint="default" w:ascii="Times New Roman" w:hAnsi="Times New Roman" w:eastAsia="黑体" w:cs="Times New Roman"/>
                <w:color w:val="000000" w:themeColor="text1"/>
                <w:kern w:val="0"/>
                <w:sz w:val="28"/>
                <w:szCs w:val="28"/>
                <w:lang w:val="en-US" w:eastAsia="zh-CN" w:bidi="ar"/>
                <w14:textFill>
                  <w14:solidFill>
                    <w14:schemeClr w14:val="tx1"/>
                  </w14:solidFill>
                </w14:textFill>
              </w:rPr>
              <w:t>污水处理厂污泥</w:t>
            </w: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协</w:t>
            </w:r>
          </w:p>
          <w:p w14:paraId="4810CBF5">
            <w:pPr>
              <w:jc w:val="left"/>
              <w:rPr>
                <w:rFonts w:hint="default" w:ascii="Times New Roman" w:hAnsi="Times New Roman" w:eastAsia="黑体" w:cs="Times New Roman"/>
                <w:color w:val="000000" w:themeColor="text1"/>
                <w:sz w:val="28"/>
                <w:szCs w:val="28"/>
                <w:lang w:val="en-US"/>
                <w14:textFill>
                  <w14:solidFill>
                    <w14:schemeClr w14:val="tx1"/>
                  </w14:solidFill>
                </w14:textFill>
              </w:rPr>
            </w:pP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同</w:t>
            </w:r>
            <w:r>
              <w:rPr>
                <w:rFonts w:hint="default" w:ascii="Times New Roman" w:hAnsi="Times New Roman" w:eastAsia="黑体" w:cs="Times New Roman"/>
                <w:color w:val="000000" w:themeColor="text1"/>
                <w:kern w:val="0"/>
                <w:sz w:val="28"/>
                <w:szCs w:val="28"/>
                <w:lang w:val="en-US" w:eastAsia="zh-CN" w:bidi="ar"/>
                <w14:textFill>
                  <w14:solidFill>
                    <w14:schemeClr w14:val="tx1"/>
                  </w14:solidFill>
                </w14:textFill>
              </w:rPr>
              <w:t>无</w:t>
            </w: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害</w:t>
            </w:r>
            <w:r>
              <w:rPr>
                <w:rFonts w:hint="default" w:ascii="Times New Roman" w:hAnsi="Times New Roman" w:eastAsia="黑体" w:cs="Times New Roman"/>
                <w:color w:val="000000" w:themeColor="text1"/>
                <w:kern w:val="0"/>
                <w:sz w:val="28"/>
                <w:szCs w:val="28"/>
                <w:lang w:val="en-US" w:eastAsia="zh-CN" w:bidi="ar"/>
                <w14:textFill>
                  <w14:solidFill>
                    <w14:schemeClr w14:val="tx1"/>
                  </w14:solidFill>
                </w14:textFill>
              </w:rPr>
              <w:t>化</w:t>
            </w: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处</w:t>
            </w:r>
            <w:r>
              <w:rPr>
                <w:rFonts w:hint="default" w:ascii="Times New Roman" w:hAnsi="Times New Roman" w:eastAsia="黑体" w:cs="Times New Roman"/>
                <w:color w:val="000000" w:themeColor="text1"/>
                <w:kern w:val="0"/>
                <w:sz w:val="28"/>
                <w:szCs w:val="28"/>
                <w:lang w:val="en-US" w:eastAsia="zh-CN" w:bidi="ar"/>
                <w14:textFill>
                  <w14:solidFill>
                    <w14:schemeClr w14:val="tx1"/>
                  </w14:solidFill>
                </w14:textFill>
              </w:rPr>
              <w:t>置</w:t>
            </w:r>
            <w:r>
              <w:rPr>
                <w:rFonts w:hint="eastAsia" w:ascii="Times New Roman" w:hAnsi="Times New Roman" w:eastAsia="黑体" w:cs="Times New Roman"/>
                <w:color w:val="000000" w:themeColor="text1"/>
                <w:kern w:val="0"/>
                <w:sz w:val="28"/>
                <w:szCs w:val="28"/>
                <w:lang w:val="en-US" w:eastAsia="zh-CN" w:bidi="ar"/>
                <w14:textFill>
                  <w14:solidFill>
                    <w14:schemeClr w14:val="tx1"/>
                  </w14:solidFill>
                </w14:textFill>
              </w:rPr>
              <w:t>项目</w:t>
            </w:r>
          </w:p>
        </w:tc>
        <w:tc>
          <w:tcPr>
            <w:tcW w:w="637" w:type="dxa"/>
            <w:vMerge w:val="restart"/>
            <w:tcBorders>
              <w:top w:val="nil"/>
              <w:left w:val="nil"/>
              <w:bottom w:val="nil"/>
              <w:right w:val="nil"/>
            </w:tcBorders>
            <w:vAlign w:val="center"/>
          </w:tcPr>
          <w:p w14:paraId="2674E48B">
            <w:pPr>
              <w:adjustRightInd w:val="0"/>
              <w:snapToGrid w:val="0"/>
              <w:rPr>
                <w:rFonts w:ascii="Times New Roman" w:hAnsi="Times New Roman" w:eastAsia="楷体_GB2312" w:cs="Times New Roman"/>
                <w:color w:val="000000" w:themeColor="text1"/>
                <w:sz w:val="52"/>
                <w14:textFill>
                  <w14:solidFill>
                    <w14:schemeClr w14:val="tx1"/>
                  </w14:solidFill>
                </w14:textFill>
              </w:rPr>
            </w:pPr>
          </w:p>
        </w:tc>
      </w:tr>
      <w:tr w14:paraId="1DF4E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653" w:type="dxa"/>
            <w:vMerge w:val="continue"/>
            <w:tcBorders>
              <w:top w:val="nil"/>
              <w:left w:val="nil"/>
              <w:bottom w:val="nil"/>
              <w:right w:val="nil"/>
            </w:tcBorders>
            <w:vAlign w:val="center"/>
          </w:tcPr>
          <w:p w14:paraId="14022064">
            <w:pPr>
              <w:jc w:val="left"/>
              <w:rPr>
                <w:rFonts w:ascii="Times New Roman" w:hAnsi="Times New Roman" w:eastAsia="楷体_GB2312" w:cs="Times New Roman"/>
                <w:color w:val="000000" w:themeColor="text1"/>
                <w:sz w:val="52"/>
                <w14:textFill>
                  <w14:solidFill>
                    <w14:schemeClr w14:val="tx1"/>
                  </w14:solidFill>
                </w14:textFill>
              </w:rPr>
            </w:pPr>
          </w:p>
        </w:tc>
        <w:tc>
          <w:tcPr>
            <w:tcW w:w="2633" w:type="dxa"/>
            <w:tcBorders>
              <w:top w:val="nil"/>
              <w:left w:val="nil"/>
              <w:bottom w:val="nil"/>
              <w:right w:val="nil"/>
            </w:tcBorders>
            <w:vAlign w:val="center"/>
          </w:tcPr>
          <w:p w14:paraId="0135A8FE">
            <w:pPr>
              <w:jc w:val="distribute"/>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采   购   人：</w:t>
            </w:r>
          </w:p>
        </w:tc>
        <w:tc>
          <w:tcPr>
            <w:tcW w:w="255" w:type="dxa"/>
            <w:tcBorders>
              <w:top w:val="nil"/>
              <w:left w:val="nil"/>
              <w:bottom w:val="nil"/>
              <w:right w:val="nil"/>
            </w:tcBorders>
            <w:vAlign w:val="center"/>
          </w:tcPr>
          <w:p w14:paraId="690F17EB">
            <w:pPr>
              <w:pStyle w:val="29"/>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5317" w:type="dxa"/>
            <w:tcBorders>
              <w:top w:val="nil"/>
              <w:left w:val="nil"/>
              <w:bottom w:val="nil"/>
              <w:right w:val="nil"/>
            </w:tcBorders>
            <w:vAlign w:val="center"/>
          </w:tcPr>
          <w:p w14:paraId="5AEBD7F6">
            <w:pPr>
              <w:jc w:val="left"/>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kern w:val="0"/>
                <w:sz w:val="28"/>
                <w:szCs w:val="28"/>
                <w:lang w:bidi="ar"/>
                <w14:textFill>
                  <w14:solidFill>
                    <w14:schemeClr w14:val="tx1"/>
                  </w14:solidFill>
                </w14:textFill>
              </w:rPr>
              <w:t>张家界市住房和城乡建设局</w:t>
            </w:r>
          </w:p>
        </w:tc>
        <w:tc>
          <w:tcPr>
            <w:tcW w:w="637" w:type="dxa"/>
            <w:vMerge w:val="continue"/>
            <w:tcBorders>
              <w:top w:val="nil"/>
              <w:left w:val="nil"/>
              <w:bottom w:val="nil"/>
              <w:right w:val="nil"/>
            </w:tcBorders>
            <w:vAlign w:val="center"/>
          </w:tcPr>
          <w:p w14:paraId="43F458E1">
            <w:pPr>
              <w:jc w:val="distribute"/>
              <w:rPr>
                <w:rFonts w:ascii="Times New Roman" w:hAnsi="Times New Roman" w:eastAsia="楷体_GB2312" w:cs="Times New Roman"/>
                <w:color w:val="000000" w:themeColor="text1"/>
                <w:sz w:val="52"/>
                <w14:textFill>
                  <w14:solidFill>
                    <w14:schemeClr w14:val="tx1"/>
                  </w14:solidFill>
                </w14:textFill>
              </w:rPr>
            </w:pPr>
          </w:p>
        </w:tc>
      </w:tr>
      <w:tr w14:paraId="3A00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653" w:type="dxa"/>
            <w:vMerge w:val="continue"/>
            <w:tcBorders>
              <w:top w:val="nil"/>
              <w:left w:val="nil"/>
              <w:bottom w:val="nil"/>
              <w:right w:val="nil"/>
            </w:tcBorders>
            <w:vAlign w:val="center"/>
          </w:tcPr>
          <w:p w14:paraId="1834C8C9">
            <w:pPr>
              <w:jc w:val="left"/>
              <w:rPr>
                <w:rFonts w:ascii="Times New Roman" w:hAnsi="Times New Roman" w:eastAsia="楷体_GB2312" w:cs="Times New Roman"/>
                <w:color w:val="000000" w:themeColor="text1"/>
                <w:sz w:val="52"/>
                <w14:textFill>
                  <w14:solidFill>
                    <w14:schemeClr w14:val="tx1"/>
                  </w14:solidFill>
                </w14:textFill>
              </w:rPr>
            </w:pPr>
          </w:p>
        </w:tc>
        <w:tc>
          <w:tcPr>
            <w:tcW w:w="2633" w:type="dxa"/>
            <w:tcBorders>
              <w:top w:val="nil"/>
              <w:left w:val="nil"/>
              <w:bottom w:val="nil"/>
              <w:right w:val="nil"/>
            </w:tcBorders>
            <w:vAlign w:val="center"/>
          </w:tcPr>
          <w:p w14:paraId="047FACCD">
            <w:pPr>
              <w:jc w:val="distribute"/>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编制单位：</w:t>
            </w:r>
          </w:p>
        </w:tc>
        <w:tc>
          <w:tcPr>
            <w:tcW w:w="255" w:type="dxa"/>
            <w:tcBorders>
              <w:top w:val="nil"/>
              <w:left w:val="nil"/>
              <w:bottom w:val="nil"/>
              <w:right w:val="nil"/>
            </w:tcBorders>
            <w:vAlign w:val="center"/>
          </w:tcPr>
          <w:p w14:paraId="55C63D98">
            <w:pPr>
              <w:pStyle w:val="29"/>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5317" w:type="dxa"/>
            <w:tcBorders>
              <w:top w:val="nil"/>
              <w:left w:val="nil"/>
              <w:bottom w:val="nil"/>
              <w:right w:val="nil"/>
            </w:tcBorders>
            <w:vAlign w:val="center"/>
          </w:tcPr>
          <w:p w14:paraId="5AB5CC28">
            <w:pPr>
              <w:jc w:val="left"/>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kern w:val="0"/>
                <w:sz w:val="28"/>
                <w:szCs w:val="28"/>
                <w:lang w:bidi="ar"/>
                <w14:textFill>
                  <w14:solidFill>
                    <w14:schemeClr w14:val="tx1"/>
                  </w14:solidFill>
                </w14:textFill>
              </w:rPr>
              <w:t>张家界市住房和城乡建设局</w:t>
            </w:r>
          </w:p>
        </w:tc>
        <w:tc>
          <w:tcPr>
            <w:tcW w:w="637" w:type="dxa"/>
            <w:vMerge w:val="continue"/>
            <w:tcBorders>
              <w:top w:val="nil"/>
              <w:left w:val="nil"/>
              <w:bottom w:val="nil"/>
              <w:right w:val="nil"/>
            </w:tcBorders>
            <w:vAlign w:val="center"/>
          </w:tcPr>
          <w:p w14:paraId="6A747572">
            <w:pPr>
              <w:jc w:val="distribute"/>
              <w:rPr>
                <w:rFonts w:ascii="Times New Roman" w:hAnsi="Times New Roman" w:eastAsia="楷体_GB2312" w:cs="Times New Roman"/>
                <w:color w:val="000000" w:themeColor="text1"/>
                <w:sz w:val="52"/>
                <w14:textFill>
                  <w14:solidFill>
                    <w14:schemeClr w14:val="tx1"/>
                  </w14:solidFill>
                </w14:textFill>
              </w:rPr>
            </w:pPr>
          </w:p>
        </w:tc>
      </w:tr>
      <w:tr w14:paraId="44FB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653" w:type="dxa"/>
            <w:vMerge w:val="continue"/>
            <w:tcBorders>
              <w:top w:val="nil"/>
              <w:left w:val="nil"/>
              <w:bottom w:val="nil"/>
              <w:right w:val="nil"/>
            </w:tcBorders>
            <w:vAlign w:val="center"/>
          </w:tcPr>
          <w:p w14:paraId="50F2E2AB">
            <w:pPr>
              <w:jc w:val="left"/>
              <w:rPr>
                <w:rFonts w:ascii="Times New Roman" w:hAnsi="Times New Roman" w:eastAsia="楷体_GB2312" w:cs="Times New Roman"/>
                <w:color w:val="000000" w:themeColor="text1"/>
                <w:sz w:val="52"/>
                <w14:textFill>
                  <w14:solidFill>
                    <w14:schemeClr w14:val="tx1"/>
                  </w14:solidFill>
                </w14:textFill>
              </w:rPr>
            </w:pPr>
          </w:p>
        </w:tc>
        <w:tc>
          <w:tcPr>
            <w:tcW w:w="2633" w:type="dxa"/>
            <w:tcBorders>
              <w:top w:val="nil"/>
              <w:left w:val="nil"/>
              <w:bottom w:val="nil"/>
              <w:right w:val="nil"/>
            </w:tcBorders>
            <w:vAlign w:val="center"/>
          </w:tcPr>
          <w:p w14:paraId="0EAC44C2">
            <w:pPr>
              <w:jc w:val="distribute"/>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编制时间：</w:t>
            </w:r>
          </w:p>
        </w:tc>
        <w:tc>
          <w:tcPr>
            <w:tcW w:w="255" w:type="dxa"/>
            <w:tcBorders>
              <w:top w:val="nil"/>
              <w:left w:val="nil"/>
              <w:bottom w:val="nil"/>
              <w:right w:val="nil"/>
            </w:tcBorders>
            <w:vAlign w:val="center"/>
          </w:tcPr>
          <w:p w14:paraId="7ED2CE35">
            <w:pPr>
              <w:pStyle w:val="29"/>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p>
        </w:tc>
        <w:tc>
          <w:tcPr>
            <w:tcW w:w="5317" w:type="dxa"/>
            <w:tcBorders>
              <w:top w:val="nil"/>
              <w:left w:val="nil"/>
              <w:bottom w:val="nil"/>
              <w:right w:val="nil"/>
            </w:tcBorders>
            <w:vAlign w:val="center"/>
          </w:tcPr>
          <w:p w14:paraId="609E237F">
            <w:pPr>
              <w:jc w:val="left"/>
              <w:rPr>
                <w:rFonts w:ascii="Times New Roman" w:hAnsi="Times New Roman" w:eastAsia="黑体" w:cs="Times New Roman"/>
                <w:color w:val="000000" w:themeColor="text1"/>
                <w:sz w:val="28"/>
                <w:szCs w:val="28"/>
                <w14:textFill>
                  <w14:solidFill>
                    <w14:schemeClr w14:val="tx1"/>
                  </w14:solidFill>
                </w14:textFill>
              </w:rPr>
            </w:pPr>
            <w:r>
              <w:rPr>
                <w:rFonts w:ascii="Times New Roman" w:hAnsi="Times New Roman" w:eastAsia="黑体" w:cs="Times New Roman"/>
                <w:color w:val="000000" w:themeColor="text1"/>
                <w:sz w:val="28"/>
                <w:szCs w:val="28"/>
                <w14:textFill>
                  <w14:solidFill>
                    <w14:schemeClr w14:val="tx1"/>
                  </w14:solidFill>
                </w14:textFill>
              </w:rPr>
              <w:t>202</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6</w:t>
            </w:r>
            <w:r>
              <w:rPr>
                <w:rFonts w:ascii="Times New Roman" w:hAnsi="Times New Roman" w:eastAsia="黑体" w:cs="Times New Roman"/>
                <w:color w:val="000000" w:themeColor="text1"/>
                <w:sz w:val="28"/>
                <w:szCs w:val="28"/>
                <w14:textFill>
                  <w14:solidFill>
                    <w14:schemeClr w14:val="tx1"/>
                  </w14:solidFill>
                </w14:textFill>
              </w:rPr>
              <w:t>年</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3</w:t>
            </w:r>
            <w:r>
              <w:rPr>
                <w:rFonts w:ascii="Times New Roman" w:hAnsi="Times New Roman" w:eastAsia="黑体" w:cs="Times New Roman"/>
                <w:color w:val="000000" w:themeColor="text1"/>
                <w:sz w:val="28"/>
                <w:szCs w:val="28"/>
                <w14:textFill>
                  <w14:solidFill>
                    <w14:schemeClr w14:val="tx1"/>
                  </w14:solidFill>
                </w14:textFill>
              </w:rPr>
              <w:t>月</w:t>
            </w:r>
            <w:r>
              <w:rPr>
                <w:rFonts w:hint="eastAsia" w:ascii="Times New Roman" w:hAnsi="Times New Roman" w:eastAsia="黑体" w:cs="Times New Roman"/>
                <w:color w:val="000000" w:themeColor="text1"/>
                <w:sz w:val="28"/>
                <w:szCs w:val="28"/>
                <w:lang w:val="en-US" w:eastAsia="zh-CN"/>
                <w14:textFill>
                  <w14:solidFill>
                    <w14:schemeClr w14:val="tx1"/>
                  </w14:solidFill>
                </w14:textFill>
              </w:rPr>
              <w:t>27</w:t>
            </w:r>
            <w:r>
              <w:rPr>
                <w:rFonts w:ascii="Times New Roman" w:hAnsi="Times New Roman" w:eastAsia="黑体" w:cs="Times New Roman"/>
                <w:color w:val="000000" w:themeColor="text1"/>
                <w:sz w:val="28"/>
                <w:szCs w:val="28"/>
                <w14:textFill>
                  <w14:solidFill>
                    <w14:schemeClr w14:val="tx1"/>
                  </w14:solidFill>
                </w14:textFill>
              </w:rPr>
              <w:t>日</w:t>
            </w:r>
          </w:p>
        </w:tc>
        <w:tc>
          <w:tcPr>
            <w:tcW w:w="637" w:type="dxa"/>
            <w:vMerge w:val="continue"/>
            <w:tcBorders>
              <w:top w:val="nil"/>
              <w:left w:val="nil"/>
              <w:bottom w:val="nil"/>
              <w:right w:val="nil"/>
            </w:tcBorders>
            <w:vAlign w:val="center"/>
          </w:tcPr>
          <w:p w14:paraId="78D8E8B2">
            <w:pPr>
              <w:jc w:val="distribute"/>
              <w:rPr>
                <w:rFonts w:ascii="Times New Roman" w:hAnsi="Times New Roman" w:eastAsia="楷体_GB2312" w:cs="Times New Roman"/>
                <w:color w:val="000000" w:themeColor="text1"/>
                <w:sz w:val="52"/>
                <w14:textFill>
                  <w14:solidFill>
                    <w14:schemeClr w14:val="tx1"/>
                  </w14:solidFill>
                </w14:textFill>
              </w:rPr>
            </w:pPr>
          </w:p>
        </w:tc>
      </w:tr>
      <w:tr w14:paraId="5E64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9495" w:type="dxa"/>
            <w:gridSpan w:val="5"/>
            <w:tcBorders>
              <w:top w:val="nil"/>
              <w:left w:val="nil"/>
              <w:bottom w:val="nil"/>
              <w:right w:val="nil"/>
            </w:tcBorders>
          </w:tcPr>
          <w:p w14:paraId="5C67AA24">
            <w:pPr>
              <w:pStyle w:val="30"/>
              <w:jc w:val="both"/>
              <w:rPr>
                <w:rFonts w:ascii="Times New Roman" w:hAnsi="Times New Roman" w:cs="Times New Roman"/>
                <w:color w:val="000000" w:themeColor="text1"/>
                <w14:textFill>
                  <w14:solidFill>
                    <w14:schemeClr w14:val="tx1"/>
                  </w14:solidFill>
                </w14:textFill>
              </w:rPr>
            </w:pPr>
          </w:p>
          <w:p w14:paraId="05F3B8A7">
            <w:pPr>
              <w:pStyle w:val="30"/>
              <w:jc w:val="both"/>
              <w:rPr>
                <w:rFonts w:ascii="Times New Roman" w:hAnsi="Times New Roman" w:cs="Times New Roman"/>
                <w:color w:val="000000" w:themeColor="text1"/>
                <w14:textFill>
                  <w14:solidFill>
                    <w14:schemeClr w14:val="tx1"/>
                  </w14:solidFill>
                </w14:textFill>
              </w:rPr>
            </w:pPr>
          </w:p>
          <w:p w14:paraId="69928951">
            <w:pPr>
              <w:pStyle w:val="30"/>
              <w:rPr>
                <w:rFonts w:ascii="Times New Roman" w:hAnsi="Times New Roman" w:cs="Times New Roman"/>
                <w:color w:val="000000" w:themeColor="text1"/>
                <w14:textFill>
                  <w14:solidFill>
                    <w14:schemeClr w14:val="tx1"/>
                  </w14:solidFill>
                </w14:textFill>
              </w:rPr>
            </w:pPr>
          </w:p>
          <w:p w14:paraId="4C652704">
            <w:pPr>
              <w:pStyle w:val="30"/>
              <w:rPr>
                <w:rFonts w:ascii="Times New Roman" w:hAnsi="Times New Roman" w:cs="Times New Roman"/>
                <w:color w:val="000000" w:themeColor="text1"/>
                <w14:textFill>
                  <w14:solidFill>
                    <w14:schemeClr w14:val="tx1"/>
                  </w14:solidFill>
                </w14:textFill>
              </w:rPr>
            </w:pPr>
          </w:p>
        </w:tc>
      </w:tr>
    </w:tbl>
    <w:p w14:paraId="259A62F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p w14:paraId="404ACA8C">
      <w:pPr>
        <w:pStyle w:val="24"/>
        <w:ind w:firstLine="0" w:firstLineChars="0"/>
        <w:jc w:val="center"/>
        <w:rPr>
          <w:rFonts w:ascii="Times New Roman" w:hAnsi="Times New Roman" w:eastAsia="微软雅黑" w:cs="Times New Roman"/>
          <w:color w:val="000000" w:themeColor="text1"/>
          <w:sz w:val="36"/>
          <w:szCs w:val="36"/>
          <w14:textFill>
            <w14:solidFill>
              <w14:schemeClr w14:val="tx1"/>
            </w14:solidFill>
          </w14:textFill>
        </w:rPr>
      </w:pPr>
      <w:r>
        <w:rPr>
          <w:rFonts w:ascii="Times New Roman" w:hAnsi="Times New Roman" w:eastAsia="微软雅黑" w:cs="Times New Roman"/>
          <w:color w:val="000000" w:themeColor="text1"/>
          <w:sz w:val="36"/>
          <w:szCs w:val="36"/>
          <w14:textFill>
            <w14:solidFill>
              <w14:schemeClr w14:val="tx1"/>
            </w14:solidFill>
          </w14:textFill>
        </w:rPr>
        <w:t>编 制 说 明</w:t>
      </w:r>
    </w:p>
    <w:p w14:paraId="79CF6D0B">
      <w:pPr>
        <w:pStyle w:val="21"/>
        <w:widowControl w:val="0"/>
        <w:spacing w:line="480" w:lineRule="auto"/>
        <w:ind w:firstLine="0" w:firstLineChars="0"/>
        <w:rPr>
          <w:rFonts w:ascii="Times New Roman" w:hAnsi="Times New Roman" w:cs="Times New Roman"/>
          <w:color w:val="000000" w:themeColor="text1"/>
          <w14:textFill>
            <w14:solidFill>
              <w14:schemeClr w14:val="tx1"/>
            </w14:solidFill>
          </w14:textFill>
        </w:rPr>
      </w:pPr>
    </w:p>
    <w:p w14:paraId="5995803C">
      <w:pPr>
        <w:pStyle w:val="21"/>
        <w:widowControl w:val="0"/>
        <w:spacing w:line="480" w:lineRule="auto"/>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一、采购单位可以自行组织编制采购需求，也可以委托采购代理机构或者其他第三方机构编制。</w:t>
      </w:r>
    </w:p>
    <w:p w14:paraId="0C6778F0">
      <w:pPr>
        <w:pStyle w:val="21"/>
        <w:widowControl w:val="0"/>
        <w:spacing w:line="480" w:lineRule="auto"/>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二、编制的采购需求应当符合《财政部关于印发政府采购需求管理办法的通知》（财库 </w:t>
      </w:r>
      <w:r>
        <w:rPr>
          <w:rFonts w:ascii="Times New Roman" w:hAnsi="Times New Roman" w:eastAsia="微软雅黑" w:cs="Times New Roman"/>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2021</w:t>
      </w:r>
      <w:r>
        <w:rPr>
          <w:rFonts w:ascii="Times New Roman" w:hAnsi="Times New Roman" w:eastAsia="微软雅黑" w:cs="Times New Roman"/>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22 号）要求及政府采购的相关规定。</w:t>
      </w:r>
    </w:p>
    <w:p w14:paraId="49C5F567">
      <w:pPr>
        <w:pStyle w:val="21"/>
        <w:widowControl w:val="0"/>
        <w:spacing w:line="480" w:lineRule="auto"/>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三、斜体字部分属于提醒内容，编制时应删除。</w:t>
      </w:r>
    </w:p>
    <w:p w14:paraId="2DE220BD">
      <w:pPr>
        <w:pStyle w:val="21"/>
        <w:widowControl w:val="0"/>
        <w:spacing w:line="480" w:lineRule="auto"/>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四、对不适用的内容应删除，并调整相应序号。</w:t>
      </w:r>
    </w:p>
    <w:p w14:paraId="55B815A4">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r>
    </w:p>
    <w:sdt>
      <w:sdtPr>
        <w:rPr>
          <w:rFonts w:ascii="Times New Roman" w:hAnsi="Times New Roman" w:eastAsia="宋体" w:cs="Times New Roman"/>
          <w:color w:val="000000" w:themeColor="text1"/>
          <w:sz w:val="36"/>
          <w:szCs w:val="36"/>
          <w14:textFill>
            <w14:solidFill>
              <w14:schemeClr w14:val="tx1"/>
            </w14:solidFill>
          </w14:textFill>
        </w:rPr>
        <w:id w:val="147454494"/>
        <w:docPartObj>
          <w:docPartGallery w:val="Table of Contents"/>
          <w:docPartUnique/>
        </w:docPartObj>
      </w:sdtPr>
      <w:sdtEndPr>
        <w:rPr>
          <w:rFonts w:ascii="Times New Roman" w:hAnsi="Times New Roman" w:eastAsia="宋体" w:cs="Times New Roman"/>
          <w:b/>
          <w:color w:val="000000" w:themeColor="text1"/>
          <w:sz w:val="36"/>
          <w:szCs w:val="36"/>
          <w14:textFill>
            <w14:solidFill>
              <w14:schemeClr w14:val="tx1"/>
            </w14:solidFill>
          </w14:textFill>
        </w:rPr>
      </w:sdtEndPr>
      <w:sdtContent>
        <w:p w14:paraId="65164A5D">
          <w:pPr>
            <w:jc w:val="center"/>
            <w:rPr>
              <w:rFonts w:ascii="Times New Roman" w:hAnsi="Times New Roman" w:eastAsia="微软雅黑" w:cs="Times New Roman"/>
              <w:b/>
              <w:bCs/>
              <w:color w:val="000000" w:themeColor="text1"/>
              <w:sz w:val="36"/>
              <w:szCs w:val="36"/>
              <w14:textFill>
                <w14:solidFill>
                  <w14:schemeClr w14:val="tx1"/>
                </w14:solidFill>
              </w14:textFill>
            </w:rPr>
          </w:pPr>
          <w:r>
            <w:rPr>
              <w:rFonts w:ascii="Times New Roman" w:hAnsi="Times New Roman" w:eastAsia="微软雅黑" w:cs="Times New Roman"/>
              <w:b/>
              <w:bCs/>
              <w:color w:val="000000" w:themeColor="text1"/>
              <w:sz w:val="36"/>
              <w:szCs w:val="36"/>
              <w14:textFill>
                <w14:solidFill>
                  <w14:schemeClr w14:val="tx1"/>
                </w14:solidFill>
              </w14:textFill>
            </w:rPr>
            <w:t>目  录</w:t>
          </w:r>
        </w:p>
        <w:p w14:paraId="0DFAA256">
          <w:pPr>
            <w:pStyle w:val="31"/>
            <w:widowControl w:val="0"/>
            <w:tabs>
              <w:tab w:val="right" w:leader="dot" w:pos="9746"/>
            </w:tabs>
            <w:spacing w:line="600" w:lineRule="auto"/>
            <w:rPr>
              <w:rFonts w:ascii="Times New Roman" w:hAnsi="Times New Roman" w:eastAsia="微软雅黑" w:cs="Times New Roman"/>
              <w:b/>
              <w:color w:val="000000" w:themeColor="text1"/>
              <w:sz w:val="24"/>
              <w:szCs w:val="24"/>
              <w14:textFill>
                <w14:solidFill>
                  <w14:schemeClr w14:val="tx1"/>
                </w14:solidFill>
              </w14:textFill>
            </w:rPr>
          </w:pP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TOC \o "1-2" \h \u </w:instrText>
          </w:r>
          <w:r>
            <w:rPr>
              <w:rFonts w:ascii="Times New Roman" w:hAnsi="Times New Roman" w:cs="Times New Roman"/>
              <w:color w:val="000000" w:themeColor="text1"/>
              <w14:textFill>
                <w14:solidFill>
                  <w14:schemeClr w14:val="tx1"/>
                </w14:solidFill>
              </w14:textFill>
            </w:rPr>
            <w:fldChar w:fldCharType="separate"/>
          </w:r>
          <w:r>
            <w:fldChar w:fldCharType="begin"/>
          </w:r>
          <w:r>
            <w:instrText xml:space="preserve"> HYPERLINK \l "_Toc31975" </w:instrText>
          </w:r>
          <w:r>
            <w:fldChar w:fldCharType="separate"/>
          </w:r>
          <w:r>
            <w:rPr>
              <w:rFonts w:ascii="Times New Roman" w:hAnsi="Times New Roman" w:eastAsia="微软雅黑" w:cs="Times New Roman"/>
              <w:b/>
              <w:color w:val="000000" w:themeColor="text1"/>
              <w:sz w:val="24"/>
              <w:szCs w:val="24"/>
              <w14:textFill>
                <w14:solidFill>
                  <w14:schemeClr w14:val="tx1"/>
                </w14:solidFill>
              </w14:textFill>
            </w:rPr>
            <w:t>一、需求调查情况</w:t>
          </w:r>
          <w:r>
            <w:rPr>
              <w:rFonts w:ascii="Times New Roman" w:hAnsi="Times New Roman" w:eastAsia="微软雅黑" w:cs="Times New Roman"/>
              <w:b/>
              <w:color w:val="000000" w:themeColor="text1"/>
              <w:sz w:val="24"/>
              <w:szCs w:val="24"/>
              <w14:textFill>
                <w14:solidFill>
                  <w14:schemeClr w14:val="tx1"/>
                </w14:solidFill>
              </w14:textFill>
            </w:rPr>
            <w:tab/>
          </w:r>
          <w:r>
            <w:rPr>
              <w:rFonts w:ascii="Times New Roman" w:hAnsi="Times New Roman" w:eastAsia="微软雅黑" w:cs="Times New Roman"/>
              <w:b/>
              <w:color w:val="000000" w:themeColor="text1"/>
              <w:sz w:val="24"/>
              <w:szCs w:val="24"/>
              <w14:textFill>
                <w14:solidFill>
                  <w14:schemeClr w14:val="tx1"/>
                </w14:solidFill>
              </w14:textFill>
            </w:rPr>
            <w:fldChar w:fldCharType="begin"/>
          </w:r>
          <w:r>
            <w:rPr>
              <w:rFonts w:ascii="Times New Roman" w:hAnsi="Times New Roman" w:eastAsia="微软雅黑" w:cs="Times New Roman"/>
              <w:b/>
              <w:color w:val="000000" w:themeColor="text1"/>
              <w:sz w:val="24"/>
              <w:szCs w:val="24"/>
              <w14:textFill>
                <w14:solidFill>
                  <w14:schemeClr w14:val="tx1"/>
                </w14:solidFill>
              </w14:textFill>
            </w:rPr>
            <w:instrText xml:space="preserve"> PAGEREF _Toc31975 \h </w:instrText>
          </w:r>
          <w:r>
            <w:rPr>
              <w:rFonts w:ascii="Times New Roman" w:hAnsi="Times New Roman" w:eastAsia="微软雅黑" w:cs="Times New Roman"/>
              <w:b/>
              <w:color w:val="000000" w:themeColor="text1"/>
              <w:sz w:val="24"/>
              <w:szCs w:val="24"/>
              <w14:textFill>
                <w14:solidFill>
                  <w14:schemeClr w14:val="tx1"/>
                </w14:solidFill>
              </w14:textFill>
            </w:rPr>
            <w:fldChar w:fldCharType="separate"/>
          </w:r>
          <w:r>
            <w:rPr>
              <w:rFonts w:ascii="Times New Roman" w:hAnsi="Times New Roman" w:eastAsia="微软雅黑" w:cs="Times New Roman"/>
              <w:b/>
              <w:color w:val="000000" w:themeColor="text1"/>
              <w:sz w:val="24"/>
              <w:szCs w:val="24"/>
              <w14:textFill>
                <w14:solidFill>
                  <w14:schemeClr w14:val="tx1"/>
                </w14:solidFill>
              </w14:textFill>
            </w:rPr>
            <w:t>4</w:t>
          </w:r>
          <w:r>
            <w:rPr>
              <w:rFonts w:ascii="Times New Roman" w:hAnsi="Times New Roman" w:eastAsia="微软雅黑" w:cs="Times New Roman"/>
              <w:b/>
              <w:color w:val="000000" w:themeColor="text1"/>
              <w:sz w:val="24"/>
              <w:szCs w:val="24"/>
              <w14:textFill>
                <w14:solidFill>
                  <w14:schemeClr w14:val="tx1"/>
                </w14:solidFill>
              </w14:textFill>
            </w:rPr>
            <w:fldChar w:fldCharType="end"/>
          </w:r>
          <w:r>
            <w:rPr>
              <w:rFonts w:ascii="Times New Roman" w:hAnsi="Times New Roman" w:eastAsia="微软雅黑" w:cs="Times New Roman"/>
              <w:b/>
              <w:color w:val="000000" w:themeColor="text1"/>
              <w:sz w:val="24"/>
              <w:szCs w:val="24"/>
              <w14:textFill>
                <w14:solidFill>
                  <w14:schemeClr w14:val="tx1"/>
                </w14:solidFill>
              </w14:textFill>
            </w:rPr>
            <w:fldChar w:fldCharType="end"/>
          </w:r>
        </w:p>
        <w:p w14:paraId="44D1870F">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"_Toc7384" </w:instrText>
          </w:r>
          <w:r>
            <w:fldChar w:fldCharType="separate"/>
          </w:r>
          <w:r>
            <w:rPr>
              <w:rFonts w:ascii="Times New Roman" w:hAnsi="Times New Roman" w:eastAsia="微软雅黑" w:cs="Times New Roman"/>
              <w:bCs/>
              <w:color w:val="000000" w:themeColor="text1"/>
              <w:sz w:val="24"/>
              <w:szCs w:val="24"/>
              <w14:textFill>
                <w14:solidFill>
                  <w14:schemeClr w14:val="tx1"/>
                </w14:solidFill>
              </w14:textFill>
            </w:rPr>
            <w:t>（一）是否开展需求调查</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_Toc7384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4</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0E2BAD23">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"_Toc7063" </w:instrText>
          </w:r>
          <w:r>
            <w:fldChar w:fldCharType="separate"/>
          </w:r>
          <w:r>
            <w:rPr>
              <w:rFonts w:ascii="Times New Roman" w:hAnsi="Times New Roman" w:eastAsia="微软雅黑" w:cs="Times New Roman"/>
              <w:bCs/>
              <w:color w:val="000000" w:themeColor="text1"/>
              <w:sz w:val="24"/>
              <w:szCs w:val="24"/>
              <w14:textFill>
                <w14:solidFill>
                  <w14:schemeClr w14:val="tx1"/>
                </w14:solidFill>
              </w14:textFill>
            </w:rPr>
            <w:t>（二）需求调查方式</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_Toc7063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4</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149D6FB8">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"_Toc14035" </w:instrText>
          </w:r>
          <w:r>
            <w:fldChar w:fldCharType="separate"/>
          </w:r>
          <w:r>
            <w:rPr>
              <w:rFonts w:ascii="Times New Roman" w:hAnsi="Times New Roman" w:eastAsia="微软雅黑" w:cs="Times New Roman"/>
              <w:bCs/>
              <w:color w:val="000000" w:themeColor="text1"/>
              <w:sz w:val="24"/>
              <w:szCs w:val="24"/>
              <w14:textFill>
                <w14:solidFill>
                  <w14:schemeClr w14:val="tx1"/>
                </w14:solidFill>
              </w14:textFill>
            </w:rPr>
            <w:t>（三）需求调查对象</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_Toc14035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4</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4FE6519F">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"_Toc17707" </w:instrText>
          </w:r>
          <w:r>
            <w:fldChar w:fldCharType="separate"/>
          </w:r>
          <w:r>
            <w:rPr>
              <w:rFonts w:ascii="Times New Roman" w:hAnsi="Times New Roman" w:eastAsia="微软雅黑" w:cs="Times New Roman"/>
              <w:bCs/>
              <w:color w:val="000000" w:themeColor="text1"/>
              <w:sz w:val="24"/>
              <w:szCs w:val="24"/>
              <w14:textFill>
                <w14:solidFill>
                  <w14:schemeClr w14:val="tx1"/>
                </w14:solidFill>
              </w14:textFill>
            </w:rPr>
            <w:t>（四）需求调查结果</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_Toc17707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4</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4E83C219">
          <w:pPr>
            <w:pStyle w:val="31"/>
            <w:widowControl w:val="0"/>
            <w:tabs>
              <w:tab w:val="right" w:leader="dot" w:pos="9746"/>
            </w:tabs>
            <w:spacing w:line="600" w:lineRule="auto"/>
            <w:rPr>
              <w:rFonts w:ascii="Times New Roman" w:hAnsi="Times New Roman" w:eastAsia="微软雅黑" w:cs="Times New Roman"/>
              <w:b/>
              <w:color w:val="000000" w:themeColor="text1"/>
              <w:sz w:val="24"/>
              <w:szCs w:val="24"/>
              <w14:textFill>
                <w14:solidFill>
                  <w14:schemeClr w14:val="tx1"/>
                </w14:solidFill>
              </w14:textFill>
            </w:rPr>
          </w:pPr>
          <w:r>
            <w:fldChar w:fldCharType="begin"/>
          </w:r>
          <w:r>
            <w:instrText xml:space="preserve"> HYPERLINK \l "_Toc18096" </w:instrText>
          </w:r>
          <w:r>
            <w:fldChar w:fldCharType="separate"/>
          </w:r>
          <w:r>
            <w:rPr>
              <w:rFonts w:ascii="Times New Roman" w:hAnsi="Times New Roman" w:eastAsia="微软雅黑" w:cs="Times New Roman"/>
              <w:b/>
              <w:bCs/>
              <w:color w:val="000000" w:themeColor="text1"/>
              <w:sz w:val="24"/>
              <w:szCs w:val="24"/>
              <w14:textFill>
                <w14:solidFill>
                  <w14:schemeClr w14:val="tx1"/>
                </w14:solidFill>
              </w14:textFill>
            </w:rPr>
            <w:t>二、需求清单</w:t>
          </w:r>
          <w:r>
            <w:rPr>
              <w:rFonts w:ascii="Times New Roman" w:hAnsi="Times New Roman" w:eastAsia="微软雅黑" w:cs="Times New Roman"/>
              <w:b/>
              <w:color w:val="000000" w:themeColor="text1"/>
              <w:sz w:val="24"/>
              <w:szCs w:val="24"/>
              <w14:textFill>
                <w14:solidFill>
                  <w14:schemeClr w14:val="tx1"/>
                </w14:solidFill>
              </w14:textFill>
            </w:rPr>
            <w:tab/>
          </w:r>
          <w:r>
            <w:rPr>
              <w:rFonts w:ascii="Times New Roman" w:hAnsi="Times New Roman" w:eastAsia="微软雅黑" w:cs="Times New Roman"/>
              <w:b/>
              <w:color w:val="000000" w:themeColor="text1"/>
              <w:sz w:val="24"/>
              <w:szCs w:val="24"/>
              <w14:textFill>
                <w14:solidFill>
                  <w14:schemeClr w14:val="tx1"/>
                </w14:solidFill>
              </w14:textFill>
            </w:rPr>
            <w:fldChar w:fldCharType="begin"/>
          </w:r>
          <w:r>
            <w:rPr>
              <w:rFonts w:ascii="Times New Roman" w:hAnsi="Times New Roman" w:eastAsia="微软雅黑" w:cs="Times New Roman"/>
              <w:b/>
              <w:color w:val="000000" w:themeColor="text1"/>
              <w:sz w:val="24"/>
              <w:szCs w:val="24"/>
              <w14:textFill>
                <w14:solidFill>
                  <w14:schemeClr w14:val="tx1"/>
                </w14:solidFill>
              </w14:textFill>
            </w:rPr>
            <w:instrText xml:space="preserve"> PAGEREF _Toc18096 \h </w:instrText>
          </w:r>
          <w:r>
            <w:rPr>
              <w:rFonts w:ascii="Times New Roman" w:hAnsi="Times New Roman" w:eastAsia="微软雅黑" w:cs="Times New Roman"/>
              <w:b/>
              <w:color w:val="000000" w:themeColor="text1"/>
              <w:sz w:val="24"/>
              <w:szCs w:val="24"/>
              <w14:textFill>
                <w14:solidFill>
                  <w14:schemeClr w14:val="tx1"/>
                </w14:solidFill>
              </w14:textFill>
            </w:rPr>
            <w:fldChar w:fldCharType="separate"/>
          </w:r>
          <w:r>
            <w:rPr>
              <w:rFonts w:ascii="Times New Roman" w:hAnsi="Times New Roman" w:eastAsia="微软雅黑" w:cs="Times New Roman"/>
              <w:b/>
              <w:color w:val="000000" w:themeColor="text1"/>
              <w:sz w:val="24"/>
              <w:szCs w:val="24"/>
              <w14:textFill>
                <w14:solidFill>
                  <w14:schemeClr w14:val="tx1"/>
                </w14:solidFill>
              </w14:textFill>
            </w:rPr>
            <w:t>4</w:t>
          </w:r>
          <w:r>
            <w:rPr>
              <w:rFonts w:ascii="Times New Roman" w:hAnsi="Times New Roman" w:eastAsia="微软雅黑" w:cs="Times New Roman"/>
              <w:b/>
              <w:color w:val="000000" w:themeColor="text1"/>
              <w:sz w:val="24"/>
              <w:szCs w:val="24"/>
              <w14:textFill>
                <w14:solidFill>
                  <w14:schemeClr w14:val="tx1"/>
                </w14:solidFill>
              </w14:textFill>
            </w:rPr>
            <w:fldChar w:fldCharType="end"/>
          </w:r>
          <w:r>
            <w:rPr>
              <w:rFonts w:ascii="Times New Roman" w:hAnsi="Times New Roman" w:eastAsia="微软雅黑" w:cs="Times New Roman"/>
              <w:b/>
              <w:color w:val="000000" w:themeColor="text1"/>
              <w:sz w:val="24"/>
              <w:szCs w:val="24"/>
              <w14:textFill>
                <w14:solidFill>
                  <w14:schemeClr w14:val="tx1"/>
                </w14:solidFill>
              </w14:textFill>
            </w:rPr>
            <w:fldChar w:fldCharType="end"/>
          </w:r>
        </w:p>
        <w:p w14:paraId="77BDF66A">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"_Toc5734" </w:instrText>
          </w:r>
          <w:r>
            <w:fldChar w:fldCharType="separate"/>
          </w:r>
          <w:r>
            <w:rPr>
              <w:rFonts w:ascii="Times New Roman" w:hAnsi="Times New Roman" w:eastAsia="微软雅黑" w:cs="Times New Roman"/>
              <w:color w:val="000000" w:themeColor="text1"/>
              <w:sz w:val="24"/>
              <w:szCs w:val="24"/>
              <w14:textFill>
                <w14:solidFill>
                  <w14:schemeClr w14:val="tx1"/>
                </w14:solidFill>
              </w14:textFill>
            </w:rPr>
            <w:t>（一） 项目概况</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_Toc5734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4</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156C61E6">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"_Toc23714" </w:instrText>
          </w:r>
          <w:r>
            <w:fldChar w:fldCharType="separate"/>
          </w:r>
          <w:r>
            <w:rPr>
              <w:rFonts w:ascii="Times New Roman" w:hAnsi="Times New Roman" w:eastAsia="微软雅黑" w:cs="Times New Roman"/>
              <w:color w:val="000000" w:themeColor="text1"/>
              <w:sz w:val="24"/>
              <w:szCs w:val="24"/>
              <w14:textFill>
                <w14:solidFill>
                  <w14:schemeClr w14:val="tx1"/>
                </w14:solidFill>
              </w14:textFill>
            </w:rPr>
            <w:t>（二） 采购项目预（概）算</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_Toc23714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5</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2C827D7F">
          <w:pPr>
            <w:pStyle w:val="32"/>
            <w:widowControl w:val="0"/>
            <w:tabs>
              <w:tab w:val="right" w:leader="dot" w:pos="9746"/>
            </w:tabs>
            <w:spacing w:line="600" w:lineRule="auto"/>
            <w:ind w:left="420"/>
            <w:rPr>
              <w:rFonts w:ascii="Times New Roman" w:hAnsi="Times New Roman" w:eastAsia="微软雅黑" w:cs="Times New Roman"/>
              <w:color w:val="000000" w:themeColor="text1"/>
              <w:sz w:val="24"/>
              <w:szCs w:val="24"/>
              <w14:textFill>
                <w14:solidFill>
                  <w14:schemeClr w14:val="tx1"/>
                </w14:solidFill>
              </w14:textFill>
            </w:rPr>
          </w:pPr>
          <w:r>
            <w:fldChar w:fldCharType="begin"/>
          </w:r>
          <w:r>
            <w:instrText xml:space="preserve"> HYPERLINK \l "_Toc4938" </w:instrText>
          </w:r>
          <w:r>
            <w:fldChar w:fldCharType="separate"/>
          </w:r>
          <w:r>
            <w:rPr>
              <w:rFonts w:ascii="Times New Roman" w:hAnsi="Times New Roman" w:eastAsia="微软雅黑" w:cs="Times New Roman"/>
              <w:color w:val="000000" w:themeColor="text1"/>
              <w:sz w:val="24"/>
              <w:szCs w:val="24"/>
              <w14:textFill>
                <w14:solidFill>
                  <w14:schemeClr w14:val="tx1"/>
                </w14:solidFill>
              </w14:textFill>
            </w:rPr>
            <w:t>（三） 采购标的汇总表</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_Toc4938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5</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6E8F23F0">
          <w:pPr>
            <w:pStyle w:val="32"/>
            <w:widowControl w:val="0"/>
            <w:tabs>
              <w:tab w:val="right" w:leader="dot" w:pos="9746"/>
            </w:tabs>
            <w:spacing w:line="600" w:lineRule="auto"/>
            <w:ind w:left="420"/>
            <w:rPr>
              <w:rFonts w:ascii="Times New Roman" w:hAnsi="Times New Roman" w:cs="Times New Roman"/>
              <w:color w:val="000000" w:themeColor="text1"/>
              <w14:textFill>
                <w14:solidFill>
                  <w14:schemeClr w14:val="tx1"/>
                </w14:solidFill>
              </w14:textFill>
            </w:rPr>
          </w:pPr>
          <w:r>
            <w:fldChar w:fldCharType="begin"/>
          </w:r>
          <w:r>
            <w:instrText xml:space="preserve"> HYPERLINK \l "_Toc5867" </w:instrText>
          </w:r>
          <w:r>
            <w:fldChar w:fldCharType="separate"/>
          </w:r>
          <w:r>
            <w:rPr>
              <w:rFonts w:ascii="Times New Roman" w:hAnsi="Times New Roman" w:eastAsia="微软雅黑" w:cs="Times New Roman"/>
              <w:color w:val="000000" w:themeColor="text1"/>
              <w:sz w:val="24"/>
              <w:szCs w:val="24"/>
              <w14:textFill>
                <w14:solidFill>
                  <w14:schemeClr w14:val="tx1"/>
                </w14:solidFill>
              </w14:textFill>
            </w:rPr>
            <w:t>（四） 技术商务要求</w:t>
          </w:r>
          <w:r>
            <w:rPr>
              <w:rFonts w:ascii="Times New Roman" w:hAnsi="Times New Roman" w:eastAsia="微软雅黑" w:cs="Times New Roman"/>
              <w:color w:val="000000" w:themeColor="text1"/>
              <w:sz w:val="24"/>
              <w:szCs w:val="24"/>
              <w14:textFill>
                <w14:solidFill>
                  <w14:schemeClr w14:val="tx1"/>
                </w14:solidFill>
              </w14:textFill>
            </w:rPr>
            <w:tab/>
          </w:r>
          <w:r>
            <w:rPr>
              <w:rFonts w:ascii="Times New Roman" w:hAnsi="Times New Roman" w:eastAsia="微软雅黑" w:cs="Times New Roman"/>
              <w:color w:val="000000" w:themeColor="text1"/>
              <w:sz w:val="24"/>
              <w:szCs w:val="24"/>
              <w14:textFill>
                <w14:solidFill>
                  <w14:schemeClr w14:val="tx1"/>
                </w14:solidFill>
              </w14:textFill>
            </w:rPr>
            <w:fldChar w:fldCharType="begin"/>
          </w:r>
          <w:r>
            <w:rPr>
              <w:rFonts w:ascii="Times New Roman" w:hAnsi="Times New Roman" w:eastAsia="微软雅黑" w:cs="Times New Roman"/>
              <w:color w:val="000000" w:themeColor="text1"/>
              <w:sz w:val="24"/>
              <w:szCs w:val="24"/>
              <w14:textFill>
                <w14:solidFill>
                  <w14:schemeClr w14:val="tx1"/>
                </w14:solidFill>
              </w14:textFill>
            </w:rPr>
            <w:instrText xml:space="preserve"> PAGEREF _Toc5867 \h </w:instrText>
          </w:r>
          <w:r>
            <w:rPr>
              <w:rFonts w:ascii="Times New Roman" w:hAnsi="Times New Roman" w:eastAsia="微软雅黑" w:cs="Times New Roman"/>
              <w:color w:val="000000" w:themeColor="text1"/>
              <w:sz w:val="24"/>
              <w:szCs w:val="24"/>
              <w14:textFill>
                <w14:solidFill>
                  <w14:schemeClr w14:val="tx1"/>
                </w14:solidFill>
              </w14:textFill>
            </w:rPr>
            <w:fldChar w:fldCharType="separate"/>
          </w:r>
          <w:r>
            <w:rPr>
              <w:rFonts w:ascii="Times New Roman" w:hAnsi="Times New Roman" w:eastAsia="微软雅黑" w:cs="Times New Roman"/>
              <w:color w:val="000000" w:themeColor="text1"/>
              <w:sz w:val="24"/>
              <w:szCs w:val="24"/>
              <w14:textFill>
                <w14:solidFill>
                  <w14:schemeClr w14:val="tx1"/>
                </w14:solidFill>
              </w14:textFill>
            </w:rPr>
            <w:t>6</w:t>
          </w:r>
          <w:r>
            <w:rPr>
              <w:rFonts w:ascii="Times New Roman" w:hAnsi="Times New Roman" w:eastAsia="微软雅黑" w:cs="Times New Roman"/>
              <w:color w:val="000000" w:themeColor="text1"/>
              <w:sz w:val="24"/>
              <w:szCs w:val="24"/>
              <w14:textFill>
                <w14:solidFill>
                  <w14:schemeClr w14:val="tx1"/>
                </w14:solidFill>
              </w14:textFill>
            </w:rPr>
            <w:fldChar w:fldCharType="end"/>
          </w:r>
          <w:r>
            <w:rPr>
              <w:rFonts w:ascii="Times New Roman" w:hAnsi="Times New Roman" w:eastAsia="微软雅黑" w:cs="Times New Roman"/>
              <w:color w:val="000000" w:themeColor="text1"/>
              <w:sz w:val="24"/>
              <w:szCs w:val="24"/>
              <w14:textFill>
                <w14:solidFill>
                  <w14:schemeClr w14:val="tx1"/>
                </w14:solidFill>
              </w14:textFill>
            </w:rPr>
            <w:fldChar w:fldCharType="end"/>
          </w:r>
        </w:p>
        <w:p w14:paraId="266C8F2A">
          <w:pPr>
            <w:rPr>
              <w:rFonts w:ascii="Times New Roman" w:hAnsi="Times New Roman" w:cs="Times New Roman"/>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fldChar w:fldCharType="end"/>
          </w:r>
        </w:p>
      </w:sdtContent>
    </w:sdt>
    <w:p w14:paraId="2BCA2E12">
      <w:pPr>
        <w:rPr>
          <w:rFonts w:ascii="Times New Roman" w:hAnsi="Times New Roman" w:cs="Times New Roman"/>
          <w:color w:val="000000" w:themeColor="text1"/>
          <w14:textFill>
            <w14:solidFill>
              <w14:schemeClr w14:val="tx1"/>
            </w14:solidFill>
          </w14:textFill>
        </w:rPr>
      </w:pPr>
      <w:bookmarkStart w:id="0" w:name="_Toc31975"/>
      <w:r>
        <w:rPr>
          <w:rFonts w:ascii="Times New Roman" w:hAnsi="Times New Roman" w:cs="Times New Roman"/>
          <w:color w:val="000000" w:themeColor="text1"/>
          <w14:textFill>
            <w14:solidFill>
              <w14:schemeClr w14:val="tx1"/>
            </w14:solidFill>
          </w14:textFill>
        </w:rPr>
        <w:br w:type="page"/>
      </w:r>
    </w:p>
    <w:p w14:paraId="38DAA325">
      <w:pPr>
        <w:pStyle w:val="5"/>
        <w:keepNext w:val="0"/>
        <w:keepLines w:val="0"/>
        <w:spacing w:before="0" w:after="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一、需求调查情况</w:t>
      </w:r>
      <w:bookmarkEnd w:id="0"/>
    </w:p>
    <w:p w14:paraId="0880CF31">
      <w:pPr>
        <w:pStyle w:val="21"/>
        <w:widowControl w:val="0"/>
        <w:spacing w:line="440" w:lineRule="exact"/>
        <w:ind w:firstLine="0" w:firstLineChars="0"/>
        <w:outlineLvl w:val="1"/>
        <w:rPr>
          <w:rFonts w:ascii="Times New Roman" w:hAnsi="Times New Roman" w:cs="Times New Roman"/>
          <w:b/>
          <w:bCs/>
          <w:color w:val="000000" w:themeColor="text1"/>
          <w14:textFill>
            <w14:solidFill>
              <w14:schemeClr w14:val="tx1"/>
            </w14:solidFill>
          </w14:textFill>
        </w:rPr>
      </w:pPr>
      <w:bookmarkStart w:id="1" w:name="_Toc7384"/>
      <w:r>
        <w:rPr>
          <w:rFonts w:ascii="Times New Roman" w:hAnsi="Times New Roman" w:cs="Times New Roman"/>
          <w:b/>
          <w:bCs/>
          <w:color w:val="000000" w:themeColor="text1"/>
          <w14:textFill>
            <w14:solidFill>
              <w14:schemeClr w14:val="tx1"/>
            </w14:solidFill>
          </w14:textFill>
        </w:rPr>
        <w:t>（一）是否开展需求调查</w:t>
      </w:r>
      <w:bookmarkEnd w:id="1"/>
    </w:p>
    <w:p w14:paraId="740A9336">
      <w:pPr>
        <w:pStyle w:val="21"/>
        <w:widowControl w:val="0"/>
        <w:spacing w:line="440" w:lineRule="exact"/>
        <w:ind w:firstLine="720" w:firstLineChars="3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已按照《政府采购需求管理办法》的规定开展需求调查。</w:t>
      </w:r>
    </w:p>
    <w:p w14:paraId="46769DEE">
      <w:pPr>
        <w:pStyle w:val="21"/>
        <w:widowControl w:val="0"/>
        <w:spacing w:line="440" w:lineRule="exact"/>
        <w:ind w:firstLine="0" w:firstLineChars="0"/>
        <w:outlineLvl w:val="1"/>
        <w:rPr>
          <w:rFonts w:ascii="Times New Roman" w:hAnsi="Times New Roman" w:cs="Times New Roman"/>
          <w:b/>
          <w:bCs/>
          <w:color w:val="000000" w:themeColor="text1"/>
          <w14:textFill>
            <w14:solidFill>
              <w14:schemeClr w14:val="tx1"/>
            </w14:solidFill>
          </w14:textFill>
        </w:rPr>
      </w:pPr>
      <w:bookmarkStart w:id="2" w:name="_Toc7063"/>
      <w:r>
        <w:rPr>
          <w:rFonts w:ascii="Times New Roman" w:hAnsi="Times New Roman" w:cs="Times New Roman"/>
          <w:b/>
          <w:bCs/>
          <w:color w:val="000000" w:themeColor="text1"/>
          <w14:textFill>
            <w14:solidFill>
              <w14:schemeClr w14:val="tx1"/>
            </w14:solidFill>
          </w14:textFill>
        </w:rPr>
        <w:t>（二）需求调查方式</w:t>
      </w:r>
      <w:bookmarkEnd w:id="2"/>
    </w:p>
    <w:p w14:paraId="68EADCA7">
      <w:pPr>
        <w:pStyle w:val="21"/>
        <w:widowControl w:val="0"/>
        <w:spacing w:line="440" w:lineRule="exact"/>
        <w:ind w:firstLine="720" w:firstLineChars="3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采用咨询、现场调查方式。</w:t>
      </w:r>
    </w:p>
    <w:p w14:paraId="621E65F7">
      <w:pPr>
        <w:pStyle w:val="21"/>
        <w:widowControl w:val="0"/>
        <w:spacing w:line="440" w:lineRule="exact"/>
        <w:ind w:firstLine="0" w:firstLineChars="0"/>
        <w:outlineLvl w:val="1"/>
        <w:rPr>
          <w:rFonts w:ascii="Times New Roman" w:hAnsi="Times New Roman" w:cs="Times New Roman"/>
          <w:b/>
          <w:bCs/>
          <w:color w:val="000000" w:themeColor="text1"/>
          <w14:textFill>
            <w14:solidFill>
              <w14:schemeClr w14:val="tx1"/>
            </w14:solidFill>
          </w14:textFill>
        </w:rPr>
      </w:pPr>
      <w:bookmarkStart w:id="3" w:name="_Toc14035"/>
      <w:r>
        <w:rPr>
          <w:rFonts w:ascii="Times New Roman" w:hAnsi="Times New Roman" w:cs="Times New Roman"/>
          <w:b/>
          <w:bCs/>
          <w:color w:val="000000" w:themeColor="text1"/>
          <w14:textFill>
            <w14:solidFill>
              <w14:schemeClr w14:val="tx1"/>
            </w14:solidFill>
          </w14:textFill>
        </w:rPr>
        <w:t>（三）需求调查对象</w:t>
      </w:r>
      <w:bookmarkEnd w:id="3"/>
    </w:p>
    <w:p w14:paraId="155EC840">
      <w:pPr>
        <w:pStyle w:val="21"/>
        <w:widowControl w:val="0"/>
        <w:spacing w:line="440" w:lineRule="exact"/>
        <w:ind w:left="420" w:leftChars="200"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杨家溪污水处理厂</w:t>
      </w:r>
    </w:p>
    <w:p w14:paraId="63E15931">
      <w:pPr>
        <w:pStyle w:val="21"/>
        <w:widowControl w:val="0"/>
        <w:spacing w:line="440" w:lineRule="exact"/>
        <w:ind w:firstLine="0" w:firstLineChars="0"/>
        <w:outlineLvl w:val="1"/>
        <w:rPr>
          <w:rFonts w:ascii="Times New Roman" w:hAnsi="Times New Roman" w:cs="Times New Roman"/>
          <w:color w:val="000000" w:themeColor="text1"/>
          <w14:textFill>
            <w14:solidFill>
              <w14:schemeClr w14:val="tx1"/>
            </w14:solidFill>
          </w14:textFill>
        </w:rPr>
      </w:pPr>
      <w:bookmarkStart w:id="4" w:name="_Toc17707"/>
      <w:r>
        <w:rPr>
          <w:rFonts w:ascii="Times New Roman" w:hAnsi="Times New Roman" w:cs="Times New Roman"/>
          <w:b/>
          <w:bCs/>
          <w:color w:val="000000" w:themeColor="text1"/>
          <w14:textFill>
            <w14:solidFill>
              <w14:schemeClr w14:val="tx1"/>
            </w14:solidFill>
          </w14:textFill>
        </w:rPr>
        <w:t>（四）需求调查结果</w:t>
      </w:r>
      <w:bookmarkEnd w:id="4"/>
      <w:r>
        <w:rPr>
          <w:rFonts w:ascii="Times New Roman" w:hAnsi="Times New Roman" w:cs="Times New Roman"/>
          <w:color w:val="000000" w:themeColor="text1"/>
          <w14:textFill>
            <w14:solidFill>
              <w14:schemeClr w14:val="tx1"/>
            </w14:solidFill>
          </w14:textFill>
        </w:rPr>
        <w:t xml:space="preserve"> </w:t>
      </w:r>
    </w:p>
    <w:p w14:paraId="1F5F0DFE">
      <w:pPr>
        <w:pStyle w:val="21"/>
        <w:widowControl w:val="0"/>
        <w:spacing w:line="440" w:lineRule="exact"/>
        <w:ind w:firstLine="0" w:firstLineChars="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1.</w:t>
      </w:r>
      <w:r>
        <w:rPr>
          <w:rFonts w:ascii="Times New Roman" w:hAnsi="Times New Roman" w:cs="Times New Roman"/>
          <w:color w:val="000000" w:themeColor="text1"/>
          <w14:textFill>
            <w14:solidFill>
              <w14:schemeClr w14:val="tx1"/>
            </w14:solidFill>
          </w14:textFill>
        </w:rPr>
        <w:t>产业发展情况</w:t>
      </w:r>
    </w:p>
    <w:p w14:paraId="26D27A4D">
      <w:pPr>
        <w:pStyle w:val="21"/>
        <w:widowControl w:val="0"/>
        <w:spacing w:line="440" w:lineRule="exact"/>
        <w:ind w:firstLine="48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hd w:val="clear" w:color="auto" w:fill="FFFFFF"/>
          <w14:textFill>
            <w14:solidFill>
              <w14:schemeClr w14:val="tx1"/>
            </w14:solidFill>
          </w14:textFill>
        </w:rPr>
        <w:t>随着环境保护意识的提升和生态文明建设的推进，政府相继出台污泥处理处置行业的相关政策，进一步强调了污泥处理处置的减量化、无害化和资源化目标，鼓励推广先进技术和工艺，为行业发展提供了政策支持和市场导向。</w:t>
      </w:r>
    </w:p>
    <w:p w14:paraId="0F6B3EA6">
      <w:pPr>
        <w:pStyle w:val="21"/>
        <w:widowControl w:val="0"/>
        <w:spacing w:line="440" w:lineRule="exact"/>
        <w:ind w:firstLine="48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hd w:val="clear" w:color="auto" w:fill="FFFFFF"/>
          <w14:textFill>
            <w14:solidFill>
              <w14:schemeClr w14:val="tx1"/>
            </w14:solidFill>
          </w14:textFill>
        </w:rPr>
        <w:t>随着国家对环境保护和污染控制的要求日益严格，污泥处置量逐步提升，无害化和资源化处置方式逐渐成为行业发展的重点方向，推动了更高效、环保的污泥处理技术的应用和推广。目前，</w:t>
      </w:r>
      <w:r>
        <w:rPr>
          <w:rFonts w:ascii="Times New Roman" w:hAnsi="Times New Roman" w:cs="Times New Roman"/>
          <w:color w:val="000000" w:themeColor="text1"/>
          <w14:textFill>
            <w14:solidFill>
              <w14:schemeClr w14:val="tx1"/>
            </w14:solidFill>
          </w14:textFill>
        </w:rPr>
        <w:t>杨家溪污水处理厂</w:t>
      </w:r>
      <w:r>
        <w:rPr>
          <w:rFonts w:ascii="Times New Roman" w:hAnsi="Times New Roman" w:cs="Times New Roman"/>
          <w:color w:val="000000" w:themeColor="text1"/>
          <w:shd w:val="clear" w:color="auto" w:fill="FFFFFF"/>
          <w14:textFill>
            <w14:solidFill>
              <w14:schemeClr w14:val="tx1"/>
            </w14:solidFill>
          </w14:textFill>
        </w:rPr>
        <w:t>污泥年污泥产生量约</w:t>
      </w:r>
      <w:r>
        <w:rPr>
          <w:rFonts w:hint="eastAsia" w:ascii="Times New Roman" w:hAnsi="Times New Roman" w:cs="Times New Roman"/>
          <w:color w:val="000000" w:themeColor="text1"/>
          <w:shd w:val="clear" w:color="auto" w:fill="FFFFFF"/>
          <w:lang w:val="en-US" w:eastAsia="zh-CN"/>
          <w14:textFill>
            <w14:solidFill>
              <w14:schemeClr w14:val="tx1"/>
            </w14:solidFill>
          </w14:textFill>
        </w:rPr>
        <w:t>0.7</w:t>
      </w:r>
      <w:r>
        <w:rPr>
          <w:rFonts w:ascii="Times New Roman" w:hAnsi="Times New Roman" w:cs="Times New Roman"/>
          <w:color w:val="000000" w:themeColor="text1"/>
          <w:shd w:val="clear" w:color="auto" w:fill="FFFFFF"/>
          <w14:textFill>
            <w14:solidFill>
              <w14:schemeClr w14:val="tx1"/>
            </w14:solidFill>
          </w14:textFill>
        </w:rPr>
        <w:t>万吨/年，年处置量约</w:t>
      </w:r>
      <w:r>
        <w:rPr>
          <w:rFonts w:hint="eastAsia" w:ascii="Times New Roman" w:hAnsi="Times New Roman" w:cs="Times New Roman"/>
          <w:color w:val="000000" w:themeColor="text1"/>
          <w:shd w:val="clear" w:color="auto" w:fill="FFFFFF"/>
          <w:lang w:val="en-US" w:eastAsia="zh-CN"/>
          <w14:textFill>
            <w14:solidFill>
              <w14:schemeClr w14:val="tx1"/>
            </w14:solidFill>
          </w14:textFill>
        </w:rPr>
        <w:t>0.7</w:t>
      </w:r>
      <w:r>
        <w:rPr>
          <w:rFonts w:ascii="Times New Roman" w:hAnsi="Times New Roman" w:cs="Times New Roman"/>
          <w:color w:val="000000" w:themeColor="text1"/>
          <w:shd w:val="clear" w:color="auto" w:fill="FFFFFF"/>
          <w14:textFill>
            <w14:solidFill>
              <w14:schemeClr w14:val="tx1"/>
            </w14:solidFill>
          </w14:textFill>
        </w:rPr>
        <w:t>万吨。</w:t>
      </w:r>
    </w:p>
    <w:p w14:paraId="7BD40CE0">
      <w:pPr>
        <w:pStyle w:val="21"/>
        <w:widowControl w:val="0"/>
        <w:spacing w:line="440" w:lineRule="exact"/>
        <w:ind w:firstLine="0" w:firstLineChars="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2.市场供</w:t>
      </w:r>
      <w:r>
        <w:rPr>
          <w:rFonts w:ascii="Times New Roman" w:hAnsi="Times New Roman" w:cs="Times New Roman"/>
          <w:color w:val="000000" w:themeColor="text1"/>
          <w14:textFill>
            <w14:solidFill>
              <w14:schemeClr w14:val="tx1"/>
            </w14:solidFill>
          </w14:textFill>
        </w:rPr>
        <w:t>给情况</w:t>
      </w:r>
    </w:p>
    <w:p w14:paraId="41177DD7">
      <w:pPr>
        <w:pStyle w:val="21"/>
        <w:widowControl w:val="0"/>
        <w:spacing w:line="440" w:lineRule="exact"/>
        <w:ind w:firstLine="48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综合考虑污泥处理的时效性与特殊性，行业市场供给主要以张家界市企业为主，目前张家界市有光大环保能源（张家界）有限公司、华新水泥（桑植）有限公司具备处置污泥的能力。                                                                               </w:t>
      </w:r>
    </w:p>
    <w:p w14:paraId="3442C862">
      <w:pPr>
        <w:pStyle w:val="21"/>
        <w:widowControl w:val="0"/>
        <w:spacing w:line="440" w:lineRule="exact"/>
        <w:ind w:firstLine="0" w:firstLineChars="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3.</w:t>
      </w:r>
      <w:r>
        <w:rPr>
          <w:rFonts w:ascii="Times New Roman" w:hAnsi="Times New Roman" w:cs="Times New Roman"/>
          <w:color w:val="000000" w:themeColor="text1"/>
          <w14:textFill>
            <w14:solidFill>
              <w14:schemeClr w14:val="tx1"/>
            </w14:solidFill>
          </w14:textFill>
        </w:rPr>
        <w:t>同类采购项目历史成交信息</w:t>
      </w:r>
    </w:p>
    <w:p w14:paraId="35365AEC">
      <w:pPr>
        <w:pStyle w:val="21"/>
        <w:widowControl w:val="0"/>
        <w:spacing w:line="440" w:lineRule="exact"/>
        <w:ind w:left="420" w:leftChars="200"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张家界市中心城区污水处理厂污泥无害化处置项目</w:t>
      </w:r>
      <w:r>
        <w:rPr>
          <w:rFonts w:hint="eastAsia" w:ascii="Times New Roman" w:hAnsi="Times New Roman" w:cs="Times New Roman"/>
          <w:color w:val="000000" w:themeColor="text1"/>
          <w:lang w:eastAsia="zh-CN"/>
          <w14:textFill>
            <w14:solidFill>
              <w14:schemeClr w14:val="tx1"/>
            </w14:solidFill>
          </w14:textFill>
        </w:rPr>
        <w:t>（</w:t>
      </w:r>
      <w:r>
        <w:rPr>
          <w:rFonts w:hint="eastAsia" w:ascii="Times New Roman" w:hAnsi="Times New Roman" w:cs="Times New Roman"/>
          <w:color w:val="000000" w:themeColor="text1"/>
          <w:kern w:val="0"/>
          <w:sz w:val="21"/>
          <w:szCs w:val="21"/>
          <w:lang w:val="en-US" w:eastAsia="zh-CN"/>
          <w14:textFill>
            <w14:solidFill>
              <w14:schemeClr w14:val="tx1"/>
            </w14:solidFill>
          </w14:textFill>
        </w:rPr>
        <w:t>2025年</w:t>
      </w:r>
      <w:r>
        <w:rPr>
          <w:rFonts w:hint="eastAsia" w:ascii="Times New Roman" w:hAnsi="Times New Roman" w:cs="Times New Roman"/>
          <w:color w:val="000000" w:themeColor="text1"/>
          <w:lang w:eastAsia="zh-CN"/>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 xml:space="preserve">                                                                        </w:t>
      </w:r>
    </w:p>
    <w:p w14:paraId="3A7CABD2">
      <w:pPr>
        <w:pStyle w:val="21"/>
        <w:widowControl w:val="0"/>
        <w:spacing w:line="440" w:lineRule="exact"/>
        <w:ind w:firstLine="0" w:firstLineChars="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4.</w:t>
      </w:r>
      <w:r>
        <w:rPr>
          <w:rFonts w:ascii="Times New Roman" w:hAnsi="Times New Roman" w:cs="Times New Roman"/>
          <w:color w:val="000000" w:themeColor="text1"/>
          <w14:textFill>
            <w14:solidFill>
              <w14:schemeClr w14:val="tx1"/>
            </w14:solidFill>
          </w14:textFill>
        </w:rPr>
        <w:t>可能涉及的运行维护、升级更新、备品备件、耗材等后续采购情况</w:t>
      </w:r>
    </w:p>
    <w:p w14:paraId="6748129A">
      <w:pPr>
        <w:pStyle w:val="21"/>
        <w:widowControl w:val="0"/>
        <w:spacing w:line="440" w:lineRule="exact"/>
        <w:ind w:left="420" w:leftChars="200"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无                                                                        </w:t>
      </w:r>
    </w:p>
    <w:p w14:paraId="58C08F40">
      <w:pPr>
        <w:pStyle w:val="21"/>
        <w:widowControl w:val="0"/>
        <w:spacing w:line="440" w:lineRule="exact"/>
        <w:ind w:firstLine="0" w:firstLineChars="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5.</w:t>
      </w:r>
      <w:r>
        <w:rPr>
          <w:rFonts w:ascii="Times New Roman" w:hAnsi="Times New Roman" w:cs="Times New Roman"/>
          <w:color w:val="000000" w:themeColor="text1"/>
          <w14:textFill>
            <w14:solidFill>
              <w14:schemeClr w14:val="tx1"/>
            </w14:solidFill>
          </w14:textFill>
        </w:rPr>
        <w:t>其他相关情况</w:t>
      </w:r>
    </w:p>
    <w:p w14:paraId="4F4AA03D">
      <w:pPr>
        <w:pStyle w:val="21"/>
        <w:widowControl w:val="0"/>
        <w:spacing w:line="440" w:lineRule="exact"/>
        <w:ind w:left="420" w:leftChars="200"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   无                                                                  </w:t>
      </w:r>
    </w:p>
    <w:p w14:paraId="4BAAF55B">
      <w:pPr>
        <w:pStyle w:val="5"/>
        <w:keepNext w:val="0"/>
        <w:keepLines w:val="0"/>
        <w:spacing w:before="0" w:after="0" w:line="440" w:lineRule="exact"/>
        <w:rPr>
          <w:rFonts w:ascii="Times New Roman" w:hAnsi="Times New Roman" w:cs="Times New Roman"/>
          <w:color w:val="000000" w:themeColor="text1"/>
          <w14:textFill>
            <w14:solidFill>
              <w14:schemeClr w14:val="tx1"/>
            </w14:solidFill>
          </w14:textFill>
        </w:rPr>
      </w:pPr>
      <w:bookmarkStart w:id="5" w:name="_Toc18096"/>
      <w:r>
        <w:rPr>
          <w:rFonts w:ascii="Times New Roman" w:hAnsi="Times New Roman" w:cs="Times New Roman"/>
          <w:color w:val="000000" w:themeColor="text1"/>
          <w14:textFill>
            <w14:solidFill>
              <w14:schemeClr w14:val="tx1"/>
            </w14:solidFill>
          </w14:textFill>
        </w:rPr>
        <w:t>二、需求清单</w:t>
      </w:r>
      <w:bookmarkEnd w:id="5"/>
    </w:p>
    <w:p w14:paraId="05E2CD20">
      <w:pPr>
        <w:pStyle w:val="6"/>
        <w:keepNext w:val="0"/>
        <w:keepLines w:val="0"/>
        <w:numPr>
          <w:ilvl w:val="0"/>
          <w:numId w:val="2"/>
        </w:numPr>
        <w:spacing w:before="0" w:after="0" w:line="500" w:lineRule="exact"/>
        <w:ind w:firstLine="0"/>
        <w:rPr>
          <w:color w:val="000000" w:themeColor="text1"/>
          <w14:textFill>
            <w14:solidFill>
              <w14:schemeClr w14:val="tx1"/>
            </w14:solidFill>
          </w14:textFill>
        </w:rPr>
      </w:pPr>
      <w:bookmarkStart w:id="6" w:name="_Toc5734"/>
      <w:r>
        <w:rPr>
          <w:color w:val="000000" w:themeColor="text1"/>
          <w14:textFill>
            <w14:solidFill>
              <w14:schemeClr w14:val="tx1"/>
            </w14:solidFill>
          </w14:textFill>
        </w:rPr>
        <w:t>项目概况</w:t>
      </w:r>
      <w:bookmarkEnd w:id="6"/>
    </w:p>
    <w:p w14:paraId="575D3D63">
      <w:pPr>
        <w:spacing w:line="500" w:lineRule="exact"/>
        <w:ind w:firstLine="480" w:firstLineChars="200"/>
        <w:jc w:val="left"/>
        <w:rPr>
          <w:rFonts w:ascii="Times New Roman" w:hAnsi="Times New Roman" w:cs="Times New Roman" w:eastAsiaTheme="minorEastAsia"/>
          <w:color w:val="000000" w:themeColor="text1"/>
          <w:sz w:val="24"/>
          <w:szCs w:val="24"/>
          <w14:textFill>
            <w14:solidFill>
              <w14:schemeClr w14:val="tx1"/>
            </w14:solidFill>
          </w14:textFill>
        </w:rPr>
      </w:pPr>
      <w:r>
        <w:rPr>
          <w:rFonts w:ascii="Times New Roman" w:hAnsi="Times New Roman" w:cs="Times New Roman" w:eastAsiaTheme="minorEastAsia"/>
          <w:color w:val="000000" w:themeColor="text1"/>
          <w:sz w:val="24"/>
          <w:szCs w:val="24"/>
          <w14:textFill>
            <w14:solidFill>
              <w14:schemeClr w14:val="tx1"/>
            </w14:solidFill>
          </w14:textFill>
        </w:rPr>
        <w:t>市城区杨家溪污水处理厂产生的污泥无害化处置，年产量估算约</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0.8</w:t>
      </w:r>
      <w:r>
        <w:rPr>
          <w:rFonts w:ascii="Times New Roman" w:hAnsi="Times New Roman" w:cs="Times New Roman" w:eastAsiaTheme="minorEastAsia"/>
          <w:color w:val="000000" w:themeColor="text1"/>
          <w:sz w:val="24"/>
          <w:szCs w:val="24"/>
          <w14:textFill>
            <w14:solidFill>
              <w14:schemeClr w14:val="tx1"/>
            </w14:solidFill>
          </w14:textFill>
        </w:rPr>
        <w:t>万吨/年，</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3年共2.4万吨，</w:t>
      </w:r>
      <w:r>
        <w:rPr>
          <w:rFonts w:ascii="Times New Roman" w:hAnsi="Times New Roman" w:cs="Times New Roman" w:eastAsiaTheme="minorEastAsia"/>
          <w:color w:val="000000" w:themeColor="text1"/>
          <w:sz w:val="24"/>
          <w:szCs w:val="24"/>
          <w14:textFill>
            <w14:solidFill>
              <w14:schemeClr w14:val="tx1"/>
            </w14:solidFill>
          </w14:textFill>
        </w:rPr>
        <w:t>含水率60%以下湿泥，污泥处置标准达到国家住建部、生态环境部相关标准，处置单价280元/吨，预计预算金额</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672</w:t>
      </w:r>
      <w:r>
        <w:rPr>
          <w:rFonts w:ascii="Times New Roman" w:hAnsi="Times New Roman" w:cs="Times New Roman" w:eastAsiaTheme="minorEastAsia"/>
          <w:color w:val="000000" w:themeColor="text1"/>
          <w:sz w:val="24"/>
          <w:szCs w:val="24"/>
          <w14:textFill>
            <w14:solidFill>
              <w14:schemeClr w14:val="tx1"/>
            </w14:solidFill>
          </w14:textFill>
        </w:rPr>
        <w:t>万元（最终据实结算），服务时间</w:t>
      </w: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36</w:t>
      </w:r>
      <w:r>
        <w:rPr>
          <w:rFonts w:ascii="Times New Roman" w:hAnsi="Times New Roman" w:cs="Times New Roman" w:eastAsiaTheme="minorEastAsia"/>
          <w:color w:val="000000" w:themeColor="text1"/>
          <w:sz w:val="24"/>
          <w:szCs w:val="24"/>
          <w14:textFill>
            <w14:solidFill>
              <w14:schemeClr w14:val="tx1"/>
            </w14:solidFill>
          </w14:textFill>
        </w:rPr>
        <w:t>个月。</w:t>
      </w:r>
    </w:p>
    <w:p w14:paraId="2CB5D1A4">
      <w:pPr>
        <w:pStyle w:val="6"/>
        <w:keepNext w:val="0"/>
        <w:keepLines w:val="0"/>
        <w:numPr>
          <w:ilvl w:val="0"/>
          <w:numId w:val="2"/>
        </w:numPr>
        <w:spacing w:before="0" w:after="0" w:line="440" w:lineRule="exact"/>
        <w:ind w:firstLine="0"/>
        <w:rPr>
          <w:color w:val="000000" w:themeColor="text1"/>
          <w14:textFill>
            <w14:solidFill>
              <w14:schemeClr w14:val="tx1"/>
            </w14:solidFill>
          </w14:textFill>
        </w:rPr>
      </w:pPr>
      <w:bookmarkStart w:id="7" w:name="_Toc23714"/>
      <w:r>
        <w:rPr>
          <w:color w:val="000000" w:themeColor="text1"/>
          <w14:textFill>
            <w14:solidFill>
              <w14:schemeClr w14:val="tx1"/>
            </w14:solidFill>
          </w14:textFill>
        </w:rPr>
        <w:t>采购项目预（概）算</w:t>
      </w:r>
      <w:bookmarkEnd w:id="7"/>
    </w:p>
    <w:p w14:paraId="2ACB043B">
      <w:pPr>
        <w:pStyle w:val="21"/>
        <w:widowControl w:val="0"/>
        <w:spacing w:line="440" w:lineRule="exact"/>
        <w:ind w:firstLine="480"/>
        <w:rPr>
          <w:rFonts w:ascii="Times New Roman" w:hAnsi="Times New Roman" w:cs="Times New Roman"/>
          <w:color w:val="000000" w:themeColor="text1"/>
          <w:u w:val="single"/>
          <w14:textFill>
            <w14:solidFill>
              <w14:schemeClr w14:val="tx1"/>
            </w14:solidFill>
          </w14:textFill>
        </w:rPr>
      </w:pPr>
      <w:r>
        <w:rPr>
          <w:rFonts w:ascii="Times New Roman" w:hAnsi="Times New Roman" w:cs="Times New Roman"/>
          <w:color w:val="000000" w:themeColor="text1"/>
          <w14:textFill>
            <w14:solidFill>
              <w14:schemeClr w14:val="tx1"/>
            </w14:solidFill>
          </w14:textFill>
        </w:rPr>
        <w:t>总 预 算</w:t>
      </w:r>
      <w:r>
        <w:rPr>
          <w:rFonts w:hint="eastAsia" w:ascii="宋体" w:hAnsi="宋体"/>
          <w:color w:val="000000" w:themeColor="text1"/>
          <w14:textFill>
            <w14:solidFill>
              <w14:schemeClr w14:val="tx1"/>
            </w14:solidFill>
          </w14:textFill>
        </w:rPr>
        <w:t>∶</w:t>
      </w:r>
      <w:r>
        <w:rPr>
          <w:rFonts w:hint="eastAsia" w:ascii="Times New Roman" w:hAnsi="Times New Roman" w:cs="Times New Roman"/>
          <w:color w:val="000000" w:themeColor="text1"/>
          <w:u w:val="single"/>
          <w:lang w:val="en-US" w:eastAsia="zh-CN"/>
          <w14:textFill>
            <w14:solidFill>
              <w14:schemeClr w14:val="tx1"/>
            </w14:solidFill>
          </w14:textFill>
        </w:rPr>
        <w:t>6153680.00</w:t>
      </w:r>
      <w:r>
        <w:rPr>
          <w:rFonts w:ascii="Times New Roman" w:hAnsi="Times New Roman" w:cs="Times New Roman"/>
          <w:color w:val="000000" w:themeColor="text1"/>
          <w:u w:val="single"/>
          <w14:textFill>
            <w14:solidFill>
              <w14:schemeClr w14:val="tx1"/>
            </w14:solidFill>
          </w14:textFill>
        </w:rPr>
        <w:t>元 （单价</w:t>
      </w:r>
      <w:r>
        <w:rPr>
          <w:rFonts w:ascii="Times New Roman" w:hAnsi="Times New Roman" w:cs="Times New Roman" w:eastAsiaTheme="minorEastAsia"/>
          <w:color w:val="000000" w:themeColor="text1"/>
          <w:szCs w:val="24"/>
          <w:u w:val="single"/>
          <w14:textFill>
            <w14:solidFill>
              <w14:schemeClr w14:val="tx1"/>
            </w14:solidFill>
          </w14:textFill>
        </w:rPr>
        <w:t>2</w:t>
      </w:r>
      <w:r>
        <w:rPr>
          <w:rFonts w:hint="eastAsia" w:ascii="Times New Roman" w:hAnsi="Times New Roman" w:cs="Times New Roman" w:eastAsiaTheme="minorEastAsia"/>
          <w:color w:val="000000" w:themeColor="text1"/>
          <w:szCs w:val="24"/>
          <w:u w:val="single"/>
          <w:lang w:val="en-US" w:eastAsia="zh-CN"/>
          <w14:textFill>
            <w14:solidFill>
              <w14:schemeClr w14:val="tx1"/>
            </w14:solidFill>
          </w14:textFill>
        </w:rPr>
        <w:t>6</w:t>
      </w:r>
      <w:r>
        <w:rPr>
          <w:rFonts w:ascii="Times New Roman" w:hAnsi="Times New Roman" w:cs="Times New Roman" w:eastAsiaTheme="minorEastAsia"/>
          <w:color w:val="000000" w:themeColor="text1"/>
          <w:szCs w:val="24"/>
          <w:u w:val="single"/>
          <w14:textFill>
            <w14:solidFill>
              <w14:schemeClr w14:val="tx1"/>
            </w14:solidFill>
          </w14:textFill>
        </w:rPr>
        <w:t>0元/吨</w:t>
      </w:r>
      <w:r>
        <w:rPr>
          <w:rFonts w:ascii="Times New Roman" w:hAnsi="Times New Roman" w:cs="Times New Roman"/>
          <w:color w:val="000000" w:themeColor="text1"/>
          <w:u w:val="single"/>
          <w14:textFill>
            <w14:solidFill>
              <w14:schemeClr w14:val="tx1"/>
            </w14:solidFill>
          </w14:textFill>
        </w:rPr>
        <w:t>）</w:t>
      </w:r>
    </w:p>
    <w:p w14:paraId="4531B837">
      <w:pPr>
        <w:pStyle w:val="21"/>
        <w:widowControl w:val="0"/>
        <w:spacing w:line="440" w:lineRule="exact"/>
        <w:ind w:firstLine="480"/>
        <w:rPr>
          <w:rFonts w:ascii="Times New Roman" w:hAnsi="Times New Roman" w:cs="Times New Roman"/>
          <w:color w:val="000000" w:themeColor="text1"/>
          <w:u w:val="single"/>
          <w14:textFill>
            <w14:solidFill>
              <w14:schemeClr w14:val="tx1"/>
            </w14:solidFill>
          </w14:textFill>
        </w:rPr>
      </w:pPr>
      <w:r>
        <w:rPr>
          <w:rFonts w:ascii="Times New Roman" w:hAnsi="Times New Roman" w:cs="Times New Roman"/>
          <w:color w:val="000000" w:themeColor="text1"/>
          <w14:textFill>
            <w14:solidFill>
              <w14:schemeClr w14:val="tx1"/>
            </w14:solidFill>
          </w14:textFill>
        </w:rPr>
        <w:t>包1预算</w:t>
      </w:r>
      <w:r>
        <w:rPr>
          <w:rFonts w:hint="eastAsia" w:ascii="宋体" w:hAnsi="宋体"/>
          <w:color w:val="000000" w:themeColor="text1"/>
          <w14:textFill>
            <w14:solidFill>
              <w14:schemeClr w14:val="tx1"/>
            </w14:solidFill>
          </w14:textFill>
        </w:rPr>
        <w:t>∶</w:t>
      </w:r>
      <w:r>
        <w:rPr>
          <w:rFonts w:hint="eastAsia" w:ascii="Times New Roman" w:hAnsi="Times New Roman" w:cs="Times New Roman"/>
          <w:color w:val="000000" w:themeColor="text1"/>
          <w:u w:val="single"/>
          <w:lang w:val="en-US" w:eastAsia="zh-CN"/>
          <w14:textFill>
            <w14:solidFill>
              <w14:schemeClr w14:val="tx1"/>
            </w14:solidFill>
          </w14:textFill>
        </w:rPr>
        <w:t>6153680.00</w:t>
      </w:r>
      <w:r>
        <w:rPr>
          <w:rFonts w:ascii="Times New Roman" w:hAnsi="Times New Roman" w:cs="Times New Roman"/>
          <w:color w:val="000000" w:themeColor="text1"/>
          <w:u w:val="single"/>
          <w14:textFill>
            <w14:solidFill>
              <w14:schemeClr w14:val="tx1"/>
            </w14:solidFill>
          </w14:textFill>
        </w:rPr>
        <w:t>元 （单价</w:t>
      </w:r>
      <w:r>
        <w:rPr>
          <w:rFonts w:ascii="Times New Roman" w:hAnsi="Times New Roman" w:cs="Times New Roman" w:eastAsiaTheme="minorEastAsia"/>
          <w:color w:val="000000" w:themeColor="text1"/>
          <w:szCs w:val="24"/>
          <w:u w:val="single"/>
          <w14:textFill>
            <w14:solidFill>
              <w14:schemeClr w14:val="tx1"/>
            </w14:solidFill>
          </w14:textFill>
        </w:rPr>
        <w:t>2</w:t>
      </w:r>
      <w:r>
        <w:rPr>
          <w:rFonts w:hint="eastAsia" w:ascii="Times New Roman" w:hAnsi="Times New Roman" w:cs="Times New Roman" w:eastAsiaTheme="minorEastAsia"/>
          <w:color w:val="000000" w:themeColor="text1"/>
          <w:szCs w:val="24"/>
          <w:u w:val="single"/>
          <w:lang w:val="en-US" w:eastAsia="zh-CN"/>
          <w14:textFill>
            <w14:solidFill>
              <w14:schemeClr w14:val="tx1"/>
            </w14:solidFill>
          </w14:textFill>
        </w:rPr>
        <w:t>6</w:t>
      </w:r>
      <w:bookmarkStart w:id="10" w:name="_GoBack"/>
      <w:bookmarkEnd w:id="10"/>
      <w:r>
        <w:rPr>
          <w:rFonts w:ascii="Times New Roman" w:hAnsi="Times New Roman" w:cs="Times New Roman" w:eastAsiaTheme="minorEastAsia"/>
          <w:color w:val="000000" w:themeColor="text1"/>
          <w:szCs w:val="24"/>
          <w:u w:val="single"/>
          <w14:textFill>
            <w14:solidFill>
              <w14:schemeClr w14:val="tx1"/>
            </w14:solidFill>
          </w14:textFill>
        </w:rPr>
        <w:t>0元/吨</w:t>
      </w:r>
      <w:r>
        <w:rPr>
          <w:rFonts w:ascii="Times New Roman" w:hAnsi="Times New Roman" w:cs="Times New Roman"/>
          <w:color w:val="000000" w:themeColor="text1"/>
          <w:u w:val="single"/>
          <w14:textFill>
            <w14:solidFill>
              <w14:schemeClr w14:val="tx1"/>
            </w14:solidFill>
          </w14:textFill>
        </w:rPr>
        <w:t>）</w:t>
      </w:r>
    </w:p>
    <w:p w14:paraId="480AD309">
      <w:pPr>
        <w:pStyle w:val="21"/>
        <w:widowControl w:val="0"/>
        <w:spacing w:line="440" w:lineRule="exact"/>
        <w:ind w:firstLine="480"/>
        <w:rPr>
          <w:rFonts w:ascii="Times New Roman" w:hAnsi="Times New Roman" w:cs="Times New Roman"/>
          <w:color w:val="000000" w:themeColor="text1"/>
          <w:u w:val="single"/>
          <w14:textFill>
            <w14:solidFill>
              <w14:schemeClr w14:val="tx1"/>
            </w14:solidFill>
          </w14:textFill>
        </w:rPr>
      </w:pPr>
      <w:r>
        <w:rPr>
          <w:rFonts w:ascii="Times New Roman" w:hAnsi="Times New Roman" w:cs="Times New Roman"/>
          <w:color w:val="000000" w:themeColor="text1"/>
          <w14:textFill>
            <w14:solidFill>
              <w14:schemeClr w14:val="tx1"/>
            </w14:solidFill>
          </w14:textFill>
        </w:rPr>
        <w:t>包2预算</w:t>
      </w:r>
      <w:r>
        <w:rPr>
          <w:rFonts w:hint="eastAsia" w:ascii="宋体" w:hAnsi="宋体"/>
          <w:color w:val="000000" w:themeColor="text1"/>
          <w14:textFill>
            <w14:solidFill>
              <w14:schemeClr w14:val="tx1"/>
            </w14:solidFill>
          </w14:textFill>
        </w:rPr>
        <w:t>∶</w:t>
      </w:r>
      <w:r>
        <w:rPr>
          <w:rFonts w:ascii="Times New Roman" w:hAnsi="Times New Roman" w:cs="Times New Roman"/>
          <w:color w:val="000000" w:themeColor="text1"/>
          <w:u w:val="single"/>
          <w14:textFill>
            <w14:solidFill>
              <w14:schemeClr w14:val="tx1"/>
            </w14:solidFill>
          </w14:textFill>
        </w:rPr>
        <w:t xml:space="preserve">               </w:t>
      </w:r>
    </w:p>
    <w:p w14:paraId="2F564BB2">
      <w:pPr>
        <w:pStyle w:val="6"/>
        <w:keepNext w:val="0"/>
        <w:keepLines w:val="0"/>
        <w:numPr>
          <w:ilvl w:val="0"/>
          <w:numId w:val="2"/>
        </w:numPr>
        <w:spacing w:before="0" w:after="0"/>
        <w:ind w:firstLine="0"/>
        <w:rPr>
          <w:color w:val="000000" w:themeColor="text1"/>
          <w14:textFill>
            <w14:solidFill>
              <w14:schemeClr w14:val="tx1"/>
            </w14:solidFill>
          </w14:textFill>
        </w:rPr>
      </w:pPr>
      <w:bookmarkStart w:id="8" w:name="_Toc4938"/>
      <w:r>
        <w:rPr>
          <w:color w:val="000000" w:themeColor="text1"/>
          <w14:textFill>
            <w14:solidFill>
              <w14:schemeClr w14:val="tx1"/>
            </w14:solidFill>
          </w14:textFill>
        </w:rPr>
        <w:t>采购标的汇总表</w:t>
      </w:r>
      <w:bookmarkEnd w:id="8"/>
    </w:p>
    <w:tbl>
      <w:tblPr>
        <w:tblStyle w:val="13"/>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694"/>
        <w:gridCol w:w="2459"/>
        <w:gridCol w:w="1772"/>
        <w:gridCol w:w="701"/>
        <w:gridCol w:w="777"/>
        <w:gridCol w:w="1203"/>
      </w:tblGrid>
      <w:tr w14:paraId="6EC4A0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6" w:type="dxa"/>
            <w:tcBorders>
              <w:tl2br w:val="nil"/>
              <w:tr2bl w:val="nil"/>
            </w:tcBorders>
            <w:vAlign w:val="center"/>
          </w:tcPr>
          <w:p w14:paraId="5F3F5BDD">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包号</w:t>
            </w:r>
          </w:p>
        </w:tc>
        <w:tc>
          <w:tcPr>
            <w:tcW w:w="694" w:type="dxa"/>
            <w:tcBorders>
              <w:tl2br w:val="nil"/>
              <w:tr2bl w:val="nil"/>
            </w:tcBorders>
            <w:vAlign w:val="center"/>
          </w:tcPr>
          <w:p w14:paraId="5368CAFB">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序号</w:t>
            </w:r>
          </w:p>
        </w:tc>
        <w:tc>
          <w:tcPr>
            <w:tcW w:w="2459" w:type="dxa"/>
            <w:tcBorders>
              <w:tl2br w:val="nil"/>
              <w:tr2bl w:val="nil"/>
            </w:tcBorders>
            <w:vAlign w:val="center"/>
          </w:tcPr>
          <w:p w14:paraId="3FA268B8">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标的名称</w:t>
            </w:r>
          </w:p>
        </w:tc>
        <w:tc>
          <w:tcPr>
            <w:tcW w:w="1772" w:type="dxa"/>
            <w:tcBorders>
              <w:tl2br w:val="nil"/>
              <w:tr2bl w:val="nil"/>
            </w:tcBorders>
            <w:vAlign w:val="center"/>
          </w:tcPr>
          <w:p w14:paraId="0F873A2B">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品目分类编码</w:t>
            </w:r>
          </w:p>
        </w:tc>
        <w:tc>
          <w:tcPr>
            <w:tcW w:w="701" w:type="dxa"/>
            <w:tcBorders>
              <w:tl2br w:val="nil"/>
              <w:tr2bl w:val="nil"/>
            </w:tcBorders>
            <w:vAlign w:val="center"/>
          </w:tcPr>
          <w:p w14:paraId="27AF635C">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计量单位</w:t>
            </w:r>
          </w:p>
        </w:tc>
        <w:tc>
          <w:tcPr>
            <w:tcW w:w="777" w:type="dxa"/>
            <w:tcBorders>
              <w:tl2br w:val="nil"/>
              <w:tr2bl w:val="nil"/>
            </w:tcBorders>
            <w:vAlign w:val="center"/>
          </w:tcPr>
          <w:p w14:paraId="40BB0651">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数量</w:t>
            </w:r>
          </w:p>
        </w:tc>
        <w:tc>
          <w:tcPr>
            <w:tcW w:w="1203" w:type="dxa"/>
            <w:tcBorders>
              <w:tl2br w:val="nil"/>
              <w:tr2bl w:val="nil"/>
            </w:tcBorders>
            <w:vAlign w:val="center"/>
          </w:tcPr>
          <w:p w14:paraId="78E89C49">
            <w:pPr>
              <w:spacing w:line="300" w:lineRule="exact"/>
              <w:jc w:val="center"/>
              <w:rPr>
                <w:rFonts w:ascii="Times New Roman" w:hAnsi="Times New Roman" w:eastAsia="微软雅黑" w:cs="Times New Roman"/>
                <w:b/>
                <w:bCs/>
                <w:color w:val="000000" w:themeColor="text1"/>
                <w:sz w:val="22"/>
                <w14:textFill>
                  <w14:solidFill>
                    <w14:schemeClr w14:val="tx1"/>
                  </w14:solidFill>
                </w14:textFill>
              </w:rPr>
            </w:pPr>
            <w:r>
              <w:rPr>
                <w:rFonts w:ascii="Times New Roman" w:hAnsi="Times New Roman" w:eastAsia="微软雅黑" w:cs="Times New Roman"/>
                <w:b/>
                <w:bCs/>
                <w:color w:val="000000" w:themeColor="text1"/>
                <w:sz w:val="22"/>
                <w14:textFill>
                  <w14:solidFill>
                    <w14:schemeClr w14:val="tx1"/>
                  </w14:solidFill>
                </w14:textFill>
              </w:rPr>
              <w:t>是否进口</w:t>
            </w:r>
          </w:p>
        </w:tc>
      </w:tr>
      <w:tr w14:paraId="6DB652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6" w:type="dxa"/>
            <w:tcBorders>
              <w:tl2br w:val="nil"/>
              <w:tr2bl w:val="nil"/>
            </w:tcBorders>
            <w:vAlign w:val="center"/>
          </w:tcPr>
          <w:p w14:paraId="1056AB2B">
            <w:pPr>
              <w:pStyle w:val="17"/>
              <w:widowControl w:val="0"/>
              <w:numPr>
                <w:ilvl w:val="0"/>
                <w:numId w:val="0"/>
              </w:numPr>
              <w:spacing w:line="300" w:lineRule="exact"/>
              <w:ind w:left="210" w:leftChars="100"/>
              <w:jc w:val="center"/>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包号1</w:t>
            </w:r>
          </w:p>
        </w:tc>
        <w:tc>
          <w:tcPr>
            <w:tcW w:w="694" w:type="dxa"/>
            <w:tcBorders>
              <w:tl2br w:val="nil"/>
              <w:tr2bl w:val="nil"/>
            </w:tcBorders>
            <w:vAlign w:val="center"/>
          </w:tcPr>
          <w:p w14:paraId="02279532">
            <w:pPr>
              <w:pStyle w:val="17"/>
              <w:widowControl w:val="0"/>
              <w:numPr>
                <w:ilvl w:val="0"/>
                <w:numId w:val="0"/>
              </w:numPr>
              <w:spacing w:line="300" w:lineRule="exact"/>
              <w:ind w:left="210" w:leftChars="100"/>
              <w:jc w:val="both"/>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1</w:t>
            </w:r>
          </w:p>
        </w:tc>
        <w:tc>
          <w:tcPr>
            <w:tcW w:w="2459" w:type="dxa"/>
            <w:tcBorders>
              <w:tl2br w:val="nil"/>
              <w:tr2bl w:val="nil"/>
            </w:tcBorders>
            <w:vAlign w:val="center"/>
          </w:tcPr>
          <w:p w14:paraId="5277026D">
            <w:pPr>
              <w:pStyle w:val="17"/>
              <w:widowControl w:val="0"/>
              <w:numPr>
                <w:ilvl w:val="0"/>
                <w:numId w:val="0"/>
              </w:numPr>
              <w:ind w:left="210" w:leftChars="100"/>
              <w:jc w:val="center"/>
              <w:rPr>
                <w:rFonts w:ascii="Times New Roman" w:hAnsi="Times New Roman" w:eastAsia="宋体" w:cs="Times New Roman"/>
                <w:color w:val="000000" w:themeColor="text1"/>
                <w:kern w:val="0"/>
                <w:sz w:val="21"/>
                <w:szCs w:val="21"/>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2026年-2028年度杨家溪</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污水处理厂污泥</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协同</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无</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害</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化</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处</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置</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项目</w:t>
            </w:r>
          </w:p>
        </w:tc>
        <w:tc>
          <w:tcPr>
            <w:tcW w:w="1772" w:type="dxa"/>
            <w:tcBorders>
              <w:tl2br w:val="nil"/>
              <w:tr2bl w:val="nil"/>
            </w:tcBorders>
            <w:vAlign w:val="center"/>
          </w:tcPr>
          <w:p w14:paraId="515490A6">
            <w:pPr>
              <w:pStyle w:val="17"/>
              <w:widowControl w:val="0"/>
              <w:numPr>
                <w:ilvl w:val="0"/>
                <w:numId w:val="0"/>
              </w:numPr>
              <w:ind w:left="210" w:leftChars="100"/>
              <w:jc w:val="center"/>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C1606-其他无害固体废物处理服务</w:t>
            </w:r>
          </w:p>
        </w:tc>
        <w:tc>
          <w:tcPr>
            <w:tcW w:w="701" w:type="dxa"/>
            <w:tcBorders>
              <w:tl2br w:val="nil"/>
              <w:tr2bl w:val="nil"/>
            </w:tcBorders>
            <w:vAlign w:val="center"/>
          </w:tcPr>
          <w:p w14:paraId="1E22FD87">
            <w:pPr>
              <w:pStyle w:val="17"/>
              <w:widowControl w:val="0"/>
              <w:numPr>
                <w:ilvl w:val="0"/>
                <w:numId w:val="0"/>
              </w:numPr>
              <w:ind w:right="0" w:rightChars="0"/>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吨</w:t>
            </w:r>
          </w:p>
        </w:tc>
        <w:tc>
          <w:tcPr>
            <w:tcW w:w="777" w:type="dxa"/>
            <w:tcBorders>
              <w:tl2br w:val="nil"/>
              <w:tr2bl w:val="nil"/>
            </w:tcBorders>
            <w:vAlign w:val="center"/>
          </w:tcPr>
          <w:p w14:paraId="730C47A7">
            <w:pPr>
              <w:pStyle w:val="17"/>
              <w:widowControl w:val="0"/>
              <w:numPr>
                <w:ilvl w:val="0"/>
                <w:numId w:val="0"/>
              </w:numPr>
              <w:ind w:right="0" w:rightChars="0"/>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约</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2.4</w:t>
            </w:r>
            <w:r>
              <w:rPr>
                <w:rFonts w:ascii="Times New Roman" w:hAnsi="Times New Roman" w:eastAsia="宋体" w:cs="Times New Roman"/>
                <w:color w:val="000000" w:themeColor="text1"/>
                <w:kern w:val="0"/>
                <w:sz w:val="21"/>
                <w:szCs w:val="21"/>
                <w14:textFill>
                  <w14:solidFill>
                    <w14:schemeClr w14:val="tx1"/>
                  </w14:solidFill>
                </w14:textFill>
              </w:rPr>
              <w:t>万吨</w:t>
            </w:r>
          </w:p>
        </w:tc>
        <w:tc>
          <w:tcPr>
            <w:tcW w:w="1203" w:type="dxa"/>
            <w:tcBorders>
              <w:tl2br w:val="nil"/>
              <w:tr2bl w:val="nil"/>
            </w:tcBorders>
            <w:vAlign w:val="center"/>
          </w:tcPr>
          <w:p w14:paraId="3607D1AD">
            <w:pPr>
              <w:pStyle w:val="17"/>
              <w:widowControl w:val="0"/>
              <w:numPr>
                <w:ilvl w:val="0"/>
                <w:numId w:val="0"/>
              </w:numPr>
              <w:jc w:val="center"/>
              <w:rPr>
                <w:rFonts w:ascii="Times New Roman" w:hAnsi="Times New Roman" w:eastAsia="宋体" w:cs="Times New Roman"/>
                <w:color w:val="000000" w:themeColor="text1"/>
                <w:kern w:val="0"/>
                <w:sz w:val="21"/>
                <w:szCs w:val="21"/>
                <w14:textFill>
                  <w14:solidFill>
                    <w14:schemeClr w14:val="tx1"/>
                  </w14:solidFill>
                </w14:textFill>
              </w:rPr>
            </w:pPr>
            <w:r>
              <w:rPr>
                <w:rFonts w:ascii="Times New Roman" w:hAnsi="Times New Roman" w:eastAsia="宋体" w:cs="Times New Roman"/>
                <w:color w:val="000000" w:themeColor="text1"/>
                <w:kern w:val="0"/>
                <w:sz w:val="21"/>
                <w:szCs w:val="21"/>
                <w14:textFill>
                  <w14:solidFill>
                    <w14:schemeClr w14:val="tx1"/>
                  </w14:solidFill>
                </w14:textFill>
              </w:rPr>
              <w:t>否</w:t>
            </w:r>
          </w:p>
        </w:tc>
      </w:tr>
      <w:tr w14:paraId="22D775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16" w:type="dxa"/>
            <w:tcBorders>
              <w:tl2br w:val="nil"/>
              <w:tr2bl w:val="nil"/>
            </w:tcBorders>
            <w:vAlign w:val="center"/>
          </w:tcPr>
          <w:p w14:paraId="273162CF">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c>
          <w:tcPr>
            <w:tcW w:w="694" w:type="dxa"/>
            <w:tcBorders>
              <w:tl2br w:val="nil"/>
              <w:tr2bl w:val="nil"/>
            </w:tcBorders>
            <w:vAlign w:val="center"/>
          </w:tcPr>
          <w:p w14:paraId="7CCF9D01">
            <w:pPr>
              <w:pStyle w:val="21"/>
              <w:widowControl w:val="0"/>
              <w:numPr>
                <w:ilvl w:val="0"/>
                <w:numId w:val="3"/>
              </w:numPr>
              <w:spacing w:line="480" w:lineRule="auto"/>
              <w:ind w:firstLineChars="0"/>
              <w:jc w:val="center"/>
              <w:rPr>
                <w:rFonts w:ascii="Times New Roman" w:hAnsi="Times New Roman" w:eastAsia="微软雅黑" w:cs="Times New Roman"/>
                <w:color w:val="000000" w:themeColor="text1"/>
                <w:sz w:val="22"/>
                <w:szCs w:val="21"/>
                <w14:textFill>
                  <w14:solidFill>
                    <w14:schemeClr w14:val="tx1"/>
                  </w14:solidFill>
                </w14:textFill>
              </w:rPr>
            </w:pPr>
          </w:p>
        </w:tc>
        <w:tc>
          <w:tcPr>
            <w:tcW w:w="2459" w:type="dxa"/>
            <w:tcBorders>
              <w:tl2br w:val="nil"/>
              <w:tr2bl w:val="nil"/>
            </w:tcBorders>
            <w:vAlign w:val="center"/>
          </w:tcPr>
          <w:p w14:paraId="4D63045D">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c>
          <w:tcPr>
            <w:tcW w:w="1772" w:type="dxa"/>
            <w:tcBorders>
              <w:tl2br w:val="nil"/>
              <w:tr2bl w:val="nil"/>
            </w:tcBorders>
            <w:vAlign w:val="center"/>
          </w:tcPr>
          <w:p w14:paraId="1FEA7370">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c>
          <w:tcPr>
            <w:tcW w:w="701" w:type="dxa"/>
            <w:tcBorders>
              <w:tl2br w:val="nil"/>
              <w:tr2bl w:val="nil"/>
            </w:tcBorders>
            <w:vAlign w:val="center"/>
          </w:tcPr>
          <w:p w14:paraId="2E75AB6F">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c>
          <w:tcPr>
            <w:tcW w:w="777" w:type="dxa"/>
            <w:tcBorders>
              <w:tl2br w:val="nil"/>
              <w:tr2bl w:val="nil"/>
            </w:tcBorders>
            <w:vAlign w:val="center"/>
          </w:tcPr>
          <w:p w14:paraId="0183933F">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c>
          <w:tcPr>
            <w:tcW w:w="1203" w:type="dxa"/>
            <w:tcBorders>
              <w:tl2br w:val="nil"/>
              <w:tr2bl w:val="nil"/>
            </w:tcBorders>
            <w:vAlign w:val="center"/>
          </w:tcPr>
          <w:p w14:paraId="6CA2EEC8">
            <w:pPr>
              <w:pStyle w:val="21"/>
              <w:widowControl w:val="0"/>
              <w:spacing w:line="480" w:lineRule="auto"/>
              <w:ind w:firstLine="0" w:firstLineChars="0"/>
              <w:jc w:val="center"/>
              <w:rPr>
                <w:rFonts w:ascii="Times New Roman" w:hAnsi="Times New Roman" w:eastAsia="微软雅黑" w:cs="Times New Roman"/>
                <w:color w:val="000000" w:themeColor="text1"/>
                <w:sz w:val="22"/>
                <w:szCs w:val="21"/>
                <w14:textFill>
                  <w14:solidFill>
                    <w14:schemeClr w14:val="tx1"/>
                  </w14:solidFill>
                </w14:textFill>
              </w:rPr>
            </w:pPr>
            <w:r>
              <w:rPr>
                <w:rFonts w:ascii="Times New Roman" w:hAnsi="Times New Roman" w:eastAsia="微软雅黑" w:cs="Times New Roman"/>
                <w:color w:val="000000" w:themeColor="text1"/>
                <w:sz w:val="22"/>
                <w:szCs w:val="21"/>
                <w14:textFill>
                  <w14:solidFill>
                    <w14:schemeClr w14:val="tx1"/>
                  </w14:solidFill>
                </w14:textFill>
              </w:rPr>
              <w:t>……</w:t>
            </w:r>
          </w:p>
        </w:tc>
      </w:tr>
    </w:tbl>
    <w:p w14:paraId="4B3A7744">
      <w:pPr>
        <w:pStyle w:val="6"/>
        <w:keepNext w:val="0"/>
        <w:keepLines w:val="0"/>
        <w:numPr>
          <w:ilvl w:val="0"/>
          <w:numId w:val="2"/>
        </w:numPr>
        <w:spacing w:before="0" w:after="0"/>
        <w:ind w:firstLine="0"/>
        <w:rPr>
          <w:color w:val="000000" w:themeColor="text1"/>
          <w14:textFill>
            <w14:solidFill>
              <w14:schemeClr w14:val="tx1"/>
            </w14:solidFill>
          </w14:textFill>
        </w:rPr>
      </w:pPr>
      <w:r>
        <w:rPr>
          <w:color w:val="000000" w:themeColor="text1"/>
          <w14:textFill>
            <w14:solidFill>
              <w14:schemeClr w14:val="tx1"/>
            </w14:solidFill>
          </w14:textFill>
        </w:rPr>
        <w:t>项目需遵循的有关标准和规范（包括但不限于）</w:t>
      </w:r>
    </w:p>
    <w:p w14:paraId="6060891E">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《中华人民共和国固体废物污染环境防治法》，1995 年制定，2020 年新修订，生态环境部 </w:t>
      </w:r>
    </w:p>
    <w:p w14:paraId="74FD1BBC">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《城镇排水与污水处理条例》，2014 年，国务院 </w:t>
      </w:r>
    </w:p>
    <w:p w14:paraId="03C4D9F7">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《中华人民共和国环境保护法》，2015 年，生态环境部 </w:t>
      </w:r>
    </w:p>
    <w:p w14:paraId="266E5B33">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《湖南省城镇市政污泥运输和处置标准》，2020 年，湖南住建厅 </w:t>
      </w:r>
    </w:p>
    <w:p w14:paraId="25018291">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《城市污水处理及污染防治技术政策》，2000 年 </w:t>
      </w:r>
    </w:p>
    <w:p w14:paraId="0AF04AD0">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《城镇污水处理厂污泥处理处置及污染防治技术政策（试行）》，2009 年 </w:t>
      </w:r>
    </w:p>
    <w:p w14:paraId="17B6C62E">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《城镇污水处理厂污泥处理处置污染防治最佳可行技术指南（试行）》，2010 年 </w:t>
      </w:r>
    </w:p>
    <w:p w14:paraId="68C46CB0">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《城镇污水处理厂污泥处理处置技术指南（试行）》，2011 年 </w:t>
      </w:r>
    </w:p>
    <w:p w14:paraId="3685AC4F">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《城镇生活污水处理设施补短板强弱项实施方案》，2020 年，国家发改委、住建部 </w:t>
      </w:r>
    </w:p>
    <w:p w14:paraId="02E27E57">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《固体废物分类与代码目录》（2024 版） </w:t>
      </w:r>
    </w:p>
    <w:p w14:paraId="7A6EC76A">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《城镇污水处理厂污泥泥质》 GB24188-2009 </w:t>
      </w:r>
    </w:p>
    <w:p w14:paraId="20BA45CF">
      <w:pPr>
        <w:spacing w:line="500" w:lineRule="exact"/>
        <w:ind w:firstLine="480" w:firstLineChars="200"/>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《城镇污水处理厂污泥处置分类》 GB/T23848-2009</w:t>
      </w:r>
    </w:p>
    <w:p w14:paraId="3519F467">
      <w:pPr>
        <w:spacing w:line="500" w:lineRule="exact"/>
        <w:ind w:firstLine="480" w:firstLineChars="200"/>
        <w:rPr>
          <w:rFonts w:ascii="Times New Roman" w:hAnsi="Times New Roman" w:cs="Times New Roman"/>
          <w:color w:val="000000" w:themeColor="text1"/>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其他现行的相关标准、规范等。</w:t>
      </w:r>
    </w:p>
    <w:p w14:paraId="7E397342">
      <w:pPr>
        <w:pStyle w:val="6"/>
        <w:keepNext w:val="0"/>
        <w:keepLines w:val="0"/>
        <w:numPr>
          <w:ilvl w:val="0"/>
          <w:numId w:val="2"/>
        </w:numPr>
        <w:spacing w:before="0" w:after="0" w:line="500" w:lineRule="exact"/>
        <w:ind w:firstLine="0"/>
        <w:rPr>
          <w:color w:val="000000" w:themeColor="text1"/>
          <w14:textFill>
            <w14:solidFill>
              <w14:schemeClr w14:val="tx1"/>
            </w14:solidFill>
          </w14:textFill>
        </w:rPr>
      </w:pPr>
      <w:bookmarkStart w:id="9" w:name="_Toc5867"/>
      <w:r>
        <w:rPr>
          <w:color w:val="000000" w:themeColor="text1"/>
          <w14:textFill>
            <w14:solidFill>
              <w14:schemeClr w14:val="tx1"/>
            </w14:solidFill>
          </w14:textFill>
        </w:rPr>
        <w:t>技术商务要求</w:t>
      </w:r>
      <w:bookmarkEnd w:id="9"/>
    </w:p>
    <w:p w14:paraId="3093405C">
      <w:pPr>
        <w:pStyle w:val="7"/>
        <w:keepNext w:val="0"/>
        <w:keepLines w:val="0"/>
        <w:numPr>
          <w:ilvl w:val="0"/>
          <w:numId w:val="4"/>
        </w:numPr>
        <w:spacing w:before="0" w:after="0" w:line="500" w:lineRule="exact"/>
        <w:ind w:firstLine="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包1</w:t>
      </w:r>
    </w:p>
    <w:p w14:paraId="623D5767">
      <w:pPr>
        <w:pStyle w:val="21"/>
        <w:widowControl w:val="0"/>
        <w:spacing w:line="500" w:lineRule="exact"/>
        <w:ind w:firstLine="0" w:firstLineChars="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（1）技术要求</w:t>
      </w:r>
    </w:p>
    <w:p w14:paraId="68B961CF">
      <w:pPr>
        <w:overflowPunct w:val="0"/>
        <w:spacing w:line="500" w:lineRule="exact"/>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（一）污泥处置要求</w:t>
      </w:r>
    </w:p>
    <w:p w14:paraId="478AE9C5">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1、处置方式：</w:t>
      </w:r>
      <w:r>
        <w:rPr>
          <w:rFonts w:ascii="Times New Roman" w:hAnsi="Times New Roman" w:eastAsia="宋体" w:cs="Times New Roman"/>
          <w:b/>
          <w:bCs/>
          <w:color w:val="000000" w:themeColor="text1"/>
          <w:sz w:val="24"/>
          <w:szCs w:val="24"/>
          <w14:textFill>
            <w14:solidFill>
              <w14:schemeClr w14:val="tx1"/>
            </w14:solidFill>
          </w14:textFill>
        </w:rPr>
        <w:t>包括建材利用、掺烧发电、水泥窑掺烧等</w:t>
      </w:r>
      <w:r>
        <w:rPr>
          <w:rFonts w:ascii="Times New Roman" w:hAnsi="Times New Roman" w:eastAsia="宋体" w:cs="Times New Roman"/>
          <w:color w:val="000000" w:themeColor="text1"/>
          <w:sz w:val="24"/>
          <w:szCs w:val="24"/>
          <w14:textFill>
            <w14:solidFill>
              <w14:schemeClr w14:val="tx1"/>
            </w14:solidFill>
          </w14:textFill>
        </w:rPr>
        <w:t xml:space="preserve">符合污泥行业标准的处理处置。 </w:t>
      </w:r>
    </w:p>
    <w:p w14:paraId="07C178FA">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2、处置要求：投标方在处理处置污泥时应当遵守国家相关的法律规定，严格按照国家环保标准， 确保对杨家溪污水处理厂污泥处理中心脱水干化后的污泥及时清运和无害化、规范化处理处置，不产生对环境的二次污染。 </w:t>
      </w:r>
    </w:p>
    <w:p w14:paraId="1B92F3E0">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 xml:space="preserve">3、处置条件：投标人必须具有无害化污泥处置的工厂及处置能力，在投标文件中必须明确污水厂污泥处置采用的处置方式，以达到污泥资源化目的。污泥处理设备、排污许可证等资料需向招标方进行提供备查。污泥处置的最终出路、处置设施配备、所采用的环保措施以及产物需严格按照污泥处置标准执行。 </w:t>
      </w:r>
    </w:p>
    <w:p w14:paraId="7B924E9A">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4、安全环保要求：投标方应确保污泥接收和处置过程中的安全生产，环保达标，全过程不得随意抛、倒污泥，按要求进行处置。如发现乱抛、倒污泥或被投诉有乱抛、倒污泥现象，由此产生的环境安全风险及其他风险、经济法律责任由投标方承担，招标方不承担任何责任。若严重违反有关法律法规，造成不良社会影响，招标方有权解除本合同并追究污泥运输和处置单位的全部责任。 </w:t>
      </w:r>
    </w:p>
    <w:p w14:paraId="4B8C2237">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5、处置稳定性：投标方污泥处置单位需有相应的可正常收集、贮存污泥的场地设施和用于处置污泥的设备。应发挥技术和管理等方面的优势，保证污泥处置工艺成熟，保障本项目的长期稳定运行。若因设备检修等原因需要长时间停机（7 天及以上），应当提前 3 天通知招标方，以便招标方及时调整生产。 </w:t>
      </w:r>
    </w:p>
    <w:p w14:paraId="525740DD">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6、应急处置：污泥处置方须具备一定应急调蓄储存能力，在紧急情况下，可储存一定量污泥。原污泥处置设施因不可抗力因素导致中断接收期间，需有其它可以承接污泥处理场所等应急措施。同时应有完善的突发事件应急预案并报备给招标方，应急预案包含但不限于突发环境事件、污泥运输处置突发事件等。 </w:t>
      </w:r>
    </w:p>
    <w:p w14:paraId="029A1F74">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7、台账管理：污泥处置单位应建立完善的检测、记录、存档和报告制度。包含磅单记录、污泥存放、生产消耗记录等台账，台账由污泥处置单位自行存档管理。作为污泥接受、运输和处置过程中的基础凭证，污泥运输单位和污泥处置单位必须按要求填写《污泥转运三联单》，同时按要求做好《污泥转运三联单》的保存、备查和报送工作。上述生产与运输等台账和资料的保存时间不得少于5 年。 </w:t>
      </w:r>
    </w:p>
    <w:p w14:paraId="26F2CA47">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8、监督责任：污泥处置单位须接受招标方及其上级主管部门随时对其污泥接收、处理处置和生产消耗台账的监督检查。 </w:t>
      </w:r>
    </w:p>
    <w:p w14:paraId="39BE4DBB">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9、污泥处置量的确定：污泥称重以投标方污泥处置单位贸易磅计量数量为准。污泥处置单位需配备有贸易磅，并年度定期提供接收点地磅的检定报告，检定费用由污泥处置单位承担。招标方的出厂称重和污泥处置单位的接收称重的月度磅单的误差应控制在 5‰之内，当招标方和投标方双方对磅单的计量存在较大差异时(双方地磅误差超过 2%)，双方应首先校准地磅计量的准确性，按确认后的计量进行计算。若出现异议，可委托第三方进行复核。如经校验，处置单位地磅的误差范围超出国家相关标准，则校验费用由处置单位承担，否则相关费用由招标方承担。</w:t>
      </w:r>
    </w:p>
    <w:p w14:paraId="531CE0C2">
      <w:pPr>
        <w:overflowPunct w:val="0"/>
        <w:spacing w:line="500" w:lineRule="exact"/>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（二）</w:t>
      </w:r>
      <w:r>
        <w:rPr>
          <w:rFonts w:hint="eastAsia" w:ascii="Times New Roman" w:hAnsi="Times New Roman" w:eastAsia="宋体" w:cs="Times New Roman"/>
          <w:color w:val="000000" w:themeColor="text1"/>
          <w:sz w:val="24"/>
          <w:szCs w:val="24"/>
          <w14:textFill>
            <w14:solidFill>
              <w14:schemeClr w14:val="tx1"/>
            </w14:solidFill>
          </w14:textFill>
        </w:rPr>
        <w:t>超距</w:t>
      </w:r>
      <w:r>
        <w:rPr>
          <w:rFonts w:ascii="Times New Roman" w:hAnsi="Times New Roman" w:eastAsia="宋体" w:cs="Times New Roman"/>
          <w:color w:val="000000" w:themeColor="text1"/>
          <w:sz w:val="24"/>
          <w:szCs w:val="24"/>
          <w14:textFill>
            <w14:solidFill>
              <w14:schemeClr w14:val="tx1"/>
            </w14:solidFill>
          </w14:textFill>
        </w:rPr>
        <w:t xml:space="preserve">污泥运输要求 </w:t>
      </w:r>
    </w:p>
    <w:p w14:paraId="7D2FBEA9">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1、投标方提供的污泥运输必须符合现行国家法规《中华人民共和国道路运输条例》的规定，运输单位应具有道路运输经营许可证，并遵守交通运输部颁发的《超限运输车辆行驶公路管理规定》（交通运输部令 2016 年第 62 号）及政府相关运输管理条例，符合国家环保有关要求。 </w:t>
      </w:r>
    </w:p>
    <w:p w14:paraId="59B3D652">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2、由投标方负责向招标方提供参与污泥运输车辆的行驶证、保险凭证、车辆运输通行证、包括投标方与运输单位签订的运输合同等资料复印件，并在合同服务期限内维持相关证照合法有效存续。 </w:t>
      </w:r>
    </w:p>
    <w:p w14:paraId="3DC83FEF">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3、投标方配套污泥运输单位应确保污泥运输的安全生产。污泥运输过程中的交通安全和环境安全风险及其他未知风险由投标方负责，招标方不承担责任。 </w:t>
      </w:r>
    </w:p>
    <w:p w14:paraId="014D59D4">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4、投标方配套污泥运输单位应按规定采用防渗漏、防遗撒、无尖锐边角、易于装卸和清洁的专用密封式污泥运输车辆，有效防止恶臭逸散，且污泥运输车辆需按规定做好警示标识。运输过程防止因裸露、散落或泄露造成二次污染。运输途中所发生的一切事项、风险及费用由投标方承担。 </w:t>
      </w:r>
    </w:p>
    <w:p w14:paraId="3E41B787">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5、投标方配套污泥运输车辆必须实现信息化管理，加装由招标方提供 GPS 定位装置，并接入招标方及政府监管单位平台，按照指定固定路线行驶，相关行车轨迹由招标方保存 </w:t>
      </w:r>
      <w:r>
        <w:rPr>
          <w:rFonts w:hint="eastAsia" w:ascii="Times New Roman" w:hAnsi="Times New Roman" w:eastAsia="宋体" w:cs="Times New Roman"/>
          <w:color w:val="000000" w:themeColor="text1"/>
          <w:sz w:val="24"/>
          <w:szCs w:val="24"/>
          <w14:textFill>
            <w14:solidFill>
              <w14:schemeClr w14:val="tx1"/>
            </w14:solidFill>
          </w14:textFill>
        </w:rPr>
        <w:t>2</w:t>
      </w:r>
      <w:r>
        <w:rPr>
          <w:rFonts w:ascii="Times New Roman" w:hAnsi="Times New Roman" w:eastAsia="宋体" w:cs="Times New Roman"/>
          <w:color w:val="000000" w:themeColor="text1"/>
          <w:sz w:val="24"/>
          <w:szCs w:val="24"/>
          <w14:textFill>
            <w14:solidFill>
              <w14:schemeClr w14:val="tx1"/>
            </w14:solidFill>
          </w14:textFill>
        </w:rPr>
        <w:t xml:space="preserve"> 年以上。 </w:t>
      </w:r>
    </w:p>
    <w:p w14:paraId="4EC89628">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6、投标方配套污泥运输车辆在污水处理厂厂区内部行驶时，必须按照招标方指定路线行驶，遵守污水处理厂厂内车辆行驶规定，在指定地点装卸污泥，防止污泥装卸过程产生环境污染。污泥处置单位进入厂内车辆如撞坏基础设施、压坏绿化带等一律按原价赔偿。 </w:t>
      </w:r>
    </w:p>
    <w:p w14:paraId="3AC62B75">
      <w:pPr>
        <w:overflowPunct w:val="0"/>
        <w:spacing w:line="500" w:lineRule="exact"/>
        <w:ind w:firstLine="480" w:firstLineChars="200"/>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7、投标方配套污泥运输单位须接受招标方及其上级主管部门随时对其污泥装载、运输和运输车辆行车轨迹等情况的监督检查。</w:t>
      </w:r>
    </w:p>
    <w:p w14:paraId="4CFFF471">
      <w:pPr>
        <w:pStyle w:val="21"/>
        <w:widowControl w:val="0"/>
        <w:spacing w:line="500" w:lineRule="exact"/>
        <w:ind w:firstLine="0" w:firstLineChars="0"/>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t>（2）商务要求</w:t>
      </w:r>
    </w:p>
    <w:p w14:paraId="2415E3DF">
      <w:pPr>
        <w:spacing w:line="500" w:lineRule="exact"/>
        <w:jc w:val="lef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kern w:val="0"/>
          <w:sz w:val="24"/>
          <w:szCs w:val="24"/>
          <w:lang w:bidi="ar"/>
          <w14:textFill>
            <w14:solidFill>
              <w14:schemeClr w14:val="tx1"/>
            </w14:solidFill>
          </w14:textFill>
        </w:rPr>
        <w:t xml:space="preserve">（一）考核要求 </w:t>
      </w:r>
    </w:p>
    <w:p w14:paraId="72890A83">
      <w:pPr>
        <w:spacing w:line="500" w:lineRule="exact"/>
        <w:ind w:firstLine="480" w:firstLineChars="200"/>
        <w:jc w:val="left"/>
        <w:rPr>
          <w:rFonts w:ascii="Times New Roman" w:hAnsi="Times New Roman" w:cs="Times New Roman" w:eastAsiaTheme="majorEastAsia"/>
          <w:color w:val="000000" w:themeColor="text1"/>
          <w:kern w:val="0"/>
          <w:sz w:val="24"/>
          <w:szCs w:val="24"/>
          <w:lang w:bidi="ar"/>
          <w14:textFill>
            <w14:solidFill>
              <w14:schemeClr w14:val="tx1"/>
            </w14:solidFill>
          </w14:textFill>
        </w:rPr>
      </w:pPr>
      <w:r>
        <w:rPr>
          <w:rFonts w:ascii="Times New Roman" w:hAnsi="Times New Roman" w:cs="Times New Roman" w:eastAsiaTheme="majorEastAsia"/>
          <w:color w:val="000000" w:themeColor="text1"/>
          <w:kern w:val="0"/>
          <w:sz w:val="24"/>
          <w:szCs w:val="24"/>
          <w:lang w:bidi="ar"/>
          <w14:textFill>
            <w14:solidFill>
              <w14:schemeClr w14:val="tx1"/>
            </w14:solidFill>
          </w14:textFill>
        </w:rPr>
        <w:t>1.供应商无故未及时处置污泥的处罚 500 元/次（不可抗力因素或焚烧发电厂设备故障不能处置、采购人未及时支付费用等因素除外），罚款直接从每月转运费用中扣除。</w:t>
      </w:r>
    </w:p>
    <w:p w14:paraId="5AEF8491">
      <w:pPr>
        <w:spacing w:line="500" w:lineRule="exact"/>
        <w:ind w:firstLine="480" w:firstLineChars="200"/>
        <w:jc w:val="left"/>
        <w:rPr>
          <w:rFonts w:ascii="Times New Roman" w:hAnsi="Times New Roman" w:cs="Times New Roman" w:eastAsiaTheme="majorEastAsia"/>
          <w:color w:val="000000" w:themeColor="text1"/>
          <w:kern w:val="0"/>
          <w:sz w:val="24"/>
          <w:szCs w:val="24"/>
          <w:lang w:bidi="ar"/>
          <w14:textFill>
            <w14:solidFill>
              <w14:schemeClr w14:val="tx1"/>
            </w14:solidFill>
          </w14:textFill>
        </w:rPr>
      </w:pPr>
      <w:r>
        <w:rPr>
          <w:rFonts w:ascii="Times New Roman" w:hAnsi="Times New Roman" w:cs="Times New Roman" w:eastAsiaTheme="majorEastAsia"/>
          <w:color w:val="000000" w:themeColor="text1"/>
          <w:kern w:val="0"/>
          <w:sz w:val="24"/>
          <w:szCs w:val="24"/>
          <w:lang w:bidi="ar"/>
          <w14:textFill>
            <w14:solidFill>
              <w14:schemeClr w14:val="tx1"/>
            </w14:solidFill>
          </w14:textFill>
        </w:rPr>
        <w:t xml:space="preserve">2.供应商应严格遵守《交通管理条例》，对违反交通法规被造成不良后果的， 供应商自行承担相关责任。 </w:t>
      </w:r>
    </w:p>
    <w:p w14:paraId="21095979">
      <w:pPr>
        <w:spacing w:line="500" w:lineRule="exact"/>
        <w:ind w:firstLine="480" w:firstLineChars="200"/>
        <w:jc w:val="left"/>
        <w:rPr>
          <w:rFonts w:ascii="Times New Roman" w:hAnsi="Times New Roman" w:cs="Times New Roman" w:eastAsiaTheme="majorEastAsia"/>
          <w:color w:val="000000" w:themeColor="text1"/>
          <w:kern w:val="0"/>
          <w:sz w:val="24"/>
          <w:szCs w:val="24"/>
          <w:lang w:bidi="ar"/>
          <w14:textFill>
            <w14:solidFill>
              <w14:schemeClr w14:val="tx1"/>
            </w14:solidFill>
          </w14:textFill>
        </w:rPr>
      </w:pPr>
      <w:r>
        <w:rPr>
          <w:rFonts w:ascii="Times New Roman" w:hAnsi="Times New Roman" w:cs="Times New Roman" w:eastAsiaTheme="majorEastAsia"/>
          <w:color w:val="000000" w:themeColor="text1"/>
          <w:kern w:val="0"/>
          <w:sz w:val="24"/>
          <w:szCs w:val="24"/>
          <w:lang w:bidi="ar"/>
          <w14:textFill>
            <w14:solidFill>
              <w14:schemeClr w14:val="tx1"/>
            </w14:solidFill>
          </w14:textFill>
        </w:rPr>
        <w:t xml:space="preserve">3.工作中严禁携带闲杂人员，如发生安全事故造成人员伤亡，由供应商承担一切责任。 </w:t>
      </w:r>
    </w:p>
    <w:p w14:paraId="27B363AC">
      <w:pPr>
        <w:spacing w:line="500" w:lineRule="exact"/>
        <w:jc w:val="left"/>
        <w:rPr>
          <w:rFonts w:ascii="Times New Roman" w:hAnsi="Times New Roman" w:cs="Times New Roman" w:eastAsiaTheme="majorEastAsia"/>
          <w:color w:val="000000" w:themeColor="text1"/>
          <w:sz w:val="24"/>
          <w:szCs w:val="24"/>
          <w14:textFill>
            <w14:solidFill>
              <w14:schemeClr w14:val="tx1"/>
            </w14:solidFill>
          </w14:textFill>
        </w:rPr>
      </w:pPr>
      <w:r>
        <w:rPr>
          <w:rFonts w:ascii="Times New Roman" w:hAnsi="Times New Roman" w:cs="Times New Roman" w:eastAsiaTheme="majorEastAsia"/>
          <w:b/>
          <w:bCs/>
          <w:color w:val="000000" w:themeColor="text1"/>
          <w:kern w:val="0"/>
          <w:sz w:val="24"/>
          <w:szCs w:val="24"/>
          <w:lang w:bidi="ar"/>
          <w14:textFill>
            <w14:solidFill>
              <w14:schemeClr w14:val="tx1"/>
            </w14:solidFill>
          </w14:textFill>
        </w:rPr>
        <w:t xml:space="preserve">（二）其他要求 </w:t>
      </w:r>
    </w:p>
    <w:p w14:paraId="67F0D08D">
      <w:pPr>
        <w:pStyle w:val="21"/>
        <w:widowControl w:val="0"/>
        <w:spacing w:line="500" w:lineRule="exact"/>
        <w:ind w:firstLine="480"/>
        <w:jc w:val="both"/>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1.本项目采用费用包干方式，</w:t>
      </w:r>
      <w:r>
        <w:rPr>
          <w:rFonts w:ascii="Times New Roman" w:hAnsi="Times New Roman" w:cs="Times New Roman"/>
          <w:b/>
          <w:bCs/>
          <w:color w:val="000000" w:themeColor="text1"/>
          <w:szCs w:val="24"/>
          <w14:textFill>
            <w14:solidFill>
              <w14:schemeClr w14:val="tx1"/>
            </w14:solidFill>
          </w14:textFill>
        </w:rPr>
        <w:t>污泥运输15km内由污水处理厂负责运送至处置单位，超过15km的运费由成交供应商负责，</w:t>
      </w:r>
      <w:r>
        <w:rPr>
          <w:rFonts w:ascii="Times New Roman" w:hAnsi="Times New Roman" w:cs="Times New Roman"/>
          <w:bCs/>
          <w:color w:val="000000" w:themeColor="text1"/>
          <w:szCs w:val="24"/>
          <w14:textFill>
            <w14:solidFill>
              <w14:schemeClr w14:val="tx1"/>
            </w14:solidFill>
          </w14:textFill>
        </w:rPr>
        <w:t>污泥焚烧服务所产生的一切费用由中标方负责，包含人工成本、设备维修费、环保处置费、因安全事故造成他人生命和财产损失的费用以及雇佣人员的报酬及相关费用（包括但不限于劳动福利费用、社会保险费用、税费等其它全部费用）。</w:t>
      </w:r>
    </w:p>
    <w:p w14:paraId="59D55B3A">
      <w:pPr>
        <w:pStyle w:val="21"/>
        <w:widowControl w:val="0"/>
        <w:spacing w:line="500" w:lineRule="exact"/>
        <w:ind w:firstLine="480"/>
        <w:jc w:val="both"/>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 xml:space="preserve">2.供应商必须依法用工，依法签订劳动合同，履行相关义务；供应商必须按月足额支付工资给工作人员，不得以任何理由拖欠工资。 </w:t>
      </w:r>
    </w:p>
    <w:p w14:paraId="18388846">
      <w:pPr>
        <w:pStyle w:val="21"/>
        <w:widowControl w:val="0"/>
        <w:spacing w:line="500" w:lineRule="exact"/>
        <w:ind w:firstLine="480"/>
        <w:jc w:val="both"/>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 xml:space="preserve">3.供应商在污水处理厂厂区范围内，必须严格遵守污水处理厂相关管理规定、制度。如供应商在污水处理厂厂区范围内违反相关管理规定、制度，必须接受采购人相关处理，由此造成的损失供应商自行承担。如供应商违反其它法律规定的，供应商承担其全部责任。因供应商违反法律或采购人规定、制度，采购人有权解除合同。 </w:t>
      </w:r>
    </w:p>
    <w:p w14:paraId="0EF0D59D">
      <w:pPr>
        <w:pStyle w:val="21"/>
        <w:widowControl w:val="0"/>
        <w:spacing w:line="500" w:lineRule="exact"/>
        <w:ind w:firstLine="0" w:firstLineChars="0"/>
        <w:jc w:val="both"/>
        <w:rPr>
          <w:rFonts w:ascii="Times New Roman" w:hAnsi="Times New Roman" w:cs="Times New Roman"/>
          <w:b/>
          <w:bCs/>
          <w:color w:val="000000" w:themeColor="text1"/>
          <w:szCs w:val="24"/>
          <w14:textFill>
            <w14:solidFill>
              <w14:schemeClr w14:val="tx1"/>
            </w14:solidFill>
          </w14:textFill>
        </w:rPr>
      </w:pPr>
      <w:r>
        <w:rPr>
          <w:rFonts w:ascii="Times New Roman" w:hAnsi="Times New Roman" w:cs="Times New Roman"/>
          <w:b/>
          <w:bCs/>
          <w:color w:val="000000" w:themeColor="text1"/>
          <w:szCs w:val="24"/>
          <w14:textFill>
            <w14:solidFill>
              <w14:schemeClr w14:val="tx1"/>
            </w14:solidFill>
          </w14:textFill>
        </w:rPr>
        <w:t>（六）其他需要说明的事项</w:t>
      </w:r>
    </w:p>
    <w:p w14:paraId="19B0A0DC">
      <w:pPr>
        <w:pStyle w:val="21"/>
        <w:widowControl w:val="0"/>
        <w:spacing w:line="500" w:lineRule="exact"/>
        <w:ind w:firstLine="480"/>
        <w:rPr>
          <w:rFonts w:ascii="Times New Roman" w:hAnsi="Times New Roman" w:cs="Times New Roman"/>
          <w:b/>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1.付款方式：</w:t>
      </w:r>
      <w:r>
        <w:rPr>
          <w:rFonts w:ascii="Times New Roman" w:hAnsi="Times New Roman" w:cs="Times New Roman"/>
          <w:b/>
          <w:bCs/>
          <w:color w:val="000000" w:themeColor="text1"/>
          <w:szCs w:val="24"/>
          <w14:textFill>
            <w14:solidFill>
              <w14:schemeClr w14:val="tx1"/>
            </w14:solidFill>
          </w14:textFill>
        </w:rPr>
        <w:t>据实结算，由合同中约定。</w:t>
      </w:r>
    </w:p>
    <w:p w14:paraId="662AD146">
      <w:pPr>
        <w:pStyle w:val="21"/>
        <w:widowControl w:val="0"/>
        <w:spacing w:line="500" w:lineRule="exact"/>
        <w:ind w:firstLine="480"/>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2.计量方式：</w:t>
      </w:r>
      <w:r>
        <w:rPr>
          <w:rFonts w:ascii="Times New Roman" w:hAnsi="Times New Roman" w:cs="Times New Roman"/>
          <w:b/>
          <w:bCs/>
          <w:color w:val="000000" w:themeColor="text1"/>
          <w:szCs w:val="24"/>
          <w14:textFill>
            <w14:solidFill>
              <w14:schemeClr w14:val="tx1"/>
            </w14:solidFill>
          </w14:textFill>
        </w:rPr>
        <w:t>过磅计量，不定期接受采购人组织的抽检。</w:t>
      </w:r>
    </w:p>
    <w:p w14:paraId="09000E04">
      <w:pPr>
        <w:pStyle w:val="21"/>
        <w:widowControl w:val="0"/>
        <w:spacing w:line="500" w:lineRule="exact"/>
        <w:ind w:firstLine="480"/>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3.验收要求</w:t>
      </w:r>
    </w:p>
    <w:p w14:paraId="490551E5">
      <w:pPr>
        <w:pStyle w:val="21"/>
        <w:widowControl w:val="0"/>
        <w:spacing w:line="500" w:lineRule="exact"/>
        <w:ind w:firstLine="480"/>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（1）本项目按照政府采购项目简易程序进行验收。</w:t>
      </w:r>
    </w:p>
    <w:p w14:paraId="437C91F6">
      <w:pPr>
        <w:pStyle w:val="21"/>
        <w:widowControl w:val="0"/>
        <w:spacing w:line="500" w:lineRule="exact"/>
        <w:ind w:firstLine="480"/>
        <w:jc w:val="both"/>
        <w:rPr>
          <w:rFonts w:ascii="Times New Roman" w:hAnsi="Times New Roman" w:cs="Times New Roman"/>
          <w:bCs/>
          <w:color w:val="000000" w:themeColor="text1"/>
          <w:szCs w:val="24"/>
          <w14:textFill>
            <w14:solidFill>
              <w14:schemeClr w14:val="tx1"/>
            </w14:solidFill>
          </w14:textFill>
        </w:rPr>
      </w:pPr>
      <w:r>
        <w:rPr>
          <w:rFonts w:ascii="Times New Roman" w:hAnsi="Times New Roman" w:cs="Times New Roman"/>
          <w:bCs/>
          <w:color w:val="000000" w:themeColor="text1"/>
          <w:szCs w:val="24"/>
          <w14:textFill>
            <w14:solidFill>
              <w14:schemeClr w14:val="tx1"/>
            </w14:solidFill>
          </w14:textFill>
        </w:rPr>
        <w:t>（2）项目验收国家有强制性规定的，按国家规定执行，验收费用由成交人承担，验收报告作为申请付款的凭证之一。</w:t>
      </w:r>
    </w:p>
    <w:p w14:paraId="61FC2D9E">
      <w:pPr>
        <w:pStyle w:val="21"/>
        <w:widowControl w:val="0"/>
        <w:spacing w:line="500" w:lineRule="exact"/>
        <w:ind w:firstLine="0" w:firstLineChars="0"/>
        <w:jc w:val="both"/>
        <w:rPr>
          <w:rFonts w:ascii="Times New Roman" w:hAnsi="Times New Roman" w:cs="Times New Roman" w:eastAsiaTheme="majorEastAsia"/>
          <w:b/>
          <w:bCs/>
          <w:color w:val="000000" w:themeColor="text1"/>
          <w:szCs w:val="24"/>
          <w14:textFill>
            <w14:solidFill>
              <w14:schemeClr w14:val="tx1"/>
            </w14:solidFill>
          </w14:textFill>
        </w:rPr>
      </w:pPr>
      <w:r>
        <w:rPr>
          <w:rFonts w:ascii="Times New Roman" w:hAnsi="Times New Roman" w:cs="Times New Roman" w:eastAsiaTheme="majorEastAsia"/>
          <w:b/>
          <w:bCs/>
          <w:color w:val="000000" w:themeColor="text1"/>
          <w:szCs w:val="24"/>
          <w14:textFill>
            <w14:solidFill>
              <w14:schemeClr w14:val="tx1"/>
            </w14:solidFill>
          </w14:textFill>
        </w:rPr>
        <w:t>（七）其它未尽事宜：双方签订合同时另行协商。</w:t>
      </w:r>
    </w:p>
    <w:p w14:paraId="509E7176">
      <w:pPr>
        <w:pStyle w:val="21"/>
        <w:widowControl w:val="0"/>
        <w:spacing w:line="500" w:lineRule="exact"/>
        <w:ind w:firstLine="482"/>
        <w:jc w:val="both"/>
        <w:rPr>
          <w:rFonts w:ascii="Times New Roman" w:hAnsi="Times New Roman" w:cs="Times New Roman"/>
          <w:b/>
          <w:bCs/>
          <w:color w:val="000000" w:themeColor="text1"/>
          <w:szCs w:val="24"/>
          <w14:textFill>
            <w14:solidFill>
              <w14:schemeClr w14:val="tx1"/>
            </w14:solidFill>
          </w14:textFill>
        </w:rPr>
      </w:pPr>
      <w:r>
        <w:rPr>
          <w:rFonts w:ascii="Times New Roman" w:hAnsi="Times New Roman" w:cs="Times New Roman"/>
          <w:b/>
          <w:bCs/>
          <w:color w:val="000000" w:themeColor="text1"/>
          <w:szCs w:val="24"/>
          <w14:textFill>
            <w14:solidFill>
              <w14:schemeClr w14:val="tx1"/>
            </w14:solidFill>
          </w14:textFill>
        </w:rPr>
        <w:t>注：对于上述项目要求，投标人应在投标文件中进行回应，做出承诺及说明。</w:t>
      </w:r>
    </w:p>
    <w:p w14:paraId="01356F86">
      <w:pPr>
        <w:spacing w:line="500" w:lineRule="exact"/>
        <w:jc w:val="center"/>
        <w:rPr>
          <w:rFonts w:ascii="Times New Roman" w:hAnsi="Times New Roman" w:cs="Times New Roman"/>
          <w:color w:val="000000" w:themeColor="text1"/>
          <w:sz w:val="24"/>
          <w:szCs w:val="24"/>
          <w14:textFill>
            <w14:solidFill>
              <w14:schemeClr w14:val="tx1"/>
            </w14:solidFill>
          </w14:textFill>
        </w:rPr>
      </w:pPr>
    </w:p>
    <w:p w14:paraId="1BABF240">
      <w:pPr>
        <w:pStyle w:val="21"/>
        <w:widowControl w:val="0"/>
        <w:ind w:firstLine="0" w:firstLineChars="0"/>
        <w:rPr>
          <w:rFonts w:ascii="Times New Roman" w:hAnsi="Times New Roman" w:cs="Times New Roman"/>
          <w:color w:val="000000" w:themeColor="text1"/>
          <w14:textFill>
            <w14:solidFill>
              <w14:schemeClr w14:val="tx1"/>
            </w14:solidFill>
          </w14:textFill>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altName w:val="方正舒体"/>
    <w:panose1 w:val="02000000000000000000"/>
    <w:charset w:val="86"/>
    <w:family w:val="script"/>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WPSEMBED1">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AFF" w:usb1="C0007843" w:usb2="00000009" w:usb3="00000000" w:csb0="400001FF" w:csb1="FFFF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343D5">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C5E2B">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6DC5E2B">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017888"/>
    <w:multiLevelType w:val="singleLevel"/>
    <w:tmpl w:val="CC017888"/>
    <w:lvl w:ilvl="0" w:tentative="0">
      <w:start w:val="1"/>
      <w:numFmt w:val="decimal"/>
      <w:pStyle w:val="17"/>
      <w:suff w:val="nothing"/>
      <w:lvlText w:val="%1"/>
      <w:lvlJc w:val="center"/>
      <w:pPr>
        <w:ind w:left="0" w:firstLine="0"/>
      </w:pPr>
      <w:rPr>
        <w:rFonts w:hint="default"/>
      </w:rPr>
    </w:lvl>
  </w:abstractNum>
  <w:abstractNum w:abstractNumId="1">
    <w:nsid w:val="CE629AAA"/>
    <w:multiLevelType w:val="singleLevel"/>
    <w:tmpl w:val="CE629AAA"/>
    <w:lvl w:ilvl="0" w:tentative="0">
      <w:start w:val="1"/>
      <w:numFmt w:val="decimal"/>
      <w:suff w:val="nothing"/>
      <w:lvlText w:val="%1．"/>
      <w:lvlJc w:val="left"/>
      <w:pPr>
        <w:ind w:left="0" w:firstLine="400"/>
      </w:pPr>
      <w:rPr>
        <w:rFonts w:hint="default"/>
      </w:rPr>
    </w:lvl>
  </w:abstractNum>
  <w:abstractNum w:abstractNumId="2">
    <w:nsid w:val="0D8AABEB"/>
    <w:multiLevelType w:val="singleLevel"/>
    <w:tmpl w:val="0D8AABEB"/>
    <w:lvl w:ilvl="0" w:tentative="0">
      <w:start w:val="1"/>
      <w:numFmt w:val="decimal"/>
      <w:suff w:val="nothing"/>
      <w:lvlText w:val="%1"/>
      <w:lvlJc w:val="center"/>
      <w:pPr>
        <w:ind w:left="0" w:firstLine="0"/>
      </w:pPr>
      <w:rPr>
        <w:rFonts w:hint="default"/>
      </w:rPr>
    </w:lvl>
  </w:abstractNum>
  <w:abstractNum w:abstractNumId="3">
    <w:nsid w:val="2618B967"/>
    <w:multiLevelType w:val="singleLevel"/>
    <w:tmpl w:val="2618B967"/>
    <w:lvl w:ilvl="0" w:tentative="0">
      <w:start w:val="1"/>
      <w:numFmt w:val="chineseCounting"/>
      <w:suff w:val="nothing"/>
      <w:lvlText w:val="（%1）"/>
      <w:lvlJc w:val="left"/>
      <w:pPr>
        <w:ind w:left="0" w:firstLine="42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6"/>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ZGEzODc5OTI4ODY4NDFkNWMwOTg5MzVhNTkyYmYifQ=="/>
  </w:docVars>
  <w:rsids>
    <w:rsidRoot w:val="7F501FA0"/>
    <w:rsid w:val="000849DA"/>
    <w:rsid w:val="001B4DDA"/>
    <w:rsid w:val="002549A0"/>
    <w:rsid w:val="002949A2"/>
    <w:rsid w:val="00294B7E"/>
    <w:rsid w:val="002A58BB"/>
    <w:rsid w:val="002F5F77"/>
    <w:rsid w:val="004C3F55"/>
    <w:rsid w:val="004F79D4"/>
    <w:rsid w:val="00567BD0"/>
    <w:rsid w:val="005A0001"/>
    <w:rsid w:val="006A0ED1"/>
    <w:rsid w:val="006E22F0"/>
    <w:rsid w:val="007C765B"/>
    <w:rsid w:val="00806087"/>
    <w:rsid w:val="008318F3"/>
    <w:rsid w:val="00887259"/>
    <w:rsid w:val="009647B0"/>
    <w:rsid w:val="009B18B6"/>
    <w:rsid w:val="00A10374"/>
    <w:rsid w:val="00AA56E0"/>
    <w:rsid w:val="00B53931"/>
    <w:rsid w:val="00B87DB6"/>
    <w:rsid w:val="00B93FB1"/>
    <w:rsid w:val="00BA0367"/>
    <w:rsid w:val="00BA3489"/>
    <w:rsid w:val="00BB6829"/>
    <w:rsid w:val="00C10CC3"/>
    <w:rsid w:val="00CB2739"/>
    <w:rsid w:val="00CC2404"/>
    <w:rsid w:val="00CE15D7"/>
    <w:rsid w:val="00D24D43"/>
    <w:rsid w:val="00D879CE"/>
    <w:rsid w:val="00DE5E92"/>
    <w:rsid w:val="00E16158"/>
    <w:rsid w:val="00E80C35"/>
    <w:rsid w:val="00E87096"/>
    <w:rsid w:val="00F3354B"/>
    <w:rsid w:val="00F96140"/>
    <w:rsid w:val="00FE5B55"/>
    <w:rsid w:val="013C6799"/>
    <w:rsid w:val="01515D1B"/>
    <w:rsid w:val="023A679D"/>
    <w:rsid w:val="048E0FDE"/>
    <w:rsid w:val="06BE5BCF"/>
    <w:rsid w:val="0C58610A"/>
    <w:rsid w:val="0DF30E7C"/>
    <w:rsid w:val="11B368EA"/>
    <w:rsid w:val="12166BDD"/>
    <w:rsid w:val="13281781"/>
    <w:rsid w:val="14AD5AF1"/>
    <w:rsid w:val="15E20949"/>
    <w:rsid w:val="177078DD"/>
    <w:rsid w:val="18E229D6"/>
    <w:rsid w:val="1B0823B4"/>
    <w:rsid w:val="1CF6796B"/>
    <w:rsid w:val="1D6E403B"/>
    <w:rsid w:val="1F024326"/>
    <w:rsid w:val="250D6D8C"/>
    <w:rsid w:val="286B7EA8"/>
    <w:rsid w:val="28B746DD"/>
    <w:rsid w:val="28E1715E"/>
    <w:rsid w:val="2A2B7203"/>
    <w:rsid w:val="2C554250"/>
    <w:rsid w:val="2E8342B4"/>
    <w:rsid w:val="300A3B11"/>
    <w:rsid w:val="408511D9"/>
    <w:rsid w:val="40EF41AB"/>
    <w:rsid w:val="41744812"/>
    <w:rsid w:val="4A84750A"/>
    <w:rsid w:val="4D1556FC"/>
    <w:rsid w:val="5BD028CC"/>
    <w:rsid w:val="5CC001EE"/>
    <w:rsid w:val="5E5C29B0"/>
    <w:rsid w:val="5F5F1147"/>
    <w:rsid w:val="5FFC61D7"/>
    <w:rsid w:val="62291DB5"/>
    <w:rsid w:val="6393749D"/>
    <w:rsid w:val="652F20BC"/>
    <w:rsid w:val="67512C7A"/>
    <w:rsid w:val="6DF750A5"/>
    <w:rsid w:val="755C7906"/>
    <w:rsid w:val="75BD6E5D"/>
    <w:rsid w:val="76CE4E99"/>
    <w:rsid w:val="783A4000"/>
    <w:rsid w:val="784E1B0A"/>
    <w:rsid w:val="7F501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link w:val="22"/>
    <w:qFormat/>
    <w:uiPriority w:val="0"/>
    <w:pPr>
      <w:keepNext/>
      <w:keepLines/>
      <w:spacing w:before="340" w:after="330" w:line="576" w:lineRule="auto"/>
      <w:jc w:val="center"/>
      <w:outlineLvl w:val="0"/>
    </w:pPr>
    <w:rPr>
      <w:rFonts w:ascii="Times New Roman" w:hAnsi="Times New Roman" w:eastAsia="方正小标宋简体" w:cs="Times New Roman"/>
      <w:spacing w:val="28"/>
      <w:kern w:val="36"/>
      <w:sz w:val="36"/>
      <w:szCs w:val="20"/>
    </w:rPr>
  </w:style>
  <w:style w:type="paragraph" w:styleId="3">
    <w:name w:val="heading 2"/>
    <w:basedOn w:val="1"/>
    <w:next w:val="1"/>
    <w:link w:val="18"/>
    <w:semiHidden/>
    <w:unhideWhenUsed/>
    <w:qFormat/>
    <w:uiPriority w:val="0"/>
    <w:pPr>
      <w:keepNext/>
      <w:keepLines/>
      <w:spacing w:line="416" w:lineRule="auto"/>
      <w:outlineLvl w:val="1"/>
    </w:pPr>
    <w:rPr>
      <w:rFonts w:ascii="Cambria" w:hAnsi="Cambria" w:eastAsia="黑体" w:cs="Times New Roman"/>
      <w:sz w:val="28"/>
      <w:szCs w:val="32"/>
    </w:rPr>
  </w:style>
  <w:style w:type="paragraph" w:styleId="4">
    <w:name w:val="heading 3"/>
    <w:basedOn w:val="1"/>
    <w:next w:val="1"/>
    <w:link w:val="19"/>
    <w:unhideWhenUsed/>
    <w:qFormat/>
    <w:uiPriority w:val="0"/>
    <w:pPr>
      <w:keepNext/>
      <w:keepLines/>
      <w:spacing w:before="260" w:after="260" w:line="360" w:lineRule="auto"/>
      <w:ind w:left="1080" w:hanging="720"/>
      <w:outlineLvl w:val="2"/>
    </w:pPr>
    <w:rPr>
      <w:rFonts w:ascii="Times New Roman" w:hAnsi="Times New Roman" w:eastAsia="楷体" w:cs="Times New Roman"/>
      <w:b/>
      <w:sz w:val="32"/>
      <w:szCs w:val="20"/>
    </w:rPr>
  </w:style>
  <w:style w:type="paragraph" w:styleId="5">
    <w:name w:val="heading 4"/>
    <w:basedOn w:val="1"/>
    <w:next w:val="1"/>
    <w:link w:val="20"/>
    <w:unhideWhenUsed/>
    <w:qFormat/>
    <w:uiPriority w:val="0"/>
    <w:pPr>
      <w:keepNext/>
      <w:keepLines/>
      <w:spacing w:before="280" w:after="290" w:line="376" w:lineRule="auto"/>
      <w:outlineLvl w:val="3"/>
    </w:pPr>
    <w:rPr>
      <w:rFonts w:ascii="黑体" w:hAnsi="黑体" w:eastAsia="黑体" w:cstheme="majorBidi"/>
      <w:b/>
      <w:bCs/>
      <w:sz w:val="28"/>
      <w:szCs w:val="28"/>
    </w:rPr>
  </w:style>
  <w:style w:type="paragraph" w:styleId="6">
    <w:name w:val="heading 5"/>
    <w:next w:val="1"/>
    <w:link w:val="23"/>
    <w:unhideWhenUsed/>
    <w:qFormat/>
    <w:uiPriority w:val="0"/>
    <w:pPr>
      <w:keepNext/>
      <w:keepLines/>
      <w:widowControl w:val="0"/>
      <w:spacing w:before="200" w:after="220"/>
      <w:jc w:val="both"/>
      <w:outlineLvl w:val="4"/>
    </w:pPr>
    <w:rPr>
      <w:rFonts w:ascii="Times New Roman" w:hAnsi="Times New Roman" w:eastAsia="黑体" w:cs="Times New Roman"/>
      <w:kern w:val="2"/>
      <w:sz w:val="24"/>
      <w:szCs w:val="24"/>
      <w:lang w:val="en-US" w:eastAsia="zh-CN" w:bidi="ar-SA"/>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8">
    <w:name w:val="Body Text"/>
    <w:basedOn w:val="1"/>
    <w:unhideWhenUsed/>
    <w:qFormat/>
    <w:uiPriority w:val="99"/>
    <w:pPr>
      <w:spacing w:after="12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pPr>
      <w:jc w:val="left"/>
    </w:pPr>
    <w:rPr>
      <w:rFonts w:eastAsia="微软雅黑"/>
      <w:b/>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表头"/>
    <w:basedOn w:val="1"/>
    <w:qFormat/>
    <w:uiPriority w:val="0"/>
    <w:pPr>
      <w:spacing w:line="360" w:lineRule="auto"/>
      <w:jc w:val="center"/>
    </w:pPr>
    <w:rPr>
      <w:rFonts w:hint="eastAsia" w:ascii="Times New Roman" w:hAnsi="Times New Roman" w:eastAsia="微软雅黑"/>
      <w:b/>
      <w:sz w:val="22"/>
    </w:rPr>
  </w:style>
  <w:style w:type="paragraph" w:customStyle="1" w:styleId="16">
    <w:name w:val="表格内标题行"/>
    <w:basedOn w:val="1"/>
    <w:qFormat/>
    <w:uiPriority w:val="0"/>
    <w:pPr>
      <w:widowControl/>
      <w:tabs>
        <w:tab w:val="left" w:pos="33"/>
      </w:tabs>
      <w:spacing w:line="480" w:lineRule="auto"/>
      <w:ind w:firstLine="920" w:firstLineChars="100"/>
      <w:jc w:val="center"/>
    </w:pPr>
    <w:rPr>
      <w:rFonts w:ascii="宋体" w:hAnsi="宋体" w:eastAsia="黑体"/>
      <w:b/>
      <w:szCs w:val="24"/>
    </w:rPr>
  </w:style>
  <w:style w:type="paragraph" w:customStyle="1" w:styleId="17">
    <w:name w:val="表格内容左对齐"/>
    <w:basedOn w:val="1"/>
    <w:qFormat/>
    <w:uiPriority w:val="99"/>
    <w:pPr>
      <w:widowControl/>
      <w:numPr>
        <w:ilvl w:val="0"/>
        <w:numId w:val="1"/>
      </w:numPr>
      <w:tabs>
        <w:tab w:val="left" w:pos="33"/>
      </w:tabs>
      <w:spacing w:line="260" w:lineRule="exact"/>
      <w:ind w:right="-48" w:rightChars="-23" w:firstLine="920" w:firstLineChars="100"/>
      <w:jc w:val="left"/>
    </w:pPr>
    <w:rPr>
      <w:rFonts w:ascii="宋体" w:hAnsi="宋体" w:eastAsia="微软雅黑"/>
      <w:sz w:val="20"/>
      <w:szCs w:val="24"/>
    </w:rPr>
  </w:style>
  <w:style w:type="character" w:customStyle="1" w:styleId="18">
    <w:name w:val="标题 2 Char"/>
    <w:link w:val="3"/>
    <w:qFormat/>
    <w:uiPriority w:val="0"/>
    <w:rPr>
      <w:rFonts w:ascii="Cambria" w:hAnsi="Cambria" w:eastAsia="黑体" w:cs="Times New Roman"/>
      <w:sz w:val="28"/>
      <w:szCs w:val="32"/>
    </w:rPr>
  </w:style>
  <w:style w:type="character" w:customStyle="1" w:styleId="19">
    <w:name w:val="标题 3 Char"/>
    <w:link w:val="4"/>
    <w:qFormat/>
    <w:uiPriority w:val="0"/>
    <w:rPr>
      <w:rFonts w:ascii="Times New Roman" w:hAnsi="Times New Roman" w:eastAsia="楷体" w:cs="Times New Roman"/>
      <w:b/>
      <w:sz w:val="32"/>
      <w:szCs w:val="20"/>
    </w:rPr>
  </w:style>
  <w:style w:type="character" w:customStyle="1" w:styleId="20">
    <w:name w:val="标题 4 Char"/>
    <w:link w:val="5"/>
    <w:qFormat/>
    <w:uiPriority w:val="0"/>
    <w:rPr>
      <w:rFonts w:ascii="Cambria" w:hAnsi="Cambria" w:eastAsia="黑体" w:cs="Times New Roman"/>
      <w:sz w:val="28"/>
      <w:szCs w:val="28"/>
    </w:rPr>
  </w:style>
  <w:style w:type="paragraph" w:customStyle="1" w:styleId="21">
    <w:name w:val="正文(首行缩进)"/>
    <w:basedOn w:val="1"/>
    <w:qFormat/>
    <w:uiPriority w:val="0"/>
    <w:pPr>
      <w:widowControl/>
      <w:spacing w:line="340" w:lineRule="exact"/>
      <w:ind w:firstLine="1840" w:firstLineChars="200"/>
      <w:jc w:val="left"/>
    </w:pPr>
    <w:rPr>
      <w:rFonts w:ascii="Arial Narrow" w:hAnsi="Arial Narrow" w:eastAsia="宋体"/>
      <w:sz w:val="24"/>
    </w:rPr>
  </w:style>
  <w:style w:type="character" w:customStyle="1" w:styleId="22">
    <w:name w:val="标题 1 Char"/>
    <w:link w:val="2"/>
    <w:qFormat/>
    <w:uiPriority w:val="0"/>
    <w:rPr>
      <w:rFonts w:ascii="Times New Roman" w:hAnsi="Times New Roman" w:eastAsia="方正小标宋简体"/>
      <w:spacing w:val="28"/>
      <w:kern w:val="36"/>
      <w:sz w:val="36"/>
      <w:szCs w:val="20"/>
    </w:rPr>
  </w:style>
  <w:style w:type="character" w:customStyle="1" w:styleId="23">
    <w:name w:val="标题 5 Char"/>
    <w:link w:val="6"/>
    <w:qFormat/>
    <w:uiPriority w:val="0"/>
    <w:rPr>
      <w:rFonts w:ascii="Times New Roman" w:hAnsi="Times New Roman" w:eastAsia="黑体" w:cs="Times New Roman"/>
      <w:kern w:val="2"/>
      <w:sz w:val="24"/>
      <w:szCs w:val="24"/>
      <w:lang w:val="en-US" w:eastAsia="zh-CN" w:bidi="ar-SA"/>
    </w:rPr>
  </w:style>
  <w:style w:type="paragraph" w:customStyle="1" w:styleId="24">
    <w:name w:val="正文四号"/>
    <w:basedOn w:val="1"/>
    <w:link w:val="25"/>
    <w:qFormat/>
    <w:uiPriority w:val="0"/>
    <w:pPr>
      <w:ind w:firstLine="529" w:firstLineChars="189"/>
    </w:pPr>
    <w:rPr>
      <w:rFonts w:eastAsia="仿宋_GB2312" w:asciiTheme="minorHAnsi" w:hAnsiTheme="minorHAnsi"/>
      <w:sz w:val="28"/>
      <w:szCs w:val="28"/>
    </w:rPr>
  </w:style>
  <w:style w:type="character" w:customStyle="1" w:styleId="25">
    <w:name w:val="正文四号 字符"/>
    <w:basedOn w:val="26"/>
    <w:link w:val="24"/>
    <w:qFormat/>
    <w:uiPriority w:val="0"/>
    <w:rPr>
      <w:rFonts w:eastAsia="仿宋_GB2312" w:asciiTheme="minorHAnsi" w:hAnsiTheme="minorHAnsi"/>
      <w:sz w:val="28"/>
      <w:szCs w:val="28"/>
    </w:rPr>
  </w:style>
  <w:style w:type="character" w:customStyle="1" w:styleId="26">
    <w:name w:val="列出段落 Char"/>
    <w:basedOn w:val="14"/>
    <w:link w:val="27"/>
    <w:qFormat/>
    <w:uiPriority w:val="34"/>
  </w:style>
  <w:style w:type="paragraph" w:styleId="27">
    <w:name w:val="List Paragraph"/>
    <w:basedOn w:val="1"/>
    <w:link w:val="26"/>
    <w:qFormat/>
    <w:uiPriority w:val="34"/>
    <w:pPr>
      <w:ind w:firstLine="420" w:firstLineChars="200"/>
    </w:pPr>
  </w:style>
  <w:style w:type="paragraph" w:customStyle="1" w:styleId="28">
    <w:name w:val="论文标题"/>
    <w:basedOn w:val="1"/>
    <w:qFormat/>
    <w:uiPriority w:val="0"/>
    <w:pPr>
      <w:jc w:val="center"/>
    </w:pPr>
    <w:rPr>
      <w:rFonts w:eastAsia="楷体_GB2312"/>
      <w:b/>
      <w:kern w:val="36"/>
      <w:sz w:val="52"/>
      <w:szCs w:val="52"/>
    </w:rPr>
  </w:style>
  <w:style w:type="paragraph" w:customStyle="1" w:styleId="29">
    <w:name w:val="研究生姓名"/>
    <w:basedOn w:val="1"/>
    <w:qFormat/>
    <w:uiPriority w:val="0"/>
    <w:pPr>
      <w:ind w:firstLine="700" w:firstLineChars="700"/>
    </w:pPr>
    <w:rPr>
      <w:sz w:val="28"/>
      <w:szCs w:val="28"/>
    </w:rPr>
  </w:style>
  <w:style w:type="paragraph" w:customStyle="1" w:styleId="30">
    <w:name w:val="封面日期"/>
    <w:basedOn w:val="1"/>
    <w:qFormat/>
    <w:uiPriority w:val="0"/>
    <w:pPr>
      <w:jc w:val="center"/>
    </w:pPr>
    <w:rPr>
      <w:rFonts w:ascii="黑体" w:eastAsia="黑体"/>
      <w:sz w:val="32"/>
      <w:szCs w:val="32"/>
    </w:rPr>
  </w:style>
  <w:style w:type="paragraph" w:customStyle="1" w:styleId="31">
    <w:name w:val="WPSOffice手动目录 1"/>
    <w:qFormat/>
    <w:uiPriority w:val="0"/>
    <w:rPr>
      <w:rFonts w:asciiTheme="minorHAnsi" w:hAnsiTheme="minorHAnsi" w:eastAsiaTheme="minorEastAsia" w:cstheme="minorBidi"/>
      <w:lang w:val="en-US" w:eastAsia="zh-CN" w:bidi="ar-SA"/>
    </w:rPr>
  </w:style>
  <w:style w:type="paragraph" w:customStyle="1" w:styleId="32">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33">
    <w:name w:val="文章正文"/>
    <w:link w:val="34"/>
    <w:qFormat/>
    <w:uiPriority w:val="0"/>
    <w:pPr>
      <w:widowControl w:val="0"/>
      <w:adjustRightInd w:val="0"/>
      <w:snapToGrid w:val="0"/>
      <w:spacing w:before="100" w:beforeLines="100" w:line="440" w:lineRule="exact"/>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34">
    <w:name w:val="文章正文 Char"/>
    <w:basedOn w:val="14"/>
    <w:link w:val="33"/>
    <w:qFormat/>
    <w:uiPriority w:val="0"/>
    <w:rPr>
      <w:rFonts w:ascii="Times New Roman" w:hAnsi="Times New Roman" w:eastAsia="宋体" w:cs="Times New Roman"/>
      <w:kern w:val="2"/>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4001</Words>
  <Characters>4145</Characters>
  <Lines>37</Lines>
  <Paragraphs>10</Paragraphs>
  <TotalTime>8</TotalTime>
  <ScaleCrop>false</ScaleCrop>
  <LinksUpToDate>false</LinksUpToDate>
  <CharactersWithSpaces>4578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2021-08-30T07:24:00Z</dcterms:created>
  <dc:creator>Sugar</dc:creator>
  <cp:lastModifiedBy>Administrator</cp:lastModifiedBy>
  <cp:lastPrinted>2024-11-14T06:39:00Z</cp:lastPrinted>
  <dcterms:modified xsi:type="dcterms:W3CDTF">2026-03-30T08:33:23Z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4134A875030F48A8A1920322EA7726E7_13</vt:lpwstr>
  </property>
  <property fmtid="{D5CDD505-2E9C-101B-9397-08002B2CF9AE}" pid="4" name="KSOSaveFontToCloudKey">
    <vt:lpwstr>217099218_cloud</vt:lpwstr>
  </property>
  <property fmtid="{D5CDD505-2E9C-101B-9397-08002B2CF9AE}" pid="5" name="KSOTemplateDocerSaveRecord">
    <vt:lpwstr>eyJoZGlkIjoiNzUzZGEzODc5OTI4ODY4NDFkNWMwOTg5MzVhNTkyYmYifQ==</vt:lpwstr>
  </property>
</Properties>
</file>