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版本号：N511301202500030820251124001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医用内窥镜一批(二次)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N5113012025000308</w:t>
      </w:r>
    </w:p>
    <w:p>
      <w:pPr>
        <w:pStyle w:val="null3"/>
        <w:jc w:val="left"/>
        <w:outlineLvl w:val="2"/>
      </w:pPr>
      <w:r>
        <w:rPr>
          <w:rFonts w:ascii="仿宋_GB2312" w:hAnsi="仿宋_GB2312" w:cs="仿宋_GB2312" w:eastAsia="仿宋_GB2312"/>
          <w:sz w:val="28"/>
          <w:b/>
        </w:rPr>
        <w:t>首都医科大学附属北京安贞医院南充医院南充市中心医院</w:t>
      </w:r>
    </w:p>
    <w:p>
      <w:pPr>
        <w:pStyle w:val="null3"/>
        <w:jc w:val="center"/>
        <w:outlineLvl w:val="2"/>
      </w:pPr>
      <w:r>
        <w:rPr>
          <w:rFonts w:ascii="仿宋_GB2312" w:hAnsi="仿宋_GB2312" w:cs="仿宋_GB2312" w:eastAsia="仿宋_GB2312"/>
          <w:sz w:val="28"/>
          <w:b/>
        </w:rPr>
        <w:t>四川川宏招标代理有限公司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四川川宏招标代理有限公司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委托，拟对 </w:t>
      </w:r>
      <w:r>
        <w:rPr>
          <w:rFonts w:ascii="仿宋_GB2312" w:hAnsi="仿宋_GB2312" w:cs="仿宋_GB2312" w:eastAsia="仿宋_GB2312"/>
        </w:rPr>
        <w:t>医用内窥镜一批(二次)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N5113012025000308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医用内窥镜一批(二次)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首都医科大学附属北京安贞医院南充医院南充市中心医院拟采购医用内窥镜一批（二次）。本项目为1个包。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符合《医疗器械监督管理条例》要求，并提供医疗器械生产许可证或者经营企业许可证或备案凭证；（已提供包含二类备案的多证合一营业执照的供应商除外）；（限医疗产品提供，如适用）（描述：供应商须符合《医疗器械监督管理条例》要求，并提供医疗器械生产许可证或者经营企业许可证或备案凭证；（已提供包含二类备案的多证合一营业执照的供应商除外）；（限医疗产品提供，如适用），供应商需在项目电子化交易系统中按要求上传相应证明文件并进行电子签章。）</w:t>
      </w:r>
    </w:p>
    <w:p>
      <w:pPr>
        <w:pStyle w:val="null3"/>
        <w:jc w:val="left"/>
      </w:pPr>
      <w:r>
        <w:rPr>
          <w:rFonts w:ascii="仿宋_GB2312" w:hAnsi="仿宋_GB2312" w:cs="仿宋_GB2312" w:eastAsia="仿宋_GB2312"/>
        </w:rPr>
        <w:t>2、投标产品及其所有配置属于医疗器械，则投标产品及其所有配置须符合《医疗器械注册与备案管理办法》要求，并提供医疗器械注册证或备案凭证；（限医疗产品提供，如适用）。（描述：若投标产品及其所有配置属于医疗器械，则投标产品及其所有配置须符合《医疗器械注册与备案管理办法》要求，并提供医疗器械注册证或备案凭证；（限医疗产品提供，如适用）。供应商需在项目电子化交易系统中按要求上传相应证明文件并进行电子签章。）</w:t>
      </w:r>
    </w:p>
    <w:p>
      <w:pPr>
        <w:pStyle w:val="null3"/>
        <w:jc w:val="left"/>
      </w:pPr>
      <w:r>
        <w:rPr>
          <w:rFonts w:ascii="仿宋_GB2312" w:hAnsi="仿宋_GB2312" w:cs="仿宋_GB2312" w:eastAsia="仿宋_GB2312"/>
        </w:rPr>
        <w:t>3、投标产品如属于进口产品，需提供生产厂家产品授权书的扫描件；或具有授权权限的代理商对所报价进口产品的授权。（描述：投标产品如属于进口产品，需提供生产厂家产品授权书的扫描件；或具有授权权限的代理商对所报价进口产品的授权（且需提供该代理商具有有效授权权限的相关证明文件的扫描件，证明文件需能显示产品制造厂家对所报价进口产品授权链条的完整性）。）</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首都医科大学附属北京安贞医院南充医院南充市中心医院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南充市高坪区安贞路99号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19982823182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四川川宏招标代理有限公司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四川省南充市嘉陵区陈寿路474号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637900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637999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交款时间:中标通知书发放后,政府采购合同签订前。</w:t>
              <w:br/>
              <w:t>退还时间:自验收合格之日起，乙方若无相关违约责任，甲方接到乙方退款申请达到支付条件后5个工作日内，一次性无息退还</w:t>
              <w:br/>
              <w:t>履约保证金不予退还的情形:①供应商不履行与采购人订立的合同的，履约保证金不予退还，给采购人造成的损失超过履约保证金数额的，还应当对超过部分予以赔偿。②项目验收结果不合格的，履约保证金将不予退还。③如合同期内，成交人自行停止合约、违反合同有关规定相关情形的，履约保证金不予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按照采购代理机构与采购人签订的采购代理协议的约定及成本支出加合理利润原则，收费标准按照成交金额【（30万-100万）×1.5%、（100万-500万）×1.1%；】计算后下浮20%收取（不足3000元的按3000元收取），由成交供应商在领取成交通知书前向采购代理机构支付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和 </w:t>
      </w:r>
      <w:r>
        <w:rPr>
          <w:rFonts w:ascii="仿宋_GB2312" w:hAnsi="仿宋_GB2312" w:cs="仿宋_GB2312" w:eastAsia="仿宋_GB2312"/>
        </w:rPr>
        <w:t>四川川宏招标代理有限公司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四川川宏招标代理有限公司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首都医科大学附属北京安贞医院南充医院南充市中心医院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四川川宏招标代理有限公司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联系电话：19982823182</w:t>
      </w:r>
    </w:p>
    <w:p>
      <w:pPr>
        <w:pStyle w:val="null3"/>
        <w:jc w:val="left"/>
      </w:pPr>
      <w:r>
        <w:rPr>
          <w:rFonts w:ascii="仿宋_GB2312" w:hAnsi="仿宋_GB2312" w:cs="仿宋_GB2312" w:eastAsia="仿宋_GB2312"/>
        </w:rPr>
        <w:t>地址：南充市高坪区安贞路99号</w:t>
      </w:r>
    </w:p>
    <w:p>
      <w:pPr>
        <w:pStyle w:val="null3"/>
        <w:jc w:val="left"/>
      </w:pPr>
      <w:r>
        <w:rPr>
          <w:rFonts w:ascii="仿宋_GB2312" w:hAnsi="仿宋_GB2312" w:cs="仿宋_GB2312" w:eastAsia="仿宋_GB2312"/>
        </w:rPr>
        <w:t>邮编：637000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联系人：朱女士</w:t>
      </w:r>
    </w:p>
    <w:p>
      <w:pPr>
        <w:pStyle w:val="null3"/>
        <w:jc w:val="left"/>
      </w:pPr>
      <w:r>
        <w:rPr>
          <w:rFonts w:ascii="仿宋_GB2312" w:hAnsi="仿宋_GB2312" w:cs="仿宋_GB2312" w:eastAsia="仿宋_GB2312"/>
        </w:rPr>
        <w:t>联系电话：0817-3128388</w:t>
      </w:r>
    </w:p>
    <w:p>
      <w:pPr>
        <w:pStyle w:val="null3"/>
        <w:jc w:val="left"/>
      </w:pPr>
      <w:r>
        <w:rPr>
          <w:rFonts w:ascii="仿宋_GB2312" w:hAnsi="仿宋_GB2312" w:cs="仿宋_GB2312" w:eastAsia="仿宋_GB2312"/>
        </w:rPr>
        <w:t>地址：四川省南充市嘉陵区陈寿路474号</w:t>
      </w:r>
    </w:p>
    <w:p>
      <w:pPr>
        <w:pStyle w:val="null3"/>
        <w:jc w:val="left"/>
      </w:pPr>
      <w:r>
        <w:rPr>
          <w:rFonts w:ascii="仿宋_GB2312" w:hAnsi="仿宋_GB2312" w:cs="仿宋_GB2312" w:eastAsia="仿宋_GB2312"/>
        </w:rPr>
        <w:t>邮编：637999</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1,567,500.00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A02320700 医用内窥镜</w:t>
            </w:r>
          </w:p>
        </w:tc>
        <w:tc>
          <w:tcPr>
            <w:tcW w:type="dxa" w:w="821"/>
          </w:tcPr>
          <w:p>
            <w:pPr>
              <w:pStyle w:val="null3"/>
              <w:jc w:val="left"/>
            </w:pPr>
            <w:r>
              <w:rPr>
                <w:rFonts w:ascii="仿宋_GB2312" w:hAnsi="仿宋_GB2312" w:cs="仿宋_GB2312" w:eastAsia="仿宋_GB2312"/>
              </w:rPr>
              <w:t>电子十二指肠镜主机（核心产品）、电子十二指肠镜</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1,567,500.00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电子十二指肠镜主机（核心产品）、电子十二指肠镜</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1,567,500.00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电子十二指肠镜主机（核心产品）、电子十二指肠镜</w:t>
            </w:r>
          </w:p>
        </w:tc>
        <w:tc>
          <w:tcPr>
            <w:tcW w:type="dxa" w:w="2492"/>
          </w:tcPr>
          <w:p>
            <w:pPr>
              <w:pStyle w:val="null3"/>
              <w:jc w:val="left"/>
            </w:pPr>
            <w:r>
              <w:rPr>
                <w:rFonts w:ascii="仿宋_GB2312" w:hAnsi="仿宋_GB2312" w:cs="仿宋_GB2312" w:eastAsia="仿宋_GB2312"/>
              </w:rPr>
              <w:t>电子十二指肠镜主机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A02320700 医用内窥镜</w:t>
            </w:r>
          </w:p>
        </w:tc>
        <w:tc>
          <w:tcPr>
            <w:tcW w:type="dxa" w:w="2492"/>
          </w:tcPr>
          <w:p>
            <w:pPr>
              <w:pStyle w:val="null3"/>
              <w:jc w:val="left"/>
            </w:pPr>
            <w:r>
              <w:rPr>
                <w:rFonts w:ascii="仿宋_GB2312" w:hAnsi="仿宋_GB2312" w:cs="仿宋_GB2312" w:eastAsia="仿宋_GB2312"/>
              </w:rPr>
              <w:t>电子十二指肠镜主机（核心产品）、电子十二指肠镜</w:t>
            </w:r>
          </w:p>
        </w:tc>
        <w:tc>
          <w:tcPr>
            <w:tcW w:type="dxa" w:w="2492"/>
          </w:tcPr>
          <w:p>
            <w:pPr>
              <w:pStyle w:val="null3"/>
              <w:jc w:val="left"/>
            </w:pPr>
            <w:r>
              <w:rPr>
                <w:rFonts w:ascii="仿宋_GB2312" w:hAnsi="仿宋_GB2312" w:cs="仿宋_GB2312" w:eastAsia="仿宋_GB2312"/>
              </w:rPr>
              <w:t>电子十二指肠镜主机、电子十二指肠镜</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标的名称：电子十二指肠镜主机（核心产品）、电子十二指肠镜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电子十二指肠镜主机（核心产品）、电子十二指肠镜技术参数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9"/>
              <w:gridCol w:w="600"/>
              <w:gridCol w:w="385"/>
              <w:gridCol w:w="396"/>
              <w:gridCol w:w="611"/>
              <w:gridCol w:w="623"/>
              <w:gridCol w:w="2606"/>
            </w:tblGrid>
            <w:tr>
              <w:tc>
                <w:tcPr>
                  <w:tcW w:type="dxa" w:w="339"/>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0"/>
                    </w:rPr>
                    <w:t>序号</w:t>
                  </w:r>
                </w:p>
              </w:tc>
              <w:tc>
                <w:tcPr>
                  <w:tcW w:type="dxa" w:w="600"/>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0"/>
                    </w:rPr>
                    <w:t>标的物</w:t>
                  </w:r>
                </w:p>
                <w:p>
                  <w:pPr>
                    <w:pStyle w:val="null3"/>
                    <w:jc w:val="center"/>
                  </w:pPr>
                  <w:r>
                    <w:rPr>
                      <w:rFonts w:ascii="仿宋_GB2312" w:hAnsi="仿宋_GB2312" w:cs="仿宋_GB2312" w:eastAsia="仿宋_GB2312"/>
                      <w:sz w:val="20"/>
                    </w:rPr>
                    <w:t>名称</w:t>
                  </w:r>
                </w:p>
              </w:tc>
              <w:tc>
                <w:tcPr>
                  <w:tcW w:type="dxa" w:w="385"/>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0"/>
                    </w:rPr>
                    <w:t>数量</w:t>
                  </w:r>
                </w:p>
              </w:tc>
              <w:tc>
                <w:tcPr>
                  <w:tcW w:type="dxa" w:w="396"/>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0"/>
                    </w:rPr>
                    <w:t>计量</w:t>
                  </w:r>
                </w:p>
                <w:p>
                  <w:pPr>
                    <w:pStyle w:val="null3"/>
                    <w:jc w:val="center"/>
                  </w:pPr>
                  <w:r>
                    <w:rPr>
                      <w:rFonts w:ascii="仿宋_GB2312" w:hAnsi="仿宋_GB2312" w:cs="仿宋_GB2312" w:eastAsia="仿宋_GB2312"/>
                      <w:sz w:val="20"/>
                    </w:rPr>
                    <w:t>单位</w:t>
                  </w:r>
                </w:p>
              </w:tc>
              <w:tc>
                <w:tcPr>
                  <w:tcW w:type="dxa" w:w="611"/>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0"/>
                    </w:rPr>
                    <w:t>单价</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万</w:t>
                  </w:r>
                  <w:r>
                    <w:rPr>
                      <w:rFonts w:ascii="仿宋_GB2312" w:hAnsi="仿宋_GB2312" w:cs="仿宋_GB2312" w:eastAsia="仿宋_GB2312"/>
                      <w:sz w:val="20"/>
                    </w:rPr>
                    <w:t>元</w:t>
                  </w:r>
                  <w:r>
                    <w:rPr>
                      <w:rFonts w:ascii="仿宋_GB2312" w:hAnsi="仿宋_GB2312" w:cs="仿宋_GB2312" w:eastAsia="仿宋_GB2312"/>
                      <w:sz w:val="20"/>
                    </w:rPr>
                    <w:t>)</w:t>
                  </w:r>
                </w:p>
              </w:tc>
              <w:tc>
                <w:tcPr>
                  <w:tcW w:type="dxa" w:w="6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总价</w:t>
                  </w:r>
                  <w:r>
                    <w:rPr>
                      <w:rFonts w:ascii="仿宋_GB2312" w:hAnsi="仿宋_GB2312" w:cs="仿宋_GB2312" w:eastAsia="仿宋_GB2312"/>
                      <w:sz w:val="20"/>
                    </w:rPr>
                    <w:t>(</w:t>
                  </w:r>
                  <w:r>
                    <w:rPr>
                      <w:rFonts w:ascii="仿宋_GB2312" w:hAnsi="仿宋_GB2312" w:cs="仿宋_GB2312" w:eastAsia="仿宋_GB2312"/>
                      <w:sz w:val="20"/>
                    </w:rPr>
                    <w:t>万</w:t>
                  </w:r>
                  <w:r>
                    <w:rPr>
                      <w:rFonts w:ascii="仿宋_GB2312" w:hAnsi="仿宋_GB2312" w:cs="仿宋_GB2312" w:eastAsia="仿宋_GB2312"/>
                      <w:sz w:val="20"/>
                    </w:rPr>
                    <w:t>元</w:t>
                  </w:r>
                  <w:r>
                    <w:rPr>
                      <w:rFonts w:ascii="仿宋_GB2312" w:hAnsi="仿宋_GB2312" w:cs="仿宋_GB2312" w:eastAsia="仿宋_GB2312"/>
                      <w:sz w:val="20"/>
                    </w:rPr>
                    <w:t>)</w:t>
                  </w:r>
                </w:p>
              </w:tc>
              <w:tc>
                <w:tcPr>
                  <w:tcW w:type="dxa" w:w="26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p>
                  <w:pPr>
                    <w:pStyle w:val="null3"/>
                    <w:jc w:val="center"/>
                  </w:pPr>
                  <w:r>
                    <w:rPr>
                      <w:rFonts w:ascii="仿宋_GB2312" w:hAnsi="仿宋_GB2312" w:cs="仿宋_GB2312" w:eastAsia="仿宋_GB2312"/>
                      <w:sz w:val="20"/>
                    </w:rPr>
                    <w:t>（服务内容及服务要求）</w:t>
                  </w:r>
                </w:p>
              </w:tc>
            </w:tr>
            <w:tr>
              <w:tc>
                <w:tcPr>
                  <w:tcW w:type="dxa" w:w="339"/>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1</w:t>
                  </w:r>
                </w:p>
              </w:tc>
              <w:tc>
                <w:tcPr>
                  <w:tcW w:type="dxa" w:w="600"/>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4"/>
                    </w:rPr>
                    <w:t>电子十二指肠镜主机</w:t>
                  </w:r>
                </w:p>
              </w:tc>
              <w:tc>
                <w:tcPr>
                  <w:tcW w:type="dxa" w:w="385"/>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1</w:t>
                  </w:r>
                </w:p>
              </w:tc>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rFonts w:ascii="仿宋_GB2312" w:hAnsi="仿宋_GB2312" w:cs="仿宋_GB2312" w:eastAsia="仿宋_GB2312"/>
                      <w:sz w:val="21"/>
                    </w:rPr>
                    <w:t>台</w:t>
                  </w:r>
                </w:p>
              </w:tc>
              <w:tc>
                <w:tcPr>
                  <w:tcW w:type="dxa" w:w="61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97.97</w:t>
                  </w:r>
                </w:p>
              </w:tc>
              <w:tc>
                <w:tcPr>
                  <w:tcW w:type="dxa" w:w="6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97.97</w:t>
                  </w:r>
                </w:p>
              </w:tc>
              <w:tc>
                <w:tcPr>
                  <w:tcW w:type="dxa" w:w="26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（一）图像处理装置</w:t>
                  </w:r>
                </w:p>
                <w:p>
                  <w:pPr>
                    <w:pStyle w:val="null3"/>
                    <w:ind w:firstLine="480"/>
                    <w:jc w:val="left"/>
                  </w:pPr>
                  <w:r>
                    <w:rPr>
                      <w:rFonts w:ascii="仿宋_GB2312" w:hAnsi="仿宋_GB2312" w:cs="仿宋_GB2312" w:eastAsia="仿宋_GB2312"/>
                      <w:sz w:val="24"/>
                    </w:rPr>
                    <w:t>▲1.色彩成像采用顺次成像方式;</w:t>
                  </w:r>
                </w:p>
                <w:p>
                  <w:pPr>
                    <w:pStyle w:val="null3"/>
                    <w:ind w:firstLine="480"/>
                    <w:jc w:val="left"/>
                  </w:pPr>
                  <w:r>
                    <w:rPr>
                      <w:rFonts w:ascii="仿宋_GB2312" w:hAnsi="仿宋_GB2312" w:cs="仿宋_GB2312" w:eastAsia="仿宋_GB2312"/>
                      <w:sz w:val="24"/>
                    </w:rPr>
                    <w:t>△2.支持连接多系列内窥镜系统;</w:t>
                  </w:r>
                </w:p>
                <w:p>
                  <w:pPr>
                    <w:pStyle w:val="null3"/>
                    <w:ind w:firstLine="480"/>
                    <w:jc w:val="left"/>
                  </w:pPr>
                  <w:r>
                    <w:rPr>
                      <w:rFonts w:ascii="仿宋_GB2312" w:hAnsi="仿宋_GB2312" w:cs="仿宋_GB2312" w:eastAsia="仿宋_GB2312"/>
                      <w:sz w:val="24"/>
                    </w:rPr>
                    <w:t>△3.具有轮廓强调、构造强调及电子放大功能，并分多档显示;</w:t>
                  </w:r>
                </w:p>
                <w:p>
                  <w:pPr>
                    <w:pStyle w:val="null3"/>
                    <w:ind w:firstLine="480"/>
                    <w:jc w:val="left"/>
                  </w:pPr>
                  <w:r>
                    <w:rPr>
                      <w:rFonts w:ascii="仿宋_GB2312" w:hAnsi="仿宋_GB2312" w:cs="仿宋_GB2312" w:eastAsia="仿宋_GB2312"/>
                      <w:sz w:val="24"/>
                    </w:rPr>
                    <w:t>▲4.能实现窄波成像（NBI)、自体荧光成像(AFI)、BLI、VIST、CBI、CBI PLUS中两种或两种以上特殊光模式观察功能，能提高黏膜浅表的组织形态分辨率，显示毛细血管等细微结构，能对胃癌进行早期诊断;</w:t>
                  </w:r>
                </w:p>
                <w:p>
                  <w:pPr>
                    <w:pStyle w:val="null3"/>
                    <w:ind w:firstLine="480"/>
                    <w:jc w:val="left"/>
                  </w:pPr>
                  <w:r>
                    <w:rPr>
                      <w:rFonts w:ascii="仿宋_GB2312" w:hAnsi="仿宋_GB2312" w:cs="仿宋_GB2312" w:eastAsia="仿宋_GB2312"/>
                      <w:sz w:val="24"/>
                    </w:rPr>
                    <w:t>★5.影像处理系统可连接十二指肠镜、胃肠镜、支气管镜等多种内窥镜;</w:t>
                  </w:r>
                </w:p>
                <w:p>
                  <w:pPr>
                    <w:pStyle w:val="null3"/>
                    <w:ind w:firstLine="480"/>
                    <w:jc w:val="left"/>
                  </w:pPr>
                  <w:r>
                    <w:rPr>
                      <w:rFonts w:ascii="仿宋_GB2312" w:hAnsi="仿宋_GB2312" w:cs="仿宋_GB2312" w:eastAsia="仿宋_GB2312"/>
                      <w:sz w:val="24"/>
                    </w:rPr>
                    <w:t>△6.具有内镜信息记忆功能，支持存贮在内镜记忆芯片中的与内镜相关数据，调用并显示在屏幕上;</w:t>
                  </w:r>
                </w:p>
                <w:p>
                  <w:pPr>
                    <w:pStyle w:val="null3"/>
                    <w:ind w:firstLine="480"/>
                    <w:jc w:val="left"/>
                  </w:pPr>
                  <w:r>
                    <w:rPr>
                      <w:rFonts w:ascii="仿宋_GB2312" w:hAnsi="仿宋_GB2312" w:cs="仿宋_GB2312" w:eastAsia="仿宋_GB2312"/>
                      <w:sz w:val="24"/>
                    </w:rPr>
                    <w:t>△7.具有自动白平衡调节功能，随时保证还原真实色彩;</w:t>
                  </w:r>
                </w:p>
                <w:p>
                  <w:pPr>
                    <w:pStyle w:val="null3"/>
                    <w:ind w:firstLine="480"/>
                    <w:jc w:val="left"/>
                  </w:pPr>
                  <w:r>
                    <w:rPr>
                      <w:rFonts w:ascii="仿宋_GB2312" w:hAnsi="仿宋_GB2312" w:cs="仿宋_GB2312" w:eastAsia="仿宋_GB2312"/>
                      <w:sz w:val="24"/>
                    </w:rPr>
                    <w:t>△8.有标准色图输出，可以显示色图或≥50％白色图。有色调调节功能：红色调能在-7—7的范围内调节；蓝色调能在-7—7的范围内调节;</w:t>
                  </w:r>
                </w:p>
                <w:p>
                  <w:pPr>
                    <w:pStyle w:val="null3"/>
                    <w:ind w:firstLine="480"/>
                    <w:jc w:val="left"/>
                  </w:pPr>
                  <w:r>
                    <w:rPr>
                      <w:rFonts w:ascii="仿宋_GB2312" w:hAnsi="仿宋_GB2312" w:cs="仿宋_GB2312" w:eastAsia="仿宋_GB2312"/>
                      <w:sz w:val="24"/>
                    </w:rPr>
                    <w:t>△9.具有色调调节功能，“Ｒ”红色调节：±8档，“Ｂ”蓝色调节：±8档，“Ｃ”色调调节：±8档;</w:t>
                  </w:r>
                </w:p>
                <w:p>
                  <w:pPr>
                    <w:pStyle w:val="null3"/>
                    <w:ind w:firstLine="480"/>
                    <w:jc w:val="left"/>
                  </w:pPr>
                  <w:r>
                    <w:rPr>
                      <w:rFonts w:ascii="仿宋_GB2312" w:hAnsi="仿宋_GB2312" w:cs="仿宋_GB2312" w:eastAsia="仿宋_GB2312"/>
                      <w:sz w:val="24"/>
                    </w:rPr>
                    <w:t>△10.具有彩虹修正现象功能，可以避免由于RGB信号之间的时间滞后而造成的色差，确保稳定无闪烁的图像;</w:t>
                  </w:r>
                </w:p>
                <w:p>
                  <w:pPr>
                    <w:pStyle w:val="null3"/>
                    <w:ind w:firstLine="480"/>
                    <w:jc w:val="left"/>
                  </w:pPr>
                  <w:r>
                    <w:rPr>
                      <w:rFonts w:ascii="仿宋_GB2312" w:hAnsi="仿宋_GB2312" w:cs="仿宋_GB2312" w:eastAsia="仿宋_GB2312"/>
                      <w:sz w:val="24"/>
                    </w:rPr>
                    <w:t>△11.具有自动增益控制功能，当内镜先端部距离目标太远而使光线不足时，图像信号可以通过电子放大，并自动调整亮度;</w:t>
                  </w:r>
                </w:p>
                <w:p>
                  <w:pPr>
                    <w:pStyle w:val="null3"/>
                    <w:ind w:firstLine="480"/>
                    <w:jc w:val="left"/>
                  </w:pPr>
                  <w:r>
                    <w:rPr>
                      <w:rFonts w:ascii="仿宋_GB2312" w:hAnsi="仿宋_GB2312" w:cs="仿宋_GB2312" w:eastAsia="仿宋_GB2312"/>
                      <w:sz w:val="24"/>
                    </w:rPr>
                    <w:t>△12.具有多种测光模式：平均测光模式，峰值测光模式，全自动测光模式等;</w:t>
                  </w:r>
                </w:p>
                <w:p>
                  <w:pPr>
                    <w:pStyle w:val="null3"/>
                    <w:ind w:firstLine="480"/>
                    <w:jc w:val="left"/>
                  </w:pPr>
                  <w:r>
                    <w:rPr>
                      <w:rFonts w:ascii="仿宋_GB2312" w:hAnsi="仿宋_GB2312" w:cs="仿宋_GB2312" w:eastAsia="仿宋_GB2312"/>
                      <w:sz w:val="24"/>
                    </w:rPr>
                    <w:t>△13.能够实施快速实时冻结，并可从冻结前的图像中选择色差最小的图像显示;</w:t>
                  </w:r>
                </w:p>
                <w:p>
                  <w:pPr>
                    <w:pStyle w:val="null3"/>
                    <w:ind w:firstLine="480"/>
                    <w:jc w:val="left"/>
                  </w:pPr>
                  <w:r>
                    <w:rPr>
                      <w:rFonts w:ascii="仿宋_GB2312" w:hAnsi="仿宋_GB2312" w:cs="仿宋_GB2312" w:eastAsia="仿宋_GB2312"/>
                      <w:sz w:val="24"/>
                    </w:rPr>
                    <w:t>△14.具</w:t>
                  </w:r>
                  <w:r>
                    <w:rPr>
                      <w:rFonts w:ascii="仿宋_GB2312" w:hAnsi="仿宋_GB2312" w:cs="仿宋_GB2312" w:eastAsia="仿宋_GB2312"/>
                      <w:sz w:val="21"/>
                    </w:rPr>
                    <w:t>有图像记录和回放功能，图像处理中心关闭后可自动存贮包括色</w:t>
                  </w:r>
                  <w:r>
                    <w:rPr>
                      <w:rFonts w:ascii="仿宋_GB2312" w:hAnsi="仿宋_GB2312" w:cs="仿宋_GB2312" w:eastAsia="仿宋_GB2312"/>
                      <w:sz w:val="24"/>
                    </w:rPr>
                    <w:t>调、加强、白平衡、测光模式、适应型</w:t>
                  </w:r>
                  <w:r>
                    <w:rPr>
                      <w:rFonts w:ascii="仿宋_GB2312" w:hAnsi="仿宋_GB2312" w:cs="仿宋_GB2312" w:eastAsia="仿宋_GB2312"/>
                      <w:sz w:val="24"/>
                    </w:rPr>
                    <w:t>IHb色彩加强、构造加强、电子放大等参数;</w:t>
                  </w:r>
                </w:p>
                <w:p>
                  <w:pPr>
                    <w:pStyle w:val="null3"/>
                    <w:ind w:firstLine="480"/>
                    <w:jc w:val="left"/>
                  </w:pPr>
                  <w:r>
                    <w:rPr>
                      <w:rFonts w:ascii="仿宋_GB2312" w:hAnsi="仿宋_GB2312" w:cs="仿宋_GB2312" w:eastAsia="仿宋_GB2312"/>
                      <w:sz w:val="24"/>
                    </w:rPr>
                    <w:t>△15.采用八角型画面显示图像，图像信息损失达到最小;</w:t>
                  </w:r>
                </w:p>
                <w:p>
                  <w:pPr>
                    <w:pStyle w:val="null3"/>
                    <w:ind w:firstLine="480"/>
                    <w:jc w:val="left"/>
                  </w:pPr>
                  <w:r>
                    <w:rPr>
                      <w:rFonts w:ascii="仿宋_GB2312" w:hAnsi="仿宋_GB2312" w:cs="仿宋_GB2312" w:eastAsia="仿宋_GB2312"/>
                      <w:sz w:val="24"/>
                    </w:rPr>
                    <w:t>△16.16：9和16：10的输出模式可以兼容投影机（HDTV）医用显示器，≥27英寸，支持模拟HD-SDI和DVI信号输出;</w:t>
                  </w:r>
                </w:p>
                <w:p>
                  <w:pPr>
                    <w:pStyle w:val="null3"/>
                    <w:ind w:firstLine="480"/>
                    <w:jc w:val="left"/>
                  </w:pPr>
                  <w:r>
                    <w:rPr>
                      <w:rFonts w:ascii="仿宋_GB2312" w:hAnsi="仿宋_GB2312" w:cs="仿宋_GB2312" w:eastAsia="仿宋_GB2312"/>
                      <w:sz w:val="24"/>
                    </w:rPr>
                    <w:t>（二）内窥镜冷光源</w:t>
                  </w:r>
                </w:p>
                <w:p>
                  <w:pPr>
                    <w:pStyle w:val="null3"/>
                    <w:ind w:firstLine="480"/>
                    <w:jc w:val="left"/>
                  </w:pPr>
                  <w:r>
                    <w:rPr>
                      <w:rFonts w:ascii="仿宋_GB2312" w:hAnsi="仿宋_GB2312" w:cs="仿宋_GB2312" w:eastAsia="仿宋_GB2312"/>
                      <w:sz w:val="24"/>
                    </w:rPr>
                    <w:t>▲1.主机光源为分体机设计，检查灯采用≥300W氙气短弧灯，能实现窄波成像和自体荧光成像等特殊光观察功能;</w:t>
                  </w:r>
                </w:p>
                <w:p>
                  <w:pPr>
                    <w:pStyle w:val="null3"/>
                    <w:ind w:firstLine="480"/>
                    <w:jc w:val="left"/>
                  </w:pPr>
                  <w:r>
                    <w:rPr>
                      <w:rFonts w:ascii="仿宋_GB2312" w:hAnsi="仿宋_GB2312" w:cs="仿宋_GB2312" w:eastAsia="仿宋_GB2312"/>
                      <w:sz w:val="24"/>
                    </w:rPr>
                    <w:t>▲2.具有应急灯设计，前面板应有滤光片设计;</w:t>
                  </w:r>
                </w:p>
                <w:p>
                  <w:pPr>
                    <w:pStyle w:val="null3"/>
                    <w:ind w:firstLine="480"/>
                    <w:jc w:val="left"/>
                  </w:pPr>
                  <w:r>
                    <w:rPr>
                      <w:rFonts w:ascii="仿宋_GB2312" w:hAnsi="仿宋_GB2312" w:cs="仿宋_GB2312" w:eastAsia="仿宋_GB2312"/>
                      <w:sz w:val="24"/>
                    </w:rPr>
                    <w:t>△3.采用伺服光圈模式进行自动亮度控制，自动曝光可调档数≥16档;</w:t>
                  </w:r>
                </w:p>
                <w:p>
                  <w:pPr>
                    <w:pStyle w:val="null3"/>
                    <w:ind w:firstLine="480"/>
                    <w:jc w:val="left"/>
                  </w:pPr>
                  <w:r>
                    <w:rPr>
                      <w:rFonts w:ascii="仿宋_GB2312" w:hAnsi="仿宋_GB2312" w:cs="仿宋_GB2312" w:eastAsia="仿宋_GB2312"/>
                      <w:sz w:val="24"/>
                    </w:rPr>
                    <w:t>△4.送气功能：采用横膈膜式气泵，分为≥4级（关、低、中、高）压力开关;</w:t>
                  </w:r>
                </w:p>
                <w:p>
                  <w:pPr>
                    <w:pStyle w:val="null3"/>
                    <w:ind w:firstLine="480"/>
                    <w:jc w:val="left"/>
                  </w:pPr>
                  <w:r>
                    <w:rPr>
                      <w:rFonts w:ascii="仿宋_GB2312" w:hAnsi="仿宋_GB2312" w:cs="仿宋_GB2312" w:eastAsia="仿宋_GB2312"/>
                      <w:sz w:val="24"/>
                    </w:rPr>
                    <w:t>△5.送水功能：采用气压送水或可拆式水瓶方式;</w:t>
                  </w:r>
                </w:p>
                <w:p>
                  <w:pPr>
                    <w:pStyle w:val="null3"/>
                    <w:ind w:firstLine="480"/>
                    <w:jc w:val="left"/>
                  </w:pPr>
                  <w:r>
                    <w:rPr>
                      <w:rFonts w:ascii="仿宋_GB2312" w:hAnsi="仿宋_GB2312" w:cs="仿宋_GB2312" w:eastAsia="仿宋_GB2312"/>
                      <w:sz w:val="24"/>
                    </w:rPr>
                    <w:t>△6.灯泡平均寿命：可持续照明≥500小时以上;</w:t>
                  </w:r>
                </w:p>
                <w:p>
                  <w:pPr>
                    <w:pStyle w:val="null3"/>
                    <w:ind w:firstLine="480"/>
                    <w:jc w:val="left"/>
                  </w:pPr>
                  <w:r>
                    <w:rPr>
                      <w:rFonts w:ascii="仿宋_GB2312" w:hAnsi="仿宋_GB2312" w:cs="仿宋_GB2312" w:eastAsia="仿宋_GB2312"/>
                      <w:sz w:val="24"/>
                    </w:rPr>
                    <w:t>△7.亮度调节方式：采用光路光圈控制;</w:t>
                  </w:r>
                </w:p>
                <w:p>
                  <w:pPr>
                    <w:pStyle w:val="null3"/>
                    <w:ind w:firstLine="480"/>
                    <w:jc w:val="left"/>
                  </w:pPr>
                  <w:r>
                    <w:rPr>
                      <w:rFonts w:ascii="仿宋_GB2312" w:hAnsi="仿宋_GB2312" w:cs="仿宋_GB2312" w:eastAsia="仿宋_GB2312"/>
                      <w:sz w:val="24"/>
                    </w:rPr>
                    <w:t>△8.冷却方式：强制空气冷却;</w:t>
                  </w:r>
                </w:p>
                <w:p>
                  <w:pPr>
                    <w:pStyle w:val="null3"/>
                    <w:ind w:firstLine="480"/>
                    <w:jc w:val="both"/>
                  </w:pPr>
                  <w:r>
                    <w:rPr>
                      <w:rFonts w:ascii="仿宋_GB2312" w:hAnsi="仿宋_GB2312" w:cs="仿宋_GB2312" w:eastAsia="仿宋_GB2312"/>
                      <w:sz w:val="24"/>
                    </w:rPr>
                    <w:t>△9.应急灯采用≥35W卤素灯，应急灯平均寿命≥500小时;</w:t>
                  </w:r>
                </w:p>
              </w:tc>
            </w:tr>
            <w:tr>
              <w:tc>
                <w:tcPr>
                  <w:tcW w:type="dxa" w:w="339"/>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2</w:t>
                  </w:r>
                </w:p>
              </w:tc>
              <w:tc>
                <w:tcPr>
                  <w:tcW w:type="dxa" w:w="600"/>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电子十二指肠镜</w:t>
                  </w:r>
                </w:p>
              </w:tc>
              <w:tc>
                <w:tcPr>
                  <w:tcW w:type="dxa" w:w="385"/>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1</w:t>
                  </w:r>
                </w:p>
              </w:tc>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rFonts w:ascii="仿宋_GB2312" w:hAnsi="仿宋_GB2312" w:cs="仿宋_GB2312" w:eastAsia="仿宋_GB2312"/>
                      <w:sz w:val="21"/>
                    </w:rPr>
                    <w:t>台</w:t>
                  </w:r>
                </w:p>
              </w:tc>
              <w:tc>
                <w:tcPr>
                  <w:tcW w:type="dxa" w:w="61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rFonts w:ascii="仿宋_GB2312" w:hAnsi="仿宋_GB2312" w:cs="仿宋_GB2312" w:eastAsia="仿宋_GB2312"/>
                      <w:sz w:val="21"/>
                    </w:rPr>
                    <w:t>58.78</w:t>
                  </w:r>
                </w:p>
              </w:tc>
              <w:tc>
                <w:tcPr>
                  <w:tcW w:type="dxa" w:w="6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58.78</w:t>
                  </w:r>
                </w:p>
              </w:tc>
              <w:tc>
                <w:tcPr>
                  <w:tcW w:type="dxa" w:w="26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△1.操作手柄上具有4个及以上遥控按键，可任意设置功能于不同的遥控按钮上，控制图像冻结等功能；</w:t>
                  </w:r>
                </w:p>
                <w:p>
                  <w:pPr>
                    <w:pStyle w:val="null3"/>
                    <w:ind w:firstLine="480"/>
                    <w:jc w:val="both"/>
                  </w:pPr>
                  <w:r>
                    <w:rPr>
                      <w:rFonts w:ascii="仿宋_GB2312" w:hAnsi="仿宋_GB2312" w:cs="仿宋_GB2312" w:eastAsia="仿宋_GB2312"/>
                      <w:sz w:val="24"/>
                    </w:rPr>
                    <w:t>△2.内镜记忆功能：内镜中设计有记忆芯片，能将此内镜的主要参数显示于显示器上；</w:t>
                  </w:r>
                </w:p>
                <w:p>
                  <w:pPr>
                    <w:pStyle w:val="null3"/>
                    <w:ind w:firstLine="480"/>
                    <w:jc w:val="both"/>
                  </w:pPr>
                  <w:r>
                    <w:rPr>
                      <w:rFonts w:ascii="仿宋_GB2312" w:hAnsi="仿宋_GB2312" w:cs="仿宋_GB2312" w:eastAsia="仿宋_GB2312"/>
                      <w:sz w:val="24"/>
                    </w:rPr>
                    <w:t>△3.内置V形槽的抬钳器，帮助医生固定导丝；</w:t>
                  </w:r>
                </w:p>
                <w:p>
                  <w:pPr>
                    <w:pStyle w:val="null3"/>
                    <w:ind w:firstLine="480"/>
                    <w:jc w:val="both"/>
                  </w:pPr>
                  <w:r>
                    <w:rPr>
                      <w:rFonts w:ascii="仿宋_GB2312" w:hAnsi="仿宋_GB2312" w:cs="仿宋_GB2312" w:eastAsia="仿宋_GB2312"/>
                      <w:sz w:val="24"/>
                    </w:rPr>
                    <w:t>△4.视野角度：≥100°；</w:t>
                  </w:r>
                </w:p>
                <w:p>
                  <w:pPr>
                    <w:pStyle w:val="null3"/>
                    <w:ind w:firstLine="480"/>
                    <w:jc w:val="both"/>
                  </w:pPr>
                  <w:r>
                    <w:rPr>
                      <w:rFonts w:ascii="仿宋_GB2312" w:hAnsi="仿宋_GB2312" w:cs="仿宋_GB2312" w:eastAsia="仿宋_GB2312"/>
                      <w:sz w:val="24"/>
                    </w:rPr>
                    <w:t>△5.视野方向：后方斜视≥105°；</w:t>
                  </w:r>
                </w:p>
                <w:p>
                  <w:pPr>
                    <w:pStyle w:val="null3"/>
                    <w:ind w:firstLine="480"/>
                    <w:jc w:val="both"/>
                  </w:pPr>
                  <w:r>
                    <w:rPr>
                      <w:rFonts w:ascii="仿宋_GB2312" w:hAnsi="仿宋_GB2312" w:cs="仿宋_GB2312" w:eastAsia="仿宋_GB2312"/>
                      <w:sz w:val="24"/>
                    </w:rPr>
                    <w:t>△6.景深：5mm-60mm；</w:t>
                  </w:r>
                </w:p>
                <w:p>
                  <w:pPr>
                    <w:pStyle w:val="null3"/>
                    <w:ind w:firstLine="480"/>
                    <w:jc w:val="both"/>
                  </w:pPr>
                  <w:r>
                    <w:rPr>
                      <w:rFonts w:ascii="仿宋_GB2312" w:hAnsi="仿宋_GB2312" w:cs="仿宋_GB2312" w:eastAsia="仿宋_GB2312"/>
                      <w:sz w:val="24"/>
                    </w:rPr>
                    <w:t>△7.先端部外径：≤13.5mm；</w:t>
                  </w:r>
                </w:p>
                <w:p>
                  <w:pPr>
                    <w:pStyle w:val="null3"/>
                    <w:ind w:firstLine="480"/>
                    <w:jc w:val="both"/>
                  </w:pPr>
                  <w:r>
                    <w:rPr>
                      <w:rFonts w:ascii="仿宋_GB2312" w:hAnsi="仿宋_GB2312" w:cs="仿宋_GB2312" w:eastAsia="仿宋_GB2312"/>
                      <w:sz w:val="24"/>
                    </w:rPr>
                    <w:t>▲8.插入部外径：≤11.3mm；</w:t>
                  </w:r>
                </w:p>
                <w:p>
                  <w:pPr>
                    <w:pStyle w:val="null3"/>
                    <w:ind w:firstLine="480"/>
                    <w:jc w:val="both"/>
                  </w:pPr>
                  <w:r>
                    <w:rPr>
                      <w:rFonts w:ascii="仿宋_GB2312" w:hAnsi="仿宋_GB2312" w:cs="仿宋_GB2312" w:eastAsia="仿宋_GB2312"/>
                      <w:sz w:val="24"/>
                    </w:rPr>
                    <w:t>△9.弯曲部角度：上≥120°、下≥90°、左≥90°、右≥110°；</w:t>
                  </w:r>
                </w:p>
                <w:p>
                  <w:pPr>
                    <w:pStyle w:val="null3"/>
                    <w:ind w:firstLine="480"/>
                    <w:jc w:val="both"/>
                  </w:pPr>
                  <w:r>
                    <w:rPr>
                      <w:rFonts w:ascii="仿宋_GB2312" w:hAnsi="仿宋_GB2312" w:cs="仿宋_GB2312" w:eastAsia="仿宋_GB2312"/>
                      <w:sz w:val="24"/>
                    </w:rPr>
                    <w:t>△10.有效长度：≥1240mm；</w:t>
                  </w:r>
                </w:p>
                <w:p>
                  <w:pPr>
                    <w:pStyle w:val="null3"/>
                    <w:ind w:firstLine="480"/>
                    <w:jc w:val="both"/>
                  </w:pPr>
                  <w:r>
                    <w:rPr>
                      <w:rFonts w:ascii="仿宋_GB2312" w:hAnsi="仿宋_GB2312" w:cs="仿宋_GB2312" w:eastAsia="仿宋_GB2312"/>
                      <w:sz w:val="24"/>
                    </w:rPr>
                    <w:t>△11.全长：≥1550mm；</w:t>
                  </w:r>
                </w:p>
                <w:p>
                  <w:pPr>
                    <w:pStyle w:val="null3"/>
                    <w:ind w:firstLine="480"/>
                    <w:jc w:val="both"/>
                  </w:pPr>
                  <w:r>
                    <w:rPr>
                      <w:rFonts w:ascii="仿宋_GB2312" w:hAnsi="仿宋_GB2312" w:cs="仿宋_GB2312" w:eastAsia="仿宋_GB2312"/>
                      <w:sz w:val="24"/>
                    </w:rPr>
                    <w:t>★12.钳子管道内径：≥4.15mm；</w:t>
                  </w:r>
                </w:p>
                <w:p>
                  <w:pPr>
                    <w:pStyle w:val="null3"/>
                    <w:ind w:firstLine="480"/>
                    <w:jc w:val="both"/>
                  </w:pPr>
                  <w:r>
                    <w:rPr>
                      <w:rFonts w:ascii="仿宋_GB2312" w:hAnsi="仿宋_GB2312" w:cs="仿宋_GB2312" w:eastAsia="仿宋_GB2312"/>
                      <w:sz w:val="24"/>
                    </w:rPr>
                    <w:t>△13.具有高频兼容性；</w:t>
                  </w:r>
                </w:p>
                <w:p>
                  <w:pPr>
                    <w:pStyle w:val="null3"/>
                    <w:ind w:firstLine="480"/>
                    <w:jc w:val="left"/>
                  </w:pPr>
                  <w:r>
                    <w:rPr>
                      <w:rFonts w:ascii="仿宋_GB2312" w:hAnsi="仿宋_GB2312" w:cs="仿宋_GB2312" w:eastAsia="仿宋_GB2312"/>
                      <w:sz w:val="24"/>
                    </w:rPr>
                    <w:t>14.需兼容科室现有奥林巴斯CV-260主机系统。</w:t>
                  </w:r>
                </w:p>
              </w:tc>
            </w:tr>
            <w:tr>
              <w:tc>
                <w:tcPr>
                  <w:tcW w:type="dxa" w:w="5560"/>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rFonts w:ascii="仿宋_GB2312" w:hAnsi="仿宋_GB2312" w:cs="仿宋_GB2312" w:eastAsia="仿宋_GB2312"/>
                      <w:sz w:val="24"/>
                    </w:rPr>
                    <w:t>表格中的单价作为单价的最高限价，清单中的数量作为价格组成的不可变量。</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四川省南充市高坪区安贞路99号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1、预付款，所有产品能达到试运行条件且现场经甲方验收，乙方须向甲方提供具有合法有效完整的完税发票及凭证资料进行支付结算，达到付款条件起7日内，支付合同总金额的40.00%</w:t>
            </w:r>
          </w:p>
          <w:p>
            <w:pPr>
              <w:pStyle w:val="null3"/>
              <w:jc w:val="left"/>
            </w:pPr>
            <w:r>
              <w:rPr>
                <w:rFonts w:ascii="仿宋_GB2312" w:hAnsi="仿宋_GB2312" w:cs="仿宋_GB2312" w:eastAsia="仿宋_GB2312"/>
              </w:rPr>
              <w:t>2、进度款，货物交付完毕经甲方验收合格后，乙方须向甲方提供具有合法有效完整的完税发票及凭证资料进行支付结算，达到付款条件起10日内，支付合同总金额的55.00%</w:t>
            </w:r>
          </w:p>
          <w:p>
            <w:pPr>
              <w:pStyle w:val="null3"/>
              <w:jc w:val="left"/>
            </w:pPr>
            <w:r>
              <w:rPr>
                <w:rFonts w:ascii="仿宋_GB2312" w:hAnsi="仿宋_GB2312" w:cs="仿宋_GB2312" w:eastAsia="仿宋_GB2312"/>
              </w:rPr>
              <w:t>3、尾款，合同生效满3年后，乙方须向甲方提供具有合法有效完整的完税发票及凭证资料进行支付结算，达到付款条件起10日内，支付合同总金额的5.00%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以合同约定为准，其他未尽事宜应严格按照《财政部关于进一步加强政府采购需求和履约验收管理的指导意见》（财库〔2016〕205号）、《政府采购需求管理办法》（财库〔2021〕22号）的要求进行验收。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1.本项目质保期限为3年（质保期为验收合格之日起开始计算）； 2.质保期内，供应商在接到通知后4小时内响应到场，24小时内完成维修或更换，并承担因此产生的修理调换的配件、运输及人工等费用； 3.供应商提供每月定期巡回保养服务。 4.在质保期内，提供升级维修（包括上门服务）服务，对软件产品生命周期内所有的重大修复、关键安全性升级等技术支持服务； 5.如需更换零配件，中标人应保证所更换的零配件与原设备相同规格和品质，维修期间，成交人向采购人提供同等性能的替用设备； 6.质保期内，同一设备、同一质量问题连续次维修仍无法正常使用的，须更换新设备，并对产品质量实行“三包”服务； 7.在质保期外，为设备提供终身维修服务或升级技术支持，提供设备、零部件的更换、维修只收取成本费用，不收取人工技术费用。 8.设备交货日期与生产日期之差不超过总使用年限的1/4；</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关于印发〈商品包装政府采购需求标准（试行）〉、〈快递包装政府采购需求标准（试行）〉的通知》（财办库〔2020〕123号）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为本包提供项目实施方案，方案应包括：①项目进度计划方案；②运输方案；③安装方案；④服务团队管理方案；⑤用户使用培训措施方案；⑥质量保障措施方案；⑦验收方案。2.投标人为本包提供售后服务方案，方案应包括：①售后服务体系；②售后服务机构及人员配置;③应急措施。 3.投标人为本包提供履约能力的证明材料。（各包要求一致） 注：本章3.2 技术要求中 带“▲”和“△”不满足的情形按照5.4.2.评标细则及标准中的要求作扣分处理。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w:t>
              <w:br/>
              <w:t>2.提供统一社会信用代码证照扫描件。</w:t>
              <w:br/>
              <w:t>3.供应商如属于自然人的，提供身份证原件的扫描件。</w:t>
            </w:r>
          </w:p>
        </w:tc>
        <w:tc>
          <w:tcPr>
            <w:tcW w:type="dxa" w:w="1910"/>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投标人须符合《医疗器械监督管理条例》要求，并提供医疗器械生产许可证或者经营企业许可证或备案凭证；（已提供包含二类备案的多证合一营业执照的供应商除外）；（限医疗产品提供，如适用）</w:t>
            </w:r>
          </w:p>
        </w:tc>
        <w:tc>
          <w:tcPr>
            <w:tcW w:type="dxa" w:w="3322"/>
          </w:tcPr>
          <w:p>
            <w:pPr>
              <w:pStyle w:val="null3"/>
              <w:jc w:val="left"/>
            </w:pPr>
            <w:r>
              <w:rPr>
                <w:rFonts w:ascii="仿宋_GB2312" w:hAnsi="仿宋_GB2312" w:cs="仿宋_GB2312" w:eastAsia="仿宋_GB2312"/>
              </w:rPr>
              <w:t>供应商须符合《医疗器械监督管理条例》要求，并提供医疗器械生产许可证或者经营企业许可证或备案凭证；（已提供包含二类备案的多证合一营业执照的供应商除外）；（限医疗产品提供，如适用），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投标产品及其所有配置属于医疗器械，则投标产品及其所有配置须符合《医疗器械注册与备案管理办法》要求，并提供医疗器械注册证或备案凭证；（限医疗产品提供，如适用）。</w:t>
            </w:r>
          </w:p>
        </w:tc>
        <w:tc>
          <w:tcPr>
            <w:tcW w:type="dxa" w:w="3322"/>
          </w:tcPr>
          <w:p>
            <w:pPr>
              <w:pStyle w:val="null3"/>
              <w:jc w:val="left"/>
            </w:pPr>
            <w:r>
              <w:rPr>
                <w:rFonts w:ascii="仿宋_GB2312" w:hAnsi="仿宋_GB2312" w:cs="仿宋_GB2312" w:eastAsia="仿宋_GB2312"/>
              </w:rPr>
              <w:t>若投标产品及其所有配置属于医疗器械，则投标产品及其所有配置须符合《医疗器械注册与备案管理办法》要求，并提供医疗器械注册证或备案凭证；（限医疗产品提供，如适用）。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投标产品如属于进口产品，需提供生产厂家产品授权书的扫描件；或具有授权权限的代理商对所报价进口产品的授权。</w:t>
            </w:r>
          </w:p>
        </w:tc>
        <w:tc>
          <w:tcPr>
            <w:tcW w:type="dxa" w:w="3322"/>
          </w:tcPr>
          <w:p>
            <w:pPr>
              <w:pStyle w:val="null3"/>
              <w:jc w:val="left"/>
            </w:pPr>
            <w:r>
              <w:rPr>
                <w:rFonts w:ascii="仿宋_GB2312" w:hAnsi="仿宋_GB2312" w:cs="仿宋_GB2312" w:eastAsia="仿宋_GB2312"/>
              </w:rPr>
              <w:t>投标产品如属于进口产品，需提供生产厂家产品授权书的扫描件；或具有授权权限的代理商对所报价进口产品的授权（且需提供该代理商具有有效授权权限的相关证明文件的扫描件，证明文件需能显示产品制造厂家对所报价进口产品授权链条的完整性）。</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供应商按招标文件第三章 技术、服务及其他要求 “3.2.技术要求”采购包1 中带“★”的条款逐条响应。</w:t>
            </w:r>
          </w:p>
        </w:tc>
        <w:tc>
          <w:tcPr>
            <w:tcW w:type="dxa" w:w="1910"/>
          </w:tcPr>
          <w:p>
            <w:pPr>
              <w:pStyle w:val="null3"/>
              <w:jc w:val="left"/>
            </w:pPr>
            <w:r>
              <w:rPr>
                <w:rFonts w:ascii="仿宋_GB2312" w:hAnsi="仿宋_GB2312" w:cs="仿宋_GB2312" w:eastAsia="仿宋_GB2312"/>
              </w:rPr>
              <w:t>产品技术参数响应表,其他证明材料.docx,服务应答表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供应商按招标文件第三章 技术、服务及其他要求“ 3.3.2.商务要求”采购包1 的条款逐条响应。</w:t>
            </w:r>
          </w:p>
        </w:tc>
        <w:tc>
          <w:tcPr>
            <w:tcW w:type="dxa" w:w="1910"/>
          </w:tcPr>
          <w:p>
            <w:pPr>
              <w:pStyle w:val="null3"/>
              <w:jc w:val="left"/>
            </w:pPr>
            <w:r>
              <w:rPr>
                <w:rFonts w:ascii="仿宋_GB2312" w:hAnsi="仿宋_GB2312" w:cs="仿宋_GB2312" w:eastAsia="仿宋_GB2312"/>
              </w:rPr>
              <w:t>其他证明材料.docx,商务应答表.docx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文件规定的需要提供其他佐证的内容</w:t>
            </w:r>
          </w:p>
        </w:tc>
        <w:tc>
          <w:tcPr>
            <w:tcW w:type="dxa" w:w="3322"/>
          </w:tcPr>
          <w:p>
            <w:pPr>
              <w:pStyle w:val="null3"/>
              <w:jc w:val="left"/>
            </w:pPr>
            <w:r>
              <w:rPr>
                <w:rFonts w:ascii="仿宋_GB2312" w:hAnsi="仿宋_GB2312" w:cs="仿宋_GB2312" w:eastAsia="仿宋_GB2312"/>
              </w:rPr>
              <w:t>文件规定的需要提供其他佐证的内容</w:t>
            </w:r>
          </w:p>
        </w:tc>
        <w:tc>
          <w:tcPr>
            <w:tcW w:type="dxa" w:w="1910"/>
          </w:tcPr>
          <w:p>
            <w:pPr>
              <w:pStyle w:val="null3"/>
              <w:jc w:val="left"/>
            </w:pPr>
            <w:r>
              <w:rPr>
                <w:rFonts w:ascii="仿宋_GB2312" w:hAnsi="仿宋_GB2312" w:cs="仿宋_GB2312" w:eastAsia="仿宋_GB2312"/>
              </w:rPr>
              <w:t>其他证明材料.docx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响应文件签署、盖章</w:t>
            </w:r>
          </w:p>
        </w:tc>
        <w:tc>
          <w:tcPr>
            <w:tcW w:type="dxa" w:w="3322"/>
          </w:tcPr>
          <w:p>
            <w:pPr>
              <w:pStyle w:val="null3"/>
              <w:jc w:val="left"/>
            </w:pPr>
            <w:r>
              <w:rPr>
                <w:rFonts w:ascii="仿宋_GB2312" w:hAnsi="仿宋_GB2312" w:cs="仿宋_GB2312" w:eastAsia="仿宋_GB2312"/>
              </w:rPr>
              <w:t>响应文件签署、盖章</w:t>
            </w:r>
          </w:p>
        </w:tc>
        <w:tc>
          <w:tcPr>
            <w:tcW w:type="dxa" w:w="1910"/>
          </w:tcPr>
          <w:p>
            <w:pPr>
              <w:pStyle w:val="null3"/>
              <w:jc w:val="left"/>
            </w:pPr>
            <w:r>
              <w:rPr>
                <w:rFonts w:ascii="仿宋_GB2312" w:hAnsi="仿宋_GB2312" w:cs="仿宋_GB2312" w:eastAsia="仿宋_GB2312"/>
              </w:rPr>
              <w:t>具有独立承担民事责任的能力证明材料.docx,产品技术参数响应表,中小企业声明函,其他证明材料.docx,方案.docx,报价表,商务应答表.docx,投标人应提交的相关证明材料,残疾人福利性单位声明函,具有健全财务会计制度的证明材料,服务应答表,投标文件封面,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完全符合招标文件第三章 3.2.技术要求 采购包1技术参数要求没有负偏离的得30.8分。带“▲”条款响应得分=（满足带“▲”条款技术参数条款的数量÷带“▲”条款技术参数条款的总数量）×10分。 带“△”条款响应得分=（满足带“△”条款技术参数条款的数量÷带“△”条款技术参数条款的总数量）×20.8分。 带★号条款为实质性要求，不满足作无效投标文件处理。</w:t>
            </w:r>
          </w:p>
        </w:tc>
        <w:tc>
          <w:tcPr>
            <w:tcW w:type="dxa" w:w="831"/>
          </w:tcPr>
          <w:p>
            <w:pPr>
              <w:pStyle w:val="null3"/>
              <w:jc w:val="center"/>
            </w:pPr>
            <w:r>
              <w:rPr>
                <w:rFonts w:ascii="仿宋_GB2312" w:hAnsi="仿宋_GB2312" w:cs="仿宋_GB2312" w:eastAsia="仿宋_GB2312"/>
              </w:rPr>
              <w:t>30.8000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提供项目实施方案，方案应包括：①项目进度计划方案；②运输方案；③安装方案；④服务团队管理方案；⑤用户使用培训措施方案；⑥质量保障措施方案；⑦验收方案。完全满足得14分；每缺少一项内容扣2分；方案中每有一处内容存在缺陷扣1分。 缺陷是指：项目名称、实施地点、采购主体、项目内容、时间错误；内容与本项目需求无关；方案阐述不连贯或内容交叉混乱；不利于本项目实施；与对应单项的要求缺少重要节点（如仅有框架或标题、单项内容仅有复制本项目采购文件内容的要求、涉及内容无重点，缺乏关键节点内容、措施）；套用有其他项目特征的方案内容；内容前后矛盾；与本次采购需求存在偏差；内容涉及适用的法律法规、规范及标准（方法）过期（失效）或出现错误或与本项目要求不一致；方案中有语言文字错误或漏字、表达混乱、阐述不清、语句不通顺或表述有歧义等；非专门针对本项目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投标人提供售后服务方案，方案应包括：①售后服务体系；②售后服务机构及人员配置;③应急措施。完全满足得3分；每缺少一项内容扣1分；方案中每有一处内容存在缺陷扣0.5分。 缺陷是指：项目名称、实施地点、采购主体、项目内容、时间错误；内容与本项目需求无关；方案阐述不连贯或内容交叉混乱；不利于本项目实施；与对应单项的要求缺少重要节点（如仅有框架或标题、单项内容仅有复制本项目采购文件内容的要求、涉及内容无重点，缺乏关键节点内容、措施）；套用有其他项目特征的方案内容；内容前后矛盾；与本次采购需求存在偏差；内容涉及适用的法律法规、规范及标准（方法）过期（失效）或出现错误或与本项目要求不一致；方案中有语言文字错误或漏字、表达混乱、阐述不清、语句不通顺或表述有歧义等；非专门针对本项目等任意一种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投标人具有类似项目业绩1个得1.1分，最多得2.2分。注：提供项目合同扫描件或中标（成交）通知书扫描件加盖供应商公章，否则不得分。</w:t>
            </w:r>
          </w:p>
        </w:tc>
        <w:tc>
          <w:tcPr>
            <w:tcW w:type="dxa" w:w="831"/>
          </w:tcPr>
          <w:p>
            <w:pPr>
              <w:pStyle w:val="null3"/>
              <w:jc w:val="center"/>
            </w:pPr>
            <w:r>
              <w:rPr>
                <w:rFonts w:ascii="仿宋_GB2312" w:hAnsi="仿宋_GB2312" w:cs="仿宋_GB2312" w:eastAsia="仿宋_GB2312"/>
              </w:rPr>
              <w:t>2.2000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详见附件：2024设备：政采合同 (4).docx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