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440001-2025-42506</w:t>
      </w:r>
    </w:p>
    <w:p>
      <w:pPr>
        <w:pStyle w:val="null3"/>
        <w:jc w:val="center"/>
        <w:outlineLvl w:val="3"/>
      </w:pPr>
      <w:r>
        <w:rPr>
          <w:sz w:val="24"/>
          <w:b/>
        </w:rPr>
        <w:t>采购项目编号：</w:t>
      </w:r>
      <w:r>
        <w:rPr>
          <w:sz w:val="24"/>
          <w:b/>
        </w:rPr>
        <w:t>ZBXM20250053</w:t>
      </w:r>
    </w:p>
    <w:p>
      <w:pPr>
        <w:pStyle w:val="null3"/>
        <w:jc w:val="center"/>
        <w:outlineLvl w:val="3"/>
      </w:pPr>
      <w:r>
        <w:rPr>
          <w:sz w:val="24"/>
          <w:b/>
        </w:rPr>
        <w:t>项目名称：</w:t>
      </w:r>
      <w:r>
        <w:rPr>
          <w:sz w:val="24"/>
          <w:b/>
        </w:rPr>
        <w:t>广东职业技术学院国双高项目：新一代信息技术虚拟现实实训基地·VR虚拟现实应用实训室</w:t>
      </w:r>
    </w:p>
    <w:p>
      <w:pPr>
        <w:pStyle w:val="null3"/>
        <w:jc w:val="center"/>
        <w:outlineLvl w:val="3"/>
      </w:pPr>
      <w:r>
        <w:rPr>
          <w:sz w:val="24"/>
          <w:b/>
        </w:rPr>
        <w:t>采购人：</w:t>
      </w:r>
      <w:r>
        <w:rPr>
          <w:sz w:val="24"/>
          <w:b/>
        </w:rPr>
        <w:t>广东职业技术学院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广东职业技术学院</w:t>
      </w:r>
      <w:r>
        <w:rPr/>
        <w:t>的委托，采用</w:t>
      </w:r>
      <w:r>
        <w:rPr/>
        <w:t>公开招标</w:t>
      </w:r>
      <w:r>
        <w:rPr/>
        <w:t>方式组织采购</w:t>
      </w:r>
      <w:r>
        <w:rPr/>
        <w:t>广东职业技术学院国双高项目：新一代信息技术虚拟现实实训基地·VR虚拟现实应用实训室</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广东职业技术学院国双高项目：新一代信息技术虚拟现实实训基地·VR虚拟现实应用实训室</w:t>
      </w:r>
    </w:p>
    <w:p>
      <w:pPr>
        <w:pStyle w:val="null3"/>
        <w:ind w:firstLine="480"/>
      </w:pPr>
      <w:r>
        <w:rPr/>
        <w:t>采购计划编号：</w:t>
      </w:r>
      <w:r>
        <w:rPr/>
        <w:t>440001-2025-42506</w:t>
      </w:r>
    </w:p>
    <w:p>
      <w:pPr>
        <w:pStyle w:val="null3"/>
        <w:ind w:firstLine="480"/>
      </w:pPr>
      <w:r>
        <w:rPr/>
        <w:t>采购项目编号：</w:t>
      </w:r>
      <w:r>
        <w:rPr/>
        <w:t>ZBXM20250053</w:t>
      </w:r>
    </w:p>
    <w:p>
      <w:pPr>
        <w:pStyle w:val="null3"/>
        <w:ind w:firstLine="480"/>
      </w:pPr>
      <w:r>
        <w:rPr/>
        <w:t>采购方式：</w:t>
      </w:r>
      <w:r>
        <w:rPr/>
        <w:t>公开招标</w:t>
      </w:r>
    </w:p>
    <w:p>
      <w:pPr>
        <w:pStyle w:val="null3"/>
        <w:ind w:firstLine="480"/>
      </w:pPr>
      <w:r>
        <w:rPr/>
        <w:t>预算金额：</w:t>
      </w:r>
      <w:r>
        <w:rPr/>
        <w:t>1,705,840.00</w:t>
      </w:r>
      <w:r>
        <w:rPr/>
        <w:t>元</w:t>
      </w:r>
    </w:p>
    <w:p>
      <w:pPr>
        <w:pStyle w:val="null3"/>
        <w:outlineLvl w:val="3"/>
      </w:pPr>
      <w:r>
        <w:rPr>
          <w:sz w:val="24"/>
          <w:b/>
        </w:rPr>
        <w:t>2.项目内容及需求情况（采购项目技术规格、参数及要求）</w:t>
      </w:r>
    </w:p>
    <w:p>
      <w:pPr>
        <w:pStyle w:val="null3"/>
      </w:pPr>
      <w:r>
        <w:rPr/>
        <w:t>采购包1(国双高项目：新一代信息技术虚拟现实实训基地·VR虚拟现实应用实训室):</w:t>
      </w:r>
    </w:p>
    <w:p>
      <w:pPr>
        <w:pStyle w:val="null3"/>
      </w:pPr>
      <w:r>
        <w:rPr/>
        <w:t>采购包预算金额：1,705,840.00元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其他计算机软件</w:t>
            </w:r>
          </w:p>
        </w:tc>
        <w:tc>
          <w:tcPr>
            <w:tcW w:type="dxa" w:w="2136"/>
          </w:tcPr>
          <w:p>
            <w:pPr>
              <w:pStyle w:val="null3"/>
            </w:pPr>
            <w:r>
              <w:rPr/>
              <w:t>数字人生成系统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其他计算机软件</w:t>
            </w:r>
          </w:p>
        </w:tc>
        <w:tc>
          <w:tcPr>
            <w:tcW w:type="dxa" w:w="2136"/>
          </w:tcPr>
          <w:p>
            <w:pPr>
              <w:pStyle w:val="null3"/>
            </w:pPr>
            <w:r>
              <w:rPr/>
              <w:t>数字人后台管理平台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其他计算机软件</w:t>
            </w:r>
          </w:p>
        </w:tc>
        <w:tc>
          <w:tcPr>
            <w:tcW w:type="dxa" w:w="2136"/>
          </w:tcPr>
          <w:p>
            <w:pPr>
              <w:pStyle w:val="null3"/>
            </w:pPr>
            <w:r>
              <w:rPr/>
              <w:t>交互数字人客户端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其他计算机软件</w:t>
            </w:r>
          </w:p>
        </w:tc>
        <w:tc>
          <w:tcPr>
            <w:tcW w:type="dxa" w:w="2136"/>
          </w:tcPr>
          <w:p>
            <w:pPr>
              <w:pStyle w:val="null3"/>
            </w:pPr>
            <w:r>
              <w:rPr/>
              <w:t>数字人驱动引擎高性能处理模组</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合同履行期限：合同签订生效之日起 30个日历天内完成整个项目的供货、安装、调试、验收合格并交付使用。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必须提供下列（1）至（3）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w:t>
      </w:r>
    </w:p>
    <w:p>
      <w:pPr>
        <w:pStyle w:val="null3"/>
      </w:pPr>
      <w:r>
        <w:rPr/>
        <w:t>4）履行合同所必需的设备和专业技术能力：按投标文件格式填报设备及专业技术能力情况。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采购包1（国双高项目：新一代信息技术虚拟现实实训基地·VR虚拟现实应用实训室）：</w:t>
      </w:r>
      <w:r>
        <w:rPr/>
        <w:t>本项目专门面向中小企业采购的项目（参与投标的供应商提供的货物全部由符合政策要求的中小企业制造），项目采购标的对应的中小企业划分标准所属行业：软件和信息技术服务业。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采购包1（国双高项目：新一代信息技术虚拟现实实训基地·VR虚拟现实应用实训室）：</w:t>
      </w:r>
    </w:p>
    <w:p>
      <w:pPr>
        <w:pStyle w:val="null3"/>
      </w:pPr>
      <w:r>
        <w:rPr/>
        <w:t>1)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广东职业技术学院</w:t>
      </w:r>
    </w:p>
    <w:p>
      <w:pPr>
        <w:pStyle w:val="null3"/>
        <w:ind w:firstLine="480"/>
      </w:pPr>
      <w:r>
        <w:rPr/>
        <w:t xml:space="preserve"> 地址：</w:t>
      </w:r>
      <w:r>
        <w:rPr/>
        <w:t>佛山市禅城区澜石二路20号</w:t>
      </w:r>
    </w:p>
    <w:p>
      <w:pPr>
        <w:pStyle w:val="null3"/>
        <w:ind w:firstLine="480"/>
      </w:pPr>
      <w:r>
        <w:rPr/>
        <w:t xml:space="preserve"> 联系方式：</w:t>
      </w:r>
      <w:r>
        <w:rPr/>
        <w:t>0757-82025643</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佛山市禅城区港口路佛山国家高新区城南科技园2栋B306室</w:t>
      </w:r>
    </w:p>
    <w:p>
      <w:pPr>
        <w:pStyle w:val="null3"/>
        <w:ind w:firstLine="480"/>
      </w:pPr>
      <w:r>
        <w:rPr/>
        <w:t xml:space="preserve"> 联系方式：</w:t>
      </w:r>
      <w:r>
        <w:rPr/>
        <w:t>0757-83160057</w:t>
      </w:r>
    </w:p>
    <w:p>
      <w:pPr>
        <w:pStyle w:val="null3"/>
        <w:outlineLvl w:val="3"/>
      </w:pPr>
      <w:r>
        <w:rPr>
          <w:sz w:val="24"/>
          <w:b/>
        </w:rPr>
        <w:t xml:space="preserve"> 3.项目联系方式</w:t>
      </w:r>
    </w:p>
    <w:p>
      <w:pPr>
        <w:pStyle w:val="null3"/>
        <w:ind w:firstLine="480"/>
      </w:pPr>
      <w:r>
        <w:rPr/>
        <w:t xml:space="preserve"> 项目联系人：</w:t>
      </w:r>
      <w:r>
        <w:rPr/>
        <w:t>欧小姐</w:t>
      </w:r>
    </w:p>
    <w:p>
      <w:pPr>
        <w:pStyle w:val="null3"/>
        <w:ind w:firstLine="480"/>
      </w:pPr>
      <w:r>
        <w:rPr/>
        <w:t xml:space="preserve"> 电话：</w:t>
      </w:r>
      <w:r>
        <w:rPr/>
        <w:t>0757-83160057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当前，以数字人、</w:t>
      </w:r>
      <w:r>
        <w:rPr/>
        <w:t>AIGC</w:t>
      </w:r>
      <w:r>
        <w:rPr/>
        <w:t>（人工智能生成内容）和元宇宙为代表的新一代信息技术正引领新一轮的产业变革。根据《“十四五”数字经济发展规划》，发展虚拟现实和增强现实是关键任务之一。行业对既懂艺术设计、又懂</w:t>
      </w:r>
      <w:r>
        <w:rPr/>
        <w:t>AI</w:t>
      </w:r>
      <w:r>
        <w:rPr/>
        <w:t>算法、还会</w:t>
      </w:r>
      <w:r>
        <w:rPr/>
        <w:t>VR/AR</w:t>
      </w:r>
      <w:r>
        <w:rPr/>
        <w:t>开发的复合型、创新型技术技能人才的需求呈井喷式增长。本项目的建设，正是顺应此技术和产业发展趋势，为我省数字经济发展培养急需人才的前瞻性布局。</w:t>
      </w:r>
    </w:p>
    <w:p>
      <w:pPr>
        <w:pStyle w:val="null3"/>
        <w:ind w:firstLine="400"/>
      </w:pPr>
      <w:r>
        <w:rPr/>
        <w:t>依托先进的</w:t>
      </w:r>
      <w:r>
        <w:rPr/>
        <w:t>AI</w:t>
      </w:r>
      <w:r>
        <w:rPr/>
        <w:t>数字人系统，</w:t>
      </w:r>
      <w:r>
        <w:rPr/>
        <w:t>更新</w:t>
      </w:r>
      <w:r>
        <w:rPr/>
        <w:t>建成一个集</w:t>
      </w:r>
      <w:r>
        <w:rPr/>
        <w:t>"</w:t>
      </w:r>
      <w:r>
        <w:rPr/>
        <w:t>数字人生成（行为表情合成、声音克隆、口型对齐、视频插帧、视频抠像）、数字人管理系统（音色管理、声音合成、数字人形象管理</w:t>
      </w:r>
      <w:r>
        <w:rPr/>
        <w:t>、</w:t>
      </w:r>
      <w:r>
        <w:rPr/>
        <w:t>文本驱动数字人生成、</w:t>
      </w:r>
      <w:r>
        <w:rPr/>
        <w:t>PPT</w:t>
      </w:r>
      <w:r>
        <w:rPr/>
        <w:t>驱动授课视频生成）、</w:t>
      </w:r>
      <w:r>
        <w:rPr/>
        <w:t>AI</w:t>
      </w:r>
      <w:r>
        <w:rPr/>
        <w:t>数字人客户端（大模型支持、唤醒词激活）、智能算力支持</w:t>
      </w:r>
      <w:r>
        <w:rPr/>
        <w:t>"</w:t>
      </w:r>
      <w:r>
        <w:rPr/>
        <w:t>于一体的现代化、综合性、开放性的</w:t>
      </w:r>
      <w:r>
        <w:rPr/>
        <w:t>"</w:t>
      </w:r>
      <w:r>
        <w:rPr/>
        <w:t>VR</w:t>
      </w:r>
      <w:r>
        <w:rPr/>
        <w:t>虚拟现实应用实训室</w:t>
      </w:r>
      <w:r>
        <w:rPr/>
        <w:t>"</w:t>
      </w:r>
      <w:r>
        <w:rPr/>
        <w:t>。</w:t>
      </w:r>
    </w:p>
    <w:p>
      <w:pPr>
        <w:pStyle w:val="null3"/>
        <w:ind w:firstLine="402"/>
      </w:pPr>
      <w:r>
        <w:rPr>
          <w:b/>
        </w:rPr>
        <w:t>2.</w:t>
      </w:r>
      <w:r>
        <w:rPr>
          <w:b/>
        </w:rPr>
        <w:t>其他说明</w:t>
      </w:r>
    </w:p>
    <w:p>
      <w:pPr>
        <w:pStyle w:val="null3"/>
        <w:ind w:firstLine="400"/>
      </w:pPr>
      <w:r>
        <w:rPr/>
        <w:t>本项目凭书面方式不能完全准确描述采购需求，需要对功能演示进行主观判断以确认是否满足采购需求，要求投标人提供以下功能演示的演示视频（无需提供演示相关的检测报告）。采购需求中要求功能演示的演示视频作为证明材料的，总时间不超过</w:t>
      </w:r>
      <w:r>
        <w:rPr/>
        <w:t>10</w:t>
      </w:r>
      <w:r>
        <w:rPr/>
        <w:t>分钟。请投标人授权代表于提交投标文件截止时间前的</w:t>
      </w:r>
      <w:r>
        <w:rPr/>
        <w:t>30</w:t>
      </w:r>
      <w:r>
        <w:rPr/>
        <w:t>分钟内，在佛山市禅城区港口路佛山国家高新区城南科技园</w:t>
      </w:r>
      <w:r>
        <w:rPr/>
        <w:t>2</w:t>
      </w:r>
      <w:r>
        <w:rPr/>
        <w:t>栋</w:t>
      </w:r>
      <w:r>
        <w:rPr/>
        <w:t>308</w:t>
      </w:r>
      <w:r>
        <w:rPr/>
        <w:t>室本项目开标室</w:t>
      </w:r>
      <w:r>
        <w:rPr/>
        <w:t>签到（如法定代表人参与演示的，须提供法定代表人证明书原件、法定代表人身份证复印件；如授权委托人参与演示的，须提供法定代表人证明书原件、法定代表人身份证复印件、法定代表人授权委托书原件、被授权人身份证复印件。）</w:t>
      </w:r>
      <w:r>
        <w:rPr/>
        <w:t>。</w:t>
      </w:r>
      <w:r>
        <w:rPr/>
        <w:t>每位投标人的演示机会有且仅有一次，</w:t>
      </w:r>
      <w:r>
        <w:rPr/>
        <w:t>因投标人</w:t>
      </w:r>
      <w:r>
        <w:rPr/>
        <w:t>U</w:t>
      </w:r>
      <w:r>
        <w:rPr/>
        <w:t>盘或视频格式问题导致无法播放的，由投标人自行承担一切风险和责任。</w:t>
      </w:r>
    </w:p>
    <w:p>
      <w:pPr>
        <w:pStyle w:val="null3"/>
        <w:ind w:firstLine="482"/>
      </w:pPr>
      <w:r>
        <w:rPr>
          <w:sz w:val="24"/>
          <w:b/>
        </w:rPr>
        <w:t>二、</w:t>
      </w:r>
      <w:r>
        <w:rPr>
          <w:sz w:val="24"/>
          <w:b/>
        </w:rPr>
        <w:t>设备清单</w:t>
      </w:r>
    </w:p>
    <w:tbl>
      <w:tblPr>
        <w:tblW w:w="0" w:type="auto"/>
        <w:tblBorders>
          <w:top w:val="none" w:color="000000" w:sz="4"/>
          <w:left w:val="none" w:color="000000" w:sz="4"/>
          <w:bottom w:val="none" w:color="000000" w:sz="4"/>
          <w:right w:val="none" w:color="000000" w:sz="4"/>
          <w:insideH w:val="none"/>
          <w:insideV w:val="none"/>
        </w:tblBorders>
      </w:tblPr>
      <w:tblGrid>
        <w:gridCol w:w="746"/>
        <w:gridCol w:w="2066"/>
        <w:gridCol w:w="3639"/>
        <w:gridCol w:w="1839"/>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57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名称</w:t>
            </w:r>
          </w:p>
        </w:tc>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0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数字人生成系统</w:t>
            </w: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系统基础模块</w:t>
            </w:r>
          </w:p>
        </w:tc>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066"/>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声音克隆模块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066"/>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声音合成模块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066"/>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数字分身模块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066"/>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文案智能生成模块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066"/>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场景化智能数字人生成工作流</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0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交互数字人客户端</w:t>
            </w: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交互数字人系统模块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066"/>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交互数字人终端模块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20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数字人后台管理平台</w:t>
            </w: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数字人音频管理模块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2066"/>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数字人视频管理模块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2066"/>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交互数字人管理模块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2066"/>
            <w:vMerge/>
            <w:tcBorders>
              <w:top w:val="none" w:color="000000" w:sz="4"/>
              <w:left w:val="single" w:color="000000" w:sz="4"/>
              <w:bottom w:val="single" w:color="000000" w:sz="4"/>
              <w:right w:val="single" w:color="000000" w:sz="4"/>
            </w:tcBorders>
          </w:tcP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用户权限管理模块</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2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数字人驱动引擎高性能处理模组</w:t>
            </w:r>
          </w:p>
        </w:tc>
        <w:tc>
          <w:tcPr>
            <w:tcW w:type="dxa" w:w="3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数字人驱动引擎高性能处理模组</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bl>
    <w:p>
      <w:pPr>
        <w:pStyle w:val="null3"/>
      </w:pPr>
      <w:r>
        <w:rPr/>
        <w:t>采购包1（国双高项目：新一代信息技术虚拟现实实训基地·VR虚拟现实应用实训室）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 30个日历天内完成整个项目的供货、安装、调试、验收合格并交付使用。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1期：支付比例30%,合同签订生效之日起，采购人凭中标人开具的相应数额增值税发票在10个工作日内向中标人支付中标金额的30%作为预付款</w:t>
            </w:r>
          </w:p>
          <w:p>
            <w:pPr>
              <w:pStyle w:val="null3"/>
            </w:pPr>
            <w:r>
              <w:rPr/>
              <w:t>2期：支付比例70%,1.项目竣工交付使用并由采购人签署验收合格确认书后，采购人凭中标人开具的相应数额增值税发票后在10个工作日内向中标人支付至合同总额的100%；2.收款方、出具发票方、合同乙方均必须与中标人名称一致；3.如果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采购文件和响应承诺中采购人认可的合理最佳配置、参数及各项要求；③货物来源国官方标准。 2.中标人应按有关标准提供货物的包装，并采用恰当的方式将货物运抵采购人指定交货地点，交货给采购人（同时，提供货物清单）。 3..技术资料 （1）交货时，中标人应同时交付产品使用手册、出厂合格证等相关资料。 （2）验收后，中标人应向采购人提供验收报告。 4.中标人在完成本项目全部供货安装后，向采购人提交验收申请，采购人将依据《广东职业技术学院采购项目验收管理暂行办法》（粤职院发〔2023〕28号）在7日内组织相关专业技术人员与职能部门组成验收组进行履约验收。 5.验收完毕由采购人在验收报告上签名确认。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1.报价方式为广东省佛山市目的地包干价。 2.报价中必须包括货物及零配件、运输费、装卸费、保险费、安装费、调试费、材料费、技术服务费（含联络费、培训费、保修费）、各项税费及不可预见费等完成本采购内容所需的一切费用。 3.中标人必须自行考虑在本项目实施期间的一切可能产生的费用，在项目的实施过程中，采购人除了支付合同规定的款项外，一切合同规定外的费用将拒绝支付。</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包装、运输</w:t>
            </w:r>
          </w:p>
        </w:tc>
        <w:tc>
          <w:tcPr>
            <w:tcW w:type="dxa" w:w="2076"/>
          </w:tcPr>
          <w:p>
            <w:pPr>
              <w:pStyle w:val="null3"/>
              <w:jc w:val="left"/>
            </w:pPr>
            <w:r>
              <w:rPr/>
              <w:t>1.中标人所供货物必须为制造商原厂包装的全新产品，整机无污染、无侵权行为，表面无划损、无任何缺陷隐患，在中国境内可依常规安全合法使用，包装质量符合国家相关标准。货物要求有包装材料保护运至现场，因包装不良造成的损失由中标人负责。 2.中标人负责将货物、材料送到安装地点过程中的全部运输，包括但不限于货物、材料的装卸车现场的搬运。 3.各种设备，必须提供装箱清单，按装箱清单验收货物。</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安装调试</w:t>
            </w:r>
          </w:p>
        </w:tc>
        <w:tc>
          <w:tcPr>
            <w:tcW w:type="dxa" w:w="2076"/>
          </w:tcPr>
          <w:p>
            <w:pPr>
              <w:pStyle w:val="null3"/>
              <w:jc w:val="left"/>
            </w:pPr>
            <w:r>
              <w:rPr/>
              <w:t>1.中标人负责到采购人指定的安装地点进行安装调试。 2.中标人必须提供设备安装、集成及调测服务，并确保调试完成后，设备能够正常运行，达到采购人可正常使用状态。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5.中标人必须充分考虑现场的安装难度及安全性，做好施工现场的安全防护、文明施工工作。安装过程中发生的一切责任及费用由中标人负责，如对其他物品或结构造成损坏必须照价赔偿。</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投标人为其提供的投标货物提供质保期保障，质保期从货物安装完毕经验收合格之日起计起。其中质保期不少于3年，质保期间，如因施工质量或材料质量造成工程返修，中标人除免费返修外，将视影响程度给予经济处罚；质保期后需要进行维修的材料费由使用单位承担，其余由中标人承担。 2.所有设备保修服务方式均为上门保修，即由投标人或原厂家派员到采购人设备使用现场维修。由此产生的一切费用均由投标人承担。 3.质保期内，如设备或零部件因质量原因出现故障而造成短期停用时，则质保期和免费维修期相应顺延。如停用时间累计超过60天则质保期重新计算。 4.对采购人的服务通知，中标人在接报后40分钟内响应，若电话中无法解决，接到报障电话4小时内派工程技术人员到达现场处理，在检修8小时后仍无法排除，将在24时内提供不低于故障设备规格型号档次的备用设备供采购人临时使用，直至故障设备修复。 5.中标人负责软硬件系统运行的稳定性。 6.中标人相关技术文档要做到归纳、整理，并在采购人需要时能第一提间提供。 7.软件安装后，中标人需提供上门培训服务。 8.中标人对软件需提供终身免费维护和升级服务。 9.中标人在软件出现故障，需在1小时内响应，并在12小时予以解决。</w:t>
            </w:r>
          </w:p>
        </w:tc>
      </w:tr>
      <w:tr>
        <w:tc>
          <w:tcPr>
            <w:tcW w:type="dxa" w:w="2076"/>
          </w:tcPr>
          <w:p/>
        </w:tc>
        <w:tc>
          <w:tcPr>
            <w:tcW w:type="dxa" w:w="2076"/>
          </w:tcPr>
          <w:p>
            <w:pPr>
              <w:pStyle w:val="null3"/>
              <w:jc w:val="center"/>
            </w:pPr>
            <w:r>
              <w:rPr/>
              <w:t>5</w:t>
            </w:r>
          </w:p>
        </w:tc>
        <w:tc>
          <w:tcPr>
            <w:tcW w:type="dxa" w:w="2076"/>
          </w:tcPr>
          <w:p>
            <w:pPr>
              <w:pStyle w:val="null3"/>
              <w:jc w:val="left"/>
            </w:pPr>
            <w:r>
              <w:rPr/>
              <w:t>实施保障要求</w:t>
            </w:r>
          </w:p>
        </w:tc>
        <w:tc>
          <w:tcPr>
            <w:tcW w:type="dxa" w:w="2076"/>
          </w:tcPr>
          <w:p>
            <w:pPr>
              <w:pStyle w:val="null3"/>
              <w:jc w:val="left"/>
            </w:pPr>
            <w:r>
              <w:rPr/>
              <w:t>为确保本项目高质量、高效率、安全有序地完成建设并顺利交付使用，投标人须提供全面、可行、具有针对性的项目实施保障方案，具体要求如下： 1.项目组织保障 （1）投标人须成立专门的项目实施团队，明确项目经理、技术负责人、实施工程师、培训讲师、售后支持等岗位职责，确保责任到人； （2）项目经理须具备3年以上同类信息化或虚拟现实类项目管理经验，并提供相关证明材料； （3）实施团队成员须具备相应技术资质，包括但不限于人工智能、虚拟现实、软件开发、系统集成等相关领域专业能力。 2.实施进度保障 （1）自合同签订生效之日起 30个日历天内完成全部设备供货、系统部署、安装调试、功能验证及验收交付； （2）投标人须提交详细的《项目实施进度计划表》，明确各阶段时间节点（如设备到货、系统部署、联调测试、用户培训、初验、终验等），并制定应对延期风险的应急预案； （3）如因投标人原因导致项目延期，每逾期1日，按合同金额的0.5%支付违约金，累计不超过合同总额的10%。 3.技术与质量保障 （1）所有软硬件产品必须为原厂全新正品，符合国家及行业相关标准，严禁使用翻新、二手或非授权产品； （2）系统部署须严格按照用户需求书中“技术规格、参数及要求”执行，特别是带“★”条款必须100%满足； （3）实施过程中须进行阶段性测试与质量检查，包括单元测试、集成测试、压力测试及用户验收测试（UAT），确保系统稳定性、兼容性与安全性； （4）合同签订前，投标人须配合采购人进行现场产品参数及功能确认，如实际产品与投标响应存在负偏离或无法满足使用需求，视为虚假响应，采购人有权报监管部门处理。 4.安全与文明施工保障 （1）安装调试期间，投标人须遵守采购人校园管理规定，做好施工现场安全防护、用电安全、设备搬运保护等措施； （2）施工人员须持证上岗，统一着装，文明作业，不得影响学校正常教学秩序； （3）因施工造成采购人设施、设备或建筑损坏的，投标人须照价赔偿并恢复原状。 5.培训与知识转移 （1）项目验收前，投标人须提供不少于 2次、每次不少于4学时的现场集中培训，覆盖系统操作、日常维护、故障排查等内容； （2）培训对象包括教师、实验管理员及学生代表，培训材料（含PPT、操作手册、视频教程等）须在培训前提交采购人审核； （3）提供完整的系统技术文档，包括系统架构图、API接口说明、部署手册、运维指南等，确保采购人具备自主运维能力。 6.应急与售后保障 （1）建立7×24小时技术支持机制，提供专属服务热线及技术对接人； （2）严格执行用户需求书中“售后服务要求”条款，包括： ·质保期不少于3年； ·1小时内响应故障报修，8小时内到场处理； ·软件终身免费维护与升级； ·故障24小时内未修复，48小时内提供备用设备； （3）质保期内因产品质量或施工问题导致系统停用累计超过60天的，质保期重新计算。 7.验收配合保障 （1）投标人须在项目完工后5个工作日内提交完整验收申请材料，包括： ·验收申请报告； ·系统测试报告； ·用户培训记录； ·产品合格证、使用手册、装箱清单等； （2）配合采购人组织的验收小组完成现场功能演示、性能验证及文档审查，确保一次性通过验收。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其他计算机软件</w:t>
            </w:r>
          </w:p>
        </w:tc>
        <w:tc>
          <w:tcPr>
            <w:tcW w:type="dxa" w:w="831"/>
          </w:tcPr>
          <w:p>
            <w:pPr>
              <w:pStyle w:val="null3"/>
              <w:jc w:val="left"/>
            </w:pPr>
            <w:r>
              <w:rPr/>
              <w:t>数字人生成系统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606,000.00</w:t>
            </w:r>
          </w:p>
        </w:tc>
        <w:tc>
          <w:tcPr>
            <w:tcW w:type="dxa" w:w="831"/>
          </w:tcPr>
          <w:p>
            <w:pPr>
              <w:pStyle w:val="null3"/>
              <w:jc w:val="right"/>
            </w:pPr>
            <w:r>
              <w:rPr/>
              <w:t>606,000.00</w:t>
            </w:r>
          </w:p>
        </w:tc>
        <w:tc>
          <w:tcPr>
            <w:tcW w:type="dxa" w:w="831"/>
          </w:tcPr>
          <w:p>
            <w:pPr>
              <w:pStyle w:val="null3"/>
            </w:pPr>
            <w:r>
              <w:rPr/>
              <w:t>软件和信息技术服务业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其他计算机软件</w:t>
            </w:r>
          </w:p>
        </w:tc>
        <w:tc>
          <w:tcPr>
            <w:tcW w:type="dxa" w:w="831"/>
          </w:tcPr>
          <w:p>
            <w:pPr>
              <w:pStyle w:val="null3"/>
              <w:jc w:val="left"/>
            </w:pPr>
            <w:r>
              <w:rPr/>
              <w:t>数字人后台管理平台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667,740.00</w:t>
            </w:r>
          </w:p>
        </w:tc>
        <w:tc>
          <w:tcPr>
            <w:tcW w:type="dxa" w:w="831"/>
          </w:tcPr>
          <w:p>
            <w:pPr>
              <w:pStyle w:val="null3"/>
              <w:jc w:val="right"/>
            </w:pPr>
            <w:r>
              <w:rPr/>
              <w:t>667,740.00</w:t>
            </w:r>
          </w:p>
        </w:tc>
        <w:tc>
          <w:tcPr>
            <w:tcW w:type="dxa" w:w="831"/>
          </w:tcPr>
          <w:p>
            <w:pPr>
              <w:pStyle w:val="null3"/>
            </w:pPr>
            <w:r>
              <w:rPr/>
              <w:t>软件和信息技术服务业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其他计算机软件</w:t>
            </w:r>
          </w:p>
        </w:tc>
        <w:tc>
          <w:tcPr>
            <w:tcW w:type="dxa" w:w="831"/>
          </w:tcPr>
          <w:p>
            <w:pPr>
              <w:pStyle w:val="null3"/>
              <w:jc w:val="left"/>
            </w:pPr>
            <w:r>
              <w:rPr/>
              <w:t>交互数字人客户端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302,100.00</w:t>
            </w:r>
          </w:p>
        </w:tc>
        <w:tc>
          <w:tcPr>
            <w:tcW w:type="dxa" w:w="831"/>
          </w:tcPr>
          <w:p>
            <w:pPr>
              <w:pStyle w:val="null3"/>
              <w:jc w:val="right"/>
            </w:pPr>
            <w:r>
              <w:rPr/>
              <w:t>302,100.00</w:t>
            </w:r>
          </w:p>
        </w:tc>
        <w:tc>
          <w:tcPr>
            <w:tcW w:type="dxa" w:w="831"/>
          </w:tcPr>
          <w:p>
            <w:pPr>
              <w:pStyle w:val="null3"/>
            </w:pPr>
            <w:r>
              <w:rPr/>
              <w:t>软件和信息技术服务业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其他计算机软件</w:t>
            </w:r>
          </w:p>
        </w:tc>
        <w:tc>
          <w:tcPr>
            <w:tcW w:type="dxa" w:w="831"/>
          </w:tcPr>
          <w:p>
            <w:pPr>
              <w:pStyle w:val="null3"/>
              <w:jc w:val="left"/>
            </w:pPr>
            <w:r>
              <w:rPr/>
              <w:t>数字人驱动引擎高性能处理模组</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130,000.00</w:t>
            </w:r>
          </w:p>
        </w:tc>
        <w:tc>
          <w:tcPr>
            <w:tcW w:type="dxa" w:w="831"/>
          </w:tcPr>
          <w:p>
            <w:pPr>
              <w:pStyle w:val="null3"/>
              <w:jc w:val="right"/>
            </w:pPr>
            <w:r>
              <w:rPr/>
              <w:t>130,000.00</w:t>
            </w:r>
          </w:p>
        </w:tc>
        <w:tc>
          <w:tcPr>
            <w:tcW w:type="dxa" w:w="831"/>
          </w:tcPr>
          <w:p>
            <w:pPr>
              <w:pStyle w:val="null3"/>
            </w:pPr>
            <w:r>
              <w:rPr/>
              <w:t>软件和信息技术服务业</w:t>
            </w:r>
          </w:p>
        </w:tc>
        <w:tc>
          <w:tcPr>
            <w:tcW w:type="dxa" w:w="831"/>
          </w:tcPr>
          <w:p>
            <w:pPr>
              <w:pStyle w:val="null3"/>
            </w:pPr>
            <w:r>
              <w:rPr/>
              <w:t>详见附表四</w:t>
            </w:r>
          </w:p>
        </w:tc>
      </w:tr>
    </w:tbl>
    <w:p>
      <w:pPr>
        <w:pStyle w:val="null3"/>
      </w:pPr>
      <w:r>
        <w:rPr>
          <w:b/>
        </w:rPr>
        <w:t>附表</w:t>
      </w:r>
      <w:r>
        <w:rPr>
          <w:b/>
        </w:rPr>
        <w:t>一</w:t>
      </w:r>
      <w:r>
        <w:rPr>
          <w:b/>
        </w:rPr>
        <w:t>：</w:t>
      </w:r>
      <w:r>
        <w:rPr>
          <w:b/>
        </w:rPr>
        <w:t>数字人生成系统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系统基础模块</w:t>
            </w:r>
          </w:p>
          <w:p>
            <w:pPr>
              <w:pStyle w:val="null3"/>
              <w:jc w:val="both"/>
            </w:pPr>
            <w:r>
              <w:rPr>
                <w:sz w:val="21"/>
              </w:rPr>
              <w:t>1</w:t>
            </w:r>
            <w:r>
              <w:rPr>
                <w:sz w:val="21"/>
              </w:rPr>
              <w:t>.</w:t>
            </w:r>
            <w:r>
              <w:rPr>
                <w:sz w:val="21"/>
              </w:rPr>
              <w:t>平台主体采用</w:t>
            </w:r>
            <w:r>
              <w:rPr>
                <w:sz w:val="21"/>
              </w:rPr>
              <w:t>B/S</w:t>
            </w:r>
            <w:r>
              <w:rPr>
                <w:sz w:val="21"/>
              </w:rPr>
              <w:t>架构设计，即浏览器</w:t>
            </w:r>
            <w:r>
              <w:rPr>
                <w:sz w:val="21"/>
              </w:rPr>
              <w:t>/</w:t>
            </w:r>
            <w:r>
              <w:rPr>
                <w:sz w:val="21"/>
              </w:rPr>
              <w:t>服务器架构。分布性强，客户端零维护，兼容当前主流的不同浏览器，如</w:t>
            </w:r>
            <w:r>
              <w:rPr>
                <w:sz w:val="21"/>
              </w:rPr>
              <w:t>Edge</w:t>
            </w:r>
            <w:r>
              <w:rPr>
                <w:sz w:val="21"/>
              </w:rPr>
              <w:t>、谷歌浏览器、火狐浏览器等。</w:t>
            </w:r>
          </w:p>
          <w:p>
            <w:pPr>
              <w:pStyle w:val="null3"/>
              <w:jc w:val="both"/>
            </w:pPr>
            <w:r>
              <w:rPr>
                <w:sz w:val="21"/>
              </w:rPr>
              <w:t>2</w:t>
            </w:r>
            <w:r>
              <w:rPr>
                <w:sz w:val="21"/>
              </w:rPr>
              <w:t>.</w:t>
            </w:r>
            <w:r>
              <w:rPr>
                <w:sz w:val="21"/>
              </w:rPr>
              <w:t>平台框架使用</w:t>
            </w:r>
            <w:r>
              <w:rPr>
                <w:sz w:val="21"/>
              </w:rPr>
              <w:t>JAVA</w:t>
            </w:r>
            <w:r>
              <w:rPr>
                <w:sz w:val="21"/>
              </w:rPr>
              <w:t>语言开发，采用分布式架构，系统稳定性高，支持</w:t>
            </w:r>
            <w:r>
              <w:rPr>
                <w:sz w:val="21"/>
              </w:rPr>
              <w:t>7</w:t>
            </w:r>
            <w:r>
              <w:rPr>
                <w:sz w:val="21"/>
              </w:rPr>
              <w:t>×</w:t>
            </w:r>
            <w:r>
              <w:rPr>
                <w:sz w:val="21"/>
              </w:rPr>
              <w:t>24</w:t>
            </w:r>
            <w:r>
              <w:rPr>
                <w:sz w:val="21"/>
              </w:rPr>
              <w:t>小时不间断运行。</w:t>
            </w:r>
          </w:p>
          <w:p>
            <w:pPr>
              <w:pStyle w:val="null3"/>
              <w:jc w:val="both"/>
            </w:pPr>
            <w:r>
              <w:rPr>
                <w:sz w:val="21"/>
              </w:rPr>
              <w:t>3</w:t>
            </w:r>
            <w:r>
              <w:rPr>
                <w:sz w:val="21"/>
              </w:rPr>
              <w:t>.</w:t>
            </w:r>
            <w:r>
              <w:rPr>
                <w:sz w:val="21"/>
              </w:rPr>
              <w:t>支持</w:t>
            </w:r>
            <w:r>
              <w:rPr>
                <w:sz w:val="21"/>
              </w:rPr>
              <w:t>Docker</w:t>
            </w:r>
            <w:r>
              <w:rPr>
                <w:sz w:val="21"/>
              </w:rPr>
              <w:t>容器化部署，提供完整的</w:t>
            </w:r>
            <w:r>
              <w:rPr>
                <w:sz w:val="21"/>
              </w:rPr>
              <w:t>docker-compose.yml</w:t>
            </w:r>
            <w:r>
              <w:rPr>
                <w:sz w:val="21"/>
              </w:rPr>
              <w:t>文件，实现主服务端、前端、交互服务模块的快速部署。</w:t>
            </w:r>
          </w:p>
          <w:p>
            <w:pPr>
              <w:pStyle w:val="null3"/>
              <w:jc w:val="both"/>
            </w:pPr>
            <w:r>
              <w:rPr>
                <w:sz w:val="21"/>
              </w:rPr>
              <w:t>4</w:t>
            </w:r>
            <w:r>
              <w:rPr>
                <w:sz w:val="21"/>
              </w:rPr>
              <w:t>.</w:t>
            </w:r>
            <w:r>
              <w:rPr>
                <w:sz w:val="21"/>
              </w:rPr>
              <w:t>数据库采用</w:t>
            </w:r>
            <w:r>
              <w:rPr>
                <w:sz w:val="21"/>
              </w:rPr>
              <w:t>MySQL 8.0</w:t>
            </w:r>
            <w:r>
              <w:rPr>
                <w:sz w:val="21"/>
              </w:rPr>
              <w:t>进行结构化数据存储，并集成</w:t>
            </w:r>
            <w:r>
              <w:rPr>
                <w:sz w:val="21"/>
              </w:rPr>
              <w:t>Redis</w:t>
            </w:r>
            <w:r>
              <w:rPr>
                <w:sz w:val="21"/>
              </w:rPr>
              <w:t>作为缓存中间件，提升系统响应性能。</w:t>
            </w:r>
          </w:p>
          <w:p>
            <w:pPr>
              <w:pStyle w:val="null3"/>
              <w:jc w:val="both"/>
            </w:pPr>
            <w:r>
              <w:rPr>
                <w:sz w:val="21"/>
              </w:rPr>
              <w:t>5</w:t>
            </w:r>
            <w:r>
              <w:rPr>
                <w:sz w:val="21"/>
              </w:rPr>
              <w:t>.</w:t>
            </w:r>
            <w:r>
              <w:rPr>
                <w:sz w:val="21"/>
              </w:rPr>
              <w:t>系统须具备完善的用户身份认证机制，未登录用户禁止访问声音克隆、声音合成、数字分身、数字交互等核心功能模块，保障系统安全性。</w:t>
            </w:r>
          </w:p>
          <w:p>
            <w:pPr>
              <w:pStyle w:val="null3"/>
              <w:jc w:val="both"/>
            </w:pPr>
            <w:r>
              <w:rPr>
                <w:sz w:val="21"/>
              </w:rPr>
              <w:t>▲</w:t>
            </w:r>
            <w:r>
              <w:rPr>
                <w:sz w:val="21"/>
              </w:rPr>
              <w:t>6</w:t>
            </w:r>
            <w:r>
              <w:rPr>
                <w:sz w:val="21"/>
              </w:rPr>
              <w:t>.</w:t>
            </w:r>
            <w:r>
              <w:rPr>
                <w:sz w:val="21"/>
              </w:rPr>
              <w:t>采用</w:t>
            </w:r>
            <w:r>
              <w:rPr>
                <w:sz w:val="21"/>
              </w:rPr>
              <w:t xml:space="preserve">2D </w:t>
            </w:r>
            <w:r>
              <w:rPr>
                <w:sz w:val="21"/>
              </w:rPr>
              <w:t>数字人技术，一比一还原对应素材人物的音色与形象，通过特定模型训练数字人形象。（提供满足以上功能的功能截图证明加盖投标人公章）</w:t>
            </w:r>
          </w:p>
          <w:p>
            <w:pPr>
              <w:pStyle w:val="null3"/>
              <w:jc w:val="both"/>
            </w:pPr>
            <w:r>
              <w:rPr>
                <w:sz w:val="21"/>
              </w:rPr>
              <w:t>（二）声音克隆模块</w:t>
            </w:r>
          </w:p>
          <w:p>
            <w:pPr>
              <w:pStyle w:val="null3"/>
              <w:jc w:val="both"/>
            </w:pPr>
            <w:r>
              <w:rPr>
                <w:sz w:val="21"/>
              </w:rPr>
              <w:t>1</w:t>
            </w:r>
            <w:r>
              <w:rPr>
                <w:sz w:val="21"/>
              </w:rPr>
              <w:t>.</w:t>
            </w:r>
            <w:r>
              <w:rPr>
                <w:sz w:val="21"/>
              </w:rPr>
              <w:t>支持通过上传语音样本进行个性化音色克隆，支持音频格式：</w:t>
            </w:r>
            <w:r>
              <w:rPr>
                <w:sz w:val="21"/>
              </w:rPr>
              <w:t>MP3</w:t>
            </w:r>
            <w:r>
              <w:rPr>
                <w:sz w:val="21"/>
              </w:rPr>
              <w:t>、</w:t>
            </w:r>
            <w:r>
              <w:rPr>
                <w:sz w:val="21"/>
              </w:rPr>
              <w:t>WAV</w:t>
            </w:r>
            <w:r>
              <w:rPr>
                <w:sz w:val="21"/>
              </w:rPr>
              <w:t>；</w:t>
            </w:r>
          </w:p>
          <w:p>
            <w:pPr>
              <w:pStyle w:val="null3"/>
              <w:jc w:val="both"/>
            </w:pPr>
            <w:r>
              <w:rPr>
                <w:sz w:val="21"/>
              </w:rPr>
              <w:t>2</w:t>
            </w:r>
            <w:r>
              <w:rPr>
                <w:sz w:val="21"/>
              </w:rPr>
              <w:t>.</w:t>
            </w:r>
            <w:r>
              <w:rPr>
                <w:sz w:val="21"/>
              </w:rPr>
              <w:t>克隆过程基于深度学习模型，生成语音自然、流畅、高度拟人化；</w:t>
            </w:r>
          </w:p>
          <w:p>
            <w:pPr>
              <w:pStyle w:val="null3"/>
              <w:jc w:val="both"/>
            </w:pPr>
            <w:r>
              <w:rPr>
                <w:sz w:val="21"/>
              </w:rPr>
              <w:t>3</w:t>
            </w:r>
            <w:r>
              <w:rPr>
                <w:sz w:val="21"/>
              </w:rPr>
              <w:t>.</w:t>
            </w:r>
            <w:r>
              <w:rPr>
                <w:sz w:val="21"/>
              </w:rPr>
              <w:t>支持对已创建音色进行按状态（全部、完成、进行中、失败）筛选；</w:t>
            </w:r>
          </w:p>
          <w:p>
            <w:pPr>
              <w:pStyle w:val="null3"/>
              <w:jc w:val="both"/>
            </w:pPr>
            <w:r>
              <w:rPr>
                <w:sz w:val="21"/>
              </w:rPr>
              <w:t>4</w:t>
            </w:r>
            <w:r>
              <w:rPr>
                <w:sz w:val="21"/>
              </w:rPr>
              <w:t>.</w:t>
            </w:r>
            <w:r>
              <w:rPr>
                <w:sz w:val="21"/>
              </w:rPr>
              <w:t>支持对已创建音色进行关键字搜索；</w:t>
            </w:r>
          </w:p>
          <w:p>
            <w:pPr>
              <w:pStyle w:val="null3"/>
              <w:jc w:val="both"/>
            </w:pPr>
            <w:r>
              <w:rPr>
                <w:sz w:val="21"/>
              </w:rPr>
              <w:t>5</w:t>
            </w:r>
            <w:r>
              <w:rPr>
                <w:sz w:val="21"/>
              </w:rPr>
              <w:t>.</w:t>
            </w:r>
            <w:r>
              <w:rPr>
                <w:sz w:val="21"/>
              </w:rPr>
              <w:t>支持对已创建音色进行音色试听、使用（跳转至声音合成）、删除操作；</w:t>
            </w:r>
          </w:p>
          <w:p>
            <w:pPr>
              <w:pStyle w:val="null3"/>
              <w:jc w:val="both"/>
            </w:pPr>
            <w:r>
              <w:rPr>
                <w:sz w:val="21"/>
              </w:rPr>
              <w:t>6</w:t>
            </w:r>
            <w:r>
              <w:rPr>
                <w:sz w:val="21"/>
              </w:rPr>
              <w:t>..</w:t>
            </w:r>
            <w:r>
              <w:rPr>
                <w:sz w:val="21"/>
              </w:rPr>
              <w:t>提供系统预设音色库，支持按语言类型、标签分类筛选；</w:t>
            </w:r>
          </w:p>
          <w:p>
            <w:pPr>
              <w:pStyle w:val="null3"/>
              <w:jc w:val="both"/>
            </w:pPr>
            <w:r>
              <w:rPr>
                <w:sz w:val="21"/>
              </w:rPr>
              <w:t>▲</w:t>
            </w:r>
            <w:r>
              <w:rPr>
                <w:sz w:val="21"/>
              </w:rPr>
              <w:t>7</w:t>
            </w:r>
            <w:r>
              <w:rPr>
                <w:sz w:val="21"/>
              </w:rPr>
              <w:t>.</w:t>
            </w:r>
            <w:r>
              <w:rPr>
                <w:sz w:val="21"/>
              </w:rPr>
              <w:t>采用数据增广语音克隆技术，内置基于深度学习的数据增广算法，可在用户上传的有限原始语音样本基础上，智能生成多样化的语音变体数据，使克隆语音在音色还原度、自然度和鲁棒性上均有明显提升。（提供以下任一项证明材料：</w:t>
            </w:r>
            <w:r>
              <w:rPr>
                <w:sz w:val="21"/>
              </w:rPr>
              <w:t>① 产品说明书或技术手册标注页（加盖投标人公章）；②制造商官网产品参数截图（加盖投标人公章））</w:t>
            </w:r>
          </w:p>
          <w:p>
            <w:pPr>
              <w:pStyle w:val="null3"/>
              <w:jc w:val="both"/>
            </w:pPr>
            <w:r>
              <w:rPr>
                <w:sz w:val="21"/>
              </w:rPr>
              <w:t>（三）声音合成模块</w:t>
            </w:r>
          </w:p>
          <w:p>
            <w:pPr>
              <w:pStyle w:val="null3"/>
              <w:jc w:val="both"/>
            </w:pPr>
            <w:r>
              <w:rPr>
                <w:sz w:val="21"/>
              </w:rPr>
              <w:t>1</w:t>
            </w:r>
            <w:r>
              <w:rPr>
                <w:sz w:val="21"/>
              </w:rPr>
              <w:t>.</w:t>
            </w:r>
            <w:r>
              <w:rPr>
                <w:sz w:val="21"/>
              </w:rPr>
              <w:t>支持将文本内容转换为高质量语音输出，适用于语音播报、有声读物等场景；</w:t>
            </w:r>
          </w:p>
          <w:p>
            <w:pPr>
              <w:pStyle w:val="null3"/>
              <w:jc w:val="both"/>
            </w:pPr>
            <w:r>
              <w:rPr>
                <w:sz w:val="21"/>
              </w:rPr>
              <w:t>2</w:t>
            </w:r>
            <w:r>
              <w:rPr>
                <w:sz w:val="21"/>
              </w:rPr>
              <w:t>.</w:t>
            </w:r>
            <w:r>
              <w:rPr>
                <w:sz w:val="21"/>
              </w:rPr>
              <w:t>支持从</w:t>
            </w:r>
            <w:r>
              <w:rPr>
                <w:sz w:val="21"/>
              </w:rPr>
              <w:t>“声音克隆”或“系统音色”中选择音色用于语音合成；</w:t>
            </w:r>
          </w:p>
          <w:p>
            <w:pPr>
              <w:pStyle w:val="null3"/>
              <w:jc w:val="both"/>
            </w:pPr>
            <w:r>
              <w:rPr>
                <w:sz w:val="21"/>
              </w:rPr>
              <w:t>3</w:t>
            </w:r>
            <w:r>
              <w:rPr>
                <w:sz w:val="21"/>
              </w:rPr>
              <w:t>.</w:t>
            </w:r>
            <w:r>
              <w:rPr>
                <w:sz w:val="21"/>
              </w:rPr>
              <w:t>支持上传</w:t>
            </w:r>
            <w:r>
              <w:rPr>
                <w:sz w:val="21"/>
              </w:rPr>
              <w:t xml:space="preserve">.doc </w:t>
            </w:r>
            <w:r>
              <w:rPr>
                <w:sz w:val="21"/>
              </w:rPr>
              <w:t xml:space="preserve">或 </w:t>
            </w:r>
            <w:r>
              <w:rPr>
                <w:sz w:val="21"/>
              </w:rPr>
              <w:t xml:space="preserve">.docx </w:t>
            </w:r>
            <w:r>
              <w:rPr>
                <w:sz w:val="21"/>
              </w:rPr>
              <w:t>格式的</w:t>
            </w:r>
            <w:r>
              <w:rPr>
                <w:sz w:val="21"/>
              </w:rPr>
              <w:t>Word</w:t>
            </w:r>
            <w:r>
              <w:rPr>
                <w:sz w:val="21"/>
              </w:rPr>
              <w:t>文档作为文本输入源；</w:t>
            </w:r>
          </w:p>
          <w:p>
            <w:pPr>
              <w:pStyle w:val="null3"/>
              <w:jc w:val="both"/>
            </w:pPr>
            <w:r>
              <w:rPr>
                <w:sz w:val="21"/>
              </w:rPr>
              <w:t>4</w:t>
            </w:r>
            <w:r>
              <w:rPr>
                <w:sz w:val="21"/>
              </w:rPr>
              <w:t>.</w:t>
            </w:r>
            <w:r>
              <w:rPr>
                <w:sz w:val="21"/>
              </w:rPr>
              <w:t>支持针对中英文混合的文本进行语音合成。</w:t>
            </w:r>
          </w:p>
          <w:p>
            <w:pPr>
              <w:pStyle w:val="null3"/>
              <w:jc w:val="both"/>
            </w:pPr>
            <w:r>
              <w:rPr>
                <w:sz w:val="21"/>
              </w:rPr>
              <w:t>5</w:t>
            </w:r>
            <w:r>
              <w:rPr>
                <w:sz w:val="21"/>
              </w:rPr>
              <w:t>.</w:t>
            </w:r>
            <w:r>
              <w:rPr>
                <w:sz w:val="21"/>
              </w:rPr>
              <w:t>支持对已合成音频记录按任务状态（全部、完成、进行中、失败）筛选。</w:t>
            </w:r>
          </w:p>
          <w:p>
            <w:pPr>
              <w:pStyle w:val="null3"/>
              <w:jc w:val="both"/>
            </w:pPr>
            <w:r>
              <w:rPr>
                <w:sz w:val="21"/>
              </w:rPr>
              <w:t>6</w:t>
            </w:r>
            <w:r>
              <w:rPr>
                <w:sz w:val="21"/>
              </w:rPr>
              <w:t>.</w:t>
            </w:r>
            <w:r>
              <w:rPr>
                <w:sz w:val="21"/>
              </w:rPr>
              <w:t>支持对已合成音频记录进行关键字搜索。</w:t>
            </w:r>
          </w:p>
          <w:p>
            <w:pPr>
              <w:pStyle w:val="null3"/>
              <w:jc w:val="both"/>
            </w:pPr>
            <w:r>
              <w:rPr>
                <w:sz w:val="21"/>
              </w:rPr>
              <w:t>7</w:t>
            </w:r>
            <w:r>
              <w:rPr>
                <w:sz w:val="21"/>
              </w:rPr>
              <w:t>.</w:t>
            </w:r>
            <w:r>
              <w:rPr>
                <w:sz w:val="21"/>
              </w:rPr>
              <w:t>支持对已合成音频记录进行播放预览、删除操作。</w:t>
            </w:r>
          </w:p>
          <w:p>
            <w:pPr>
              <w:pStyle w:val="null3"/>
              <w:jc w:val="both"/>
            </w:pPr>
            <w:r>
              <w:rPr>
                <w:sz w:val="21"/>
              </w:rPr>
              <w:t>8</w:t>
            </w:r>
            <w:r>
              <w:rPr>
                <w:sz w:val="21"/>
              </w:rPr>
              <w:t>.</w:t>
            </w:r>
            <w:r>
              <w:rPr>
                <w:sz w:val="21"/>
              </w:rPr>
              <w:t>提供已合成音频记录详情页面，展示音频信息及播放功能。</w:t>
            </w:r>
          </w:p>
          <w:p>
            <w:pPr>
              <w:pStyle w:val="null3"/>
              <w:jc w:val="both"/>
            </w:pPr>
            <w:r>
              <w:rPr>
                <w:sz w:val="21"/>
              </w:rPr>
              <w:t>（四）数字分身模块</w:t>
            </w:r>
          </w:p>
          <w:p>
            <w:pPr>
              <w:pStyle w:val="null3"/>
              <w:jc w:val="both"/>
            </w:pPr>
            <w:r>
              <w:rPr>
                <w:sz w:val="21"/>
              </w:rPr>
              <w:t>1</w:t>
            </w:r>
            <w:r>
              <w:rPr>
                <w:sz w:val="21"/>
              </w:rPr>
              <w:t>.</w:t>
            </w:r>
            <w:r>
              <w:rPr>
                <w:sz w:val="21"/>
              </w:rPr>
              <w:t>支持通过上传视频创建个性化虚拟形象，支持视频格式：</w:t>
            </w:r>
            <w:r>
              <w:rPr>
                <w:sz w:val="21"/>
              </w:rPr>
              <w:t>MP4</w:t>
            </w:r>
            <w:r>
              <w:rPr>
                <w:sz w:val="21"/>
              </w:rPr>
              <w:t>；</w:t>
            </w:r>
          </w:p>
          <w:p>
            <w:pPr>
              <w:pStyle w:val="null3"/>
              <w:jc w:val="both"/>
            </w:pPr>
            <w:r>
              <w:rPr>
                <w:sz w:val="21"/>
              </w:rPr>
              <w:t>2</w:t>
            </w:r>
            <w:r>
              <w:rPr>
                <w:sz w:val="21"/>
              </w:rPr>
              <w:t>.</w:t>
            </w:r>
            <w:r>
              <w:rPr>
                <w:sz w:val="21"/>
              </w:rPr>
              <w:t>支持创建数字人形象时执行边界计算；</w:t>
            </w:r>
          </w:p>
          <w:p>
            <w:pPr>
              <w:pStyle w:val="null3"/>
              <w:jc w:val="both"/>
            </w:pPr>
            <w:r>
              <w:rPr>
                <w:sz w:val="21"/>
              </w:rPr>
              <w:t>3</w:t>
            </w:r>
            <w:r>
              <w:rPr>
                <w:sz w:val="21"/>
              </w:rPr>
              <w:t>.</w:t>
            </w:r>
            <w:r>
              <w:rPr>
                <w:sz w:val="21"/>
              </w:rPr>
              <w:t>支持对已创建数字人形象按任务状态（全部、完成、进行中、失败）筛选；</w:t>
            </w:r>
          </w:p>
          <w:p>
            <w:pPr>
              <w:pStyle w:val="null3"/>
              <w:jc w:val="both"/>
            </w:pPr>
            <w:r>
              <w:rPr>
                <w:sz w:val="21"/>
              </w:rPr>
              <w:t>4</w:t>
            </w:r>
            <w:r>
              <w:rPr>
                <w:sz w:val="21"/>
              </w:rPr>
              <w:t>.</w:t>
            </w:r>
            <w:r>
              <w:rPr>
                <w:sz w:val="21"/>
              </w:rPr>
              <w:t>支持对已创建数字人形象进行关键字搜索；</w:t>
            </w:r>
          </w:p>
          <w:p>
            <w:pPr>
              <w:pStyle w:val="null3"/>
              <w:jc w:val="both"/>
            </w:pPr>
            <w:r>
              <w:rPr>
                <w:sz w:val="21"/>
              </w:rPr>
              <w:t>5</w:t>
            </w:r>
            <w:r>
              <w:rPr>
                <w:sz w:val="21"/>
              </w:rPr>
              <w:t>.</w:t>
            </w:r>
            <w:r>
              <w:rPr>
                <w:sz w:val="21"/>
              </w:rPr>
              <w:t>支持对已创建数字人形象进行预览播放、下载、删除及跳转至作品合成；</w:t>
            </w:r>
          </w:p>
          <w:p>
            <w:pPr>
              <w:pStyle w:val="null3"/>
              <w:jc w:val="both"/>
            </w:pPr>
            <w:r>
              <w:rPr>
                <w:sz w:val="21"/>
              </w:rPr>
              <w:t>6</w:t>
            </w:r>
            <w:r>
              <w:rPr>
                <w:sz w:val="21"/>
              </w:rPr>
              <w:t>.</w:t>
            </w:r>
            <w:r>
              <w:rPr>
                <w:sz w:val="21"/>
              </w:rPr>
              <w:t>支持复制已创建数字人形象链接进行分享；</w:t>
            </w:r>
          </w:p>
          <w:p>
            <w:pPr>
              <w:pStyle w:val="null3"/>
              <w:jc w:val="both"/>
            </w:pPr>
            <w:r>
              <w:rPr>
                <w:sz w:val="21"/>
              </w:rPr>
              <w:t>7</w:t>
            </w:r>
            <w:r>
              <w:rPr>
                <w:sz w:val="21"/>
              </w:rPr>
              <w:t>.</w:t>
            </w:r>
            <w:r>
              <w:rPr>
                <w:sz w:val="21"/>
              </w:rPr>
              <w:t>支持文稿演说生成模式，上传</w:t>
            </w:r>
            <w:r>
              <w:rPr>
                <w:sz w:val="21"/>
              </w:rPr>
              <w:t>Word</w:t>
            </w:r>
            <w:r>
              <w:rPr>
                <w:sz w:val="21"/>
              </w:rPr>
              <w:t>文档，结合音色与形象生成演讲视频；</w:t>
            </w:r>
          </w:p>
          <w:p>
            <w:pPr>
              <w:pStyle w:val="null3"/>
              <w:jc w:val="both"/>
            </w:pPr>
            <w:r>
              <w:rPr>
                <w:sz w:val="21"/>
              </w:rPr>
              <w:t>▲</w:t>
            </w:r>
            <w:r>
              <w:rPr>
                <w:sz w:val="21"/>
              </w:rPr>
              <w:t>8</w:t>
            </w:r>
            <w:r>
              <w:rPr>
                <w:sz w:val="21"/>
              </w:rPr>
              <w:t>.</w:t>
            </w:r>
            <w:r>
              <w:rPr>
                <w:sz w:val="21"/>
              </w:rPr>
              <w:t>支持幻灯讲述生成模式，上传</w:t>
            </w:r>
            <w:r>
              <w:rPr>
                <w:sz w:val="21"/>
              </w:rPr>
              <w:t>PPT</w:t>
            </w:r>
            <w:r>
              <w:rPr>
                <w:sz w:val="21"/>
              </w:rPr>
              <w:t>文件，实现幻灯片同步讲解；（提供满足上述功能要求的功能截图证明加盖投标人公章）</w:t>
            </w:r>
          </w:p>
          <w:p>
            <w:pPr>
              <w:pStyle w:val="null3"/>
              <w:jc w:val="both"/>
            </w:pPr>
            <w:r>
              <w:rPr>
                <w:sz w:val="21"/>
              </w:rPr>
              <w:t>9</w:t>
            </w:r>
            <w:r>
              <w:rPr>
                <w:sz w:val="21"/>
              </w:rPr>
              <w:t>.</w:t>
            </w:r>
            <w:r>
              <w:rPr>
                <w:sz w:val="21"/>
              </w:rPr>
              <w:t>支持合成演说生成模式，无需上传文件，选择声音合成模块音频进行数字人生成；</w:t>
            </w:r>
          </w:p>
          <w:p>
            <w:pPr>
              <w:pStyle w:val="null3"/>
              <w:jc w:val="both"/>
            </w:pPr>
            <w:r>
              <w:rPr>
                <w:sz w:val="21"/>
              </w:rPr>
              <w:t>10</w:t>
            </w:r>
            <w:r>
              <w:rPr>
                <w:sz w:val="21"/>
              </w:rPr>
              <w:t>.</w:t>
            </w:r>
            <w:r>
              <w:rPr>
                <w:sz w:val="21"/>
              </w:rPr>
              <w:t>支持为数字人视频设置人物阴影；</w:t>
            </w:r>
          </w:p>
          <w:p>
            <w:pPr>
              <w:pStyle w:val="null3"/>
              <w:jc w:val="both"/>
            </w:pPr>
            <w:r>
              <w:rPr>
                <w:sz w:val="21"/>
              </w:rPr>
              <w:t>11</w:t>
            </w:r>
            <w:r>
              <w:rPr>
                <w:sz w:val="21"/>
              </w:rPr>
              <w:t>.</w:t>
            </w:r>
            <w:r>
              <w:rPr>
                <w:sz w:val="21"/>
              </w:rPr>
              <w:t>支持自定义设置数字人视频的背景；</w:t>
            </w:r>
          </w:p>
          <w:p>
            <w:pPr>
              <w:pStyle w:val="null3"/>
              <w:jc w:val="both"/>
            </w:pPr>
            <w:r>
              <w:rPr>
                <w:sz w:val="21"/>
              </w:rPr>
              <w:t>12</w:t>
            </w:r>
            <w:r>
              <w:rPr>
                <w:sz w:val="21"/>
              </w:rPr>
              <w:t>.</w:t>
            </w:r>
            <w:r>
              <w:rPr>
                <w:sz w:val="21"/>
              </w:rPr>
              <w:t>支持开启字幕功能，自动解析并置于数字人视频合适位置；</w:t>
            </w:r>
          </w:p>
          <w:p>
            <w:pPr>
              <w:pStyle w:val="null3"/>
              <w:jc w:val="both"/>
            </w:pPr>
            <w:r>
              <w:rPr>
                <w:sz w:val="21"/>
              </w:rPr>
              <w:t>13</w:t>
            </w:r>
            <w:r>
              <w:rPr>
                <w:sz w:val="21"/>
              </w:rPr>
              <w:t>.</w:t>
            </w:r>
            <w:r>
              <w:rPr>
                <w:sz w:val="21"/>
              </w:rPr>
              <w:t>支持循序播放的动作驱动模式：支持使用完整视频流作为动作源，无需切片处理，实现动作序列的连续播放。采用顺播、倒播及无限循环播放机制，确保动作过渡自然、连贯性高，避免动作切片可能带来的帧间跳跃或衔接断裂问题。模式适用于对动作流畅度要求较高的展示类场景，保障视觉体验的稳定性与观赏性。</w:t>
            </w:r>
          </w:p>
          <w:p>
            <w:pPr>
              <w:pStyle w:val="null3"/>
              <w:jc w:val="both"/>
            </w:pPr>
            <w:r>
              <w:rPr>
                <w:sz w:val="21"/>
              </w:rPr>
              <w:t>▲</w:t>
            </w:r>
            <w:r>
              <w:rPr>
                <w:sz w:val="21"/>
              </w:rPr>
              <w:t>14</w:t>
            </w:r>
            <w:r>
              <w:rPr>
                <w:sz w:val="21"/>
              </w:rPr>
              <w:t>.</w:t>
            </w:r>
            <w:r>
              <w:rPr>
                <w:sz w:val="21"/>
              </w:rPr>
              <w:t>支持动作切片的动作驱动模式：要求系统内置基于深度学习的动作识别模型，能够对用户上传的原始视频进行关键动作帧检测与语义分割。支持自动将连续动作视频进行智能切片，形成结构化动作单元库。（提供以下任一项证明材料：</w:t>
            </w:r>
            <w:r>
              <w:rPr>
                <w:sz w:val="21"/>
              </w:rPr>
              <w:t>① 产品说明书或技术手册标注页（加盖投标人公章）；②制造商官网产品参数截图（加盖投标人公章））</w:t>
            </w:r>
          </w:p>
          <w:p>
            <w:pPr>
              <w:pStyle w:val="null3"/>
              <w:jc w:val="both"/>
            </w:pPr>
            <w:r>
              <w:rPr>
                <w:sz w:val="21"/>
              </w:rPr>
              <w:t>▲</w:t>
            </w:r>
            <w:r>
              <w:rPr>
                <w:sz w:val="21"/>
              </w:rPr>
              <w:t>15</w:t>
            </w:r>
            <w:r>
              <w:rPr>
                <w:sz w:val="21"/>
              </w:rPr>
              <w:t>.</w:t>
            </w:r>
            <w:r>
              <w:rPr>
                <w:sz w:val="21"/>
              </w:rPr>
              <w:t>支持对动作切片过程中的关键参数进行精细化配置，提供可视化参数调节界面，允许用户根据实际视频内容与应用场景需求，自定义调整动作识别与分割的敏感度与粒度，提升数字人动作生成的准确性与适应性。</w:t>
            </w:r>
          </w:p>
          <w:p>
            <w:pPr>
              <w:pStyle w:val="null3"/>
              <w:jc w:val="both"/>
            </w:pPr>
            <w:r>
              <w:rPr>
                <w:sz w:val="21"/>
              </w:rPr>
              <w:t>(1)</w:t>
            </w:r>
            <w:r>
              <w:rPr>
                <w:sz w:val="21"/>
              </w:rPr>
              <w:t>选取动作帧使用的距离阈值：用于控制动作起始帧的检测灵敏度，用户可调节该阈值以适应不同动作幅度的视频输入，避免微小动作误触发或大动作漏检；</w:t>
            </w:r>
          </w:p>
          <w:p>
            <w:pPr>
              <w:pStyle w:val="null3"/>
              <w:jc w:val="both"/>
            </w:pPr>
            <w:r>
              <w:rPr>
                <w:sz w:val="21"/>
              </w:rPr>
              <w:t>(2)</w:t>
            </w:r>
            <w:r>
              <w:rPr>
                <w:sz w:val="21"/>
              </w:rPr>
              <w:t>选取结束帧使用的距离阈值：用于判断动作片段的终止时机，支持动态调整以优化动作片段的完整性与边界精度；</w:t>
            </w:r>
          </w:p>
          <w:p>
            <w:pPr>
              <w:pStyle w:val="null3"/>
              <w:jc w:val="both"/>
            </w:pPr>
            <w:r>
              <w:rPr>
                <w:sz w:val="21"/>
              </w:rPr>
              <w:t>(3)</w:t>
            </w:r>
            <w:r>
              <w:rPr>
                <w:sz w:val="21"/>
              </w:rPr>
              <w:t>最短动作片段长度：可设置动作片段的最短持续时间（单位：帧），过滤掉过短的无效动作抖动，提升动作语义清晰度；</w:t>
            </w:r>
          </w:p>
          <w:p>
            <w:pPr>
              <w:pStyle w:val="null3"/>
              <w:jc w:val="both"/>
            </w:pPr>
            <w:r>
              <w:rPr>
                <w:sz w:val="21"/>
              </w:rPr>
              <w:t>(4)</w:t>
            </w:r>
            <w:r>
              <w:rPr>
                <w:sz w:val="21"/>
              </w:rPr>
              <w:t>最大动作片段长度：可设定单个动作片段的最大时长，防止过长动作未被合理切分，便于后续按语义调用与组合。</w:t>
            </w:r>
          </w:p>
          <w:p>
            <w:pPr>
              <w:pStyle w:val="null3"/>
              <w:jc w:val="both"/>
            </w:pPr>
            <w:r>
              <w:rPr>
                <w:sz w:val="21"/>
              </w:rPr>
              <w:t>（提供满足上述（</w:t>
            </w:r>
            <w:r>
              <w:rPr>
                <w:sz w:val="21"/>
              </w:rPr>
              <w:t>1</w:t>
            </w:r>
            <w:r>
              <w:rPr>
                <w:sz w:val="21"/>
              </w:rPr>
              <w:t>）</w:t>
            </w:r>
            <w:r>
              <w:rPr>
                <w:sz w:val="21"/>
              </w:rPr>
              <w:t>-</w:t>
            </w:r>
            <w:r>
              <w:rPr>
                <w:sz w:val="21"/>
              </w:rPr>
              <w:t>（</w:t>
            </w:r>
            <w:r>
              <w:rPr>
                <w:sz w:val="21"/>
              </w:rPr>
              <w:t>4</w:t>
            </w:r>
            <w:r>
              <w:rPr>
                <w:sz w:val="21"/>
              </w:rPr>
              <w:t>）点功能要求的功能截图证明加盖投标人公章）</w:t>
            </w:r>
          </w:p>
          <w:p>
            <w:pPr>
              <w:pStyle w:val="null3"/>
              <w:jc w:val="both"/>
            </w:pPr>
            <w:r>
              <w:rPr>
                <w:sz w:val="21"/>
              </w:rPr>
              <w:t>16</w:t>
            </w:r>
            <w:r>
              <w:rPr>
                <w:sz w:val="21"/>
              </w:rPr>
              <w:t>.</w:t>
            </w:r>
            <w:r>
              <w:rPr>
                <w:sz w:val="21"/>
              </w:rPr>
              <w:t>支持动作切片视频可视化展示，即在基于视频进行虚拟形象建模时，能够实时呈现由动作识别算法生成的动作切片结果，展示关键动作片段的分割效果，便于用户了解系统对原始视频的动作解析能力。支持将生成的动作切片中间文件导出为标准视频格式，每个动作片段可单独导出，便于用户进行后期分析、质量评估或教学演示。</w:t>
            </w:r>
            <w:r>
              <w:rPr>
                <w:sz w:val="21"/>
                <w:b/>
              </w:rPr>
              <w:t>（须提供功能演示）</w:t>
            </w:r>
          </w:p>
          <w:p>
            <w:pPr>
              <w:pStyle w:val="null3"/>
              <w:jc w:val="both"/>
            </w:pPr>
            <w:r>
              <w:rPr>
                <w:sz w:val="21"/>
              </w:rPr>
              <w:t>17</w:t>
            </w:r>
            <w:r>
              <w:rPr>
                <w:sz w:val="21"/>
              </w:rPr>
              <w:t>.</w:t>
            </w:r>
            <w:r>
              <w:rPr>
                <w:sz w:val="21"/>
              </w:rPr>
              <w:t>支持对已合成数字人作品按任务状态（全部、完成、进行中、失败）筛选；</w:t>
            </w:r>
          </w:p>
          <w:p>
            <w:pPr>
              <w:pStyle w:val="null3"/>
              <w:jc w:val="both"/>
            </w:pPr>
            <w:r>
              <w:rPr>
                <w:sz w:val="21"/>
              </w:rPr>
              <w:t>18</w:t>
            </w:r>
            <w:r>
              <w:rPr>
                <w:sz w:val="21"/>
              </w:rPr>
              <w:t>.</w:t>
            </w:r>
            <w:r>
              <w:rPr>
                <w:sz w:val="21"/>
              </w:rPr>
              <w:t>支持对已合成数字人作品展示作品名称、时长、状态；</w:t>
            </w:r>
          </w:p>
          <w:p>
            <w:pPr>
              <w:pStyle w:val="null3"/>
              <w:jc w:val="both"/>
            </w:pPr>
            <w:r>
              <w:rPr>
                <w:sz w:val="21"/>
              </w:rPr>
              <w:t>19</w:t>
            </w:r>
            <w:r>
              <w:rPr>
                <w:sz w:val="21"/>
              </w:rPr>
              <w:t>.</w:t>
            </w:r>
            <w:r>
              <w:rPr>
                <w:sz w:val="21"/>
              </w:rPr>
              <w:t>支持对已合成数字人作品进行播放、查看详情、删除操作；</w:t>
            </w:r>
          </w:p>
          <w:p>
            <w:pPr>
              <w:pStyle w:val="null3"/>
              <w:jc w:val="both"/>
            </w:pPr>
            <w:r>
              <w:rPr>
                <w:sz w:val="21"/>
              </w:rPr>
              <w:t>20</w:t>
            </w:r>
            <w:r>
              <w:rPr>
                <w:sz w:val="21"/>
              </w:rPr>
              <w:t>.</w:t>
            </w:r>
            <w:r>
              <w:rPr>
                <w:sz w:val="21"/>
              </w:rPr>
              <w:t>支持对已合成数字人作品详情页，包含创建时间、音频信息、视频预览及下载功能。</w:t>
            </w:r>
          </w:p>
          <w:p>
            <w:pPr>
              <w:pStyle w:val="null3"/>
              <w:jc w:val="both"/>
            </w:pPr>
            <w:r>
              <w:rPr>
                <w:sz w:val="21"/>
              </w:rPr>
              <w:t>▲</w:t>
            </w:r>
            <w:r>
              <w:rPr>
                <w:sz w:val="21"/>
              </w:rPr>
              <w:t>21</w:t>
            </w:r>
            <w:r>
              <w:rPr>
                <w:sz w:val="21"/>
              </w:rPr>
              <w:t>.</w:t>
            </w:r>
            <w:r>
              <w:rPr>
                <w:sz w:val="21"/>
              </w:rPr>
              <w:t>采用人脸自动检测技术，内置基于深度场景理解的人脸检测算法，能够智能分析视频画面中的复杂背景、光照变化及多人物干扰，精准定位并锁定目标人物主体，为后续生成高拟真、无畸变的</w:t>
            </w:r>
            <w:r>
              <w:rPr>
                <w:sz w:val="21"/>
              </w:rPr>
              <w:t>2D</w:t>
            </w:r>
            <w:r>
              <w:rPr>
                <w:sz w:val="21"/>
              </w:rPr>
              <w:t>数字人形象奠定坚实基础。（提供以下任一项证明材料：① 产品说明书或技术手册标注页（加盖投标人公章）；②制造商官网产品参数截图（加盖投标人公章））</w:t>
            </w:r>
          </w:p>
          <w:p>
            <w:pPr>
              <w:pStyle w:val="null3"/>
              <w:jc w:val="both"/>
            </w:pPr>
            <w:r>
              <w:rPr>
                <w:sz w:val="21"/>
              </w:rPr>
              <w:t>（</w:t>
            </w:r>
            <w:r>
              <w:rPr>
                <w:sz w:val="21"/>
              </w:rPr>
              <w:t>五</w:t>
            </w:r>
            <w:r>
              <w:rPr>
                <w:sz w:val="21"/>
              </w:rPr>
              <w:t>）</w:t>
            </w:r>
            <w:r>
              <w:rPr>
                <w:sz w:val="21"/>
              </w:rPr>
              <w:t>文案智能生成模块</w:t>
            </w:r>
          </w:p>
          <w:p>
            <w:pPr>
              <w:pStyle w:val="null3"/>
              <w:jc w:val="both"/>
            </w:pPr>
            <w:r>
              <w:rPr>
                <w:sz w:val="21"/>
              </w:rPr>
              <w:t>1</w:t>
            </w:r>
            <w:r>
              <w:rPr/>
              <w:t>.</w:t>
            </w:r>
            <w:r>
              <w:rPr>
                <w:sz w:val="21"/>
              </w:rPr>
              <w:t>系统须支持面向数字人内容创作的智能文案生成模块，支持基于大语言模型的多场景、多类型文本自动生成能力，专为数字人语音播报、视频讲解、知识输出等交互场景优化，提升内容生产效率与表达质量。</w:t>
            </w:r>
          </w:p>
          <w:p>
            <w:pPr>
              <w:pStyle w:val="null3"/>
              <w:jc w:val="both"/>
            </w:pPr>
            <w:r>
              <w:rPr>
                <w:sz w:val="21"/>
              </w:rPr>
              <w:t>2</w:t>
            </w:r>
            <w:r>
              <w:rPr/>
              <w:t>.</w:t>
            </w:r>
            <w:r>
              <w:rPr>
                <w:sz w:val="21"/>
              </w:rPr>
              <w:t>支持以下数字人专用文案类型的一键生成：教学讲解稿、产品介绍文案、政务服务指南、活动通知稿、个性化评语与总结等场景，须提供不少于</w:t>
            </w:r>
            <w:r>
              <w:rPr>
                <w:sz w:val="21"/>
              </w:rPr>
              <w:t>10</w:t>
            </w:r>
            <w:r>
              <w:rPr>
                <w:sz w:val="21"/>
              </w:rPr>
              <w:t>类预置模板库。</w:t>
            </w:r>
          </w:p>
          <w:p>
            <w:pPr>
              <w:pStyle w:val="null3"/>
              <w:jc w:val="both"/>
            </w:pPr>
            <w:r>
              <w:rPr>
                <w:sz w:val="21"/>
              </w:rPr>
              <w:t>3</w:t>
            </w:r>
            <w:r>
              <w:rPr/>
              <w:t>.</w:t>
            </w:r>
            <w:r>
              <w:rPr>
                <w:sz w:val="21"/>
              </w:rPr>
              <w:t>支持对已生成的数字人文案进行列表管理，包括展示标题、字数、创建时间。</w:t>
            </w:r>
          </w:p>
          <w:p>
            <w:pPr>
              <w:pStyle w:val="null3"/>
              <w:jc w:val="both"/>
            </w:pPr>
            <w:r>
              <w:rPr>
                <w:sz w:val="21"/>
              </w:rPr>
              <w:t>4</w:t>
            </w:r>
            <w:r>
              <w:rPr/>
              <w:t>.</w:t>
            </w:r>
            <w:r>
              <w:rPr>
                <w:sz w:val="21"/>
              </w:rPr>
              <w:t>支持用户自定义模版保存并在后续进行自定义调用。</w:t>
            </w:r>
          </w:p>
          <w:p>
            <w:pPr>
              <w:pStyle w:val="null3"/>
              <w:jc w:val="both"/>
            </w:pPr>
            <w:r>
              <w:rPr>
                <w:sz w:val="21"/>
              </w:rPr>
              <w:t>5</w:t>
            </w:r>
            <w:r>
              <w:rPr/>
              <w:t>.</w:t>
            </w:r>
            <w:r>
              <w:rPr>
                <w:sz w:val="21"/>
              </w:rPr>
              <w:t>支持针对不同文案模版，用户自行输入关键信息驱动大模型生成。如活动通知模版，支持自定义如活动主题、活动地点、参与方式、内容要点等内容。</w:t>
            </w:r>
          </w:p>
          <w:p>
            <w:pPr>
              <w:pStyle w:val="null3"/>
              <w:jc w:val="both"/>
            </w:pPr>
            <w:r>
              <w:rPr>
                <w:sz w:val="21"/>
              </w:rPr>
              <w:t>6</w:t>
            </w:r>
            <w:r>
              <w:rPr/>
              <w:t>.</w:t>
            </w:r>
            <w:r>
              <w:rPr>
                <w:sz w:val="21"/>
              </w:rPr>
              <w:t>支持对已生成文本进行富文本在线编辑，内置可视化编辑器。</w:t>
            </w:r>
          </w:p>
          <w:p>
            <w:pPr>
              <w:pStyle w:val="null3"/>
              <w:jc w:val="both"/>
            </w:pPr>
            <w:r>
              <w:rPr>
                <w:sz w:val="21"/>
              </w:rPr>
              <w:t>7</w:t>
            </w:r>
            <w:r>
              <w:rPr/>
              <w:t>.</w:t>
            </w:r>
            <w:r>
              <w:rPr>
                <w:sz w:val="21"/>
              </w:rPr>
              <w:t>富文本编辑器支持自动对</w:t>
            </w:r>
            <w:r>
              <w:rPr>
                <w:sz w:val="21"/>
              </w:rPr>
              <w:t>MarkDown</w:t>
            </w:r>
            <w:r>
              <w:rPr>
                <w:sz w:val="21"/>
              </w:rPr>
              <w:t>格式文本进行解析，以便兼容大模型输出或人为快速设定标题、序号等功能。</w:t>
            </w:r>
          </w:p>
          <w:p>
            <w:pPr>
              <w:pStyle w:val="null3"/>
              <w:jc w:val="both"/>
            </w:pPr>
            <w:r>
              <w:rPr>
                <w:sz w:val="21"/>
              </w:rPr>
              <w:t>8</w:t>
            </w:r>
            <w:r>
              <w:rPr/>
              <w:t>.</w:t>
            </w:r>
            <w:r>
              <w:rPr>
                <w:sz w:val="21"/>
              </w:rPr>
              <w:t>支持将定稿的文案内容导出为多种标准格式文件（</w:t>
            </w:r>
            <w:r>
              <w:rPr>
                <w:sz w:val="21"/>
              </w:rPr>
              <w:t>PDF</w:t>
            </w:r>
            <w:r>
              <w:rPr>
                <w:sz w:val="21"/>
              </w:rPr>
              <w:t>、</w:t>
            </w:r>
            <w:r>
              <w:rPr>
                <w:sz w:val="21"/>
              </w:rPr>
              <w:t>Word</w:t>
            </w:r>
            <w:r>
              <w:rPr>
                <w:sz w:val="21"/>
              </w:rPr>
              <w:t>），满足跨平台使用需求。导出文件须完整保留原文内容、格式标记及段落结构。</w:t>
            </w:r>
          </w:p>
          <w:p>
            <w:pPr>
              <w:pStyle w:val="null3"/>
              <w:jc w:val="both"/>
            </w:pPr>
            <w:r>
              <w:rPr>
                <w:sz w:val="21"/>
              </w:rPr>
              <w:t>9</w:t>
            </w:r>
            <w:r>
              <w:rPr/>
              <w:t>.</w:t>
            </w:r>
            <w:r>
              <w:rPr>
                <w:sz w:val="21"/>
              </w:rPr>
              <w:t>支持对生成的文稿进行一键复制全文功能，以便用户快速复制被应用到剪切板中。</w:t>
            </w:r>
          </w:p>
          <w:p>
            <w:pPr>
              <w:pStyle w:val="null3"/>
              <w:jc w:val="both"/>
            </w:pPr>
            <w:r>
              <w:rPr>
                <w:sz w:val="21"/>
              </w:rPr>
              <w:t>10</w:t>
            </w:r>
            <w:r>
              <w:rPr/>
              <w:t>.</w:t>
            </w:r>
            <w:r>
              <w:rPr>
                <w:sz w:val="21"/>
              </w:rPr>
              <w:t>支持对生成的文稿进行全文优化，包括</w:t>
            </w:r>
            <w:r>
              <w:rPr>
                <w:sz w:val="21"/>
              </w:rPr>
              <w:t>“正式得体”、“有说服力”、“专业”、“幽默风趣”、“有感染力”、“随机优化”等场景。系统应基于语义理解自动重写内容，保持原意不变，提升表达适配性。</w:t>
            </w:r>
          </w:p>
          <w:p>
            <w:pPr>
              <w:pStyle w:val="null3"/>
              <w:jc w:val="both"/>
            </w:pPr>
            <w:r>
              <w:rPr>
                <w:sz w:val="21"/>
              </w:rPr>
              <w:t>11</w:t>
            </w:r>
            <w:r>
              <w:rPr/>
              <w:t>.</w:t>
            </w:r>
            <w:r>
              <w:rPr>
                <w:sz w:val="21"/>
              </w:rPr>
              <w:t>支持对生成的文稿进行目录展示，从侧边栏弹出详细目录结构，以便用户快速定位到指定章节。</w:t>
            </w:r>
          </w:p>
          <w:p>
            <w:pPr>
              <w:pStyle w:val="null3"/>
              <w:jc w:val="both"/>
            </w:pPr>
            <w:r>
              <w:rPr>
                <w:sz w:val="21"/>
              </w:rPr>
              <w:t>▲</w:t>
            </w:r>
            <w:r>
              <w:rPr>
                <w:sz w:val="21"/>
              </w:rPr>
              <w:t>12</w:t>
            </w:r>
            <w:r>
              <w:rPr/>
              <w:t>.</w:t>
            </w:r>
            <w:r>
              <w:rPr>
                <w:sz w:val="21"/>
              </w:rPr>
              <w:t>支持对选中文本片段执行语气风格转换的</w:t>
            </w:r>
            <w:r>
              <w:rPr>
                <w:sz w:val="21"/>
              </w:rPr>
              <w:t>AI</w:t>
            </w:r>
            <w:r>
              <w:rPr>
                <w:sz w:val="21"/>
              </w:rPr>
              <w:t>智能优化指令，用户可通过菜单选择对文本进行：“正式得体”、“亲切自然”、“幽默风趣”、“权威专业”等；系统应基于语义理解自动重写内容，保持原意不变，提升表达适配性。（提供满足上述功能要求的功能截图证明加盖投标人公章）</w:t>
            </w:r>
          </w:p>
          <w:p>
            <w:pPr>
              <w:pStyle w:val="null3"/>
              <w:jc w:val="both"/>
            </w:pPr>
            <w:r>
              <w:rPr>
                <w:sz w:val="21"/>
              </w:rPr>
              <w:t>13</w:t>
            </w:r>
            <w:r>
              <w:rPr/>
              <w:t>.</w:t>
            </w:r>
            <w:r>
              <w:rPr>
                <w:sz w:val="21"/>
              </w:rPr>
              <w:t>支持对选中文本片段执行表达方式优化的</w:t>
            </w:r>
            <w:r>
              <w:rPr>
                <w:sz w:val="21"/>
              </w:rPr>
              <w:t>AI</w:t>
            </w:r>
            <w:r>
              <w:rPr>
                <w:sz w:val="21"/>
              </w:rPr>
              <w:t>智能优化指令：如“简化表达”、“增强说服力”、“口语化处理”等；系统应基于语义理解自动重写内容，保持原意不变，提升表达适配性。</w:t>
            </w:r>
          </w:p>
          <w:p>
            <w:pPr>
              <w:pStyle w:val="null3"/>
              <w:jc w:val="both"/>
            </w:pPr>
            <w:r>
              <w:rPr>
                <w:sz w:val="21"/>
              </w:rPr>
              <w:t>▲</w:t>
            </w:r>
            <w:r>
              <w:rPr>
                <w:sz w:val="21"/>
              </w:rPr>
              <w:t>14</w:t>
            </w:r>
            <w:r>
              <w:rPr/>
              <w:t>.</w:t>
            </w:r>
            <w:r>
              <w:rPr>
                <w:sz w:val="21"/>
              </w:rPr>
              <w:t>支持对选中文本执行智能扩展操作，包括：</w:t>
            </w:r>
          </w:p>
          <w:p>
            <w:pPr>
              <w:pStyle w:val="null3"/>
              <w:jc w:val="both"/>
            </w:pPr>
            <w:r>
              <w:rPr>
                <w:sz w:val="21"/>
              </w:rPr>
              <w:t>(1)</w:t>
            </w:r>
            <w:r>
              <w:rPr>
                <w:sz w:val="21"/>
              </w:rPr>
              <w:t>续写：根据上下文自动延续内容，适用于补充讲解细节；</w:t>
            </w:r>
          </w:p>
          <w:p>
            <w:pPr>
              <w:pStyle w:val="null3"/>
              <w:jc w:val="both"/>
            </w:pPr>
            <w:r>
              <w:rPr>
                <w:sz w:val="21"/>
              </w:rPr>
              <w:t>(2)</w:t>
            </w:r>
            <w:r>
              <w:rPr>
                <w:sz w:val="21"/>
              </w:rPr>
              <w:t>扩写：对简要描述进行内容丰富和逻辑拓展；</w:t>
            </w:r>
          </w:p>
          <w:p>
            <w:pPr>
              <w:pStyle w:val="null3"/>
              <w:jc w:val="both"/>
            </w:pPr>
            <w:r>
              <w:rPr>
                <w:sz w:val="21"/>
              </w:rPr>
              <w:t>(3)</w:t>
            </w:r>
            <w:r>
              <w:rPr>
                <w:sz w:val="21"/>
              </w:rPr>
              <w:t>缩写：提炼核心信息，生成简洁版本，适用于摘要播报；</w:t>
            </w:r>
          </w:p>
          <w:p>
            <w:pPr>
              <w:pStyle w:val="null3"/>
              <w:jc w:val="both"/>
            </w:pPr>
            <w:r>
              <w:rPr>
                <w:sz w:val="21"/>
              </w:rPr>
              <w:t>（提供满足上述功能要求的功能截图证明加盖投标人公章）</w:t>
            </w:r>
          </w:p>
          <w:p>
            <w:pPr>
              <w:pStyle w:val="null3"/>
              <w:jc w:val="both"/>
            </w:pPr>
            <w:r>
              <w:rPr>
                <w:sz w:val="21"/>
              </w:rPr>
              <w:t>▲</w:t>
            </w:r>
            <w:r>
              <w:rPr>
                <w:sz w:val="21"/>
              </w:rPr>
              <w:t>15</w:t>
            </w:r>
            <w:r>
              <w:rPr/>
              <w:t>.</w:t>
            </w:r>
            <w:r>
              <w:rPr>
                <w:sz w:val="21"/>
              </w:rPr>
              <w:t>系统须具备完整的文本版本管理机制，在用户每次编辑、修改或</w:t>
            </w:r>
            <w:r>
              <w:rPr>
                <w:sz w:val="21"/>
              </w:rPr>
              <w:t>AI</w:t>
            </w:r>
            <w:r>
              <w:rPr>
                <w:sz w:val="21"/>
              </w:rPr>
              <w:t>优化后，自动保存历史版本，形成时间轴式版本记录。支持一键回溯恢复至任一历史版本，防止误操作导致内容丢失。（提供满足上述功能要求的功能截图证明加盖投标人公章）</w:t>
            </w:r>
          </w:p>
          <w:p>
            <w:pPr>
              <w:pStyle w:val="null3"/>
              <w:jc w:val="both"/>
            </w:pPr>
            <w:r>
              <w:rPr>
                <w:sz w:val="21"/>
              </w:rPr>
              <w:t>16.</w:t>
            </w:r>
            <w:r>
              <w:rPr>
                <w:sz w:val="21"/>
              </w:rPr>
              <w:t>支持数字人专用文案类型的一键生成完整闭环。闭环流程包括：用户在选择合适模版以及输入所需信息后，系统自动生成对应要求的文案，文案支持进行富文本在线编辑，并支持复制、保存、文章历史等功能，支持将最终定稿的文案内容导出为标准格式文件。</w:t>
            </w:r>
            <w:r>
              <w:rPr>
                <w:sz w:val="21"/>
                <w:b/>
              </w:rPr>
              <w:t>（须提供功能演示）</w:t>
            </w:r>
          </w:p>
          <w:p>
            <w:pPr>
              <w:pStyle w:val="null3"/>
              <w:jc w:val="both"/>
            </w:pPr>
            <w:r>
              <w:rPr>
                <w:sz w:val="21"/>
              </w:rPr>
              <w:t>（</w:t>
            </w:r>
            <w:r>
              <w:rPr>
                <w:sz w:val="21"/>
              </w:rPr>
              <w:t>六</w:t>
            </w:r>
            <w:r>
              <w:rPr>
                <w:sz w:val="21"/>
              </w:rPr>
              <w:t>）场景化智能数字人生成工作流</w:t>
            </w:r>
          </w:p>
          <w:p>
            <w:pPr>
              <w:pStyle w:val="null3"/>
              <w:jc w:val="both"/>
            </w:pPr>
            <w:r>
              <w:rPr>
                <w:sz w:val="21"/>
              </w:rPr>
              <w:t>1.</w:t>
            </w:r>
            <w:r>
              <w:rPr>
                <w:sz w:val="21"/>
              </w:rPr>
              <w:t>系统支持面向不同行业与应用需求的标准化、流程化的数字人视频生成工作流，降低用户操作门槛，提升内容生产效率。</w:t>
            </w:r>
          </w:p>
          <w:p>
            <w:pPr>
              <w:pStyle w:val="null3"/>
              <w:jc w:val="both"/>
            </w:pPr>
            <w:r>
              <w:rPr>
                <w:sz w:val="21"/>
              </w:rPr>
              <w:t>▲</w:t>
            </w:r>
            <w:r>
              <w:rPr>
                <w:sz w:val="21"/>
              </w:rPr>
              <w:t>2.</w:t>
            </w:r>
            <w:r>
              <w:rPr>
                <w:sz w:val="21"/>
              </w:rPr>
              <w:t>工作流首页须提供可视化场景列表展示界面，支持以卡片式布局呈现预设应用场景，包括但不限于：教育培训、新闻播报、基础纯色、企业宣传、大会主持等场景。（提供以下任一项证明材料：① 产品说明书或技术手册标注页（加盖投标人公章）；②制造商官网产品参数截图（加盖投标人公章））</w:t>
            </w:r>
          </w:p>
          <w:p>
            <w:pPr>
              <w:pStyle w:val="null3"/>
              <w:jc w:val="both"/>
            </w:pPr>
            <w:r>
              <w:rPr>
                <w:sz w:val="21"/>
              </w:rPr>
              <w:t>3.</w:t>
            </w:r>
            <w:r>
              <w:rPr>
                <w:sz w:val="21"/>
              </w:rPr>
              <w:t>场景工作流须采用四步引导式向导设计，分四个子页面依次完成配置，确保流程清晰、操作连贯：音色选择、形象与背景选择、文案选择、参数设置。完成四步配置后，系统应支持“一键生成”数字人视频，自动调用声音合成、形象驱动、口型对齐、视频合成等底层模块，实现全流程自动化处理，无需用户跳转至其他功能页面。</w:t>
            </w:r>
            <w:r>
              <w:rPr>
                <w:sz w:val="21"/>
                <w:b/>
              </w:rPr>
              <w:t>（须提供功能演示）</w:t>
            </w:r>
          </w:p>
          <w:p>
            <w:pPr>
              <w:pStyle w:val="null3"/>
              <w:jc w:val="both"/>
            </w:pPr>
            <w:r>
              <w:rPr>
                <w:sz w:val="21"/>
              </w:rPr>
              <w:t>4.</w:t>
            </w:r>
            <w:r>
              <w:rPr>
                <w:sz w:val="21"/>
              </w:rPr>
              <w:t>支持用户在后续步骤中返回工作流的上一步，以便增加工作流的容错性。</w:t>
            </w:r>
          </w:p>
          <w:p>
            <w:pPr>
              <w:pStyle w:val="null3"/>
              <w:jc w:val="both"/>
            </w:pPr>
            <w:r>
              <w:rPr>
                <w:sz w:val="21"/>
              </w:rPr>
              <w:t>▲</w:t>
            </w:r>
            <w:r>
              <w:rPr>
                <w:sz w:val="21"/>
              </w:rPr>
              <w:t>5.</w:t>
            </w:r>
            <w:r>
              <w:rPr>
                <w:sz w:val="21"/>
              </w:rPr>
              <w:t>支持画面合成预览功能， 在“形象与背景选择”步骤完成后，系统前端将立即调用渲染引擎，对所选数字人形象、背景图进行实时合成与渲染，并在配置界面内提供预览窗口。（提供满足上述功能要求的功能截图证明加盖投标人公章）</w:t>
            </w:r>
          </w:p>
          <w:p>
            <w:pPr>
              <w:pStyle w:val="null3"/>
              <w:jc w:val="both"/>
            </w:pPr>
            <w:r>
              <w:rPr>
                <w:sz w:val="21"/>
              </w:rPr>
              <w:t>6.</w:t>
            </w:r>
            <w:r>
              <w:rPr>
                <w:sz w:val="21"/>
              </w:rPr>
              <w:t>支持对实时渲染页面中的人物位置进行调整，以保证数字人形象与背景呈现合理。</w:t>
            </w:r>
          </w:p>
          <w:p>
            <w:pPr>
              <w:pStyle w:val="null3"/>
              <w:jc w:val="both"/>
            </w:pPr>
            <w:r>
              <w:rPr>
                <w:sz w:val="21"/>
              </w:rPr>
              <w:t>7.</w:t>
            </w:r>
            <w:r>
              <w:rPr>
                <w:sz w:val="21"/>
              </w:rPr>
              <w:t>系统预置至少</w:t>
            </w:r>
            <w:r>
              <w:rPr>
                <w:sz w:val="21"/>
              </w:rPr>
              <w:t>10</w:t>
            </w:r>
            <w:r>
              <w:rPr>
                <w:sz w:val="21"/>
              </w:rPr>
              <w:t>种数字人生成场景工作流供用户选择。</w:t>
            </w:r>
            <w:r>
              <w:rPr>
                <w:sz w:val="21"/>
                <w:b/>
              </w:rPr>
              <w:t>（须提供功能演示）</w:t>
            </w:r>
          </w:p>
          <w:p>
            <w:pPr>
              <w:pStyle w:val="null3"/>
              <w:jc w:val="both"/>
            </w:pPr>
            <w:r>
              <w:rPr>
                <w:sz w:val="21"/>
              </w:rPr>
              <w:t>8.</w:t>
            </w:r>
            <w:r>
              <w:rPr>
                <w:sz w:val="21"/>
              </w:rPr>
              <w:t>系统预置至少</w:t>
            </w:r>
            <w:r>
              <w:rPr>
                <w:sz w:val="21"/>
              </w:rPr>
              <w:t>20</w:t>
            </w:r>
            <w:r>
              <w:rPr>
                <w:sz w:val="21"/>
              </w:rPr>
              <w:t>个数字人视频文案模版供用户选择。</w:t>
            </w:r>
            <w:r>
              <w:rPr>
                <w:sz w:val="21"/>
                <w:b/>
              </w:rPr>
              <w:t>（须提供功能演示）</w:t>
            </w:r>
          </w:p>
          <w:p>
            <w:pPr>
              <w:pStyle w:val="null3"/>
              <w:jc w:val="both"/>
            </w:pPr>
            <w:r>
              <w:rPr>
                <w:sz w:val="21"/>
              </w:rPr>
              <w:t>9.</w:t>
            </w:r>
            <w:r>
              <w:rPr>
                <w:sz w:val="21"/>
              </w:rPr>
              <w:t>系统预置至少</w:t>
            </w:r>
            <w:r>
              <w:rPr>
                <w:sz w:val="21"/>
              </w:rPr>
              <w:t>30</w:t>
            </w:r>
            <w:r>
              <w:rPr>
                <w:sz w:val="21"/>
              </w:rPr>
              <w:t>个数字人系统音色供用户选择。</w:t>
            </w:r>
            <w:r>
              <w:rPr>
                <w:sz w:val="21"/>
                <w:b/>
              </w:rPr>
              <w:t>（须提供功能演示）</w:t>
            </w:r>
          </w:p>
          <w:p>
            <w:pPr>
              <w:pStyle w:val="null3"/>
              <w:jc w:val="both"/>
            </w:pPr>
            <w:r>
              <w:rPr>
                <w:sz w:val="21"/>
              </w:rPr>
              <w:t>10.</w:t>
            </w:r>
            <w:r>
              <w:rPr>
                <w:sz w:val="21"/>
              </w:rPr>
              <w:t>系统预置至少</w:t>
            </w:r>
            <w:r>
              <w:rPr>
                <w:sz w:val="21"/>
              </w:rPr>
              <w:t>60</w:t>
            </w:r>
            <w:r>
              <w:rPr>
                <w:sz w:val="21"/>
              </w:rPr>
              <w:t>张数字人背景供用户选择，并区分横屏背景与竖屏背景。（须提供功能演示）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数字人后台管理平台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（一）数字人音频管理模块</w:t>
            </w:r>
          </w:p>
          <w:p>
            <w:pPr>
              <w:pStyle w:val="null3"/>
              <w:jc w:val="both"/>
            </w:pPr>
            <w:r>
              <w:rPr>
                <w:sz w:val="21"/>
              </w:rPr>
              <w:t>1</w:t>
            </w:r>
            <w:r>
              <w:rPr>
                <w:sz w:val="21"/>
              </w:rPr>
              <w:t>.</w:t>
            </w:r>
            <w:r>
              <w:rPr>
                <w:sz w:val="21"/>
              </w:rPr>
              <w:t>支持声音克隆资源管理，提供快速检索、分类筛选与音色效果验证，实现个性化音色的集中化运营。</w:t>
            </w:r>
            <w:r>
              <w:rPr>
                <w:sz w:val="21"/>
                <w:b/>
              </w:rPr>
              <w:t>（须提供功能演示）</w:t>
            </w:r>
          </w:p>
          <w:p>
            <w:pPr>
              <w:pStyle w:val="null3"/>
              <w:jc w:val="both"/>
            </w:pPr>
            <w:r>
              <w:rPr>
                <w:sz w:val="21"/>
              </w:rPr>
              <w:t>2</w:t>
            </w:r>
            <w:r>
              <w:rPr>
                <w:sz w:val="21"/>
              </w:rPr>
              <w:t>.</w:t>
            </w:r>
            <w:r>
              <w:rPr>
                <w:sz w:val="21"/>
              </w:rPr>
              <w:t>支持声音合成管理，覆盖合成任务的全生命周期，具备高效筛选、快速查询及效果播放能力。</w:t>
            </w:r>
          </w:p>
          <w:p>
            <w:pPr>
              <w:pStyle w:val="null3"/>
              <w:jc w:val="both"/>
            </w:pPr>
            <w:r>
              <w:rPr>
                <w:sz w:val="21"/>
              </w:rPr>
              <w:t>3</w:t>
            </w:r>
            <w:r>
              <w:rPr>
                <w:sz w:val="21"/>
              </w:rPr>
              <w:t>.</w:t>
            </w:r>
            <w:r>
              <w:rPr>
                <w:sz w:val="21"/>
              </w:rPr>
              <w:t>支持系统音色统一管理，涵盖新增、编辑、试听、删除及可见性控制，满足多场景音色调用与标准化运维需求。</w:t>
            </w:r>
          </w:p>
          <w:p>
            <w:pPr>
              <w:pStyle w:val="null3"/>
              <w:jc w:val="both"/>
            </w:pPr>
            <w:r>
              <w:rPr>
                <w:sz w:val="21"/>
              </w:rPr>
              <w:t>（二）数字人视频管理模块</w:t>
            </w:r>
          </w:p>
          <w:p>
            <w:pPr>
              <w:pStyle w:val="null3"/>
              <w:jc w:val="both"/>
            </w:pPr>
            <w:r>
              <w:rPr>
                <w:sz w:val="21"/>
              </w:rPr>
              <w:t>1</w:t>
            </w:r>
            <w:r>
              <w:rPr>
                <w:sz w:val="21"/>
              </w:rPr>
              <w:t>.</w:t>
            </w:r>
            <w:r>
              <w:rPr>
                <w:sz w:val="21"/>
              </w:rPr>
              <w:t>支持人物形象集中管理，提供高效筛选、精准检索及形象训练成果直观呈现，提升资源利用率。</w:t>
            </w:r>
            <w:r>
              <w:rPr>
                <w:sz w:val="21"/>
                <w:b/>
              </w:rPr>
              <w:t>（须提供功能演示）</w:t>
            </w:r>
          </w:p>
          <w:p>
            <w:pPr>
              <w:pStyle w:val="null3"/>
              <w:jc w:val="both"/>
            </w:pPr>
            <w:r>
              <w:rPr>
                <w:sz w:val="21"/>
              </w:rPr>
              <w:t>2</w:t>
            </w:r>
            <w:r>
              <w:rPr>
                <w:sz w:val="21"/>
              </w:rPr>
              <w:t>.</w:t>
            </w:r>
            <w:r>
              <w:rPr>
                <w:sz w:val="21"/>
              </w:rPr>
              <w:t>支持合成视频全流程管理，具备智能筛选、条件查询及合成效果在线预览功能，保障视频资产高效管控。</w:t>
            </w:r>
          </w:p>
          <w:p>
            <w:pPr>
              <w:pStyle w:val="null3"/>
              <w:jc w:val="both"/>
            </w:pPr>
            <w:r>
              <w:rPr>
                <w:sz w:val="21"/>
              </w:rPr>
              <w:t>（三）交互数字人管理模块</w:t>
            </w:r>
          </w:p>
          <w:p>
            <w:pPr>
              <w:pStyle w:val="null3"/>
              <w:jc w:val="both"/>
            </w:pPr>
            <w:r>
              <w:rPr>
                <w:sz w:val="21"/>
              </w:rPr>
              <w:t>1</w:t>
            </w:r>
            <w:r>
              <w:rPr>
                <w:sz w:val="21"/>
              </w:rPr>
              <w:t>.</w:t>
            </w:r>
            <w:r>
              <w:rPr>
                <w:sz w:val="21"/>
              </w:rPr>
              <w:t>支持交互数字人全局管理，具备批量筛选、快速查询、实时调用与远程强制关闭能力，确保交互服务的稳定性与可控性。</w:t>
            </w:r>
            <w:r>
              <w:rPr>
                <w:sz w:val="21"/>
                <w:b/>
              </w:rPr>
              <w:t>（须提供功能演示）</w:t>
            </w:r>
          </w:p>
          <w:p>
            <w:pPr>
              <w:pStyle w:val="null3"/>
              <w:jc w:val="both"/>
            </w:pPr>
            <w:r>
              <w:rPr>
                <w:sz w:val="21"/>
              </w:rPr>
              <w:t>2</w:t>
            </w:r>
            <w:r>
              <w:rPr>
                <w:sz w:val="21"/>
              </w:rPr>
              <w:t>.</w:t>
            </w:r>
            <w:r>
              <w:rPr>
                <w:sz w:val="21"/>
              </w:rPr>
              <w:t>支持交互数字人安装包集中管控，提供新增、版本切换及快速查询，支持一键更新与灵活分发。</w:t>
            </w:r>
          </w:p>
          <w:p>
            <w:pPr>
              <w:pStyle w:val="null3"/>
              <w:jc w:val="both"/>
            </w:pPr>
            <w:r>
              <w:rPr>
                <w:sz w:val="21"/>
              </w:rPr>
              <w:t>（四）用户权限管理模块</w:t>
            </w:r>
          </w:p>
          <w:p>
            <w:pPr>
              <w:pStyle w:val="null3"/>
              <w:jc w:val="both"/>
            </w:pPr>
            <w:r>
              <w:rPr>
                <w:sz w:val="21"/>
              </w:rPr>
              <w:t>1</w:t>
            </w:r>
            <w:r>
              <w:rPr>
                <w:sz w:val="21"/>
              </w:rPr>
              <w:t>.</w:t>
            </w:r>
            <w:r>
              <w:rPr>
                <w:sz w:val="21"/>
              </w:rPr>
              <w:t>支持多维度管理员账号管理，涵盖新增、编辑、删除及细粒度权限分配，构建完善的后台治理体系。</w:t>
            </w:r>
            <w:r>
              <w:rPr>
                <w:sz w:val="21"/>
                <w:b/>
              </w:rPr>
              <w:t>（须提供功能演示）</w:t>
            </w:r>
          </w:p>
          <w:p>
            <w:pPr>
              <w:pStyle w:val="null3"/>
              <w:jc w:val="both"/>
            </w:pPr>
            <w:r>
              <w:rPr>
                <w:sz w:val="21"/>
              </w:rPr>
              <w:t>2</w:t>
            </w:r>
            <w:r>
              <w:rPr>
                <w:sz w:val="21"/>
              </w:rPr>
              <w:t>.</w:t>
            </w:r>
            <w:r>
              <w:rPr>
                <w:sz w:val="21"/>
              </w:rPr>
              <w:t>支持角色精细化管理，提供角色新增、编辑、删除及菜单和资源权限配置，实现灵活的多角色协同与权限隔离。</w:t>
            </w:r>
          </w:p>
          <w:p>
            <w:pPr>
              <w:pStyle w:val="null3"/>
              <w:jc w:val="both"/>
            </w:pPr>
            <w:r>
              <w:rPr>
                <w:sz w:val="21"/>
              </w:rPr>
              <w:t>3</w:t>
            </w:r>
            <w:r>
              <w:rPr>
                <w:sz w:val="21"/>
              </w:rPr>
              <w:t>.</w:t>
            </w:r>
            <w:r>
              <w:rPr>
                <w:sz w:val="21"/>
              </w:rPr>
              <w:t>支持客户端用户全生命周期管理，包括新增、修改、锁定与删除，保障用户资源的合规性与可控性。</w:t>
            </w:r>
          </w:p>
          <w:p>
            <w:pPr>
              <w:pStyle w:val="null3"/>
              <w:jc w:val="both"/>
            </w:pPr>
            <w:r>
              <w:rPr>
                <w:sz w:val="21"/>
              </w:rPr>
              <w:t>4</w:t>
            </w:r>
            <w:r>
              <w:rPr>
                <w:sz w:val="21"/>
              </w:rPr>
              <w:t>.</w:t>
            </w:r>
            <w:r>
              <w:rPr>
                <w:sz w:val="21"/>
              </w:rPr>
              <w:t>支持后台菜单智能化管理，涵盖新增、修改、删除及导航栏动态生成，提升系统操作的灵活性与可拓展性。</w:t>
            </w:r>
          </w:p>
          <w:p>
            <w:pPr>
              <w:pStyle w:val="null3"/>
              <w:jc w:val="both"/>
            </w:pPr>
            <w:r>
              <w:rPr>
                <w:sz w:val="21"/>
              </w:rPr>
              <w:t>5</w:t>
            </w:r>
            <w:r>
              <w:rPr>
                <w:sz w:val="21"/>
              </w:rPr>
              <w:t>.</w:t>
            </w:r>
            <w:r>
              <w:rPr>
                <w:sz w:val="21"/>
              </w:rPr>
              <w:t>支持资源权限分级管控，对后台接口实现精细化权限隔离，具备新增、编辑、删除功能，全面提升系统安全与可控性。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交互数字人客户端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交互数字人系统模块</w:t>
            </w:r>
          </w:p>
          <w:p>
            <w:pPr>
              <w:pStyle w:val="null3"/>
              <w:jc w:val="both"/>
            </w:pPr>
            <w:r>
              <w:rPr>
                <w:sz w:val="21"/>
              </w:rPr>
              <w:t>1.</w:t>
            </w:r>
            <w:r>
              <w:rPr>
                <w:sz w:val="21"/>
              </w:rPr>
              <w:t>支持基于数字人生成系统重已有形象和音色创建可交互的虚拟数字人，提供“新建交互形象”功能，支持：</w:t>
            </w:r>
          </w:p>
          <w:p>
            <w:pPr>
              <w:pStyle w:val="null3"/>
              <w:jc w:val="both"/>
            </w:pPr>
            <w:r>
              <w:rPr>
                <w:sz w:val="21"/>
              </w:rPr>
              <w:t>(1)</w:t>
            </w:r>
            <w:r>
              <w:rPr>
                <w:sz w:val="21"/>
              </w:rPr>
              <w:t>选择已创建的形象；</w:t>
            </w:r>
          </w:p>
          <w:p>
            <w:pPr>
              <w:pStyle w:val="null3"/>
              <w:jc w:val="both"/>
            </w:pPr>
            <w:r>
              <w:rPr>
                <w:sz w:val="21"/>
              </w:rPr>
              <w:t>(2)</w:t>
            </w:r>
            <w:r>
              <w:rPr>
                <w:sz w:val="21"/>
              </w:rPr>
              <w:t>选择已合成的声音；</w:t>
            </w:r>
          </w:p>
          <w:p>
            <w:pPr>
              <w:pStyle w:val="null3"/>
              <w:jc w:val="both"/>
            </w:pPr>
            <w:r>
              <w:rPr>
                <w:sz w:val="21"/>
              </w:rPr>
              <w:t>(3)</w:t>
            </w:r>
            <w:r>
              <w:rPr>
                <w:sz w:val="21"/>
              </w:rPr>
              <w:t>设置最大连接数（</w:t>
            </w:r>
            <w:r>
              <w:rPr>
                <w:sz w:val="21"/>
              </w:rPr>
              <w:t>1</w:t>
            </w:r>
            <w:r>
              <w:rPr>
                <w:sz w:val="21"/>
              </w:rPr>
              <w:t>–</w:t>
            </w:r>
            <w:r>
              <w:rPr>
                <w:sz w:val="21"/>
              </w:rPr>
              <w:t>10</w:t>
            </w:r>
            <w:r>
              <w:rPr>
                <w:sz w:val="21"/>
              </w:rPr>
              <w:t>）；</w:t>
            </w:r>
          </w:p>
          <w:p>
            <w:pPr>
              <w:pStyle w:val="null3"/>
              <w:jc w:val="both"/>
            </w:pPr>
            <w:r>
              <w:rPr>
                <w:sz w:val="21"/>
              </w:rPr>
              <w:t>2.</w:t>
            </w:r>
            <w:r>
              <w:rPr>
                <w:sz w:val="21"/>
              </w:rPr>
              <w:t>支持交互形象的管理：</w:t>
            </w:r>
          </w:p>
          <w:p>
            <w:pPr>
              <w:pStyle w:val="null3"/>
              <w:jc w:val="both"/>
            </w:pPr>
            <w:r>
              <w:rPr>
                <w:sz w:val="21"/>
              </w:rPr>
              <w:t>(1)</w:t>
            </w:r>
            <w:r>
              <w:rPr>
                <w:sz w:val="21"/>
              </w:rPr>
              <w:t>按状态筛选与关键字搜索；</w:t>
            </w:r>
          </w:p>
          <w:p>
            <w:pPr>
              <w:pStyle w:val="null3"/>
              <w:jc w:val="both"/>
            </w:pPr>
            <w:r>
              <w:rPr>
                <w:sz w:val="21"/>
              </w:rPr>
              <w:t>(2)</w:t>
            </w:r>
            <w:r>
              <w:rPr>
                <w:sz w:val="21"/>
              </w:rPr>
              <w:t>支持预览播放、删除操作；</w:t>
            </w:r>
          </w:p>
          <w:p>
            <w:pPr>
              <w:pStyle w:val="null3"/>
              <w:jc w:val="both"/>
            </w:pPr>
            <w:r>
              <w:rPr>
                <w:sz w:val="21"/>
              </w:rPr>
              <w:t>(3)</w:t>
            </w:r>
            <w:r>
              <w:rPr>
                <w:sz w:val="21"/>
              </w:rPr>
              <w:t>支持复制链接分享与视频下载；</w:t>
            </w:r>
          </w:p>
          <w:p>
            <w:pPr>
              <w:pStyle w:val="null3"/>
              <w:jc w:val="both"/>
            </w:pPr>
            <w:r>
              <w:rPr>
                <w:sz w:val="21"/>
              </w:rPr>
              <w:t>3.</w:t>
            </w:r>
            <w:r>
              <w:rPr>
                <w:sz w:val="21"/>
              </w:rPr>
              <w:t>支持交互形象安装包下载，便于本地化客户端部署与联动使用。</w:t>
            </w:r>
          </w:p>
          <w:p>
            <w:pPr>
              <w:pStyle w:val="null3"/>
              <w:jc w:val="both"/>
            </w:pPr>
            <w:r>
              <w:rPr>
                <w:sz w:val="21"/>
              </w:rPr>
              <w:t>4.</w:t>
            </w:r>
            <w:r>
              <w:rPr>
                <w:sz w:val="21"/>
              </w:rPr>
              <w:t>支持大模型接口自定义配置功能，系统提供标准化的</w:t>
            </w:r>
            <w:r>
              <w:rPr>
                <w:sz w:val="21"/>
              </w:rPr>
              <w:t>API</w:t>
            </w:r>
            <w:r>
              <w:rPr>
                <w:sz w:val="21"/>
              </w:rPr>
              <w:t>配置界面，允许用户自定义接入第三方或私有化部署的大语言模型服务。</w:t>
            </w:r>
          </w:p>
          <w:p>
            <w:pPr>
              <w:pStyle w:val="null3"/>
              <w:jc w:val="both"/>
            </w:pPr>
            <w:r>
              <w:rPr>
                <w:sz w:val="21"/>
              </w:rPr>
              <w:t>（二）交互数字人终端模块</w:t>
            </w:r>
          </w:p>
          <w:p>
            <w:pPr>
              <w:pStyle w:val="null3"/>
              <w:jc w:val="both"/>
            </w:pPr>
            <w:r>
              <w:rPr>
                <w:sz w:val="21"/>
              </w:rPr>
              <w:t>1</w:t>
            </w:r>
            <w:r>
              <w:rPr>
                <w:sz w:val="21"/>
              </w:rPr>
              <w:t>.</w:t>
            </w:r>
            <w:r>
              <w:rPr>
                <w:sz w:val="21"/>
              </w:rPr>
              <w:t>提供独立的交互数字人运行环境，支持已训练模型的加载与运行；</w:t>
            </w:r>
          </w:p>
          <w:p>
            <w:pPr>
              <w:pStyle w:val="null3"/>
              <w:jc w:val="both"/>
            </w:pPr>
            <w:r>
              <w:rPr>
                <w:sz w:val="21"/>
              </w:rPr>
              <w:t>2</w:t>
            </w:r>
            <w:r>
              <w:rPr>
                <w:sz w:val="21"/>
              </w:rPr>
              <w:t>.</w:t>
            </w:r>
            <w:r>
              <w:rPr>
                <w:sz w:val="21"/>
              </w:rPr>
              <w:t>支持交互数字人终端用户登录，并与交互数字人系统模块进行通讯连接；</w:t>
            </w:r>
          </w:p>
          <w:p>
            <w:pPr>
              <w:pStyle w:val="null3"/>
              <w:jc w:val="both"/>
            </w:pPr>
            <w:r>
              <w:rPr>
                <w:sz w:val="21"/>
              </w:rPr>
              <w:t>3</w:t>
            </w:r>
            <w:r>
              <w:rPr>
                <w:sz w:val="21"/>
              </w:rPr>
              <w:t>.</w:t>
            </w:r>
            <w:r>
              <w:rPr>
                <w:sz w:val="21"/>
              </w:rPr>
              <w:t>支持多形象切换预览，用户可通过左右按钮浏览不同数字人形象；</w:t>
            </w:r>
          </w:p>
          <w:p>
            <w:pPr>
              <w:pStyle w:val="null3"/>
              <w:jc w:val="both"/>
            </w:pPr>
            <w:r>
              <w:rPr>
                <w:sz w:val="21"/>
              </w:rPr>
              <w:t>4</w:t>
            </w:r>
            <w:r>
              <w:rPr>
                <w:sz w:val="21"/>
              </w:rPr>
              <w:t>.</w:t>
            </w:r>
            <w:r>
              <w:rPr>
                <w:sz w:val="21"/>
              </w:rPr>
              <w:t>支持点击形象卡片启动交互数字人，启动过程包含模型预热提示；</w:t>
            </w:r>
          </w:p>
          <w:p>
            <w:pPr>
              <w:pStyle w:val="null3"/>
              <w:jc w:val="both"/>
            </w:pPr>
            <w:r>
              <w:rPr>
                <w:sz w:val="21"/>
              </w:rPr>
              <w:t>5</w:t>
            </w:r>
            <w:r>
              <w:rPr>
                <w:sz w:val="21"/>
              </w:rPr>
              <w:t>.</w:t>
            </w:r>
            <w:r>
              <w:rPr>
                <w:sz w:val="21"/>
              </w:rPr>
              <w:t>支持语音唤醒机制，识别唤醒词后进入实时对话模式；</w:t>
            </w:r>
          </w:p>
          <w:p>
            <w:pPr>
              <w:pStyle w:val="null3"/>
              <w:jc w:val="both"/>
            </w:pPr>
            <w:r>
              <w:rPr>
                <w:sz w:val="21"/>
              </w:rPr>
              <w:t>6</w:t>
            </w:r>
            <w:r>
              <w:rPr>
                <w:sz w:val="21"/>
              </w:rPr>
              <w:t>.</w:t>
            </w:r>
            <w:r>
              <w:rPr>
                <w:sz w:val="21"/>
              </w:rPr>
              <w:t>支持麦克风语音输入，基于大模型技术，自动完成端到端处理流程：语音信号采集</w:t>
            </w:r>
            <w:r>
              <w:rPr>
                <w:sz w:val="21"/>
              </w:rPr>
              <w:t>→ 语音降噪增强 → 语音转文字（</w:t>
            </w:r>
            <w:r>
              <w:rPr>
                <w:sz w:val="21"/>
              </w:rPr>
              <w:t>ASR</w:t>
            </w:r>
            <w:r>
              <w:rPr>
                <w:sz w:val="21"/>
              </w:rPr>
              <w:t>）→ 文本语义理解（</w:t>
            </w:r>
            <w:r>
              <w:rPr>
                <w:sz w:val="21"/>
              </w:rPr>
              <w:t>NLP</w:t>
            </w:r>
            <w:r>
              <w:rPr>
                <w:sz w:val="21"/>
              </w:rPr>
              <w:t>）→ 大模型生成回复 → 文本转语音（</w:t>
            </w:r>
            <w:r>
              <w:rPr>
                <w:sz w:val="21"/>
              </w:rPr>
              <w:t>TTS</w:t>
            </w:r>
            <w:r>
              <w:rPr>
                <w:sz w:val="21"/>
              </w:rPr>
              <w:t>）→ 数字人口型同步输出。</w:t>
            </w:r>
          </w:p>
          <w:p>
            <w:pPr>
              <w:pStyle w:val="null3"/>
              <w:jc w:val="both"/>
            </w:pPr>
            <w:r>
              <w:rPr>
                <w:sz w:val="21"/>
              </w:rPr>
              <w:t>▲</w:t>
            </w:r>
            <w:r>
              <w:rPr>
                <w:sz w:val="21"/>
              </w:rPr>
              <w:t>7</w:t>
            </w:r>
            <w:r>
              <w:rPr>
                <w:sz w:val="21"/>
              </w:rPr>
              <w:t>.</w:t>
            </w:r>
            <w:r>
              <w:rPr>
                <w:sz w:val="21"/>
              </w:rPr>
              <w:t>系统应具备语音打断能力，用户可在数字人播报过程中插入新指令，系统应能立即停止当前输出并响应最新输入，提升交互灵活性与人性化体验。支持交互过程中随时关闭数字人。（提供满足上述功能要求的功能截图证明加盖投标人公章）</w:t>
            </w:r>
          </w:p>
          <w:p>
            <w:pPr>
              <w:pStyle w:val="null3"/>
              <w:jc w:val="both"/>
            </w:pPr>
            <w:r>
              <w:rPr>
                <w:sz w:val="21"/>
              </w:rPr>
              <w:t>▲</w:t>
            </w:r>
            <w:r>
              <w:rPr>
                <w:sz w:val="21"/>
              </w:rPr>
              <w:t>8</w:t>
            </w:r>
            <w:r>
              <w:rPr>
                <w:sz w:val="21"/>
              </w:rPr>
              <w:t>.</w:t>
            </w:r>
            <w:r>
              <w:rPr>
                <w:sz w:val="21"/>
              </w:rPr>
              <w:t>支持多轮对话理解与上下文记忆能力，支持自然语言自由问答，用户可就知识查询、业务咨询、操作引导等场景发起开放式提问，数字人应能结合通用语义理解能力进行准确应答，避免机械式固定回复。（提供满足上述功能要求的功能截图证明加盖投标人公章）</w:t>
            </w:r>
          </w:p>
          <w:p>
            <w:pPr>
              <w:pStyle w:val="null3"/>
              <w:jc w:val="both"/>
            </w:pPr>
            <w:r>
              <w:rPr>
                <w:sz w:val="21"/>
              </w:rPr>
              <w:t>9</w:t>
            </w:r>
            <w:r>
              <w:rPr>
                <w:sz w:val="21"/>
              </w:rPr>
              <w:t>.</w:t>
            </w:r>
            <w:r>
              <w:rPr>
                <w:sz w:val="21"/>
              </w:rPr>
              <w:t>采用</w:t>
            </w:r>
            <w:r>
              <w:rPr>
                <w:sz w:val="21"/>
              </w:rPr>
              <w:t>WebRTC + WebSocket</w:t>
            </w:r>
            <w:r>
              <w:rPr>
                <w:sz w:val="21"/>
              </w:rPr>
              <w:t>技术实现实时音视频推流，支持低延迟、高清流畅的数字人形象展示，保障用户与数字人之间的自然互动体验。</w:t>
            </w:r>
          </w:p>
          <w:p>
            <w:pPr>
              <w:pStyle w:val="null3"/>
              <w:jc w:val="both"/>
            </w:pPr>
            <w:r>
              <w:rPr>
                <w:sz w:val="21"/>
              </w:rPr>
              <w:t>10</w:t>
            </w:r>
            <w:r>
              <w:rPr>
                <w:sz w:val="21"/>
              </w:rPr>
              <w:t>.</w:t>
            </w:r>
            <w:r>
              <w:rPr>
                <w:sz w:val="21"/>
              </w:rPr>
              <w:t>支持从安装包下载、用户登录、形象选择、模型加载、唤醒词唤醒、麦克风语音输入、大模型推理、数字人回复完整闭环流程。</w:t>
            </w:r>
            <w:r>
              <w:rPr>
                <w:sz w:val="21"/>
                <w:b/>
              </w:rPr>
              <w:t>（须提供功能演示）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数字人驱动引擎高性能处理模组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一、算力配置</w:t>
            </w:r>
          </w:p>
          <w:p>
            <w:pPr>
              <w:pStyle w:val="null3"/>
              <w:jc w:val="both"/>
            </w:pPr>
            <w:r>
              <w:rPr>
                <w:sz w:val="21"/>
              </w:rPr>
              <w:t>1</w:t>
            </w:r>
            <w:r>
              <w:rPr>
                <w:sz w:val="21"/>
              </w:rPr>
              <w:t>.</w:t>
            </w:r>
            <w:r>
              <w:rPr>
                <w:sz w:val="21"/>
              </w:rPr>
              <w:t>双路服务器级处理器，主频</w:t>
            </w:r>
            <w:r>
              <w:rPr>
                <w:sz w:val="21"/>
              </w:rPr>
              <w:t>2.4 GHz</w:t>
            </w:r>
            <w:r>
              <w:rPr>
                <w:sz w:val="21"/>
              </w:rPr>
              <w:t>，三级缓存</w:t>
            </w:r>
            <w:r>
              <w:rPr>
                <w:sz w:val="21"/>
              </w:rPr>
              <w:t>24 MB</w:t>
            </w:r>
            <w:r>
              <w:rPr>
                <w:sz w:val="21"/>
              </w:rPr>
              <w:t>，单颗处理器具备</w:t>
            </w:r>
            <w:r>
              <w:rPr>
                <w:sz w:val="21"/>
              </w:rPr>
              <w:t>16</w:t>
            </w:r>
            <w:r>
              <w:rPr>
                <w:sz w:val="21"/>
              </w:rPr>
              <w:t>个物理核心、</w:t>
            </w:r>
            <w:r>
              <w:rPr>
                <w:sz w:val="21"/>
              </w:rPr>
              <w:t>32</w:t>
            </w:r>
            <w:r>
              <w:rPr>
                <w:sz w:val="21"/>
              </w:rPr>
              <w:t>个线程，热设计功耗为</w:t>
            </w:r>
            <w:r>
              <w:rPr>
                <w:sz w:val="21"/>
              </w:rPr>
              <w:t>135 W</w:t>
            </w:r>
            <w:r>
              <w:rPr>
                <w:sz w:val="21"/>
              </w:rPr>
              <w:t>。；</w:t>
            </w:r>
          </w:p>
          <w:p>
            <w:pPr>
              <w:pStyle w:val="null3"/>
              <w:jc w:val="both"/>
            </w:pPr>
            <w:r>
              <w:rPr>
                <w:sz w:val="21"/>
              </w:rPr>
              <w:t>2</w:t>
            </w:r>
            <w:r>
              <w:rPr>
                <w:sz w:val="21"/>
              </w:rPr>
              <w:t>.</w:t>
            </w:r>
            <w:r>
              <w:rPr>
                <w:sz w:val="21"/>
              </w:rPr>
              <w:t>阵列卡</w:t>
            </w:r>
            <w:r>
              <w:rPr>
                <w:sz w:val="21"/>
              </w:rPr>
              <w:t xml:space="preserve">SAS3108 12Gbps 1GB 9361-8I </w:t>
            </w:r>
            <w:r>
              <w:rPr>
                <w:sz w:val="21"/>
              </w:rPr>
              <w:t>支持</w:t>
            </w:r>
            <w:r>
              <w:rPr>
                <w:sz w:val="21"/>
              </w:rPr>
              <w:t>RAID0,1,5,6,10,50,60</w:t>
            </w:r>
            <w:r>
              <w:rPr>
                <w:sz w:val="21"/>
              </w:rPr>
              <w:t>和</w:t>
            </w:r>
            <w:r>
              <w:rPr>
                <w:sz w:val="21"/>
              </w:rPr>
              <w:t xml:space="preserve">JBOD </w:t>
            </w:r>
            <w:r>
              <w:rPr>
                <w:sz w:val="21"/>
              </w:rPr>
              <w:t xml:space="preserve">可选配超级电容 </w:t>
            </w:r>
            <w:r>
              <w:rPr>
                <w:sz w:val="21"/>
              </w:rPr>
              <w:t>*1</w:t>
            </w:r>
            <w:r>
              <w:rPr>
                <w:sz w:val="21"/>
              </w:rPr>
              <w:t>；</w:t>
            </w:r>
          </w:p>
          <w:p>
            <w:pPr>
              <w:pStyle w:val="null3"/>
              <w:jc w:val="both"/>
            </w:pPr>
            <w:r>
              <w:rPr>
                <w:sz w:val="21"/>
              </w:rPr>
              <w:t>3</w:t>
            </w:r>
            <w:r>
              <w:rPr>
                <w:sz w:val="21"/>
              </w:rPr>
              <w:t>.</w:t>
            </w:r>
            <w:r>
              <w:rPr>
                <w:sz w:val="21"/>
              </w:rPr>
              <w:t>网卡</w:t>
            </w:r>
            <w:r>
              <w:rPr>
                <w:sz w:val="21"/>
              </w:rPr>
              <w:t>双电口</w:t>
            </w:r>
            <w:r>
              <w:rPr>
                <w:sz w:val="21"/>
              </w:rPr>
              <w:t>万兆</w:t>
            </w:r>
            <w:r>
              <w:rPr>
                <w:sz w:val="21"/>
              </w:rPr>
              <w:t>X550 * 1</w:t>
            </w:r>
            <w:r>
              <w:rPr>
                <w:sz w:val="21"/>
              </w:rPr>
              <w:t>；</w:t>
            </w:r>
          </w:p>
          <w:p>
            <w:pPr>
              <w:pStyle w:val="null3"/>
              <w:jc w:val="both"/>
            </w:pPr>
            <w:r>
              <w:rPr>
                <w:sz w:val="21"/>
              </w:rPr>
              <w:t>4</w:t>
            </w:r>
            <w:r>
              <w:rPr>
                <w:sz w:val="21"/>
              </w:rPr>
              <w:t>.</w:t>
            </w:r>
            <w:r>
              <w:rPr>
                <w:sz w:val="21"/>
              </w:rPr>
              <w:t>网卡</w:t>
            </w:r>
            <w:r>
              <w:rPr>
                <w:sz w:val="21"/>
              </w:rPr>
              <w:t>双光口</w:t>
            </w:r>
            <w:r>
              <w:rPr>
                <w:sz w:val="21"/>
              </w:rPr>
              <w:t>万兆</w:t>
            </w:r>
            <w:r>
              <w:rPr>
                <w:sz w:val="21"/>
              </w:rPr>
              <w:t xml:space="preserve">X710 </w:t>
            </w:r>
            <w:r>
              <w:rPr>
                <w:sz w:val="21"/>
              </w:rPr>
              <w:t xml:space="preserve">不含模块 </w:t>
            </w:r>
            <w:r>
              <w:rPr>
                <w:sz w:val="21"/>
              </w:rPr>
              <w:t>*1</w:t>
            </w:r>
            <w:r>
              <w:rPr>
                <w:sz w:val="21"/>
              </w:rPr>
              <w:t>；</w:t>
            </w:r>
          </w:p>
          <w:p>
            <w:pPr>
              <w:pStyle w:val="null3"/>
              <w:jc w:val="both"/>
            </w:pPr>
            <w:r>
              <w:rPr>
                <w:sz w:val="21"/>
              </w:rPr>
              <w:t>5</w:t>
            </w:r>
            <w:r>
              <w:rPr>
                <w:sz w:val="21"/>
              </w:rPr>
              <w:t>.</w:t>
            </w:r>
            <w:r>
              <w:rPr>
                <w:sz w:val="21"/>
              </w:rPr>
              <w:t>光纤模块</w:t>
            </w:r>
            <w:r>
              <w:rPr>
                <w:sz w:val="21"/>
              </w:rPr>
              <w:t>万兆多模</w:t>
            </w:r>
            <w:r>
              <w:rPr>
                <w:sz w:val="21"/>
              </w:rPr>
              <w:t xml:space="preserve">850nm 300m </w:t>
            </w:r>
            <w:r>
              <w:rPr>
                <w:sz w:val="21"/>
              </w:rPr>
              <w:t xml:space="preserve">中性 </w:t>
            </w:r>
            <w:r>
              <w:rPr>
                <w:sz w:val="21"/>
              </w:rPr>
              <w:t>* 2</w:t>
            </w:r>
            <w:r>
              <w:rPr>
                <w:sz w:val="21"/>
              </w:rPr>
              <w:t>；</w:t>
            </w:r>
          </w:p>
          <w:p>
            <w:pPr>
              <w:pStyle w:val="null3"/>
              <w:jc w:val="both"/>
            </w:pPr>
            <w:r>
              <w:rPr>
                <w:sz w:val="21"/>
              </w:rPr>
              <w:t>6</w:t>
            </w:r>
            <w:r>
              <w:rPr>
                <w:sz w:val="21"/>
              </w:rPr>
              <w:t>.</w:t>
            </w:r>
            <w:r>
              <w:rPr>
                <w:sz w:val="21"/>
              </w:rPr>
              <w:t>板卡配件</w:t>
            </w:r>
            <w:r>
              <w:rPr>
                <w:sz w:val="21"/>
              </w:rPr>
              <w:t>阵列卡</w:t>
            </w:r>
            <w:r>
              <w:rPr>
                <w:sz w:val="21"/>
              </w:rPr>
              <w:t>CV</w:t>
            </w:r>
            <w:r>
              <w:rPr>
                <w:sz w:val="21"/>
              </w:rPr>
              <w:t xml:space="preserve">模块 </w:t>
            </w:r>
            <w:r>
              <w:rPr>
                <w:sz w:val="21"/>
              </w:rPr>
              <w:t>CVM02 9361</w:t>
            </w:r>
            <w:r>
              <w:rPr>
                <w:sz w:val="21"/>
              </w:rPr>
              <w:t>系列</w:t>
            </w:r>
            <w:r>
              <w:rPr>
                <w:sz w:val="21"/>
              </w:rPr>
              <w:t>1G</w:t>
            </w:r>
            <w:r>
              <w:rPr>
                <w:sz w:val="21"/>
              </w:rPr>
              <w:t>版本</w:t>
            </w:r>
            <w:r>
              <w:rPr>
                <w:sz w:val="21"/>
              </w:rPr>
              <w:t>(</w:t>
            </w:r>
            <w:r>
              <w:rPr>
                <w:sz w:val="21"/>
              </w:rPr>
              <w:t>超级电容</w:t>
            </w:r>
            <w:r>
              <w:rPr>
                <w:sz w:val="21"/>
              </w:rPr>
              <w:t>) * 1</w:t>
            </w:r>
            <w:r>
              <w:rPr>
                <w:sz w:val="21"/>
              </w:rPr>
              <w:t>；</w:t>
            </w:r>
          </w:p>
          <w:p>
            <w:pPr>
              <w:pStyle w:val="null3"/>
              <w:jc w:val="both"/>
            </w:pPr>
            <w:r>
              <w:rPr>
                <w:sz w:val="21"/>
              </w:rPr>
              <w:t>7</w:t>
            </w:r>
            <w:r>
              <w:rPr>
                <w:sz w:val="21"/>
              </w:rPr>
              <w:t>.</w:t>
            </w:r>
            <w:r>
              <w:rPr>
                <w:sz w:val="21"/>
              </w:rPr>
              <w:t>转换线</w:t>
            </w:r>
            <w:r>
              <w:rPr>
                <w:sz w:val="21"/>
              </w:rPr>
              <w:t>GPU</w:t>
            </w:r>
            <w:r>
              <w:rPr>
                <w:sz w:val="21"/>
              </w:rPr>
              <w:t xml:space="preserve">转换线 一转一 </w:t>
            </w:r>
            <w:r>
              <w:rPr>
                <w:sz w:val="21"/>
              </w:rPr>
              <w:t>16PIN</w:t>
            </w:r>
            <w:r>
              <w:rPr>
                <w:sz w:val="21"/>
              </w:rPr>
              <w:t>公转</w:t>
            </w:r>
            <w:r>
              <w:rPr>
                <w:sz w:val="21"/>
              </w:rPr>
              <w:t>CPU8PIN</w:t>
            </w:r>
            <w:r>
              <w:rPr>
                <w:sz w:val="21"/>
              </w:rPr>
              <w:t xml:space="preserve">公 </w:t>
            </w:r>
            <w:r>
              <w:rPr>
                <w:sz w:val="21"/>
              </w:rPr>
              <w:t xml:space="preserve">L=30CM 16awg </w:t>
            </w:r>
            <w:r>
              <w:rPr>
                <w:sz w:val="21"/>
              </w:rPr>
              <w:t xml:space="preserve">黄黑线 </w:t>
            </w:r>
            <w:r>
              <w:rPr>
                <w:sz w:val="21"/>
              </w:rPr>
              <w:t>* 2</w:t>
            </w:r>
            <w:r>
              <w:rPr>
                <w:sz w:val="21"/>
              </w:rPr>
              <w:t>；</w:t>
            </w:r>
          </w:p>
          <w:p>
            <w:pPr>
              <w:pStyle w:val="null3"/>
              <w:jc w:val="both"/>
            </w:pPr>
            <w:r>
              <w:rPr>
                <w:sz w:val="21"/>
              </w:rPr>
              <w:t>8</w:t>
            </w:r>
            <w:r>
              <w:rPr>
                <w:sz w:val="21"/>
              </w:rPr>
              <w:t>.</w:t>
            </w:r>
            <w:r>
              <w:rPr>
                <w:sz w:val="21"/>
              </w:rPr>
              <w:t>双槽全高规格高性能图形处理器，配备</w:t>
            </w:r>
            <w:r>
              <w:rPr>
                <w:sz w:val="21"/>
              </w:rPr>
              <w:t>24 GB GDDR6X</w:t>
            </w:r>
            <w:r>
              <w:rPr>
                <w:sz w:val="21"/>
              </w:rPr>
              <w:t>显存，显存位宽</w:t>
            </w:r>
            <w:r>
              <w:rPr>
                <w:sz w:val="21"/>
              </w:rPr>
              <w:t>384</w:t>
            </w:r>
            <w:r>
              <w:rPr>
                <w:sz w:val="21"/>
              </w:rPr>
              <w:t>位，</w:t>
            </w:r>
            <w:r>
              <w:rPr>
                <w:sz w:val="21"/>
              </w:rPr>
              <w:t xml:space="preserve">CUDA </w:t>
            </w:r>
            <w:r>
              <w:rPr>
                <w:sz w:val="21"/>
              </w:rPr>
              <w:t>核心等效计算单元数量大于或等于</w:t>
            </w:r>
            <w:r>
              <w:rPr>
                <w:sz w:val="21"/>
              </w:rPr>
              <w:t>14000</w:t>
            </w:r>
            <w:r>
              <w:rPr>
                <w:sz w:val="21"/>
              </w:rPr>
              <w:t>，采用涡轮散热方案，单卡功耗接口配置为</w:t>
            </w:r>
            <w:r>
              <w:rPr>
                <w:sz w:val="21"/>
              </w:rPr>
              <w:t>12+4 PIN</w:t>
            </w:r>
            <w:r>
              <w:rPr>
                <w:sz w:val="21"/>
              </w:rPr>
              <w:t>供电。；</w:t>
            </w:r>
          </w:p>
          <w:p>
            <w:pPr>
              <w:pStyle w:val="null3"/>
              <w:jc w:val="both"/>
            </w:pPr>
            <w:r>
              <w:rPr>
                <w:sz w:val="21"/>
              </w:rPr>
              <w:t>9</w:t>
            </w:r>
            <w:r>
              <w:rPr>
                <w:sz w:val="21"/>
              </w:rPr>
              <w:t>.</w:t>
            </w:r>
            <w:r>
              <w:rPr>
                <w:sz w:val="21"/>
              </w:rPr>
              <w:t>硬盘</w:t>
            </w:r>
            <w:r>
              <w:rPr>
                <w:sz w:val="21"/>
              </w:rPr>
              <w:t xml:space="preserve">SSD 480GB SATA </w:t>
            </w:r>
            <w:r>
              <w:rPr>
                <w:sz w:val="21"/>
              </w:rPr>
              <w:t xml:space="preserve">数据中心 </w:t>
            </w:r>
            <w:r>
              <w:rPr>
                <w:sz w:val="21"/>
              </w:rPr>
              <w:t xml:space="preserve">2.5 </w:t>
            </w:r>
            <w:r>
              <w:rPr>
                <w:sz w:val="21"/>
              </w:rPr>
              <w:t xml:space="preserve">读取密集型 </w:t>
            </w:r>
            <w:r>
              <w:rPr>
                <w:sz w:val="21"/>
              </w:rPr>
              <w:t>* 2</w:t>
            </w:r>
            <w:r>
              <w:rPr>
                <w:sz w:val="21"/>
              </w:rPr>
              <w:t>；</w:t>
            </w:r>
          </w:p>
          <w:p>
            <w:pPr>
              <w:pStyle w:val="null3"/>
              <w:jc w:val="both"/>
            </w:pPr>
            <w:r>
              <w:rPr>
                <w:sz w:val="21"/>
              </w:rPr>
              <w:t>10</w:t>
            </w:r>
            <w:r>
              <w:rPr>
                <w:sz w:val="21"/>
              </w:rPr>
              <w:t>.</w:t>
            </w:r>
            <w:r>
              <w:rPr>
                <w:sz w:val="21"/>
              </w:rPr>
              <w:t>硬盘</w:t>
            </w:r>
            <w:r>
              <w:rPr>
                <w:sz w:val="21"/>
              </w:rPr>
              <w:t xml:space="preserve">SSD 1.92T SATA </w:t>
            </w:r>
            <w:r>
              <w:rPr>
                <w:sz w:val="21"/>
              </w:rPr>
              <w:t xml:space="preserve">数据中心 </w:t>
            </w:r>
            <w:r>
              <w:rPr>
                <w:sz w:val="21"/>
              </w:rPr>
              <w:t xml:space="preserve">2.5 </w:t>
            </w:r>
            <w:r>
              <w:rPr>
                <w:sz w:val="21"/>
              </w:rPr>
              <w:t xml:space="preserve">读写混合型 </w:t>
            </w:r>
            <w:r>
              <w:rPr>
                <w:sz w:val="21"/>
              </w:rPr>
              <w:t>* 3</w:t>
            </w:r>
            <w:r>
              <w:rPr>
                <w:sz w:val="21"/>
              </w:rPr>
              <w:t>；</w:t>
            </w:r>
          </w:p>
          <w:p>
            <w:pPr>
              <w:pStyle w:val="null3"/>
              <w:jc w:val="both"/>
            </w:pPr>
            <w:r>
              <w:rPr>
                <w:sz w:val="21"/>
              </w:rPr>
              <w:t>11</w:t>
            </w:r>
            <w:r>
              <w:rPr>
                <w:sz w:val="21"/>
              </w:rPr>
              <w:t>.</w:t>
            </w:r>
            <w:r>
              <w:rPr>
                <w:sz w:val="21"/>
              </w:rPr>
              <w:t>内存</w:t>
            </w:r>
            <w:r>
              <w:rPr>
                <w:sz w:val="21"/>
              </w:rPr>
              <w:t>32GB DDR4 ECC RDIMM * 4</w:t>
            </w:r>
            <w:r>
              <w:rPr>
                <w:sz w:val="21"/>
              </w:rPr>
              <w:t>；</w:t>
            </w:r>
          </w:p>
          <w:p>
            <w:pPr>
              <w:pStyle w:val="null3"/>
              <w:jc w:val="both"/>
            </w:pPr>
            <w:r>
              <w:rPr>
                <w:sz w:val="21"/>
              </w:rPr>
              <w:t>12</w:t>
            </w:r>
            <w:r>
              <w:rPr>
                <w:sz w:val="21"/>
              </w:rPr>
              <w:t>.</w:t>
            </w:r>
            <w:r>
              <w:rPr>
                <w:sz w:val="21"/>
              </w:rPr>
              <w:t>电源模块</w:t>
            </w:r>
            <w:r>
              <w:rPr>
                <w:sz w:val="21"/>
              </w:rPr>
              <w:t xml:space="preserve">1U 2000W(1+1) </w:t>
            </w:r>
            <w:r>
              <w:rPr>
                <w:sz w:val="21"/>
              </w:rPr>
              <w:t xml:space="preserve">选配包 </w:t>
            </w:r>
            <w:r>
              <w:rPr>
                <w:sz w:val="21"/>
              </w:rPr>
              <w:t>* 1</w:t>
            </w:r>
            <w:r>
              <w:rPr>
                <w:sz w:val="21"/>
              </w:rPr>
              <w:t>。</w:t>
            </w:r>
          </w:p>
          <w:p>
            <w:pPr>
              <w:pStyle w:val="null3"/>
              <w:jc w:val="both"/>
            </w:pPr>
            <w:r>
              <w:rPr>
                <w:sz w:val="21"/>
              </w:rPr>
              <w:t>二、大模型管理软件</w:t>
            </w:r>
          </w:p>
          <w:p>
            <w:pPr>
              <w:pStyle w:val="null3"/>
              <w:jc w:val="both"/>
            </w:pPr>
            <w:r>
              <w:rPr>
                <w:sz w:val="21"/>
              </w:rPr>
              <w:t>▲</w:t>
            </w:r>
            <w:r>
              <w:rPr>
                <w:sz w:val="21"/>
              </w:rPr>
              <w:t>1.</w:t>
            </w:r>
            <w:r>
              <w:rPr>
                <w:sz w:val="21"/>
              </w:rPr>
              <w:t>开发环境：支持选择平台镜像（</w:t>
            </w:r>
            <w:r>
              <w:rPr>
                <w:sz w:val="21"/>
              </w:rPr>
              <w:t>Pytorch</w:t>
            </w:r>
            <w:r>
              <w:rPr>
                <w:sz w:val="21"/>
              </w:rPr>
              <w:t>、</w:t>
            </w:r>
            <w:r>
              <w:rPr>
                <w:sz w:val="21"/>
              </w:rPr>
              <w:t>TensorFlow</w:t>
            </w:r>
            <w:r>
              <w:rPr>
                <w:sz w:val="21"/>
              </w:rPr>
              <w:t>等）或个人镜像创建深度学习的开发环境，支持用户查看集群各个节点的资源剩余情况；支持实时查看运行环境的</w:t>
            </w:r>
            <w:r>
              <w:rPr>
                <w:sz w:val="21"/>
              </w:rPr>
              <w:t>GPU</w:t>
            </w:r>
            <w:r>
              <w:rPr>
                <w:sz w:val="21"/>
              </w:rPr>
              <w:t>、</w:t>
            </w:r>
            <w:r>
              <w:rPr>
                <w:sz w:val="21"/>
              </w:rPr>
              <w:t>CPU</w:t>
            </w:r>
            <w:r>
              <w:rPr>
                <w:sz w:val="21"/>
              </w:rPr>
              <w:t>、内存、显存、温度等信息；支持切换</w:t>
            </w:r>
            <w:r>
              <w:rPr>
                <w:sz w:val="21"/>
              </w:rPr>
              <w:t>conda</w:t>
            </w:r>
            <w:r>
              <w:rPr>
                <w:sz w:val="21"/>
              </w:rPr>
              <w:t>虚拟环境；支持</w:t>
            </w:r>
            <w:r>
              <w:rPr>
                <w:sz w:val="21"/>
              </w:rPr>
              <w:t>Web</w:t>
            </w:r>
            <w:r>
              <w:rPr>
                <w:sz w:val="21"/>
              </w:rPr>
              <w:t>访问环境；支持</w:t>
            </w:r>
            <w:r>
              <w:rPr>
                <w:sz w:val="21"/>
              </w:rPr>
              <w:t>SSH</w:t>
            </w:r>
            <w:r>
              <w:rPr>
                <w:sz w:val="21"/>
              </w:rPr>
              <w:t>密钥认证的远程访问方式；支持在线修改环境的底层配置；环境保存支持制作镜像、手动快照、自动快照的三种方式；支持环境的资源回收以及基于快照恢复环境；支持手动变更框架版本、算力规格、存储空间；支持</w:t>
            </w:r>
            <w:r>
              <w:rPr>
                <w:sz w:val="21"/>
              </w:rPr>
              <w:t>Tensorboard</w:t>
            </w:r>
            <w:r>
              <w:rPr>
                <w:sz w:val="21"/>
              </w:rPr>
              <w:t>对训练过程输出的日志进行可视化展示；提供在线开发工具</w:t>
            </w:r>
            <w:r>
              <w:rPr>
                <w:sz w:val="21"/>
              </w:rPr>
              <w:t>Mlab</w:t>
            </w:r>
            <w:r>
              <w:rPr>
                <w:sz w:val="21"/>
              </w:rPr>
              <w:t>用于在线开发、训练。（提供以下任一项证明材料：① 产品说明书或技术手册标注页（加盖投标人公章）；②制造商官网产品参数截图（加盖投标人公章）；③功能截图证明（加盖投标人公章））</w:t>
            </w:r>
          </w:p>
          <w:p>
            <w:pPr>
              <w:pStyle w:val="null3"/>
              <w:jc w:val="both"/>
            </w:pPr>
            <w:r>
              <w:rPr>
                <w:sz w:val="21"/>
              </w:rPr>
              <w:t>2.</w:t>
            </w:r>
            <w:r>
              <w:rPr>
                <w:sz w:val="21"/>
              </w:rPr>
              <w:t>资源管理</w:t>
            </w:r>
          </w:p>
          <w:p>
            <w:pPr>
              <w:pStyle w:val="null3"/>
              <w:jc w:val="both"/>
            </w:pPr>
            <w:r>
              <w:rPr>
                <w:sz w:val="21"/>
              </w:rPr>
              <w:t>▲（</w:t>
            </w:r>
            <w:r>
              <w:rPr>
                <w:sz w:val="21"/>
              </w:rPr>
              <w:t>1</w:t>
            </w:r>
            <w:r>
              <w:rPr>
                <w:sz w:val="21"/>
              </w:rPr>
              <w:t>）采用轻量级容器虚拟化技术和</w:t>
            </w:r>
            <w:r>
              <w:rPr>
                <w:sz w:val="21"/>
              </w:rPr>
              <w:t>Kubernetes</w:t>
            </w:r>
            <w:r>
              <w:rPr>
                <w:sz w:val="21"/>
              </w:rPr>
              <w:t>管理平台，实现对</w:t>
            </w:r>
            <w:r>
              <w:rPr>
                <w:sz w:val="21"/>
              </w:rPr>
              <w:t>CPU</w:t>
            </w:r>
            <w:r>
              <w:rPr>
                <w:sz w:val="21"/>
              </w:rPr>
              <w:t>、内存、磁盘、</w:t>
            </w:r>
            <w:r>
              <w:rPr>
                <w:sz w:val="21"/>
              </w:rPr>
              <w:t>GPU</w:t>
            </w:r>
            <w:r>
              <w:rPr>
                <w:sz w:val="21"/>
              </w:rPr>
              <w:t>等异构计算资源的虚拟化统一管理。（提供以下任一项证明材料：① 产品说明书或技术手册标注页（加盖投标人公章）；②制造商官网产品参数截图（加盖投标人公章）；③功能截图证明（加盖投标人公章））</w:t>
            </w:r>
          </w:p>
          <w:p>
            <w:pPr>
              <w:pStyle w:val="null3"/>
              <w:jc w:val="both"/>
            </w:pPr>
            <w:r>
              <w:rPr>
                <w:sz w:val="21"/>
              </w:rPr>
              <w:t>（</w:t>
            </w:r>
            <w:r>
              <w:rPr>
                <w:sz w:val="21"/>
              </w:rPr>
              <w:t>2</w:t>
            </w:r>
            <w:r>
              <w:rPr>
                <w:sz w:val="21"/>
              </w:rPr>
              <w:t>）管理可以设定各种规格的资源套餐模板，支持一键同步至所有组织，同时可以开启套餐资源使用的审核，进一步提升资源利用率。</w:t>
            </w:r>
          </w:p>
          <w:p>
            <w:pPr>
              <w:pStyle w:val="null3"/>
              <w:jc w:val="both"/>
            </w:pPr>
            <w:r>
              <w:rPr>
                <w:sz w:val="21"/>
              </w:rPr>
              <w:t>3.</w:t>
            </w:r>
            <w:r>
              <w:rPr>
                <w:sz w:val="21"/>
              </w:rPr>
              <w:t>资源调度</w:t>
            </w:r>
          </w:p>
          <w:p>
            <w:pPr>
              <w:pStyle w:val="null3"/>
              <w:jc w:val="both"/>
            </w:pPr>
            <w:r>
              <w:rPr>
                <w:sz w:val="21"/>
              </w:rPr>
              <w:t>（</w:t>
            </w:r>
            <w:r>
              <w:rPr>
                <w:sz w:val="21"/>
              </w:rPr>
              <w:t>1</w:t>
            </w:r>
            <w:r>
              <w:rPr>
                <w:sz w:val="21"/>
              </w:rPr>
              <w:t>）支持多台服务器的</w:t>
            </w:r>
            <w:r>
              <w:rPr>
                <w:sz w:val="21"/>
              </w:rPr>
              <w:t>GPU</w:t>
            </w:r>
            <w:r>
              <w:rPr>
                <w:sz w:val="21"/>
              </w:rPr>
              <w:t>卡资源统一纳管，统一分配；（</w:t>
            </w:r>
            <w:r>
              <w:rPr>
                <w:sz w:val="21"/>
              </w:rPr>
              <w:t>2</w:t>
            </w:r>
            <w:r>
              <w:rPr>
                <w:sz w:val="21"/>
              </w:rPr>
              <w:t>）支持单机单卡、单机多卡及容器直通方式挂载</w:t>
            </w:r>
            <w:r>
              <w:rPr>
                <w:sz w:val="21"/>
              </w:rPr>
              <w:t>GPU</w:t>
            </w:r>
            <w:r>
              <w:rPr>
                <w:sz w:val="21"/>
              </w:rPr>
              <w:t>等异构计算资源。</w:t>
            </w:r>
          </w:p>
          <w:p>
            <w:pPr>
              <w:pStyle w:val="null3"/>
              <w:jc w:val="both"/>
            </w:pPr>
            <w:r>
              <w:rPr>
                <w:sz w:val="21"/>
              </w:rPr>
              <w:t>（</w:t>
            </w:r>
            <w:r>
              <w:rPr>
                <w:sz w:val="21"/>
              </w:rPr>
              <w:t>3</w:t>
            </w:r>
            <w:r>
              <w:rPr>
                <w:sz w:val="21"/>
              </w:rPr>
              <w:t>）支持</w:t>
            </w:r>
            <w:r>
              <w:rPr>
                <w:sz w:val="21"/>
              </w:rPr>
              <w:t>GPU</w:t>
            </w:r>
            <w:r>
              <w:rPr>
                <w:sz w:val="21"/>
              </w:rPr>
              <w:t>虚拟化，支持</w:t>
            </w:r>
            <w:r>
              <w:rPr>
                <w:sz w:val="21"/>
              </w:rPr>
              <w:t>GPU</w:t>
            </w:r>
            <w:r>
              <w:rPr>
                <w:sz w:val="21"/>
              </w:rPr>
              <w:t>共享、</w:t>
            </w:r>
            <w:r>
              <w:rPr>
                <w:sz w:val="21"/>
              </w:rPr>
              <w:t>GPU</w:t>
            </w:r>
            <w:r>
              <w:rPr>
                <w:sz w:val="21"/>
              </w:rPr>
              <w:t>切割两种方式分配资源。</w:t>
            </w:r>
          </w:p>
          <w:p>
            <w:pPr>
              <w:pStyle w:val="null3"/>
              <w:jc w:val="both"/>
            </w:pPr>
            <w:r>
              <w:rPr>
                <w:sz w:val="21"/>
              </w:rPr>
              <w:t>4.</w:t>
            </w:r>
            <w:r>
              <w:rPr>
                <w:sz w:val="21"/>
              </w:rPr>
              <w:t>存储系统：分布式存储管理，平台支持使用</w:t>
            </w:r>
            <w:r>
              <w:rPr>
                <w:sz w:val="21"/>
              </w:rPr>
              <w:t>GlusterFS</w:t>
            </w:r>
            <w:r>
              <w:rPr>
                <w:sz w:val="21"/>
              </w:rPr>
              <w:t>，支持对接焱融、龙存、</w:t>
            </w:r>
            <w:r>
              <w:rPr>
                <w:sz w:val="21"/>
              </w:rPr>
              <w:t>Longhorn</w:t>
            </w:r>
            <w:r>
              <w:rPr>
                <w:sz w:val="21"/>
              </w:rPr>
              <w:t>、</w:t>
            </w:r>
            <w:r>
              <w:rPr>
                <w:sz w:val="21"/>
              </w:rPr>
              <w:t>Ceph</w:t>
            </w:r>
            <w:r>
              <w:rPr>
                <w:sz w:val="21"/>
              </w:rPr>
              <w:t>、</w:t>
            </w:r>
            <w:r>
              <w:rPr>
                <w:sz w:val="21"/>
              </w:rPr>
              <w:t>LeoFS</w:t>
            </w:r>
            <w:r>
              <w:rPr>
                <w:sz w:val="21"/>
              </w:rPr>
              <w:t>等存储系统。</w:t>
            </w:r>
          </w:p>
          <w:p>
            <w:pPr>
              <w:pStyle w:val="null3"/>
              <w:jc w:val="both"/>
            </w:pPr>
            <w:r>
              <w:rPr>
                <w:sz w:val="21"/>
              </w:rPr>
              <w:t>5.AI</w:t>
            </w:r>
            <w:r>
              <w:rPr>
                <w:sz w:val="21"/>
              </w:rPr>
              <w:t>框架：集成多种深度学习各种框架（如</w:t>
            </w:r>
            <w:r>
              <w:rPr>
                <w:sz w:val="21"/>
              </w:rPr>
              <w:t>TensorFlow</w:t>
            </w:r>
            <w:r>
              <w:rPr>
                <w:sz w:val="21"/>
              </w:rPr>
              <w:t>、</w:t>
            </w:r>
            <w:r>
              <w:rPr>
                <w:sz w:val="21"/>
              </w:rPr>
              <w:t>pytorch</w:t>
            </w:r>
            <w:r>
              <w:rPr>
                <w:sz w:val="21"/>
              </w:rPr>
              <w:t>、</w:t>
            </w:r>
            <w:r>
              <w:rPr>
                <w:sz w:val="21"/>
              </w:rPr>
              <w:t>paddlepaddle</w:t>
            </w:r>
            <w:r>
              <w:rPr>
                <w:sz w:val="21"/>
              </w:rPr>
              <w:t>、</w:t>
            </w:r>
            <w:r>
              <w:rPr>
                <w:sz w:val="21"/>
              </w:rPr>
              <w:t>keras</w:t>
            </w:r>
            <w:r>
              <w:rPr>
                <w:sz w:val="21"/>
              </w:rPr>
              <w:t>、</w:t>
            </w:r>
            <w:r>
              <w:rPr>
                <w:sz w:val="21"/>
              </w:rPr>
              <w:t>Matlab</w:t>
            </w:r>
            <w:r>
              <w:rPr>
                <w:sz w:val="21"/>
              </w:rPr>
              <w:t>等）用户模型开发、模型训练等；支持自定义。</w:t>
            </w:r>
          </w:p>
          <w:p>
            <w:pPr>
              <w:pStyle w:val="null3"/>
              <w:jc w:val="both"/>
            </w:pPr>
            <w:r>
              <w:rPr>
                <w:sz w:val="21"/>
              </w:rPr>
              <w:t>6.</w:t>
            </w:r>
            <w:r>
              <w:rPr>
                <w:sz w:val="21"/>
              </w:rPr>
              <w:t>镜像仓库</w:t>
            </w:r>
          </w:p>
          <w:p>
            <w:pPr>
              <w:pStyle w:val="null3"/>
              <w:jc w:val="both"/>
            </w:pPr>
            <w:r>
              <w:rPr>
                <w:sz w:val="21"/>
              </w:rPr>
              <w:t>（</w:t>
            </w:r>
            <w:r>
              <w:rPr>
                <w:sz w:val="21"/>
              </w:rPr>
              <w:t>1</w:t>
            </w:r>
            <w:r>
              <w:rPr>
                <w:sz w:val="21"/>
              </w:rPr>
              <w:t>）支持镜像分组设定容量、容量扩容以及镜像共享。</w:t>
            </w:r>
          </w:p>
          <w:p>
            <w:pPr>
              <w:pStyle w:val="null3"/>
              <w:jc w:val="both"/>
            </w:pPr>
            <w:r>
              <w:rPr>
                <w:sz w:val="21"/>
              </w:rPr>
              <w:t>（</w:t>
            </w:r>
            <w:r>
              <w:rPr>
                <w:sz w:val="21"/>
              </w:rPr>
              <w:t>2</w:t>
            </w:r>
            <w:r>
              <w:rPr>
                <w:sz w:val="21"/>
              </w:rPr>
              <w:t>）支持在线上传个人镜像；支持选择镜像仓库</w:t>
            </w:r>
            <w:r>
              <w:rPr>
                <w:sz w:val="21"/>
              </w:rPr>
              <w:t>nvidia</w:t>
            </w:r>
            <w:r>
              <w:rPr>
                <w:sz w:val="21"/>
              </w:rPr>
              <w:t>的镜像地址联网在线拉取官方镜像。</w:t>
            </w:r>
          </w:p>
          <w:p>
            <w:pPr>
              <w:pStyle w:val="null3"/>
              <w:jc w:val="both"/>
            </w:pPr>
            <w:r>
              <w:rPr>
                <w:sz w:val="21"/>
              </w:rPr>
              <w:t>▲</w:t>
            </w:r>
            <w:r>
              <w:rPr>
                <w:sz w:val="21"/>
              </w:rPr>
              <w:t>7.</w:t>
            </w:r>
            <w:r>
              <w:rPr>
                <w:sz w:val="21"/>
              </w:rPr>
              <w:t>存储管理：按需申请个人存储容量，支持</w:t>
            </w:r>
            <w:r>
              <w:rPr>
                <w:sz w:val="21"/>
              </w:rPr>
              <w:t>web</w:t>
            </w:r>
            <w:r>
              <w:rPr>
                <w:sz w:val="21"/>
              </w:rPr>
              <w:t>访问方式，密钥鉴权的远程访问方式，以及上传、下载、动态扩容、重命名、修改密码密钥、共享、删除等功能。（投提供以下任一项证明材料：① 产品说明书或技术手册标注页（加盖投标人公章）；②制造商官网产品参数截图（加盖投标人公章）；③功能截图证明（加盖投标人公章））</w:t>
            </w:r>
          </w:p>
          <w:p>
            <w:pPr>
              <w:pStyle w:val="null3"/>
              <w:jc w:val="both"/>
            </w:pPr>
            <w:r>
              <w:rPr>
                <w:sz w:val="21"/>
              </w:rPr>
              <w:t>8.</w:t>
            </w:r>
            <w:r>
              <w:rPr>
                <w:sz w:val="21"/>
              </w:rPr>
              <w:t>其他：平台配套的响应的管理模块，包括租户管理、业务管理、运维管理、配置管理、财务管理、安全中心、系统设置等。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国家计委颁布的《招标代理服务收费管理暂行办法》（计价格〔2002〕1980号）和国家发改委办公厅颁布的«国家发改委办公厅关于招标代理服务收费有关问题的通知»（发改办价格〔2003〕857号）的规定中“货物类”招标代理服务费的收费标准并下浮进行收取（即：中标金额100万（含）-1000万的，按标准收费的65%进行收取，中标金额50万（含）-100万的，按标准收费的80%进行收取，中标金额50万以下的，按标准收费进行收取）。（若实际缴纳招标代理服务费低于3000元的，按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其他，政府采购合同融资，根据《佛山市政务服务数据管理局佛山市财政局关于进一步促进公平竞争优化政府采购营商环境的通知》（佛政数函[2021]54号），参与政府采购的中小微企业可凭借 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欧小姐</w:t>
      </w:r>
    </w:p>
    <w:p>
      <w:pPr>
        <w:pStyle w:val="null3"/>
        <w:ind w:firstLine="480"/>
      </w:pPr>
      <w:r>
        <w:rPr/>
        <w:t>电话：</w:t>
      </w:r>
      <w:r>
        <w:rPr/>
        <w:t>0757-83160057</w:t>
      </w:r>
    </w:p>
    <w:p>
      <w:pPr>
        <w:pStyle w:val="null3"/>
        <w:ind w:firstLine="480"/>
      </w:pPr>
      <w:r>
        <w:rPr/>
        <w:t>传真：</w:t>
      </w:r>
      <w:r>
        <w:rPr/>
        <w:t>/</w:t>
      </w:r>
    </w:p>
    <w:p>
      <w:pPr>
        <w:pStyle w:val="null3"/>
        <w:ind w:firstLine="480"/>
      </w:pPr>
      <w:r>
        <w:rPr/>
        <w:t>邮箱：</w:t>
      </w:r>
      <w:r>
        <w:rPr/>
        <w:t>fs@ebidding.com</w:t>
      </w:r>
    </w:p>
    <w:p>
      <w:pPr>
        <w:pStyle w:val="null3"/>
        <w:ind w:firstLine="480"/>
      </w:pPr>
      <w:r>
        <w:rPr/>
        <w:t>地址：</w:t>
      </w:r>
      <w:r>
        <w:rPr/>
        <w:t>佛山市禅城区港口路佛山国家高新区城南科技园2栋B306室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国双高项目：新一代信息技术虚拟现实实训基地·VR虚拟现实应用实训室)：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采购包1（国双高项目：新一代信息技术虚拟现实实训基地·VR虚拟现实应用实训室）：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采购包1（国双高项目：新一代信息技术虚拟现实实训基地·VR虚拟现实应用实训室）：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3）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本项目专门面向中小企业采购的项目（参与投标的供应商提供的货物全部由符合政策要求的中小企业制造），项目采购标的对应的中小企业划分标准所属行业：软件和信息技术服务业。 【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采购包1（国双高项目：新一代信息技术虚拟现实实训基地·VR虚拟现实应用实训室）：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采购包1(国双高项目：新一代信息技术虚拟现实实训基地·VR虚拟现实应用实训室):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技术参数满足性 (24.0分)</w:t>
            </w:r>
          </w:p>
        </w:tc>
        <w:tc>
          <w:tcPr>
            <w:tcW w:type="dxa" w:w="5076"/>
          </w:tcPr>
          <w:p>
            <w:pPr>
              <w:pStyle w:val="null3"/>
              <w:jc w:val="left"/>
            </w:pPr>
            <w:r>
              <w:rPr/>
              <w:t>根据投标人提供的投标文件对《采购需求书》“主要技术参数要求”的响应情况进行评审。 1.根据“技术规格、参数及要求”中重要技术条款(“▲”条款)响应情况进行评审(共16个):每完全满足或正偏离一项得1.5分，满分为24分。 注：技术参数中如有要求提供证明材料（如截图、承诺函等），须严格按要求提供，否则相应技术参数视作负偏离，扣除相应分值。如有发现有提供虚假证明材料，则当虚假响应处理，并报监管部门处理。</w:t>
            </w:r>
          </w:p>
        </w:tc>
      </w:tr>
      <w:tr>
        <w:tc>
          <w:tcPr>
            <w:tcW w:type="dxa" w:w="922"/>
            <w:gridSpan w:val="2"/>
            <w:vMerge/>
          </w:tcPr>
          <w:p/>
        </w:tc>
        <w:tc>
          <w:tcPr>
            <w:tcW w:type="dxa" w:w="2307"/>
          </w:tcPr>
          <w:p>
            <w:pPr>
              <w:pStyle w:val="null3"/>
              <w:jc w:val="left"/>
            </w:pPr>
            <w:r>
              <w:rPr/>
              <w:t>一般技术参数满足性 (4.0分)</w:t>
            </w:r>
          </w:p>
        </w:tc>
        <w:tc>
          <w:tcPr>
            <w:tcW w:type="dxa" w:w="5076"/>
          </w:tcPr>
          <w:p>
            <w:pPr>
              <w:pStyle w:val="null3"/>
              <w:jc w:val="left"/>
            </w:pPr>
            <w:r>
              <w:rPr/>
              <w:t>投标人应当逐条逐一响应“采购项目内容”中的所有一般技术参数要求（非“★”条款、非“▲”条款、非演示项）。 1.四个采购标（分别是：数字人生成系统、交互数字人客户端、数字人后台管理平台、数字人驱动引擎高性能处理模组）的中每一个采购标的所有一般条款(非“★”条款、非“▲”条款、非演示项)没有负偏离的，每个采购标的得1分，最高得4分。 注：（1）技术参数中如有要求提供证明材料（如截图、承诺函等），须严格按要求提供，否则相应技术参数视作负偏离，扣除相应分值。（2）如采购需求中有明确要求提供证明资料的，则以采购需求中要求的证明资料为准。如采购需求中未明确证明材料的，以投标人投标文件中的《技术和服务要求响应表》为准，未填写或负偏离或未按要求提供证明材料或提供的证明材料不完全满足要求的视为不满足。如有发现有提供虚假证明材料，则当虚假响应处理，并报监管部门处理。</w:t>
            </w:r>
          </w:p>
        </w:tc>
      </w:tr>
      <w:tr>
        <w:tc>
          <w:tcPr>
            <w:tcW w:type="dxa" w:w="922"/>
            <w:gridSpan w:val="2"/>
            <w:vMerge/>
          </w:tcPr>
          <w:p/>
        </w:tc>
        <w:tc>
          <w:tcPr>
            <w:tcW w:type="dxa" w:w="2307"/>
          </w:tcPr>
          <w:p>
            <w:pPr>
              <w:pStyle w:val="null3"/>
              <w:jc w:val="left"/>
            </w:pPr>
            <w:r>
              <w:rPr/>
              <w:t>功能演示 (18.0分)</w:t>
            </w:r>
          </w:p>
        </w:tc>
        <w:tc>
          <w:tcPr>
            <w:tcW w:type="dxa" w:w="5076"/>
          </w:tcPr>
          <w:p>
            <w:pPr>
              <w:pStyle w:val="null3"/>
              <w:jc w:val="left"/>
            </w:pPr>
            <w:r>
              <w:rPr/>
              <w:t>投标人根据“第二章采购需求”中“2.技术标准与要求”的内容提供现场演示【对演示项完整功能进行逐一演示，PPT、视频、图片等演示的不得分，演示时间不超过10分钟，演示人员不超过2人（含法定代表人或授权代表）】演示内容如下： 演示项1： 支持动作切片视频可视化展示，即在基于视频进行虚拟形象建模时，能够实时呈现由动作识别算法生成的动作切片结果，展示关键动作片段的分割效果，便于用户了解系统对原始视频的动作解析能力。支持将生成的动作切片中间文件导出为标准视频格式，每个动作片段可单独导出，便于用户进行后期分析、质量评估或教学演示。 演示项2： 支持数字人专用文案类型的一键生成完整闭环。闭环流程包括：用户在选择合适模版以及输入所需信息后，系统自动生成对应要求的文案，文案支持进行富文本在线编辑，并支持复制、保存、文章历史等功能，支持将最终定稿的文案内容导出为标准格式文件。 演示项3： 场景工作流须采用四步引导式向导设计，分四个子页面依次完成配置，确保流程清晰、操作连贯：音色选择、形象与背景选择、文案选择、参数设置。完成四步配置后，系统应支持“一键生成”数字人视频，自动调用声音合成、形象驱动、口型对齐、视频合成等底层模块，实现全流程自动化处理，无需用户跳转至其他功能页面。 演示项4： 1.系统预置至少10种数字人生成场景工作流供用户选择。 2.系统预置至少20个数字人视频文案模版供用户选择。 3.系统预置至少30个数字人系统音色供用户选择。 4.系统预置至少60张数字人背景供用户选择，并区分横屏背景与竖屏背景。 演示项:5： 支持从安装包下载、用户登录、形象选择、模型加载、唤醒词唤醒、麦克风语音输入、大模型推理、数字人回复完整闭环流程。 演示项6： 1.支持声音克隆资源管理，提供快速检索、分类筛选与音色效果验证，实现个性化音色的集中化运营 2.支持人物形象集中管理，提供高效筛选、精准检索及形象训练成果直观呈现，提升资源利用率； 3.支持交互数字人全局管理，具备批量筛选、快速查询、实时调用与远程强制关闭能力，确保交互服务的稳定性与可控性； 4.支持多维度管理员账号管理，涵盖新增、编辑、删除及细粒度权限分配，构建完善的后台治理体系。 注：所有演示内容（共6项）完全满足得18分，每负偏离或不演示或演示不全一项扣3分，本项最高18分。</w:t>
            </w:r>
          </w:p>
        </w:tc>
      </w:tr>
      <w:tr>
        <w:tc>
          <w:tcPr>
            <w:tcW w:type="dxa" w:w="922"/>
            <w:gridSpan w:val="2"/>
            <w:vMerge/>
          </w:tcPr>
          <w:p/>
        </w:tc>
        <w:tc>
          <w:tcPr>
            <w:tcW w:type="dxa" w:w="2307"/>
          </w:tcPr>
          <w:p>
            <w:pPr>
              <w:pStyle w:val="null3"/>
              <w:jc w:val="left"/>
            </w:pPr>
            <w:r>
              <w:rPr/>
              <w:t>项目实施保障方案 (4.0分)</w:t>
            </w:r>
          </w:p>
        </w:tc>
        <w:tc>
          <w:tcPr>
            <w:tcW w:type="dxa" w:w="5076"/>
          </w:tcPr>
          <w:p>
            <w:pPr>
              <w:pStyle w:val="null3"/>
              <w:jc w:val="left"/>
            </w:pPr>
            <w:r>
              <w:rPr/>
              <w:t>根据供应商针对本项目拟定的项目实施方案（包括但不限于产品针对性设计、项目管理方法、组织架构及岗位责任、实施进度计划、质量保证措施、安全保障措施、运维服务方案等）进行评审： （1）项目实施保障方案内容明确、详尽，有详细有效的项目实施步骤、实施架构清晰，完全满足本项目的需求，具有针对性方案，得4分； （2）项目实施保障方案内容基本明确、合理、规范，提供了基本的项目实施方案和实施架构，提供的项目实施方案基本能够满足本项目的需求，但缺乏针对性方案，得2分； （3）项目实施保障方案不清晰，表述内容有欠缺的，方案不满足本项目的需求，得1分； （4）未提供对应方案或方案偏离较大的不得分。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(1.0分)</w:t>
            </w:r>
          </w:p>
        </w:tc>
        <w:tc>
          <w:tcPr>
            <w:tcW w:type="dxa" w:w="5076"/>
          </w:tcPr>
          <w:p>
            <w:pPr>
              <w:pStyle w:val="null3"/>
              <w:jc w:val="left"/>
            </w:pPr>
            <w:r>
              <w:rPr/>
              <w:t>投标人具有以下有效的证书或荣誉的： 1.质量管理体系认证，得0.5分； 2.环境管理体系认证证书，得0.5分； 注：须提供相关证明材料复印件并加盖投标人公章。 注：投标文件提供以下证明材料作为评分依据： （1）第1项和第2项须同时提供以上证书复印件及在“全国认证认可信息公共服务平台”（http://cx.cnca.cn）查询时间（需显示查询时间）为开标前一个月内的查询结果截图，失效、撤销或暂停的对应证书项不得分。新设立企业，由于成立时间不足三个月原因导致不能获得证书的，提供相关证明材料相应得分，不提供不得分。 （2）未按要求提供相关材料或无法凭所提供资料判断是否得分的或证明材料不清晰导致无法识别的，均不得分。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拟投入本项目团队人员 (7.0分)</w:t>
            </w:r>
          </w:p>
        </w:tc>
        <w:tc>
          <w:tcPr>
            <w:tcW w:type="dxa" w:w="5076"/>
          </w:tcPr>
          <w:p>
            <w:pPr>
              <w:pStyle w:val="null3"/>
              <w:jc w:val="left"/>
            </w:pPr>
            <w:r>
              <w:rPr/>
              <w:t>根据投标人拟安排投入本项目的主要技术人员团队情况进行评审： 1.投标人拟投入的主要技术人员具有计算机相关专业大专或以上学历的，每提供一个得0.5分，本小项最高得1分； 注：（1）需提供以上人员相关专业的毕业证书复印件并加盖投标人公章； （2）项目团队人员须提供在距开标当月前三个月（不含当月）任意一个月投标人为其购买的社保证明材料，以投标人（或其分支机构）所属当地社保管理部门出具的证明材料的复印件为准。证明材料不提供或缺项或模糊不清评委无法认定的不得分。 2.投标人拟投入的主要技术人员具有大数据分析与应用相关的高级工程师或高级职业资格证书，每提供1个证书得1.5分，持有大数据分析与应用相关的中级工程师或中级职业资格证书，每提供1个得0.5分，本小项最高得3分； 注：（1）需提供以上人员相关技术职称/技能证书复印件证明，同时提供拟投入的项目团队人员在发证机构的网上查询的有效截图（无法查询到截图的，提供发证机构出具的说明函）并加盖投标人公章； （2）项目团队人员须提供在距开标当月前三个月（不含当月）任意一个月投标人为其购买的社保证明材料，以投标人（或其分支机构）所属当地社保管理部门出具的证明材料的复印件为准。证明材料不提供或缺项或模糊不清评委无法认定的不得分。 3.投标人拟投入的主要技术人员持有与人工智能应用相关的高级工程师或高级职业资格证书，每提供1个证书得1.5分，持有与人工智能应用相关的中级工程师或中级职业资格证书每提供1个证书得0.5分，本小项最高得3分。 注：（1）需提供以上人员相关技术职称/技能证书复印件证明，同时提供拟投入的项目团队人员在发证机构的网上查询的有效截图（无法查询到截图的，提供发证机构出具的说明函）并加盖投标人公章； （2）项目团队人员须提供在距开标当月前三个月（不含当月）任意一个月投标人为其购买的社保证明材料，以投标人（或其分支机构）所属当地社保管理部门出具的证明材料的复印件为准。证明材料不提供或缺项或模糊不清评委无法认定的不得分。</w:t>
            </w:r>
          </w:p>
        </w:tc>
      </w:tr>
      <w:tr>
        <w:tc>
          <w:tcPr>
            <w:tcW w:type="dxa" w:w="922"/>
            <w:gridSpan w:val="2"/>
            <w:vMerge/>
          </w:tcPr>
          <w:p/>
        </w:tc>
        <w:tc>
          <w:tcPr>
            <w:tcW w:type="dxa" w:w="2307"/>
          </w:tcPr>
          <w:p>
            <w:pPr>
              <w:pStyle w:val="null3"/>
              <w:jc w:val="left"/>
            </w:pPr>
            <w:r>
              <w:rPr/>
              <w:t>同类项目业绩 (2.0分)</w:t>
            </w:r>
          </w:p>
        </w:tc>
        <w:tc>
          <w:tcPr>
            <w:tcW w:type="dxa" w:w="5076"/>
          </w:tcPr>
          <w:p>
            <w:pPr>
              <w:pStyle w:val="null3"/>
              <w:jc w:val="left"/>
            </w:pPr>
            <w:r>
              <w:rPr/>
              <w:t>投标人自2022年1月1日至投标截止当天（以合同协议书的签订时间或委托函的委托时间为准）具有同类项目经验并获用户好评。每提供满足要求的一个项目得0.5分，最高得2分。 注：（1）业绩证明材料须提供合同或委托函复印件关键页，提供的所有资料需加盖投标人公章（含签订合同双方的单位名称、合同项目名称、项目内容/合同标的、签订合同双方的落款盖章、签订日期等评审信息的关键页）。 （2）须提供用户评价材料复印件（须能清楚显示用户公章及项目名称），评价材料必须达到90分或注明“满意”或“好评”或“优秀”等相关正面评价字眼； （3）评价材料必须与同类项目业绩相对应，否则不得分； （4）以上资料须加盖投标人公章。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w:t>
      </w:r>
      <w:r>
        <w:rPr>
          <w:b/>
        </w:rPr>
        <w:t xml:space="preserve"> </w:t>
      </w:r>
      <w:r>
        <w:rPr>
          <w:sz w:val="48"/>
          <w:b/>
        </w:rPr>
        <w:t>同</w:t>
      </w:r>
      <w:r>
        <w:rPr>
          <w:b/>
        </w:rPr>
        <w:t xml:space="preserve"> </w:t>
      </w:r>
      <w:r>
        <w:rPr>
          <w:sz w:val="48"/>
          <w:b/>
        </w:rPr>
        <w:t>书</w:t>
      </w:r>
    </w:p>
    <w:p>
      <w:pPr>
        <w:pStyle w:val="null3"/>
        <w:jc w:val="center"/>
      </w:pP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7"/>
          <w:b/>
        </w:rPr>
        <w:t>甲</w:t>
      </w:r>
      <w:r>
        <w:rPr>
          <w:b/>
        </w:rPr>
        <w:t xml:space="preserve">  </w:t>
      </w:r>
      <w:r>
        <w:rPr>
          <w:sz w:val="27"/>
          <w:b/>
        </w:rPr>
        <w:t>方：</w:t>
      </w:r>
    </w:p>
    <w:p>
      <w:pPr>
        <w:pStyle w:val="null3"/>
        <w:jc w:val="both"/>
      </w:pPr>
      <w:r>
        <w:rPr>
          <w:sz w:val="27"/>
        </w:rPr>
        <w:t>电</w:t>
      </w:r>
      <w:r>
        <w:rPr/>
        <w:t xml:space="preserve">  </w:t>
      </w:r>
      <w:r>
        <w:rPr>
          <w:sz w:val="27"/>
        </w:rPr>
        <w:t>话：</w:t>
      </w:r>
      <w:r>
        <w:rPr/>
        <w:t xml:space="preserve">       </w:t>
      </w:r>
      <w:r>
        <w:rPr>
          <w:sz w:val="27"/>
        </w:rPr>
        <w:t>传</w:t>
      </w:r>
      <w:r>
        <w:rPr/>
        <w:t xml:space="preserve">  </w:t>
      </w:r>
      <w:r>
        <w:rPr>
          <w:sz w:val="27"/>
        </w:rPr>
        <w:t>真：</w:t>
      </w:r>
      <w:r>
        <w:rPr/>
        <w:t xml:space="preserve">           </w:t>
      </w:r>
      <w:r>
        <w:rPr>
          <w:sz w:val="27"/>
        </w:rPr>
        <w:t>地</w:t>
      </w:r>
      <w:r>
        <w:rPr/>
        <w:t xml:space="preserve">  </w:t>
      </w:r>
      <w:r>
        <w:rPr>
          <w:sz w:val="27"/>
        </w:rPr>
        <w:t>址：</w:t>
      </w:r>
    </w:p>
    <w:p>
      <w:pPr>
        <w:pStyle w:val="null3"/>
        <w:jc w:val="both"/>
      </w:pPr>
      <w:r>
        <w:rPr>
          <w:sz w:val="27"/>
          <w:b/>
        </w:rPr>
        <w:t>乙</w:t>
      </w:r>
      <w:r>
        <w:rPr>
          <w:b/>
        </w:rPr>
        <w:t xml:space="preserve">  </w:t>
      </w:r>
      <w:r>
        <w:rPr>
          <w:sz w:val="27"/>
          <w:b/>
        </w:rPr>
        <w:t>方：</w:t>
      </w:r>
    </w:p>
    <w:p>
      <w:pPr>
        <w:pStyle w:val="null3"/>
        <w:jc w:val="both"/>
      </w:pPr>
      <w:r>
        <w:rPr>
          <w:sz w:val="27"/>
        </w:rPr>
        <w:t>电</w:t>
      </w:r>
      <w:r>
        <w:rPr/>
        <w:t xml:space="preserve">  </w:t>
      </w:r>
      <w:r>
        <w:rPr>
          <w:sz w:val="27"/>
        </w:rPr>
        <w:t>话：</w:t>
      </w:r>
      <w:r>
        <w:rPr/>
        <w:t xml:space="preserve">       </w:t>
      </w:r>
      <w:r>
        <w:rPr>
          <w:sz w:val="27"/>
        </w:rPr>
        <w:t>传</w:t>
      </w:r>
      <w:r>
        <w:rPr/>
        <w:t xml:space="preserve">  </w:t>
      </w:r>
      <w:r>
        <w:rPr>
          <w:sz w:val="27"/>
        </w:rPr>
        <w:t>真：</w:t>
      </w:r>
      <w:r>
        <w:rPr/>
        <w:t xml:space="preserve">           </w:t>
      </w:r>
      <w:r>
        <w:rPr>
          <w:sz w:val="27"/>
        </w:rPr>
        <w:t>地</w:t>
      </w:r>
      <w:r>
        <w:rPr/>
        <w:t xml:space="preserve">  </w:t>
      </w:r>
      <w:r>
        <w:rPr>
          <w:sz w:val="27"/>
        </w:rPr>
        <w:t>址：</w:t>
      </w:r>
    </w:p>
    <w:p>
      <w:pPr>
        <w:pStyle w:val="null3"/>
        <w:jc w:val="both"/>
      </w:pPr>
      <w:r>
        <w:rPr/>
        <w:t xml:space="preserve"> </w:t>
      </w:r>
    </w:p>
    <w:p>
      <w:pPr>
        <w:pStyle w:val="null3"/>
        <w:jc w:val="both"/>
      </w:pPr>
      <w:r>
        <w:rPr/>
        <w:t xml:space="preserve"> </w:t>
      </w:r>
    </w:p>
    <w:p>
      <w:pPr>
        <w:pStyle w:val="null3"/>
        <w:jc w:val="both"/>
      </w:pPr>
      <w:r>
        <w:rPr>
          <w:sz w:val="24"/>
        </w:rPr>
        <w:t>根据</w:t>
      </w:r>
      <w:r>
        <w:rPr>
          <w:sz w:val="24"/>
          <w:u w:val="single"/>
        </w:rPr>
        <w:t>广东职业技术学院国双高项目：新一代信息技术虚拟现实实训基地</w:t>
      </w:r>
      <w:r>
        <w:rPr>
          <w:sz w:val="24"/>
          <w:u w:val="single"/>
        </w:rPr>
        <w:t>·</w:t>
      </w:r>
      <w:r>
        <w:rPr>
          <w:sz w:val="24"/>
          <w:u w:val="single"/>
        </w:rPr>
        <w:t>VR</w:t>
      </w:r>
      <w:r>
        <w:rPr>
          <w:sz w:val="24"/>
          <w:u w:val="single"/>
        </w:rPr>
        <w:t>虚拟现实应用实训室</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pStyle w:val="null3"/>
        <w:jc w:val="both"/>
      </w:pPr>
      <w:r>
        <w:rPr>
          <w:sz w:val="24"/>
        </w:rPr>
        <w:t>一、项目主要内容及实现功能目标：</w:t>
      </w:r>
    </w:p>
    <w:p>
      <w:pPr>
        <w:pStyle w:val="null3"/>
        <w:ind w:firstLine="420"/>
        <w:jc w:val="both"/>
      </w:pPr>
      <w:r>
        <w:rPr>
          <w:sz w:val="24"/>
        </w:rPr>
        <w:t>（按照采购文件和投标</w:t>
      </w:r>
      <w:r>
        <w:rPr>
          <w:sz w:val="24"/>
        </w:rPr>
        <w:t>/</w:t>
      </w:r>
      <w:r>
        <w:rPr>
          <w:sz w:val="24"/>
        </w:rPr>
        <w:t>响应文件执行）</w:t>
      </w:r>
    </w:p>
    <w:p>
      <w:pPr>
        <w:pStyle w:val="null3"/>
        <w:jc w:val="both"/>
      </w:pPr>
      <w:r>
        <w:rPr>
          <w:sz w:val="27"/>
        </w:rPr>
        <w:t>二、基本合同条款一览表</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26"/>
        <w:gridCol w:w="826"/>
        <w:gridCol w:w="6954"/>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合同条款</w:t>
            </w:r>
          </w:p>
        </w:tc>
        <w:tc>
          <w:tcPr>
            <w:tcW w:type="dxa" w:w="6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合同总额</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4"/>
              </w:rPr>
              <w:t>人民币小写：</w:t>
            </w:r>
            <w:r>
              <w:rPr>
                <w:sz w:val="19"/>
              </w:rPr>
              <w:t xml:space="preserve">         </w:t>
            </w:r>
            <w:r>
              <w:rPr>
                <w:sz w:val="24"/>
              </w:rPr>
              <w:t>元；</w:t>
            </w:r>
          </w:p>
          <w:p>
            <w:pPr>
              <w:pStyle w:val="null3"/>
              <w:ind w:firstLine="420"/>
              <w:jc w:val="left"/>
            </w:pPr>
            <w:r>
              <w:rPr>
                <w:sz w:val="24"/>
              </w:rPr>
              <w:t>人民币大写：</w:t>
            </w:r>
            <w:r>
              <w:rPr>
                <w:sz w:val="24"/>
              </w:rPr>
              <w:t xml:space="preserve">          </w:t>
            </w:r>
            <w:r>
              <w:rPr>
                <w:sz w:val="24"/>
              </w:rPr>
              <w:t>。</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合同总额内容</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合同金额为广东省佛山市目的地包干价。</w:t>
            </w:r>
          </w:p>
          <w:p>
            <w:pPr>
              <w:pStyle w:val="null3"/>
              <w:ind w:firstLine="420"/>
              <w:jc w:val="both"/>
            </w:pPr>
            <w:r>
              <w:rPr>
                <w:sz w:val="24"/>
              </w:rPr>
              <w:t>2.</w:t>
            </w:r>
            <w:r>
              <w:rPr>
                <w:sz w:val="24"/>
              </w:rPr>
              <w:t>合同金额中必须包括货物及零配件、运输费、装卸费、保险费、安装费、调试费、材料费、技术服务费（含联络费、培训费、保修费）、各项税费及不可预见费等完成本采购内容所需的一切费用。</w:t>
            </w:r>
          </w:p>
          <w:p>
            <w:pPr>
              <w:pStyle w:val="null3"/>
              <w:ind w:firstLine="420"/>
              <w:jc w:val="both"/>
            </w:pPr>
            <w:r>
              <w:rPr>
                <w:sz w:val="24"/>
              </w:rPr>
              <w:t>3.</w:t>
            </w:r>
            <w:r>
              <w:rPr>
                <w:sz w:val="24"/>
              </w:rPr>
              <w:t>乙方必须自行考虑在本项目实施期间的一切可能产生的费用，在项目的实施过程中，甲方除了支付合同规定的款项外，一切合同规定外的费用将拒绝支付。</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项目服务地点</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甲方（用户）指定地点。</w:t>
            </w:r>
          </w:p>
          <w:p>
            <w:pPr>
              <w:pStyle w:val="null3"/>
              <w:ind w:firstLine="420"/>
              <w:jc w:val="both"/>
            </w:pPr>
            <w:r>
              <w:rPr>
                <w:sz w:val="24"/>
              </w:rPr>
              <w:t>详细地址为：</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交货期</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合同签订生效之日起</w:t>
            </w:r>
            <w:r>
              <w:rPr>
                <w:sz w:val="24"/>
              </w:rPr>
              <w:t>30</w:t>
            </w:r>
            <w:r>
              <w:rPr>
                <w:sz w:val="24"/>
              </w:rPr>
              <w:t>个日历天内完成整个项目的供货、安装、调试、验收合格并交付使用。</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付款方式</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合同签订生效之日起，</w:t>
            </w:r>
            <w:r>
              <w:rPr>
                <w:sz w:val="24"/>
              </w:rPr>
              <w:t>甲方</w:t>
            </w:r>
            <w:r>
              <w:rPr>
                <w:sz w:val="24"/>
              </w:rPr>
              <w:t>凭</w:t>
            </w:r>
            <w:r>
              <w:rPr>
                <w:sz w:val="24"/>
              </w:rPr>
              <w:t>乙方</w:t>
            </w:r>
            <w:r>
              <w:rPr>
                <w:sz w:val="24"/>
              </w:rPr>
              <w:t>开具的相应数额增值税发票在</w:t>
            </w:r>
            <w:r>
              <w:rPr>
                <w:sz w:val="24"/>
              </w:rPr>
              <w:t>10</w:t>
            </w:r>
            <w:r>
              <w:rPr>
                <w:sz w:val="24"/>
              </w:rPr>
              <w:t>个工作日内向</w:t>
            </w:r>
            <w:r>
              <w:rPr>
                <w:sz w:val="24"/>
              </w:rPr>
              <w:t>乙方</w:t>
            </w:r>
            <w:r>
              <w:rPr>
                <w:sz w:val="24"/>
              </w:rPr>
              <w:t>支付</w:t>
            </w:r>
            <w:r>
              <w:rPr>
                <w:sz w:val="24"/>
              </w:rPr>
              <w:t>合同</w:t>
            </w:r>
            <w:r>
              <w:rPr>
                <w:sz w:val="24"/>
              </w:rPr>
              <w:t>金额的</w:t>
            </w:r>
            <w:r>
              <w:rPr>
                <w:sz w:val="24"/>
              </w:rPr>
              <w:t>30%</w:t>
            </w:r>
            <w:r>
              <w:rPr>
                <w:sz w:val="24"/>
              </w:rPr>
              <w:t>作为预付款</w:t>
            </w:r>
            <w:r>
              <w:rPr>
                <w:sz w:val="24"/>
              </w:rPr>
              <w:t>；</w:t>
            </w:r>
          </w:p>
          <w:p>
            <w:pPr>
              <w:pStyle w:val="null3"/>
              <w:ind w:firstLine="420"/>
              <w:jc w:val="both"/>
            </w:pPr>
            <w:r>
              <w:rPr>
                <w:sz w:val="24"/>
              </w:rPr>
              <w:t>2.</w:t>
            </w:r>
            <w:r>
              <w:rPr>
                <w:sz w:val="24"/>
              </w:rPr>
              <w:t>项目竣工交付使用并由</w:t>
            </w:r>
            <w:r>
              <w:rPr>
                <w:sz w:val="24"/>
              </w:rPr>
              <w:t>甲方</w:t>
            </w:r>
            <w:r>
              <w:rPr>
                <w:sz w:val="24"/>
              </w:rPr>
              <w:t>签署验收合格确认书后，</w:t>
            </w:r>
            <w:r>
              <w:rPr>
                <w:sz w:val="24"/>
              </w:rPr>
              <w:t>甲方</w:t>
            </w:r>
            <w:r>
              <w:rPr>
                <w:sz w:val="24"/>
              </w:rPr>
              <w:t>凭</w:t>
            </w:r>
            <w:r>
              <w:rPr>
                <w:sz w:val="24"/>
              </w:rPr>
              <w:t>乙方</w:t>
            </w:r>
            <w:r>
              <w:rPr>
                <w:sz w:val="24"/>
              </w:rPr>
              <w:t>开具的相应数额增值税发票后在</w:t>
            </w:r>
            <w:r>
              <w:rPr>
                <w:sz w:val="24"/>
              </w:rPr>
              <w:t>10</w:t>
            </w:r>
            <w:r>
              <w:rPr>
                <w:sz w:val="24"/>
              </w:rPr>
              <w:t>个工作日内向</w:t>
            </w:r>
            <w:r>
              <w:rPr>
                <w:sz w:val="24"/>
              </w:rPr>
              <w:t>乙方</w:t>
            </w:r>
            <w:r>
              <w:rPr>
                <w:sz w:val="24"/>
              </w:rPr>
              <w:t>支付至合同总额的</w:t>
            </w:r>
            <w:r>
              <w:rPr>
                <w:sz w:val="24"/>
              </w:rPr>
              <w:t>100%</w:t>
            </w:r>
            <w:r>
              <w:rPr>
                <w:sz w:val="24"/>
              </w:rPr>
              <w:t>；</w:t>
            </w:r>
          </w:p>
          <w:p>
            <w:pPr>
              <w:pStyle w:val="null3"/>
              <w:ind w:firstLine="420"/>
              <w:jc w:val="both"/>
            </w:pPr>
            <w:r>
              <w:rPr>
                <w:sz w:val="24"/>
              </w:rPr>
              <w:t>3.</w:t>
            </w:r>
            <w:r>
              <w:rPr>
                <w:sz w:val="24"/>
              </w:rPr>
              <w:t>收款方、出具发票方、合同乙方均必须与中标人名称一致；</w:t>
            </w:r>
          </w:p>
          <w:p>
            <w:pPr>
              <w:pStyle w:val="null3"/>
              <w:ind w:firstLine="420"/>
              <w:jc w:val="both"/>
            </w:pPr>
            <w:r>
              <w:rPr>
                <w:sz w:val="24"/>
              </w:rPr>
              <w:t>4.</w:t>
            </w:r>
            <w:r>
              <w:rPr>
                <w:sz w:val="24"/>
              </w:rPr>
              <w:t>如果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验收要求</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w:t>
            </w:r>
            <w:r>
              <w:rPr>
                <w:sz w:val="24"/>
              </w:rPr>
              <w:t>交付验收标准依次序对照适用标准为：</w:t>
            </w:r>
            <w:r>
              <w:rPr>
                <w:sz w:val="24"/>
              </w:rPr>
              <w:t>①</w:t>
            </w:r>
            <w:r>
              <w:rPr>
                <w:sz w:val="24"/>
              </w:rPr>
              <w:t>符合中华人民共和国国家安全质量标准、环保标准或行业标准；</w:t>
            </w:r>
            <w:r>
              <w:rPr>
                <w:sz w:val="24"/>
              </w:rPr>
              <w:t>②</w:t>
            </w:r>
            <w:r>
              <w:rPr>
                <w:sz w:val="24"/>
              </w:rPr>
              <w:t>符合采购文件和响应承诺中采购人认可的合理最佳配置、参数及各项要求；</w:t>
            </w:r>
            <w:r>
              <w:rPr>
                <w:sz w:val="24"/>
              </w:rPr>
              <w:t>③</w:t>
            </w:r>
            <w:r>
              <w:rPr>
                <w:sz w:val="24"/>
              </w:rPr>
              <w:t>货物来源国官方标准。</w:t>
            </w:r>
          </w:p>
          <w:p>
            <w:pPr>
              <w:pStyle w:val="null3"/>
              <w:ind w:firstLine="420"/>
              <w:jc w:val="both"/>
            </w:pPr>
            <w:r>
              <w:rPr>
                <w:sz w:val="24"/>
              </w:rPr>
              <w:t>2</w:t>
            </w:r>
            <w:r>
              <w:rPr>
                <w:sz w:val="24"/>
              </w:rPr>
              <w:t>.</w:t>
            </w:r>
            <w:r>
              <w:rPr>
                <w:sz w:val="24"/>
              </w:rPr>
              <w:t>乙方</w:t>
            </w:r>
            <w:r>
              <w:rPr>
                <w:sz w:val="24"/>
              </w:rPr>
              <w:t>应按有关标准提供货物的包装，并采用恰当的方式将货物运抵甲方指定交货地点，交货给甲方（同时，提供货物清单）。</w:t>
            </w:r>
          </w:p>
          <w:p>
            <w:pPr>
              <w:pStyle w:val="null3"/>
              <w:ind w:firstLine="420"/>
              <w:jc w:val="both"/>
            </w:pPr>
            <w:r>
              <w:rPr>
                <w:sz w:val="24"/>
              </w:rPr>
              <w:t>3</w:t>
            </w:r>
            <w:r>
              <w:rPr>
                <w:sz w:val="24"/>
              </w:rPr>
              <w:t>..</w:t>
            </w:r>
            <w:r>
              <w:rPr>
                <w:sz w:val="24"/>
              </w:rPr>
              <w:t>技术资料</w:t>
            </w:r>
          </w:p>
          <w:p>
            <w:pPr>
              <w:pStyle w:val="null3"/>
              <w:ind w:firstLine="420"/>
              <w:jc w:val="both"/>
            </w:pPr>
            <w:r>
              <w:rPr>
                <w:sz w:val="24"/>
              </w:rPr>
              <w:t>（</w:t>
            </w:r>
            <w:r>
              <w:rPr>
                <w:sz w:val="24"/>
              </w:rPr>
              <w:t>1</w:t>
            </w:r>
            <w:r>
              <w:rPr>
                <w:sz w:val="24"/>
              </w:rPr>
              <w:t>）交货时，</w:t>
            </w:r>
            <w:r>
              <w:rPr>
                <w:sz w:val="24"/>
              </w:rPr>
              <w:t>乙方</w:t>
            </w:r>
            <w:r>
              <w:rPr>
                <w:sz w:val="24"/>
              </w:rPr>
              <w:t>应同时交付产品使用手册、出厂合格证等相关资料。</w:t>
            </w:r>
          </w:p>
          <w:p>
            <w:pPr>
              <w:pStyle w:val="null3"/>
              <w:ind w:firstLine="420"/>
              <w:jc w:val="both"/>
            </w:pPr>
            <w:r>
              <w:rPr>
                <w:sz w:val="24"/>
              </w:rPr>
              <w:t>（</w:t>
            </w:r>
            <w:r>
              <w:rPr>
                <w:sz w:val="24"/>
              </w:rPr>
              <w:t>2</w:t>
            </w:r>
            <w:r>
              <w:rPr>
                <w:sz w:val="24"/>
              </w:rPr>
              <w:t>）验收后，</w:t>
            </w:r>
            <w:r>
              <w:rPr>
                <w:sz w:val="24"/>
              </w:rPr>
              <w:t>乙方</w:t>
            </w:r>
            <w:r>
              <w:rPr>
                <w:sz w:val="24"/>
              </w:rPr>
              <w:t>应向甲方提供验收报告。</w:t>
            </w:r>
          </w:p>
          <w:p>
            <w:pPr>
              <w:pStyle w:val="null3"/>
              <w:ind w:firstLine="420"/>
              <w:jc w:val="both"/>
            </w:pPr>
            <w:r>
              <w:rPr>
                <w:sz w:val="24"/>
              </w:rPr>
              <w:t>4</w:t>
            </w:r>
            <w:r>
              <w:rPr>
                <w:sz w:val="24"/>
              </w:rPr>
              <w:t>.</w:t>
            </w:r>
            <w:r>
              <w:rPr>
                <w:sz w:val="24"/>
              </w:rPr>
              <w:t>乙方</w:t>
            </w:r>
            <w:r>
              <w:rPr>
                <w:sz w:val="24"/>
              </w:rPr>
              <w:t>在完成本项目全部供货安装后，向</w:t>
            </w:r>
            <w:r>
              <w:rPr>
                <w:sz w:val="24"/>
              </w:rPr>
              <w:t>甲方</w:t>
            </w:r>
            <w:r>
              <w:rPr>
                <w:sz w:val="24"/>
              </w:rPr>
              <w:t>提交验收申请，</w:t>
            </w:r>
            <w:r>
              <w:rPr>
                <w:sz w:val="24"/>
              </w:rPr>
              <w:t>甲方</w:t>
            </w:r>
            <w:r>
              <w:rPr>
                <w:sz w:val="24"/>
              </w:rPr>
              <w:t>将依据《广东职业技术学院采购项目验收管理暂行办法》（粤职院发〔</w:t>
            </w:r>
            <w:r>
              <w:rPr>
                <w:sz w:val="24"/>
              </w:rPr>
              <w:t>2023</w:t>
            </w:r>
            <w:r>
              <w:rPr>
                <w:sz w:val="24"/>
              </w:rPr>
              <w:t>〕</w:t>
            </w:r>
            <w:r>
              <w:rPr>
                <w:sz w:val="24"/>
              </w:rPr>
              <w:t>28</w:t>
            </w:r>
            <w:r>
              <w:rPr>
                <w:sz w:val="24"/>
              </w:rPr>
              <w:t>号）在</w:t>
            </w:r>
            <w:r>
              <w:rPr>
                <w:sz w:val="24"/>
              </w:rPr>
              <w:t>7</w:t>
            </w:r>
            <w:r>
              <w:rPr>
                <w:sz w:val="24"/>
              </w:rPr>
              <w:t>日内组织相关专业技术人员与职能部门组成验收组进行履约验收。</w:t>
            </w:r>
          </w:p>
          <w:p>
            <w:pPr>
              <w:pStyle w:val="null3"/>
              <w:ind w:firstLine="420"/>
              <w:jc w:val="both"/>
            </w:pPr>
            <w:r>
              <w:rPr>
                <w:sz w:val="24"/>
              </w:rPr>
              <w:t>5</w:t>
            </w:r>
            <w:r>
              <w:rPr>
                <w:sz w:val="24"/>
              </w:rPr>
              <w:t>.</w:t>
            </w:r>
            <w:r>
              <w:rPr>
                <w:sz w:val="24"/>
              </w:rPr>
              <w:t>验收完毕由甲方在验收报告上签名确认</w:t>
            </w:r>
            <w:r>
              <w:rPr>
                <w:sz w:val="24"/>
              </w:rPr>
              <w:t>。</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包装、运输</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w:t>
            </w:r>
            <w:r>
              <w:rPr>
                <w:sz w:val="24"/>
              </w:rPr>
              <w:t>乙方</w:t>
            </w:r>
            <w:r>
              <w:rPr>
                <w:sz w:val="24"/>
              </w:rPr>
              <w:t>所供货物必须为制造商原厂包装</w:t>
            </w:r>
            <w:r>
              <w:rPr>
                <w:sz w:val="24"/>
              </w:rPr>
              <w:t>的全新产品，整机无污染、无侵权行为，表面无划损、无任何缺陷隐患，在中国境内可依常规安全合法使用</w:t>
            </w:r>
            <w:r>
              <w:rPr>
                <w:sz w:val="24"/>
              </w:rPr>
              <w:t>，包装质量符合国家相关标准。货物要求有包装材料保护运至现场，因包装不良造成的损失由</w:t>
            </w:r>
            <w:r>
              <w:rPr>
                <w:sz w:val="24"/>
              </w:rPr>
              <w:t>乙方</w:t>
            </w:r>
            <w:r>
              <w:rPr>
                <w:sz w:val="24"/>
              </w:rPr>
              <w:t>负责。</w:t>
            </w:r>
          </w:p>
          <w:p>
            <w:pPr>
              <w:pStyle w:val="null3"/>
              <w:ind w:firstLine="420"/>
              <w:jc w:val="both"/>
            </w:pPr>
            <w:r>
              <w:rPr>
                <w:sz w:val="24"/>
              </w:rPr>
              <w:t>2</w:t>
            </w:r>
            <w:r>
              <w:rPr>
                <w:sz w:val="24"/>
              </w:rPr>
              <w:t>.</w:t>
            </w:r>
            <w:r>
              <w:rPr>
                <w:sz w:val="24"/>
              </w:rPr>
              <w:t>乙方</w:t>
            </w:r>
            <w:r>
              <w:rPr>
                <w:sz w:val="24"/>
              </w:rPr>
              <w:t>负责将货物、材料送到安装地点过程中的全部运输，包括但不限于货物、材料的装卸车现场的搬运。</w:t>
            </w:r>
          </w:p>
          <w:p>
            <w:pPr>
              <w:pStyle w:val="null3"/>
              <w:ind w:firstLine="420"/>
              <w:jc w:val="both"/>
            </w:pPr>
            <w:r>
              <w:rPr>
                <w:sz w:val="24"/>
              </w:rPr>
              <w:t>3</w:t>
            </w:r>
            <w:r>
              <w:rPr>
                <w:sz w:val="24"/>
              </w:rPr>
              <w:t>.</w:t>
            </w:r>
            <w:r>
              <w:rPr>
                <w:sz w:val="24"/>
              </w:rPr>
              <w:t>各种设备，必须提供装箱清单，按装箱清单验收货物。</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安装调试</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w:t>
            </w:r>
            <w:r>
              <w:rPr>
                <w:sz w:val="24"/>
              </w:rPr>
              <w:t>乙方</w:t>
            </w:r>
            <w:r>
              <w:rPr>
                <w:sz w:val="24"/>
              </w:rPr>
              <w:t>负责到采购人指定的安装地点进行安装调试。</w:t>
            </w:r>
          </w:p>
          <w:p>
            <w:pPr>
              <w:pStyle w:val="null3"/>
              <w:ind w:firstLine="420"/>
              <w:jc w:val="both"/>
            </w:pPr>
            <w:r>
              <w:rPr>
                <w:sz w:val="24"/>
              </w:rPr>
              <w:t>2</w:t>
            </w:r>
            <w:r>
              <w:rPr>
                <w:sz w:val="24"/>
              </w:rPr>
              <w:t>.</w:t>
            </w:r>
            <w:r>
              <w:rPr>
                <w:sz w:val="24"/>
              </w:rPr>
              <w:t>乙方</w:t>
            </w:r>
            <w:r>
              <w:rPr>
                <w:sz w:val="24"/>
              </w:rPr>
              <w:t>必须提供设备安装、集成及调测服务，并确保调试完成后，设备能够正常运行，达到甲方可正常使用状态。</w:t>
            </w:r>
          </w:p>
          <w:p>
            <w:pPr>
              <w:pStyle w:val="null3"/>
              <w:ind w:firstLine="420"/>
              <w:jc w:val="both"/>
            </w:pPr>
            <w:r>
              <w:rPr>
                <w:sz w:val="24"/>
              </w:rPr>
              <w:t>3</w:t>
            </w:r>
            <w:r>
              <w:rPr>
                <w:sz w:val="24"/>
              </w:rPr>
              <w:t>.</w:t>
            </w:r>
            <w:r>
              <w:rPr>
                <w:sz w:val="24"/>
              </w:rPr>
              <w:t>安装所需工具设施物料由中标人自备、自费运到现场，完工后自费搬走。</w:t>
            </w:r>
          </w:p>
          <w:p>
            <w:pPr>
              <w:pStyle w:val="null3"/>
              <w:ind w:firstLine="420"/>
              <w:jc w:val="both"/>
            </w:pPr>
            <w:r>
              <w:rPr>
                <w:sz w:val="24"/>
              </w:rPr>
              <w:t>4</w:t>
            </w:r>
            <w:r>
              <w:rPr>
                <w:sz w:val="24"/>
              </w:rPr>
              <w:t>.</w:t>
            </w:r>
            <w:r>
              <w:rPr>
                <w:sz w:val="24"/>
              </w:rPr>
              <w:t>设备、材料的拆箱、安装、通电、调试等工作由</w:t>
            </w:r>
            <w:r>
              <w:rPr>
                <w:sz w:val="24"/>
              </w:rPr>
              <w:t>乙方</w:t>
            </w:r>
            <w:r>
              <w:rPr>
                <w:sz w:val="24"/>
              </w:rPr>
              <w:t>负责，但若甲方有特定要求需要参与的，则须在甲方指定人员的参与下进行。</w:t>
            </w:r>
          </w:p>
          <w:p>
            <w:pPr>
              <w:pStyle w:val="null3"/>
              <w:ind w:firstLine="420"/>
              <w:jc w:val="both"/>
            </w:pPr>
            <w:r>
              <w:rPr>
                <w:sz w:val="24"/>
              </w:rPr>
              <w:t>5</w:t>
            </w:r>
            <w:r>
              <w:rPr>
                <w:sz w:val="24"/>
              </w:rPr>
              <w:t>.</w:t>
            </w:r>
            <w:r>
              <w:rPr>
                <w:sz w:val="24"/>
              </w:rPr>
              <w:t>乙方</w:t>
            </w:r>
            <w:r>
              <w:rPr>
                <w:sz w:val="24"/>
              </w:rPr>
              <w:t>必须充分考虑现场的安装难度及安全性，做好施工现场的安全防护、文明施工工作。安装过程中发生的一切责任及费用由</w:t>
            </w:r>
            <w:r>
              <w:rPr>
                <w:sz w:val="24"/>
              </w:rPr>
              <w:t>乙方</w:t>
            </w:r>
            <w:r>
              <w:rPr>
                <w:sz w:val="24"/>
              </w:rPr>
              <w:t>负责，如对其他物品或结构造成损坏必须照价赔偿。</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售后服务要求</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r>
              <w:rPr>
                <w:sz w:val="24"/>
              </w:rPr>
              <w:t>.</w:t>
            </w:r>
            <w:r>
              <w:rPr>
                <w:sz w:val="24"/>
              </w:rPr>
              <w:t>乙方</w:t>
            </w:r>
            <w:r>
              <w:rPr>
                <w:sz w:val="24"/>
              </w:rPr>
              <w:t>为其提供的货物提供质保期保障，质保期从货物安装完毕经验收合格之日起计起。其中质保期</w:t>
            </w:r>
            <w:r>
              <w:rPr>
                <w:sz w:val="24"/>
              </w:rPr>
              <w:t>不少于</w:t>
            </w:r>
            <w:r>
              <w:rPr>
                <w:sz w:val="24"/>
              </w:rPr>
              <w:t>3</w:t>
            </w:r>
            <w:r>
              <w:rPr>
                <w:sz w:val="24"/>
              </w:rPr>
              <w:t>年，质保期间，如因施工质量或材料质量造成工程返修，</w:t>
            </w:r>
            <w:r>
              <w:rPr>
                <w:sz w:val="24"/>
              </w:rPr>
              <w:t>乙方</w:t>
            </w:r>
            <w:r>
              <w:rPr>
                <w:sz w:val="24"/>
              </w:rPr>
              <w:t>除免费返修外，将视影响程度给予经济处罚；质保期后需要进行维修的材料费由</w:t>
            </w:r>
            <w:r>
              <w:rPr>
                <w:sz w:val="24"/>
              </w:rPr>
              <w:t>甲方</w:t>
            </w:r>
            <w:r>
              <w:rPr>
                <w:sz w:val="24"/>
              </w:rPr>
              <w:t>承担，其余由</w:t>
            </w:r>
            <w:r>
              <w:rPr>
                <w:sz w:val="24"/>
              </w:rPr>
              <w:t>乙方</w:t>
            </w:r>
            <w:r>
              <w:rPr>
                <w:sz w:val="24"/>
              </w:rPr>
              <w:t>承担。</w:t>
            </w:r>
          </w:p>
          <w:p>
            <w:pPr>
              <w:pStyle w:val="null3"/>
              <w:ind w:firstLine="420"/>
              <w:jc w:val="both"/>
            </w:pPr>
            <w:r>
              <w:rPr>
                <w:sz w:val="24"/>
              </w:rPr>
              <w:t>2</w:t>
            </w:r>
            <w:r>
              <w:rPr>
                <w:sz w:val="24"/>
              </w:rPr>
              <w:t>.</w:t>
            </w:r>
            <w:r>
              <w:rPr>
                <w:sz w:val="24"/>
              </w:rPr>
              <w:t>所有设备保修服务方式均为上门保修，即由</w:t>
            </w:r>
            <w:r>
              <w:rPr>
                <w:sz w:val="24"/>
              </w:rPr>
              <w:t>乙方</w:t>
            </w:r>
            <w:r>
              <w:rPr>
                <w:sz w:val="24"/>
              </w:rPr>
              <w:t>或原厂家派员到甲方设备使用现场维修。由此产生的一切费用均由</w:t>
            </w:r>
            <w:r>
              <w:rPr>
                <w:sz w:val="24"/>
              </w:rPr>
              <w:t>乙方</w:t>
            </w:r>
            <w:r>
              <w:rPr>
                <w:sz w:val="24"/>
              </w:rPr>
              <w:t>承担。</w:t>
            </w:r>
          </w:p>
          <w:p>
            <w:pPr>
              <w:pStyle w:val="null3"/>
              <w:ind w:firstLine="420"/>
              <w:jc w:val="both"/>
            </w:pPr>
            <w:r>
              <w:rPr>
                <w:sz w:val="24"/>
              </w:rPr>
              <w:t>3</w:t>
            </w:r>
            <w:r>
              <w:rPr>
                <w:sz w:val="24"/>
              </w:rPr>
              <w:t>.</w:t>
            </w:r>
            <w:r>
              <w:rPr>
                <w:sz w:val="24"/>
              </w:rPr>
              <w:t>质保期内，如设备或零部件因质量原因出现故障而造成短期停用时，则质保期和免费维修期相应顺延。如停用时间累计超过</w:t>
            </w:r>
            <w:r>
              <w:rPr>
                <w:sz w:val="24"/>
              </w:rPr>
              <w:t>60</w:t>
            </w:r>
            <w:r>
              <w:rPr>
                <w:sz w:val="24"/>
              </w:rPr>
              <w:t>天则质保期重新计算。</w:t>
            </w:r>
          </w:p>
          <w:p>
            <w:pPr>
              <w:pStyle w:val="null3"/>
              <w:ind w:firstLine="420"/>
              <w:jc w:val="both"/>
            </w:pPr>
            <w:r>
              <w:rPr>
                <w:sz w:val="24"/>
              </w:rPr>
              <w:t>4</w:t>
            </w:r>
            <w:r>
              <w:rPr>
                <w:sz w:val="24"/>
              </w:rPr>
              <w:t>.</w:t>
            </w:r>
            <w:r>
              <w:rPr>
                <w:sz w:val="24"/>
              </w:rPr>
              <w:t>对甲方的服务通知，</w:t>
            </w:r>
            <w:r>
              <w:rPr>
                <w:sz w:val="24"/>
              </w:rPr>
              <w:t>乙方</w:t>
            </w:r>
            <w:r>
              <w:rPr>
                <w:sz w:val="24"/>
              </w:rPr>
              <w:t>在接报后</w:t>
            </w:r>
            <w:r>
              <w:rPr>
                <w:sz w:val="24"/>
              </w:rPr>
              <w:t>40</w:t>
            </w:r>
            <w:r>
              <w:rPr>
                <w:sz w:val="24"/>
              </w:rPr>
              <w:t>分钟内响应，若电话中无法解决，接到报障电话</w:t>
            </w:r>
            <w:r>
              <w:rPr>
                <w:sz w:val="24"/>
              </w:rPr>
              <w:t>4</w:t>
            </w:r>
            <w:r>
              <w:rPr>
                <w:sz w:val="24"/>
              </w:rPr>
              <w:t>小时内派工程技术人员到达现场处理，在检修</w:t>
            </w:r>
            <w:r>
              <w:rPr>
                <w:sz w:val="24"/>
              </w:rPr>
              <w:t>8</w:t>
            </w:r>
            <w:r>
              <w:rPr>
                <w:sz w:val="24"/>
              </w:rPr>
              <w:t>小时后仍无法排除，将在</w:t>
            </w:r>
            <w:r>
              <w:rPr>
                <w:sz w:val="24"/>
              </w:rPr>
              <w:t>24</w:t>
            </w:r>
            <w:r>
              <w:rPr>
                <w:sz w:val="24"/>
              </w:rPr>
              <w:t>时内提供不低于故障设备规格型号档次的备用设备供甲方临时使用，直至故障设备修复。</w:t>
            </w:r>
          </w:p>
          <w:p>
            <w:pPr>
              <w:pStyle w:val="null3"/>
              <w:ind w:firstLine="420"/>
              <w:jc w:val="both"/>
            </w:pPr>
            <w:r>
              <w:rPr>
                <w:sz w:val="24"/>
              </w:rPr>
              <w:t>5</w:t>
            </w:r>
            <w:r>
              <w:rPr>
                <w:sz w:val="24"/>
              </w:rPr>
              <w:t>.</w:t>
            </w:r>
            <w:r>
              <w:rPr>
                <w:sz w:val="24"/>
              </w:rPr>
              <w:t>乙方</w:t>
            </w:r>
            <w:r>
              <w:rPr>
                <w:sz w:val="24"/>
              </w:rPr>
              <w:t>负责软硬件系统运行的稳定性。</w:t>
            </w:r>
          </w:p>
          <w:p>
            <w:pPr>
              <w:pStyle w:val="null3"/>
              <w:ind w:firstLine="420"/>
              <w:jc w:val="both"/>
            </w:pPr>
            <w:r>
              <w:rPr>
                <w:sz w:val="24"/>
              </w:rPr>
              <w:t>6</w:t>
            </w:r>
            <w:r>
              <w:rPr>
                <w:sz w:val="24"/>
              </w:rPr>
              <w:t>.</w:t>
            </w:r>
            <w:r>
              <w:rPr>
                <w:sz w:val="24"/>
              </w:rPr>
              <w:t>乙方</w:t>
            </w:r>
            <w:r>
              <w:rPr>
                <w:sz w:val="24"/>
              </w:rPr>
              <w:t>相关技术文档要做到归纳、整理，并在甲方需要时能第一提间提供。</w:t>
            </w:r>
          </w:p>
          <w:p>
            <w:pPr>
              <w:pStyle w:val="null3"/>
              <w:ind w:firstLine="420"/>
              <w:jc w:val="both"/>
            </w:pPr>
            <w:r>
              <w:rPr>
                <w:sz w:val="24"/>
              </w:rPr>
              <w:t>7</w:t>
            </w:r>
            <w:r>
              <w:rPr>
                <w:sz w:val="24"/>
              </w:rPr>
              <w:t>.</w:t>
            </w:r>
            <w:r>
              <w:rPr>
                <w:sz w:val="24"/>
              </w:rPr>
              <w:t>软件安装后，</w:t>
            </w:r>
            <w:r>
              <w:rPr>
                <w:sz w:val="24"/>
              </w:rPr>
              <w:t>乙方</w:t>
            </w:r>
            <w:r>
              <w:rPr>
                <w:sz w:val="24"/>
              </w:rPr>
              <w:t>需提供上门培训服务。</w:t>
            </w:r>
          </w:p>
          <w:p>
            <w:pPr>
              <w:pStyle w:val="null3"/>
              <w:ind w:firstLine="420"/>
              <w:jc w:val="both"/>
            </w:pPr>
            <w:r>
              <w:rPr>
                <w:sz w:val="24"/>
              </w:rPr>
              <w:t>8</w:t>
            </w:r>
            <w:r>
              <w:rPr>
                <w:sz w:val="24"/>
              </w:rPr>
              <w:t>.</w:t>
            </w:r>
            <w:r>
              <w:rPr>
                <w:sz w:val="24"/>
              </w:rPr>
              <w:t>乙方</w:t>
            </w:r>
            <w:r>
              <w:rPr>
                <w:sz w:val="24"/>
              </w:rPr>
              <w:t>对</w:t>
            </w:r>
            <w:r>
              <w:rPr>
                <w:sz w:val="24"/>
              </w:rPr>
              <w:t>软件需提供终身免费维护和升级服务。</w:t>
            </w:r>
          </w:p>
          <w:p>
            <w:pPr>
              <w:pStyle w:val="null3"/>
              <w:ind w:firstLine="420"/>
              <w:jc w:val="both"/>
            </w:pPr>
            <w:r>
              <w:rPr>
                <w:sz w:val="24"/>
              </w:rPr>
              <w:t>9</w:t>
            </w:r>
            <w:r>
              <w:rPr>
                <w:sz w:val="24"/>
              </w:rPr>
              <w:t>.</w:t>
            </w:r>
            <w:r>
              <w:rPr>
                <w:sz w:val="24"/>
              </w:rPr>
              <w:t>乙方</w:t>
            </w:r>
            <w:r>
              <w:rPr>
                <w:sz w:val="24"/>
              </w:rPr>
              <w:t>在</w:t>
            </w:r>
            <w:r>
              <w:rPr>
                <w:sz w:val="24"/>
              </w:rPr>
              <w:t>软件出现故障，需在</w:t>
            </w:r>
            <w:r>
              <w:rPr>
                <w:sz w:val="24"/>
              </w:rPr>
              <w:t>1</w:t>
            </w:r>
            <w:r>
              <w:rPr>
                <w:sz w:val="24"/>
              </w:rPr>
              <w:t>小时内响应，并在</w:t>
            </w:r>
            <w:r>
              <w:rPr>
                <w:sz w:val="24"/>
              </w:rPr>
              <w:t>12</w:t>
            </w:r>
            <w:r>
              <w:rPr>
                <w:sz w:val="24"/>
              </w:rPr>
              <w:t>小时予以解决。</w:t>
            </w:r>
          </w:p>
        </w:tc>
      </w:tr>
    </w:tbl>
    <w:p>
      <w:pPr>
        <w:pStyle w:val="null3"/>
        <w:jc w:val="both"/>
      </w:pPr>
      <w:r>
        <w:rPr>
          <w:sz w:val="27"/>
        </w:rPr>
        <w:t>三、保密</w:t>
      </w:r>
    </w:p>
    <w:p>
      <w:pPr>
        <w:pStyle w:val="null3"/>
        <w:ind w:firstLine="480"/>
        <w:jc w:val="both"/>
      </w:pPr>
      <w:r>
        <w:rPr>
          <w:sz w:val="24"/>
        </w:rPr>
        <w:t>任何一方应保证其工作人员或相关人员会对本项目的条款严格保密。乙方有义务对甲方提供的一切资料和信息予以保密。任何一方未经另一方事前书面同意，不得透露与另一方有关的资料及其与本合同有关的商业情报。只有在政府有关部门经正当程序要求提供相关资料时，其中一方才可以透露有关资料，但应事前书面通知另一方。乙方因违反本条保密义务，给甲方造成损失的，须进行赔偿。该保密义务不因合同终止而终止，双方须严格保密至相关信息已向大众公开为止。</w:t>
      </w:r>
    </w:p>
    <w:p>
      <w:pPr>
        <w:pStyle w:val="null3"/>
        <w:jc w:val="both"/>
      </w:pPr>
      <w:r>
        <w:rPr>
          <w:sz w:val="27"/>
        </w:rPr>
        <w:t>四、违约责任与赔偿损失</w:t>
      </w:r>
    </w:p>
    <w:p>
      <w:pPr>
        <w:pStyle w:val="null3"/>
        <w:ind w:firstLine="480"/>
        <w:jc w:val="both"/>
      </w:pPr>
      <w:r>
        <w:rPr>
          <w:sz w:val="24"/>
        </w:rPr>
        <w:t>（一）乙方提供的货物及服务不符合本合同规定的，甲方有权拒收，并且乙方须向甲方支付本合同总价</w:t>
      </w:r>
      <w:r>
        <w:rPr>
          <w:sz w:val="24"/>
        </w:rPr>
        <w:t>5%</w:t>
      </w:r>
      <w:r>
        <w:rPr>
          <w:sz w:val="24"/>
        </w:rPr>
        <w:t>的违约金。</w:t>
      </w:r>
    </w:p>
    <w:p>
      <w:pPr>
        <w:pStyle w:val="null3"/>
        <w:ind w:firstLine="480"/>
        <w:jc w:val="both"/>
      </w:pPr>
      <w:r>
        <w:rPr>
          <w:sz w:val="24"/>
        </w:rPr>
        <w:t>（二）乙方未能按本合同规定的服务时间提供货物及服务，从逾期之日起每日按本合同总价</w:t>
      </w:r>
      <w:r>
        <w:rPr>
          <w:sz w:val="24"/>
        </w:rPr>
        <w:t>3</w:t>
      </w:r>
      <w:r>
        <w:rPr>
          <w:sz w:val="24"/>
        </w:rPr>
        <w:t>‰的数额向甲方支付违约金，违约金累计总额不超过合同总价的</w:t>
      </w:r>
      <w:r>
        <w:rPr>
          <w:sz w:val="24"/>
        </w:rPr>
        <w:t>5%</w:t>
      </w:r>
      <w:r>
        <w:rPr>
          <w:sz w:val="24"/>
        </w:rPr>
        <w:t>；逾期半个月以上的，甲方有权终止合同，由此造成的甲方经济损失由乙方承担。</w:t>
      </w:r>
    </w:p>
    <w:p>
      <w:pPr>
        <w:pStyle w:val="null3"/>
        <w:ind w:firstLine="480"/>
        <w:jc w:val="both"/>
      </w:pPr>
      <w:r>
        <w:rPr>
          <w:sz w:val="24"/>
        </w:rPr>
        <w:t>（三）甲方无正当理由接受货物及服务，到期拒付款项的，甲方向乙方偿付本合同总价的</w:t>
      </w:r>
      <w:r>
        <w:rPr>
          <w:sz w:val="24"/>
        </w:rPr>
        <w:t>5%</w:t>
      </w:r>
      <w:r>
        <w:rPr>
          <w:sz w:val="24"/>
        </w:rPr>
        <w:t>的违约金。甲方逾期付款，则每日按本合同总价的</w:t>
      </w:r>
      <w:r>
        <w:rPr>
          <w:sz w:val="24"/>
        </w:rPr>
        <w:t>3</w:t>
      </w:r>
      <w:r>
        <w:rPr>
          <w:sz w:val="24"/>
        </w:rPr>
        <w:t>‰向乙方偿付违约金，违约金累计总额不超过欠款总价的</w:t>
      </w:r>
      <w:r>
        <w:rPr>
          <w:sz w:val="24"/>
        </w:rPr>
        <w:t>5%</w:t>
      </w:r>
      <w:r>
        <w:rPr>
          <w:sz w:val="24"/>
        </w:rPr>
        <w:t>。</w:t>
      </w:r>
    </w:p>
    <w:p>
      <w:pPr>
        <w:pStyle w:val="null3"/>
        <w:ind w:firstLine="480"/>
        <w:jc w:val="both"/>
      </w:pPr>
      <w:r>
        <w:rPr>
          <w:sz w:val="24"/>
        </w:rPr>
        <w:t>（四）其他违约责任按《中华人民共和国民法典》处理。</w:t>
      </w:r>
    </w:p>
    <w:p>
      <w:pPr>
        <w:pStyle w:val="null3"/>
        <w:jc w:val="both"/>
      </w:pPr>
      <w:r>
        <w:rPr>
          <w:sz w:val="27"/>
        </w:rPr>
        <w:t>五、提出异议的时间和方法：</w:t>
      </w:r>
    </w:p>
    <w:p>
      <w:pPr>
        <w:pStyle w:val="null3"/>
        <w:jc w:val="both"/>
      </w:pPr>
      <w:r>
        <w:rPr>
          <w:sz w:val="24"/>
        </w:rPr>
        <w:t>1.</w:t>
      </w:r>
      <w:r>
        <w:rPr>
          <w:sz w:val="24"/>
        </w:rPr>
        <w:t>甲方有异议时，应</w:t>
      </w:r>
      <w:r>
        <w:rPr>
          <w:sz w:val="24"/>
        </w:rPr>
        <w:t>5</w:t>
      </w:r>
      <w:r>
        <w:rPr>
          <w:sz w:val="24"/>
        </w:rPr>
        <w:t>天内向乙方提出书面异议。</w:t>
      </w:r>
    </w:p>
    <w:p>
      <w:pPr>
        <w:pStyle w:val="null3"/>
        <w:jc w:val="both"/>
      </w:pPr>
      <w:r>
        <w:rPr>
          <w:sz w:val="24"/>
        </w:rPr>
        <w:t>2.</w:t>
      </w:r>
      <w:r>
        <w:rPr>
          <w:sz w:val="24"/>
        </w:rPr>
        <w:t>乙方在接到甲方书面异议后，应在</w:t>
      </w:r>
      <w:r>
        <w:rPr>
          <w:sz w:val="24"/>
        </w:rPr>
        <w:t>3</w:t>
      </w:r>
      <w:r>
        <w:rPr>
          <w:sz w:val="24"/>
        </w:rPr>
        <w:t>天内负责处理并函复甲方处理情况，否则，即视为默认甲方提出的异议和处理意见。</w:t>
      </w:r>
    </w:p>
    <w:p>
      <w:pPr>
        <w:pStyle w:val="null3"/>
        <w:jc w:val="both"/>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7"/>
        </w:rPr>
        <w:t>六、争议的解决：</w:t>
      </w:r>
    </w:p>
    <w:p>
      <w:pPr>
        <w:pStyle w:val="null3"/>
        <w:ind w:firstLine="480"/>
        <w:jc w:val="both"/>
      </w:pPr>
      <w:r>
        <w:rPr>
          <w:sz w:val="24"/>
        </w:rPr>
        <w:t>本合同发生争议，由双方协商或由政府采购监管部门调解解决，协商或调解不成时双方可向甲方所在地人民法院提起诉讼。</w:t>
      </w:r>
    </w:p>
    <w:p>
      <w:pPr>
        <w:pStyle w:val="null3"/>
        <w:jc w:val="both"/>
      </w:pPr>
      <w:r>
        <w:rPr>
          <w:sz w:val="27"/>
        </w:rPr>
        <w:t>七、不可抗力：</w:t>
      </w:r>
    </w:p>
    <w:p>
      <w:pPr>
        <w:pStyle w:val="null3"/>
        <w:ind w:firstLine="42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rPr>
        <w:t>八、税费：</w:t>
      </w:r>
    </w:p>
    <w:p>
      <w:pPr>
        <w:pStyle w:val="null3"/>
        <w:jc w:val="both"/>
      </w:pPr>
      <w:r>
        <w:rPr>
          <w:sz w:val="24"/>
        </w:rPr>
        <w:t>1.</w:t>
      </w:r>
      <w:r>
        <w:rPr>
          <w:sz w:val="24"/>
        </w:rPr>
        <w:t>在中国境内、外发生的与本合同执行有关的一切税费均由乙方负担。</w:t>
      </w:r>
    </w:p>
    <w:p>
      <w:pPr>
        <w:pStyle w:val="null3"/>
        <w:jc w:val="both"/>
      </w:pPr>
      <w:r>
        <w:rPr>
          <w:sz w:val="24"/>
        </w:rPr>
        <w:t>2.</w:t>
      </w:r>
      <w:r>
        <w:rPr>
          <w:sz w:val="24"/>
        </w:rPr>
        <w:t>乙方依照税务规章优先在合同履约地开具发票及纳税，咨询：</w:t>
      </w:r>
      <w:r>
        <w:rPr>
          <w:sz w:val="24"/>
        </w:rPr>
        <w:t>0757-12366</w:t>
      </w:r>
      <w:r>
        <w:rPr>
          <w:sz w:val="24"/>
        </w:rPr>
        <w:t>。</w:t>
      </w:r>
    </w:p>
    <w:p>
      <w:pPr>
        <w:pStyle w:val="null3"/>
        <w:jc w:val="both"/>
      </w:pPr>
      <w:r>
        <w:rPr>
          <w:sz w:val="27"/>
        </w:rPr>
        <w:t>九、合同生效与合同备案：</w:t>
      </w:r>
    </w:p>
    <w:p>
      <w:pPr>
        <w:pStyle w:val="null3"/>
        <w:jc w:val="both"/>
      </w:pPr>
      <w:r>
        <w:rPr>
          <w:sz w:val="24"/>
        </w:rPr>
        <w:t>1.</w:t>
      </w:r>
      <w:r>
        <w:rPr>
          <w:sz w:val="24"/>
        </w:rPr>
        <w:t>本合同在甲乙双方法人代表或其授权代表签字盖章后生效。</w:t>
      </w:r>
    </w:p>
    <w:p>
      <w:pPr>
        <w:pStyle w:val="null3"/>
        <w:jc w:val="both"/>
      </w:pPr>
      <w:r>
        <w:rPr>
          <w:sz w:val="24"/>
        </w:rPr>
        <w:t>2.</w:t>
      </w:r>
      <w:r>
        <w:rPr>
          <w:sz w:val="24"/>
        </w:rPr>
        <w:t>自采购合同签订之日起</w:t>
      </w:r>
      <w:r>
        <w:rPr>
          <w:sz w:val="24"/>
        </w:rPr>
        <w:t>7</w:t>
      </w:r>
      <w:r>
        <w:rPr>
          <w:sz w:val="24"/>
        </w:rPr>
        <w:t>个工作日内，由甲方按照有关规定将采购合同副本报同级人民政府财政部门（政府采购管理部门）备案。</w:t>
      </w:r>
    </w:p>
    <w:p>
      <w:pPr>
        <w:pStyle w:val="null3"/>
        <w:jc w:val="both"/>
      </w:pPr>
      <w:r>
        <w:rPr>
          <w:sz w:val="27"/>
        </w:rPr>
        <w:t>十、乙方应提供的资料内容：</w:t>
      </w:r>
    </w:p>
    <w:p>
      <w:pPr>
        <w:pStyle w:val="null3"/>
        <w:jc w:val="both"/>
      </w:pPr>
      <w:r>
        <w:rPr>
          <w:sz w:val="27"/>
        </w:rPr>
        <w:t>1.</w:t>
      </w:r>
      <w:r>
        <w:rPr>
          <w:u w:val="single"/>
        </w:rPr>
        <w:t xml:space="preserve">                        </w:t>
      </w:r>
      <w:r>
        <w:rPr>
          <w:sz w:val="27"/>
        </w:rPr>
        <w:t>。</w:t>
      </w:r>
    </w:p>
    <w:p>
      <w:pPr>
        <w:pStyle w:val="null3"/>
        <w:jc w:val="both"/>
      </w:pPr>
      <w:r>
        <w:rPr>
          <w:sz w:val="27"/>
        </w:rPr>
        <w:t>2.</w:t>
      </w:r>
      <w:r>
        <w:rPr>
          <w:u w:val="single"/>
        </w:rPr>
        <w:t xml:space="preserve">                        </w:t>
      </w:r>
      <w:r>
        <w:rPr>
          <w:sz w:val="27"/>
        </w:rPr>
        <w:t>。</w:t>
      </w:r>
    </w:p>
    <w:p>
      <w:pPr>
        <w:pStyle w:val="null3"/>
        <w:jc w:val="both"/>
      </w:pPr>
      <w:r>
        <w:rPr>
          <w:sz w:val="27"/>
        </w:rPr>
        <w:t>3.</w:t>
      </w:r>
      <w:r>
        <w:rPr>
          <w:u w:val="single"/>
        </w:rPr>
        <w:t xml:space="preserve">                        </w:t>
      </w:r>
      <w:r>
        <w:rPr>
          <w:sz w:val="27"/>
        </w:rPr>
        <w:t>。</w:t>
      </w:r>
    </w:p>
    <w:p>
      <w:pPr>
        <w:pStyle w:val="null3"/>
        <w:jc w:val="both"/>
      </w:pPr>
      <w:r>
        <w:rPr>
          <w:sz w:val="27"/>
        </w:rPr>
        <w:t>十一、关于政府采购合同融资</w:t>
      </w:r>
    </w:p>
    <w:p>
      <w:pPr>
        <w:pStyle w:val="null3"/>
        <w:jc w:val="both"/>
      </w:pPr>
      <w:r>
        <w:rPr>
          <w:sz w:val="24"/>
        </w:rPr>
        <w:t>1.</w:t>
      </w:r>
      <w:r>
        <w:rPr>
          <w:sz w:val="24"/>
        </w:rPr>
        <w:t>乙方是否已申请政府采购合同融资：是</w:t>
      </w:r>
      <w:r>
        <w:rPr>
          <w:sz w:val="24"/>
        </w:rPr>
        <w:t>/</w:t>
      </w:r>
      <w:r>
        <w:rPr>
          <w:sz w:val="24"/>
        </w:rPr>
        <w:t>否；</w:t>
      </w:r>
    </w:p>
    <w:p>
      <w:pPr>
        <w:pStyle w:val="null3"/>
        <w:jc w:val="both"/>
      </w:pPr>
      <w:r>
        <w:rPr>
          <w:sz w:val="24"/>
        </w:rPr>
        <w:t>2.</w:t>
      </w:r>
      <w:r>
        <w:rPr>
          <w:sz w:val="24"/>
        </w:rPr>
        <w:t>融资银行及联系方式：</w:t>
      </w:r>
      <w:r>
        <w:rPr>
          <w:u w:val="single"/>
        </w:rPr>
        <w:t xml:space="preserve">                    </w:t>
      </w:r>
      <w:r>
        <w:rPr>
          <w:sz w:val="24"/>
        </w:rPr>
        <w:t>。</w:t>
      </w:r>
    </w:p>
    <w:p>
      <w:pPr>
        <w:pStyle w:val="null3"/>
        <w:jc w:val="both"/>
      </w:pPr>
      <w:r>
        <w:rPr>
          <w:sz w:val="24"/>
        </w:rPr>
        <w:t>3.</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jc w:val="both"/>
      </w:pPr>
      <w:r>
        <w:rPr>
          <w:sz w:val="27"/>
        </w:rPr>
        <w:t>十二、其它：</w:t>
      </w:r>
    </w:p>
    <w:p>
      <w:pPr>
        <w:pStyle w:val="null3"/>
        <w:jc w:val="both"/>
      </w:pPr>
      <w:r>
        <w:rPr>
          <w:sz w:val="24"/>
        </w:rPr>
        <w:t>1.</w:t>
      </w:r>
      <w:r>
        <w:rPr>
          <w:sz w:val="24"/>
        </w:rPr>
        <w:t>本合同所有附件、采购文件</w:t>
      </w:r>
      <w:r>
        <w:rPr>
          <w:sz w:val="24"/>
        </w:rPr>
        <w:t>/</w:t>
      </w:r>
      <w:r>
        <w:rPr>
          <w:sz w:val="24"/>
        </w:rPr>
        <w:t>招标文件、投标文件、中标通知书均为合同的有效组成部分，与本合同具有同等法律效力。</w:t>
      </w:r>
    </w:p>
    <w:p>
      <w:pPr>
        <w:pStyle w:val="null3"/>
        <w:jc w:val="both"/>
      </w:pPr>
      <w:r>
        <w:rPr>
          <w:sz w:val="24"/>
        </w:rPr>
        <w:t>2.</w:t>
      </w:r>
      <w:r>
        <w:rPr>
          <w:sz w:val="24"/>
        </w:rPr>
        <w:t>在执行本合同的过程中，所有经双方签署确认的文件（包括会议纪要、补充协议、往来信函）即成为本合同的有效组成部分。</w:t>
      </w:r>
    </w:p>
    <w:p>
      <w:pPr>
        <w:pStyle w:val="null3"/>
        <w:jc w:val="both"/>
      </w:pPr>
      <w:r>
        <w:rPr>
          <w:sz w:val="24"/>
        </w:rPr>
        <w:t>3.</w:t>
      </w:r>
      <w:r>
        <w:rPr>
          <w:sz w:val="24"/>
        </w:rPr>
        <w:t>如一方地址、电话、传真号码有变更，应在变更当日内书面通知对方，否则，应承担相应责任。</w:t>
      </w:r>
    </w:p>
    <w:p>
      <w:pPr>
        <w:pStyle w:val="null3"/>
        <w:jc w:val="both"/>
      </w:pPr>
      <w:r>
        <w:rPr>
          <w:sz w:val="24"/>
        </w:rPr>
        <w:t xml:space="preserve">4. </w:t>
      </w:r>
      <w:r>
        <w:rPr>
          <w:sz w:val="24"/>
        </w:rPr>
        <w:t>除甲方事先书面同意外，乙方不得部分或全部转让其应履行的合同项下的义务。</w:t>
      </w:r>
    </w:p>
    <w:p>
      <w:pPr>
        <w:pStyle w:val="null3"/>
        <w:jc w:val="both"/>
      </w:pPr>
      <w:r>
        <w:rPr>
          <w:sz w:val="27"/>
        </w:rPr>
        <w:t>十三、合同生效</w:t>
      </w:r>
    </w:p>
    <w:p>
      <w:pPr>
        <w:pStyle w:val="null3"/>
        <w:jc w:val="both"/>
      </w:pPr>
      <w:r>
        <w:rPr>
          <w:sz w:val="24"/>
        </w:rPr>
        <w:t>（一）本合同在甲乙双方法人代表或其授权代表签字盖章后生效。</w:t>
      </w:r>
    </w:p>
    <w:p>
      <w:pPr>
        <w:pStyle w:val="null3"/>
        <w:jc w:val="both"/>
      </w:pPr>
      <w:r>
        <w:rPr>
          <w:sz w:val="24"/>
        </w:rPr>
        <w:t>（二）合同一式</w:t>
      </w:r>
      <w:r>
        <w:rPr>
          <w:sz w:val="24"/>
        </w:rPr>
        <w:t xml:space="preserve">   </w:t>
      </w:r>
      <w:r>
        <w:rPr>
          <w:sz w:val="24"/>
        </w:rPr>
        <w:t>份，甲方执</w:t>
      </w:r>
      <w:r>
        <w:rPr>
          <w:sz w:val="24"/>
        </w:rPr>
        <w:t xml:space="preserve">   </w:t>
      </w:r>
      <w:r>
        <w:rPr>
          <w:sz w:val="24"/>
        </w:rPr>
        <w:t>份，乙方执</w:t>
      </w:r>
      <w:r>
        <w:rPr>
          <w:sz w:val="24"/>
        </w:rPr>
        <w:t xml:space="preserve">   </w:t>
      </w:r>
      <w:r>
        <w:rPr>
          <w:sz w:val="24"/>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日期：</w:t>
            </w:r>
            <w:r>
              <w:rPr>
                <w:sz w:val="27"/>
              </w:rPr>
              <w:t xml:space="preserve">    </w:t>
            </w:r>
            <w:r>
              <w:rPr>
                <w:sz w:val="27"/>
              </w:rPr>
              <w:t>年</w:t>
            </w:r>
            <w:r>
              <w:rPr>
                <w:sz w:val="27"/>
              </w:rPr>
              <w:t xml:space="preserve">  </w:t>
            </w:r>
            <w:r>
              <w:rPr>
                <w:sz w:val="27"/>
              </w:rPr>
              <w:t>月</w:t>
            </w:r>
            <w:r>
              <w:rPr>
                <w:sz w:val="27"/>
              </w:rPr>
              <w:t xml:space="preserve">  </w:t>
            </w:r>
            <w:r>
              <w:rPr>
                <w:sz w:val="27"/>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7"/>
              </w:rPr>
              <w:t>日期：</w:t>
            </w:r>
            <w:r>
              <w:rPr>
                <w:sz w:val="27"/>
              </w:rPr>
              <w:t xml:space="preserve">    </w:t>
            </w:r>
            <w:r>
              <w:rPr>
                <w:sz w:val="27"/>
              </w:rPr>
              <w:t>年</w:t>
            </w:r>
            <w:r>
              <w:rPr>
                <w:sz w:val="27"/>
              </w:rPr>
              <w:t xml:space="preserve">  </w:t>
            </w:r>
            <w:r>
              <w:rPr>
                <w:sz w:val="27"/>
              </w:rPr>
              <w:t>月</w:t>
            </w:r>
            <w:r>
              <w:rPr>
                <w:sz w:val="27"/>
              </w:rPr>
              <w:t xml:space="preserve">  </w:t>
            </w:r>
            <w:r>
              <w:rPr>
                <w:sz w:val="27"/>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rPr>
              <w:t>收款方、开票方须与乙方一</w:t>
            </w:r>
            <w:r>
              <w:rPr>
                <w:sz w:val="27"/>
              </w:rPr>
              <w:t xml:space="preserve">           </w:t>
            </w:r>
            <w:r>
              <w:rPr>
                <w:sz w:val="27"/>
              </w:rPr>
              <w:t>致，专户为：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rPr>
              <w:t>开户行：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440001-2025-42506</w:t>
      </w:r>
    </w:p>
    <w:p>
      <w:pPr>
        <w:pStyle w:val="null3"/>
        <w:jc w:val="center"/>
        <w:outlineLvl w:val="3"/>
      </w:pPr>
      <w:r>
        <w:rPr>
          <w:sz w:val="24"/>
          <w:b/>
        </w:rPr>
        <w:t>采购项目编号：</w:t>
      </w:r>
      <w:r>
        <w:rPr>
          <w:sz w:val="24"/>
          <w:b/>
        </w:rPr>
        <w:t>ZBXM20250053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广东职业技术学院国双高项目：新一代信息技术虚拟现实实训基地·VR虚拟现实应用实训室</w:t>
      </w:r>
      <w:r>
        <w:rPr>
          <w:u w:val="single"/>
        </w:rPr>
        <w:t>”</w:t>
      </w:r>
      <w:r>
        <w:rPr/>
        <w:t>项目的招标[采购项目编号为：</w:t>
      </w:r>
      <w:r>
        <w:rPr>
          <w:u w:val="single"/>
        </w:rPr>
        <w:t>ZBXM20250053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广东职业技术学院国双高项目：新一代信息技术虚拟现实实训基地·VR虚拟现实应用实训室</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广东职业技术学院国双高项目：新一代信息技术虚拟现实实训基地·VR虚拟现实应用实训室</w:t>
      </w:r>
      <w:r>
        <w:rPr/>
        <w:t>”项目采购[采购项目编号为</w:t>
      </w:r>
      <w:r>
        <w:rPr/>
        <w:t>ZBXM20250053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广东职业技术学院国双高项目：新一代信息技术虚拟现实实训基地·VR虚拟现实应用实训室</w:t>
      </w:r>
      <w:r>
        <w:rPr/>
        <w:t>招标中获中标（采购项目编号：</w:t>
      </w:r>
      <w:r>
        <w:rPr/>
        <w:t>ZBXM20250053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广东职业技术学院国双高项目：新一代信息技术虚拟现实实训基地·VR虚拟现实应用实训室</w:t>
      </w:r>
      <w:r>
        <w:rPr/>
        <w:t>”项目（采购项目编号：</w:t>
      </w:r>
      <w:r>
        <w:rPr/>
        <w:t>ZBXM20250053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