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97134">
      <w:pPr>
        <w:pStyle w:val="8"/>
        <w:jc w:val="center"/>
        <w:outlineLvl w:val="0"/>
        <w:rPr>
          <w:rFonts w:hint="default"/>
          <w:color w:val="auto"/>
          <w:highlight w:val="none"/>
        </w:rPr>
      </w:pPr>
      <w:bookmarkStart w:id="52" w:name="_GoBack"/>
      <w:r>
        <w:rPr>
          <w:rFonts w:ascii="仿宋_GB2312" w:hAnsi="仿宋_GB2312" w:eastAsia="仿宋_GB2312" w:cs="仿宋_GB2312"/>
          <w:b/>
          <w:color w:val="auto"/>
          <w:sz w:val="48"/>
          <w:highlight w:val="none"/>
        </w:rPr>
        <w:t>政府采购合同</w:t>
      </w:r>
    </w:p>
    <w:p w14:paraId="0CFF8B1A">
      <w:pPr>
        <w:pStyle w:val="8"/>
        <w:jc w:val="center"/>
        <w:outlineLvl w:val="0"/>
        <w:rPr>
          <w:rFonts w:ascii="仿宋_GB2312" w:hAnsi="仿宋_GB2312" w:eastAsia="仿宋_GB2312" w:cs="仿宋_GB2312"/>
          <w:b/>
          <w:color w:val="auto"/>
          <w:sz w:val="48"/>
          <w:highlight w:val="none"/>
        </w:rPr>
      </w:pPr>
      <w:r>
        <w:rPr>
          <w:rFonts w:ascii="仿宋_GB2312" w:hAnsi="仿宋_GB2312" w:eastAsia="仿宋_GB2312" w:cs="仿宋_GB2312"/>
          <w:b/>
          <w:color w:val="auto"/>
          <w:sz w:val="48"/>
          <w:highlight w:val="none"/>
        </w:rPr>
        <w:t xml:space="preserve"> （服务类）</w:t>
      </w:r>
    </w:p>
    <w:p w14:paraId="4BD335FE">
      <w:pPr>
        <w:pStyle w:val="8"/>
        <w:jc w:val="both"/>
        <w:outlineLvl w:val="0"/>
        <w:rPr>
          <w:rFonts w:ascii="仿宋_GB2312" w:hAnsi="仿宋_GB2312" w:eastAsia="仿宋_GB2312" w:cs="仿宋_GB2312"/>
          <w:b/>
          <w:color w:val="auto"/>
          <w:sz w:val="48"/>
          <w:highlight w:val="none"/>
        </w:rPr>
      </w:pPr>
    </w:p>
    <w:p w14:paraId="041DA732">
      <w:pPr>
        <w:pStyle w:val="8"/>
        <w:jc w:val="both"/>
        <w:outlineLvl w:val="0"/>
        <w:rPr>
          <w:rFonts w:hint="default"/>
          <w:color w:val="auto"/>
          <w:highlight w:val="none"/>
        </w:rPr>
      </w:pPr>
      <w:r>
        <w:rPr>
          <w:rFonts w:ascii="仿宋_GB2312" w:hAnsi="仿宋_GB2312" w:eastAsia="仿宋_GB2312" w:cs="仿宋_GB2312"/>
          <w:b/>
          <w:color w:val="auto"/>
          <w:sz w:val="27"/>
          <w:highlight w:val="none"/>
        </w:rPr>
        <w:t xml:space="preserve"> 政府采购合同编号：__________________</w:t>
      </w:r>
    </w:p>
    <w:p w14:paraId="3398B9CB">
      <w:pPr>
        <w:pStyle w:val="8"/>
        <w:rPr>
          <w:rFonts w:hint="default"/>
          <w:color w:val="auto"/>
          <w:highlight w:val="none"/>
        </w:rPr>
      </w:pPr>
      <w:r>
        <w:rPr>
          <w:rFonts w:ascii="仿宋_GB2312" w:hAnsi="仿宋_GB2312" w:eastAsia="仿宋_GB2312" w:cs="仿宋_GB2312"/>
          <w:b/>
          <w:color w:val="auto"/>
          <w:sz w:val="27"/>
          <w:highlight w:val="none"/>
        </w:rPr>
        <w:t xml:space="preserve"> 履约地点：__________________</w:t>
      </w:r>
    </w:p>
    <w:p w14:paraId="26FCA956">
      <w:pPr>
        <w:pStyle w:val="8"/>
        <w:rPr>
          <w:rFonts w:hint="default"/>
          <w:color w:val="auto"/>
          <w:highlight w:val="none"/>
        </w:rPr>
      </w:pPr>
      <w:r>
        <w:rPr>
          <w:rFonts w:ascii="仿宋_GB2312" w:hAnsi="仿宋_GB2312" w:eastAsia="仿宋_GB2312" w:cs="仿宋_GB2312"/>
          <w:b/>
          <w:color w:val="auto"/>
          <w:sz w:val="27"/>
          <w:highlight w:val="none"/>
        </w:rPr>
        <w:t xml:space="preserve"> 签订地点：__________________</w:t>
      </w:r>
    </w:p>
    <w:p w14:paraId="1BA9DCDA">
      <w:pPr>
        <w:pStyle w:val="8"/>
        <w:rPr>
          <w:rFonts w:hint="default"/>
          <w:color w:val="auto"/>
          <w:highlight w:val="none"/>
        </w:rPr>
      </w:pPr>
      <w:r>
        <w:rPr>
          <w:rFonts w:ascii="仿宋_GB2312" w:hAnsi="仿宋_GB2312" w:eastAsia="仿宋_GB2312" w:cs="仿宋_GB2312"/>
          <w:b/>
          <w:color w:val="auto"/>
          <w:sz w:val="27"/>
          <w:highlight w:val="none"/>
        </w:rPr>
        <w:t xml:space="preserve"> 签订时间：20___年___月___日</w:t>
      </w:r>
    </w:p>
    <w:p w14:paraId="44BF0E34">
      <w:pPr>
        <w:pStyle w:val="8"/>
        <w:rPr>
          <w:rFonts w:hint="default"/>
          <w:color w:val="auto"/>
          <w:highlight w:val="none"/>
        </w:rPr>
      </w:pPr>
      <w:r>
        <w:rPr>
          <w:rFonts w:ascii="仿宋_GB2312" w:hAnsi="仿宋_GB2312" w:eastAsia="仿宋_GB2312" w:cs="仿宋_GB2312"/>
          <w:b/>
          <w:color w:val="auto"/>
          <w:sz w:val="27"/>
          <w:highlight w:val="none"/>
        </w:rPr>
        <w:t xml:space="preserve"> 采购人（以下简称“甲方”）：__________________</w:t>
      </w:r>
    </w:p>
    <w:p w14:paraId="0126A0EA">
      <w:pPr>
        <w:pStyle w:val="8"/>
        <w:rPr>
          <w:rFonts w:hint="default"/>
          <w:color w:val="auto"/>
          <w:highlight w:val="none"/>
        </w:rPr>
      </w:pPr>
      <w:r>
        <w:rPr>
          <w:rFonts w:ascii="仿宋_GB2312" w:hAnsi="仿宋_GB2312" w:eastAsia="仿宋_GB2312" w:cs="仿宋_GB2312"/>
          <w:b/>
          <w:color w:val="auto"/>
          <w:sz w:val="27"/>
          <w:highlight w:val="none"/>
        </w:rPr>
        <w:t xml:space="preserve"> 采购人地址：__________________</w:t>
      </w:r>
    </w:p>
    <w:p w14:paraId="6CB3EDBB">
      <w:pPr>
        <w:pStyle w:val="8"/>
        <w:rPr>
          <w:rFonts w:hint="default"/>
          <w:color w:val="auto"/>
          <w:highlight w:val="none"/>
        </w:rPr>
      </w:pPr>
      <w:r>
        <w:rPr>
          <w:rFonts w:ascii="仿宋_GB2312" w:hAnsi="仿宋_GB2312" w:eastAsia="仿宋_GB2312" w:cs="仿宋_GB2312"/>
          <w:b/>
          <w:color w:val="auto"/>
          <w:sz w:val="27"/>
          <w:highlight w:val="none"/>
        </w:rPr>
        <w:t xml:space="preserve"> 供应商(以下简称“乙方”)：__________________</w:t>
      </w:r>
    </w:p>
    <w:p w14:paraId="29E38643">
      <w:pPr>
        <w:pStyle w:val="8"/>
        <w:rPr>
          <w:rFonts w:hint="default"/>
          <w:color w:val="auto"/>
          <w:highlight w:val="none"/>
        </w:rPr>
      </w:pPr>
      <w:r>
        <w:rPr>
          <w:rFonts w:ascii="仿宋_GB2312" w:hAnsi="仿宋_GB2312" w:eastAsia="仿宋_GB2312" w:cs="仿宋_GB2312"/>
          <w:b/>
          <w:color w:val="auto"/>
          <w:sz w:val="27"/>
          <w:highlight w:val="none"/>
        </w:rPr>
        <w:t xml:space="preserve"> 供应商地址：__________________</w:t>
      </w:r>
    </w:p>
    <w:p w14:paraId="75CA5C21">
      <w:pPr>
        <w:pStyle w:val="8"/>
        <w:rPr>
          <w:rFonts w:hint="default"/>
          <w:color w:val="auto"/>
          <w:highlight w:val="none"/>
        </w:rPr>
      </w:pPr>
      <w:r>
        <w:rPr>
          <w:rFonts w:ascii="仿宋_GB2312" w:hAnsi="仿宋_GB2312" w:eastAsia="仿宋_GB2312" w:cs="仿宋_GB2312"/>
          <w:color w:val="auto"/>
          <w:highlight w:val="none"/>
        </w:rPr>
        <w:t xml:space="preserve"> </w:t>
      </w:r>
    </w:p>
    <w:p w14:paraId="6556CC40">
      <w:pPr>
        <w:pStyle w:val="8"/>
        <w:spacing w:line="360" w:lineRule="auto"/>
        <w:ind w:firstLine="480" w:firstLineChars="200"/>
        <w:jc w:val="both"/>
        <w:rPr>
          <w:rFonts w:ascii="宋体" w:hAnsi="宋体" w:eastAsia="宋体" w:cs="宋体"/>
          <w:bCs/>
          <w:color w:val="auto"/>
          <w:kern w:val="2"/>
          <w:sz w:val="24"/>
          <w:szCs w:val="24"/>
          <w:highlight w:val="none"/>
          <w:lang w:eastAsia="zh-CN"/>
        </w:rPr>
      </w:pPr>
      <w:r>
        <w:rPr>
          <w:rFonts w:ascii="宋体" w:hAnsi="宋体" w:eastAsia="宋体" w:cs="宋体"/>
          <w:bCs/>
          <w:color w:val="auto"/>
          <w:kern w:val="2"/>
          <w:sz w:val="24"/>
          <w:szCs w:val="24"/>
          <w:highlight w:val="none"/>
          <w:lang w:eastAsia="zh-CN"/>
        </w:rPr>
        <w:t>依据《中华人民共和国民法典》、《中华人民共和国政府采购法》与项目行业有关的法律法规，以及甲方________采购项目的 《磋商文件》，乙方的《投标（响应）文件》及《中标（成交）通知书》，甲乙双方同意签订本合同。具体情况及要求如下：</w:t>
      </w:r>
    </w:p>
    <w:p w14:paraId="5F67A066">
      <w:pPr>
        <w:spacing w:line="360" w:lineRule="auto"/>
        <w:ind w:right="105" w:rightChars="50"/>
        <w:jc w:val="left"/>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一、项目概况</w:t>
      </w:r>
    </w:p>
    <w:p w14:paraId="0BD15891">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1、项目名称：污泥无害化处置采购项目。</w:t>
      </w:r>
    </w:p>
    <w:p w14:paraId="39345782">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2、服务地点：成都市第六人民医院（沙河院区、金牛院区、东虹院区、青龙场院区）。</w:t>
      </w:r>
    </w:p>
    <w:p w14:paraId="07CF6B6D">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3、服务期限：一年。自20**年**月**日起至20**年**月**日止。</w:t>
      </w:r>
    </w:p>
    <w:p w14:paraId="1A8B520E">
      <w:pPr>
        <w:spacing w:line="360" w:lineRule="auto"/>
        <w:ind w:right="105" w:rightChars="50"/>
        <w:jc w:val="left"/>
        <w:outlineLvl w:val="0"/>
        <w:rPr>
          <w:rFonts w:hint="eastAsia" w:ascii="宋体" w:hAnsi="宋体" w:eastAsia="宋体" w:cs="宋体"/>
          <w:b/>
          <w:color w:val="auto"/>
          <w:sz w:val="28"/>
          <w:szCs w:val="28"/>
          <w:highlight w:val="none"/>
        </w:rPr>
      </w:pPr>
      <w:bookmarkStart w:id="0" w:name="_Toc211911348"/>
      <w:bookmarkStart w:id="1" w:name="_Toc237145406"/>
      <w:bookmarkStart w:id="2" w:name="_Toc225654644"/>
      <w:bookmarkStart w:id="3" w:name="_Toc286993786"/>
      <w:bookmarkStart w:id="4" w:name="_Toc251768862"/>
      <w:bookmarkStart w:id="5" w:name="_Toc239568418"/>
      <w:bookmarkStart w:id="6" w:name="_Toc225244852"/>
      <w:bookmarkStart w:id="7" w:name="_Toc238984975"/>
      <w:bookmarkStart w:id="8" w:name="_Toc283019214"/>
      <w:bookmarkStart w:id="9" w:name="_Toc185395249"/>
      <w:bookmarkStart w:id="10" w:name="_Toc212019594"/>
      <w:bookmarkStart w:id="11" w:name="_Toc211854449"/>
      <w:bookmarkStart w:id="12" w:name="_Toc239233914"/>
      <w:bookmarkStart w:id="13" w:name="_Toc247334841"/>
      <w:bookmarkStart w:id="14" w:name="_Toc241833903"/>
      <w:bookmarkStart w:id="15" w:name="_Toc232492928"/>
      <w:bookmarkStart w:id="16" w:name="_Toc225670751"/>
      <w:bookmarkStart w:id="17" w:name="_Toc282696226"/>
      <w:r>
        <w:rPr>
          <w:rFonts w:hint="eastAsia" w:ascii="宋体" w:hAnsi="宋体" w:eastAsia="宋体" w:cs="宋体"/>
          <w:b/>
          <w:color w:val="auto"/>
          <w:sz w:val="28"/>
          <w:szCs w:val="28"/>
          <w:highlight w:val="none"/>
        </w:rPr>
        <w:t>二、服务内容与服务要求</w:t>
      </w:r>
    </w:p>
    <w:p w14:paraId="2EDD60E8">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（一）服务内容</w:t>
      </w:r>
    </w:p>
    <w:p w14:paraId="658C5E5F">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乙方需对成都市第六人民医院（沙河院区、金牛院区、东虹院区、青龙场院区）化粪池及污水处理站进行污泥清运处置工作（清掏时间接甲方通知为准），其中沙河院区共计化粪池</w:t>
      </w:r>
      <w:r>
        <w:rPr>
          <w:rFonts w:ascii="宋体" w:hAnsi="宋体" w:eastAsia="宋体" w:cs="宋体"/>
          <w:bCs/>
          <w:color w:val="auto"/>
          <w:sz w:val="24"/>
          <w:highlight w:val="none"/>
        </w:rPr>
        <w:t>6</w:t>
      </w:r>
      <w:r>
        <w:rPr>
          <w:rFonts w:hint="eastAsia" w:ascii="宋体" w:hAnsi="宋体" w:eastAsia="宋体" w:cs="宋体"/>
          <w:bCs/>
          <w:color w:val="auto"/>
          <w:sz w:val="24"/>
          <w:highlight w:val="none"/>
        </w:rPr>
        <w:t>处，池体共计约</w:t>
      </w:r>
      <w:r>
        <w:rPr>
          <w:rFonts w:ascii="宋体" w:hAnsi="宋体" w:eastAsia="宋体" w:cs="宋体"/>
          <w:bCs/>
          <w:color w:val="auto"/>
          <w:sz w:val="24"/>
          <w:highlight w:val="none"/>
        </w:rPr>
        <w:t>80m³</w:t>
      </w:r>
      <w:r>
        <w:rPr>
          <w:rFonts w:hint="eastAsia" w:ascii="宋体" w:hAnsi="宋体" w:eastAsia="宋体" w:cs="宋体"/>
          <w:bCs/>
          <w:color w:val="auto"/>
          <w:sz w:val="24"/>
          <w:highlight w:val="none"/>
        </w:rPr>
        <w:t>，污水处理站清掏池体约</w:t>
      </w:r>
      <w:r>
        <w:rPr>
          <w:rFonts w:ascii="宋体" w:hAnsi="宋体" w:eastAsia="宋体" w:cs="宋体"/>
          <w:bCs/>
          <w:color w:val="auto"/>
          <w:sz w:val="24"/>
          <w:highlight w:val="none"/>
        </w:rPr>
        <w:t>20m³</w:t>
      </w:r>
      <w:r>
        <w:rPr>
          <w:rFonts w:hint="eastAsia" w:ascii="宋体" w:hAnsi="宋体" w:eastAsia="宋体" w:cs="宋体"/>
          <w:bCs/>
          <w:color w:val="auto"/>
          <w:sz w:val="24"/>
          <w:highlight w:val="none"/>
        </w:rPr>
        <w:t>，污水管道井池体约</w:t>
      </w:r>
      <w:r>
        <w:rPr>
          <w:rFonts w:ascii="宋体" w:hAnsi="宋体" w:eastAsia="宋体" w:cs="宋体"/>
          <w:bCs/>
          <w:color w:val="auto"/>
          <w:sz w:val="24"/>
          <w:highlight w:val="none"/>
        </w:rPr>
        <w:t>80m³</w:t>
      </w:r>
      <w:r>
        <w:rPr>
          <w:rFonts w:hint="eastAsia" w:ascii="宋体" w:hAnsi="宋体" w:eastAsia="宋体" w:cs="宋体"/>
          <w:bCs/>
          <w:color w:val="auto"/>
          <w:sz w:val="24"/>
          <w:highlight w:val="none"/>
        </w:rPr>
        <w:t>；金牛院区共计化粪池</w:t>
      </w:r>
      <w:r>
        <w:rPr>
          <w:rFonts w:ascii="宋体" w:hAnsi="宋体" w:eastAsia="宋体" w:cs="宋体"/>
          <w:bCs/>
          <w:color w:val="auto"/>
          <w:sz w:val="24"/>
          <w:highlight w:val="none"/>
        </w:rPr>
        <w:t>3</w:t>
      </w:r>
      <w:r>
        <w:rPr>
          <w:rFonts w:hint="eastAsia" w:ascii="宋体" w:hAnsi="宋体" w:eastAsia="宋体" w:cs="宋体"/>
          <w:bCs/>
          <w:color w:val="auto"/>
          <w:sz w:val="24"/>
          <w:highlight w:val="none"/>
        </w:rPr>
        <w:t>处，池体共计约</w:t>
      </w:r>
      <w:r>
        <w:rPr>
          <w:rFonts w:ascii="宋体" w:hAnsi="宋体" w:eastAsia="宋体" w:cs="宋体"/>
          <w:bCs/>
          <w:color w:val="auto"/>
          <w:sz w:val="24"/>
          <w:highlight w:val="none"/>
        </w:rPr>
        <w:t>300m³</w:t>
      </w:r>
      <w:r>
        <w:rPr>
          <w:rFonts w:hint="eastAsia" w:ascii="宋体" w:hAnsi="宋体" w:eastAsia="宋体" w:cs="宋体"/>
          <w:bCs/>
          <w:color w:val="auto"/>
          <w:sz w:val="24"/>
          <w:highlight w:val="none"/>
        </w:rPr>
        <w:t>，污水处理站清掏池体约</w:t>
      </w:r>
      <w:r>
        <w:rPr>
          <w:rFonts w:ascii="宋体" w:hAnsi="宋体" w:eastAsia="宋体" w:cs="宋体"/>
          <w:bCs/>
          <w:color w:val="auto"/>
          <w:sz w:val="24"/>
          <w:highlight w:val="none"/>
        </w:rPr>
        <w:t>500m³</w:t>
      </w:r>
      <w:r>
        <w:rPr>
          <w:rFonts w:hint="eastAsia" w:ascii="宋体" w:hAnsi="宋体" w:eastAsia="宋体" w:cs="宋体"/>
          <w:bCs/>
          <w:color w:val="auto"/>
          <w:sz w:val="24"/>
          <w:highlight w:val="none"/>
        </w:rPr>
        <w:t>，污水管道井池体约</w:t>
      </w:r>
      <w:r>
        <w:rPr>
          <w:rFonts w:ascii="宋体" w:hAnsi="宋体" w:eastAsia="宋体" w:cs="宋体"/>
          <w:bCs/>
          <w:color w:val="auto"/>
          <w:sz w:val="24"/>
          <w:highlight w:val="none"/>
        </w:rPr>
        <w:t>80m³</w:t>
      </w:r>
      <w:r>
        <w:rPr>
          <w:rFonts w:hint="eastAsia" w:ascii="宋体" w:hAnsi="宋体" w:eastAsia="宋体" w:cs="宋体"/>
          <w:bCs/>
          <w:color w:val="auto"/>
          <w:sz w:val="24"/>
          <w:highlight w:val="none"/>
        </w:rPr>
        <w:t>；东虹院区共计化粪池</w:t>
      </w:r>
      <w:r>
        <w:rPr>
          <w:rFonts w:ascii="宋体" w:hAnsi="宋体" w:eastAsia="宋体" w:cs="宋体"/>
          <w:bCs/>
          <w:color w:val="auto"/>
          <w:sz w:val="24"/>
          <w:highlight w:val="none"/>
        </w:rPr>
        <w:t>1</w:t>
      </w:r>
      <w:r>
        <w:rPr>
          <w:rFonts w:hint="eastAsia" w:ascii="宋体" w:hAnsi="宋体" w:eastAsia="宋体" w:cs="宋体"/>
          <w:bCs/>
          <w:color w:val="auto"/>
          <w:sz w:val="24"/>
          <w:highlight w:val="none"/>
        </w:rPr>
        <w:t>处，池体共计约</w:t>
      </w:r>
      <w:r>
        <w:rPr>
          <w:rFonts w:ascii="宋体" w:hAnsi="宋体" w:eastAsia="宋体" w:cs="宋体"/>
          <w:bCs/>
          <w:color w:val="auto"/>
          <w:sz w:val="24"/>
          <w:highlight w:val="none"/>
        </w:rPr>
        <w:t>24m³</w:t>
      </w:r>
      <w:r>
        <w:rPr>
          <w:rFonts w:hint="eastAsia" w:ascii="宋体" w:hAnsi="宋体" w:eastAsia="宋体" w:cs="宋体"/>
          <w:bCs/>
          <w:color w:val="auto"/>
          <w:sz w:val="24"/>
          <w:highlight w:val="none"/>
        </w:rPr>
        <w:t>，污水管道井池体约</w:t>
      </w:r>
      <w:r>
        <w:rPr>
          <w:rFonts w:ascii="宋体" w:hAnsi="宋体" w:eastAsia="宋体" w:cs="宋体"/>
          <w:bCs/>
          <w:color w:val="auto"/>
          <w:sz w:val="24"/>
          <w:highlight w:val="none"/>
        </w:rPr>
        <w:t>18m³</w:t>
      </w:r>
      <w:r>
        <w:rPr>
          <w:rFonts w:hint="eastAsia" w:ascii="宋体" w:hAnsi="宋体" w:eastAsia="宋体" w:cs="宋体"/>
          <w:bCs/>
          <w:color w:val="auto"/>
          <w:sz w:val="24"/>
          <w:highlight w:val="none"/>
        </w:rPr>
        <w:t>，污水处理站清掏池体约</w:t>
      </w:r>
      <w:r>
        <w:rPr>
          <w:rFonts w:ascii="宋体" w:hAnsi="宋体" w:eastAsia="宋体" w:cs="宋体"/>
          <w:bCs/>
          <w:color w:val="auto"/>
          <w:sz w:val="24"/>
          <w:highlight w:val="none"/>
        </w:rPr>
        <w:t>220m³</w:t>
      </w:r>
      <w:r>
        <w:rPr>
          <w:rFonts w:hint="eastAsia" w:ascii="宋体" w:hAnsi="宋体" w:eastAsia="宋体" w:cs="宋体"/>
          <w:bCs/>
          <w:color w:val="auto"/>
          <w:sz w:val="24"/>
          <w:highlight w:val="none"/>
        </w:rPr>
        <w:t>；青龙场院区共计化粪池</w:t>
      </w:r>
      <w:r>
        <w:rPr>
          <w:rFonts w:ascii="宋体" w:hAnsi="宋体" w:eastAsia="宋体" w:cs="宋体"/>
          <w:bCs/>
          <w:color w:val="auto"/>
          <w:sz w:val="24"/>
          <w:highlight w:val="none"/>
        </w:rPr>
        <w:t>2</w:t>
      </w:r>
      <w:r>
        <w:rPr>
          <w:rFonts w:hint="eastAsia" w:ascii="宋体" w:hAnsi="宋体" w:eastAsia="宋体" w:cs="宋体"/>
          <w:bCs/>
          <w:color w:val="auto"/>
          <w:sz w:val="24"/>
          <w:highlight w:val="none"/>
        </w:rPr>
        <w:t>处，池体共计约</w:t>
      </w:r>
      <w:r>
        <w:rPr>
          <w:rFonts w:ascii="宋体" w:hAnsi="宋体" w:eastAsia="宋体" w:cs="宋体"/>
          <w:bCs/>
          <w:color w:val="auto"/>
          <w:sz w:val="24"/>
          <w:highlight w:val="none"/>
        </w:rPr>
        <w:t>15m³</w:t>
      </w:r>
      <w:r>
        <w:rPr>
          <w:rFonts w:hint="eastAsia" w:ascii="宋体" w:hAnsi="宋体" w:eastAsia="宋体" w:cs="宋体"/>
          <w:bCs/>
          <w:color w:val="auto"/>
          <w:sz w:val="24"/>
          <w:highlight w:val="none"/>
        </w:rPr>
        <w:t>，污水处理站清掏池体约</w:t>
      </w:r>
      <w:r>
        <w:rPr>
          <w:rFonts w:ascii="宋体" w:hAnsi="宋体" w:eastAsia="宋体" w:cs="宋体"/>
          <w:bCs/>
          <w:color w:val="auto"/>
          <w:sz w:val="24"/>
          <w:highlight w:val="none"/>
        </w:rPr>
        <w:t>15m³</w:t>
      </w:r>
      <w:r>
        <w:rPr>
          <w:rFonts w:hint="eastAsia" w:ascii="宋体" w:hAnsi="宋体" w:eastAsia="宋体" w:cs="宋体"/>
          <w:bCs/>
          <w:color w:val="auto"/>
          <w:sz w:val="24"/>
          <w:highlight w:val="none"/>
        </w:rPr>
        <w:t>，污水管道井池体约</w:t>
      </w:r>
      <w:r>
        <w:rPr>
          <w:rFonts w:ascii="宋体" w:hAnsi="宋体" w:eastAsia="宋体" w:cs="宋体"/>
          <w:bCs/>
          <w:color w:val="auto"/>
          <w:sz w:val="24"/>
          <w:highlight w:val="none"/>
        </w:rPr>
        <w:t>3m³</w:t>
      </w:r>
      <w:r>
        <w:rPr>
          <w:rFonts w:hint="eastAsia" w:ascii="宋体" w:hAnsi="宋体" w:eastAsia="宋体" w:cs="宋体"/>
          <w:bCs/>
          <w:color w:val="auto"/>
          <w:sz w:val="24"/>
          <w:highlight w:val="none"/>
        </w:rPr>
        <w:t>。</w:t>
      </w:r>
    </w:p>
    <w:p w14:paraId="1AA6ACB0">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（二）服务要求</w:t>
      </w:r>
    </w:p>
    <w:p w14:paraId="2CCB3601">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由乙方对甲方沙河院区、金牛院区、东虹院区、青龙场院区的化粪池及污水处理站污泥栅渣进行清运处置，在清掏处置过程中不得在院内对污泥进行二次加工（脱水干化）处理；不得在医院内进行暂存，乙方需立即现场拉走。</w:t>
      </w:r>
    </w:p>
    <w:p w14:paraId="327F8C1B">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2.由乙方派专人在现场对医院沙河院区、金牛院区、东虹院区、青龙场病区的化粪池及污水处理站污泥栅渣进行清掏处置工作。</w:t>
      </w:r>
    </w:p>
    <w:p w14:paraId="57D55875">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3.因清掏点位地势和位置原因，导致部分地区如车辆无法到达，常规清掏工作分为人工清掏及车辆清掏两种方式进行混合采用，每次清掏处置后，乙方负责医院污水井道内的污染物清掏处置。</w:t>
      </w:r>
    </w:p>
    <w:p w14:paraId="22AB56B3">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4.乙方在化粪池及污水处理站淤泥栅渣清掏处置过程中应采取必要的安全保障措施，确保甲方、乙方工作人员以及任何第三方的人身、财产安全，否则乙方应承担由此产生的法律责任及赔偿责任。</w:t>
      </w:r>
    </w:p>
    <w:p w14:paraId="4A3683AE">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5.乙方在对化粪池及污水处理站淤泥栅渣清掏处置后，应对场地和周围环境进行清理。</w:t>
      </w:r>
    </w:p>
    <w:p w14:paraId="77237B5E">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乙方必须按照《中华人民共和国安全生产法》要求，严禁在无人监护下进行作业。乙方必须设监督人员进场跟踪方能开始作业。乙方必须按照国家法律法规要求依法执业，按照《中华人民共和国环境保护法》、《城镇排水与污水处理条例》、《成都市卫生健康委员会关于进一步规范医疗污泥、医药废物和废药物、药品处置的通知》等规章制度执行，在清掏处置和转运过程中如发生事故或人身伤亡的，应由乙方承担法律责任和经济责任。</w:t>
      </w:r>
    </w:p>
    <w:p w14:paraId="62392664">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7.在清掏、运输过程中乙方需保障危险废物不发生二次污染（如：破损、泄露等）。</w:t>
      </w:r>
    </w:p>
    <w:p w14:paraId="739F1BA0">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8.乙方需配合甲方向环保局提交转运处置所需资料。</w:t>
      </w:r>
    </w:p>
    <w:p w14:paraId="1A8D6037">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9.乙方接到甲方通知后需在15日内完成所有工作，如甲方有紧急需要，乙方需在接到甲方通知后立即响应并派车派人到甲方现场进行应急处置。</w:t>
      </w:r>
    </w:p>
    <w:p w14:paraId="504D71DC">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10.医疗污泥运输车辆及相关驾乘人员应符合国家相关法规。乙方应向甲方提供污泥运输车及负责运输人员的相关资料【（包括：提供运输车辆所属单位的道路运输经营许可证（危险货物运输：医疗废物）复印件，并提供车辆的行驶证及相应车辆驾驶人员的驾驶证和押运员的《危险货物押运员证》及成都市危险化学品道路运输通行证复印件,保证所有证件均在有效期内】。</w:t>
      </w:r>
    </w:p>
    <w:p w14:paraId="71FBB326">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（三）其他要求</w:t>
      </w:r>
    </w:p>
    <w:p w14:paraId="5BB1B3B3">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1、乙方应根据服务需求制定《实施方案与技术措施方案》，包括：①实施的进度及管理；②技术措施；③组织机构体系；④项目实施安排及项目实施前的准备。</w:t>
      </w:r>
    </w:p>
    <w:p w14:paraId="61E91DBC">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2、乙方应根据服务需求制定《质量管理体系与措施方案》，包括： ①建立质量监督体系；②质量监督责任制；③质量责任落实划分。</w:t>
      </w:r>
    </w:p>
    <w:p w14:paraId="6F94C39D">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3、乙方应根据服务需求制定《应急处置方案》，包括： ①恶劣天气清掏；②节假日清掏。</w:t>
      </w:r>
    </w:p>
    <w:p w14:paraId="70E7AE7A">
      <w:pPr>
        <w:spacing w:line="360" w:lineRule="auto"/>
        <w:ind w:right="105" w:rightChars="50"/>
        <w:jc w:val="left"/>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三、验收及标准</w:t>
      </w:r>
    </w:p>
    <w:p w14:paraId="1F0BEE90">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1、履约验收主体：成都市第六人民医院；</w:t>
      </w:r>
    </w:p>
    <w:p w14:paraId="424E5B97">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2、履约验收时间：项目完成后，甲方在接到乙方提交的项目验收申请及相关资料后7日内组织验收；</w:t>
      </w:r>
    </w:p>
    <w:p w14:paraId="798CB5E4">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3、履约验收方式：甲方单位内部验收；</w:t>
      </w:r>
    </w:p>
    <w:p w14:paraId="75B83284">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4、履约验收程序：一次性验收； </w:t>
      </w:r>
    </w:p>
    <w:p w14:paraId="5518DCF5">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5、履约验收内容和标准：按照《财政部关于进一步加强政府采购需求和履约验收管理的指导意见》（财库〔2016〕205号）及磋商文件技术要求、响应文件响应情况进行验收。</w:t>
      </w:r>
    </w:p>
    <w:p w14:paraId="445C8F93">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6、若涉及商品包装和快递包装的，须符合《商品包装政府采购需求标准（试行）》、《快递包装政府采购需求标准（试行）》的通知财办库〔2020〕123号的要求。</w:t>
      </w:r>
    </w:p>
    <w:p w14:paraId="2B4D4536">
      <w:pPr>
        <w:spacing w:line="360" w:lineRule="auto"/>
        <w:ind w:right="105" w:rightChars="50"/>
        <w:jc w:val="left"/>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四、服务费用及支付方式</w:t>
      </w:r>
    </w:p>
    <w:p w14:paraId="029D212E">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本合同暂定金额为人民币60万元，大写：人民币陆拾万元整。甲乙双方最终按照每次实际清理后产生的污泥重量×成交单价据实进行结算，本合同执行期间最终结算金额不能超过本项目采购预算限额人民币60万元。本合同中标单价已包括人工费、处置费、服务费、运输费、税费等乙方为履行本合同所支出的全部费用，本合同执行期间合同单价不变，甲方无须另向乙方支付本合同规定之外的其他任何费用。</w:t>
      </w:r>
    </w:p>
    <w:p w14:paraId="425C0368">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2、无害化处置数量由甲方后勤保障部确认，经确认无误后，乙方向甲方出具合法有效等额的完税发票，甲方收到数量清单和发票后按照医院付款流程完成相关付款手续。</w:t>
      </w:r>
    </w:p>
    <w:p w14:paraId="09C0D5C2">
      <w:pPr>
        <w:spacing w:line="360" w:lineRule="auto"/>
        <w:ind w:right="105" w:rightChars="50"/>
        <w:jc w:val="left"/>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五、知识产权</w:t>
      </w:r>
    </w:p>
    <w:p w14:paraId="5C02CCCA">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乙方应保证所提供的服务或其任何一部分均不会侵犯任何第三方的专利权、商标权或著作权。</w:t>
      </w:r>
    </w:p>
    <w:p w14:paraId="1A6B6479">
      <w:pPr>
        <w:spacing w:line="360" w:lineRule="auto"/>
        <w:ind w:right="105" w:rightChars="50"/>
        <w:jc w:val="left"/>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六、无产权瑕疵条款</w:t>
      </w:r>
    </w:p>
    <w:p w14:paraId="09587F07">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乙方保证所提供的服务的所有权完全属于乙方且无任何抵押、查封等产权瑕疵。如有产权瑕疵的，视为乙方违约。乙方应负担由此而产生的一切损失。</w:t>
      </w:r>
    </w:p>
    <w:p w14:paraId="4EAD3229">
      <w:pPr>
        <w:spacing w:line="360" w:lineRule="auto"/>
        <w:ind w:right="105" w:rightChars="50"/>
        <w:jc w:val="left"/>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七、甲方的权利和义务</w:t>
      </w:r>
    </w:p>
    <w:p w14:paraId="7D9FC442">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1DD8FB6C">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2.负责检查监督乙方管理工作的实施及制度的执行情况。</w:t>
      </w:r>
    </w:p>
    <w:p w14:paraId="4AD4364E">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3</w:t>
      </w:r>
      <w:r>
        <w:rPr>
          <w:rFonts w:hint="eastAsia" w:ascii="宋体" w:hAnsi="宋体" w:eastAsia="宋体" w:cs="宋体"/>
          <w:bCs/>
          <w:color w:val="auto"/>
          <w:sz w:val="24"/>
          <w:highlight w:val="none"/>
        </w:rPr>
        <w:t>.根据本合同规定，按时向乙方支付应付服务费用。</w:t>
      </w:r>
    </w:p>
    <w:p w14:paraId="66CED45A">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4</w:t>
      </w:r>
      <w:r>
        <w:rPr>
          <w:rFonts w:hint="eastAsia" w:ascii="宋体" w:hAnsi="宋体" w:eastAsia="宋体" w:cs="宋体"/>
          <w:bCs/>
          <w:color w:val="auto"/>
          <w:sz w:val="24"/>
          <w:highlight w:val="none"/>
        </w:rPr>
        <w:t>.国家法律、法规所规定由甲方承担的其它责任。</w:t>
      </w:r>
    </w:p>
    <w:p w14:paraId="66082B7C">
      <w:pPr>
        <w:spacing w:line="360" w:lineRule="auto"/>
        <w:ind w:right="105" w:rightChars="50"/>
        <w:jc w:val="left"/>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八、乙方的权利和义务</w:t>
      </w:r>
    </w:p>
    <w:p w14:paraId="12814806">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1、对本合同规定的委托服务范围内的项目享有管理权及服务义务。</w:t>
      </w:r>
    </w:p>
    <w:p w14:paraId="0AC21824">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2、根据本合同的规定向甲方收取相关服务费用，并有权在本项目管理范围内管理及合理使用。</w:t>
      </w:r>
    </w:p>
    <w:p w14:paraId="16B97142">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3、及时向甲方通告本项目服务范围内有关服务的重大事项，及时配合处理投诉。</w:t>
      </w:r>
    </w:p>
    <w:p w14:paraId="23DFDB01">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4、接受项目行业管理部门及有关部门的指导，接受甲方的监督。</w:t>
      </w:r>
    </w:p>
    <w:p w14:paraId="41567BFD">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5、乙方应具备相应的污泥处置资质，确保处置过程合法合规。</w:t>
      </w:r>
    </w:p>
    <w:p w14:paraId="537AB1C0">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6、乙方应严格按照本合同约定和相关标准进行污泥无害化处置，确保处置效果达到国家及行业相关标准。</w:t>
      </w:r>
    </w:p>
    <w:p w14:paraId="50F1F519">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7、乙方应负责污泥处置过程中的安全、卫生等工作，防止二次污染，并承担由此产生的一切不良后果及法律责任。若因此导致甲方受到卫生、环保等相关部门行政处罚的，乙方应按照处罚标准赔偿甲方的损失。</w:t>
      </w:r>
    </w:p>
    <w:p w14:paraId="7015EEF3">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8、乙方为本项目配备的运输车辆应符合污泥运输要求。乙方运输车辆和运输人员进入甲方院内时，必须遵守甲方有关交通、安全、门禁、卫生等方面的要求。乙方应确保运输安全，在运输及装、卸过程中发生的一切安全事故，包括人员、车辆事故等情况，由乙方负责处置，并依法承担所有责任。</w:t>
      </w:r>
    </w:p>
    <w:p w14:paraId="1A612E9C">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9、乙方不得将本合同义务全部或部分分包、转包给任何第三人。未经甲方书面同意，不得将与本合同有关的债权债务转让给任何第三方。</w:t>
      </w:r>
    </w:p>
    <w:p w14:paraId="043854C7">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10、乙方须严格遵守相关法律、法规，自行负责履约过程中本项目所有服务人员的人身安全、财产安全等一切安全问题，并为本项目所有人员购买相关保险，并对其疾病和人身安全等负责，如在履约过程中发生纠纷、投诉、安全事故和其他事故的责任和损失均由乙方自行承担。</w:t>
      </w:r>
    </w:p>
    <w:p w14:paraId="065B54DA">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乙方及其工作人员应对履行本合同而知晓的甲方的商业秘密、技术秘密、经营信息、患者信息等非公开信息进行保密，不得未经甲方书面许可泄露给任何第三人，否则，乙方应承担因此造成的全部损失。本保密条款不因本合同的解除、终止、无效而丧失效力。</w:t>
      </w:r>
    </w:p>
    <w:p w14:paraId="5AD7E2D5">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12、国家法律、法规所规定由乙方承担的其它责任。</w:t>
      </w:r>
    </w:p>
    <w:p w14:paraId="7B695DC5">
      <w:pPr>
        <w:spacing w:line="360" w:lineRule="auto"/>
        <w:ind w:right="105" w:rightChars="50"/>
        <w:jc w:val="left"/>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九、违约责任</w:t>
      </w:r>
    </w:p>
    <w:p w14:paraId="0E96A461">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1、甲乙双方必须遵守本合同并执行合同中的各项规定，保证本合同的正常履行。</w:t>
      </w:r>
    </w:p>
    <w:p w14:paraId="7F0E140E">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206D742">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乙方未按合同约定时间完成处置的，每逾期一日，乙方应按本合同最高限价的1%向甲方支付违约金；逾期超过10日的，甲方有权解除合同，且乙方应按照本合同最高限价的20%向甲方支付违约金。如违约金不足以弥补甲方损失的，乙方还应向甲方予以补足。</w:t>
      </w:r>
    </w:p>
    <w:p w14:paraId="4DF24A67">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4、若乙方未按约定进行污泥处置或处置结果不符合要求的，乙方应按照本合同最高限价的10%向甲方支付违约金，并赔偿由此给甲方造成的损失。</w:t>
      </w:r>
    </w:p>
    <w:p w14:paraId="2181B2D1">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5、除本合同另有约定外，乙方未按照合同的约定履行义务的，视为乙方违约，甲方有权单方解除合同，乙方应按照本合同最高限价的20%支付违约金，违约金不足以弥补甲方损失的，乙方予以补足。</w:t>
      </w:r>
    </w:p>
    <w:p w14:paraId="4466DFD9">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6、甲乙双方均应遵守合同约定，如有违反，守约方有权追究违约方的违约责任，还有权要求违约方承担因此支出的律师费、差旅费、诉讼费、鉴定费、公告费、保全费等一切相关费用。</w:t>
      </w:r>
    </w:p>
    <w:p w14:paraId="36176D6D">
      <w:pPr>
        <w:spacing w:line="360" w:lineRule="auto"/>
        <w:ind w:right="105" w:rightChars="50"/>
        <w:jc w:val="left"/>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十、不可抗力事件处理</w:t>
      </w:r>
    </w:p>
    <w:p w14:paraId="11E918E6">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1、在本合同有效期内，任何一方因不可抗力事件导致不能履行合同，则合同履行期可延长，其延长期与不可抗力影响期相同。</w:t>
      </w:r>
    </w:p>
    <w:p w14:paraId="118BCB4C">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2、不可抗力事件发生后，遭受不可抗力事件的一方应立即通知对方，并寄送有关权威机构出具的证明。</w:t>
      </w:r>
    </w:p>
    <w:p w14:paraId="059451F0">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3、不可抗力事件延续</w:t>
      </w:r>
      <w:r>
        <w:rPr>
          <w:rFonts w:hint="eastAsia" w:ascii="宋体" w:hAnsi="宋体" w:eastAsia="宋体" w:cs="宋体"/>
          <w:bCs/>
          <w:color w:val="auto"/>
          <w:sz w:val="24"/>
          <w:highlight w:val="none"/>
          <w:lang w:val="en-US" w:eastAsia="zh-CN"/>
        </w:rPr>
        <w:t>90</w:t>
      </w:r>
      <w:r>
        <w:rPr>
          <w:rFonts w:hint="eastAsia" w:ascii="宋体" w:hAnsi="宋体" w:eastAsia="宋体" w:cs="宋体"/>
          <w:bCs/>
          <w:color w:val="auto"/>
          <w:sz w:val="24"/>
          <w:highlight w:val="none"/>
        </w:rPr>
        <w:t>天以上，甲乙双方应通过友好协商，确定是否继续履行合同。</w:t>
      </w:r>
    </w:p>
    <w:p w14:paraId="0289F82E">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4、合同一方逾期履行后遭受不可抗力事件的，不免除逾期履行一方的违约责任。</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234E730">
      <w:pPr>
        <w:spacing w:line="360" w:lineRule="auto"/>
        <w:ind w:right="105" w:rightChars="50"/>
        <w:jc w:val="left"/>
        <w:outlineLvl w:val="0"/>
        <w:rPr>
          <w:rFonts w:hint="eastAsia" w:ascii="宋体" w:hAnsi="宋体" w:eastAsia="宋体" w:cs="宋体"/>
          <w:b/>
          <w:color w:val="auto"/>
          <w:sz w:val="28"/>
          <w:szCs w:val="28"/>
          <w:highlight w:val="none"/>
        </w:rPr>
      </w:pPr>
      <w:bookmarkStart w:id="18" w:name="_Toc251768867"/>
      <w:bookmarkStart w:id="19" w:name="_Toc247334846"/>
      <w:bookmarkStart w:id="20" w:name="_Toc232492933"/>
      <w:bookmarkStart w:id="21" w:name="_Toc211911353"/>
      <w:bookmarkStart w:id="22" w:name="_Toc241833908"/>
      <w:bookmarkStart w:id="23" w:name="_Toc185395254"/>
      <w:bookmarkStart w:id="24" w:name="_Toc238984980"/>
      <w:bookmarkStart w:id="25" w:name="_Toc286993792"/>
      <w:bookmarkStart w:id="26" w:name="_Toc211854454"/>
      <w:bookmarkStart w:id="27" w:name="_Toc237145411"/>
      <w:bookmarkStart w:id="28" w:name="_Toc239233919"/>
      <w:bookmarkStart w:id="29" w:name="_Toc225670756"/>
      <w:bookmarkStart w:id="30" w:name="_Toc239568423"/>
      <w:bookmarkStart w:id="31" w:name="_Toc225244857"/>
      <w:bookmarkStart w:id="32" w:name="_Toc225654649"/>
      <w:bookmarkStart w:id="33" w:name="_Toc212019599"/>
      <w:r>
        <w:rPr>
          <w:rFonts w:hint="eastAsia" w:ascii="宋体" w:hAnsi="宋体" w:eastAsia="宋体" w:cs="宋体"/>
          <w:b/>
          <w:color w:val="auto"/>
          <w:sz w:val="28"/>
          <w:szCs w:val="28"/>
          <w:highlight w:val="none"/>
        </w:rPr>
        <w:t>十一、解决合同纠纷的方式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5FA3272">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在执行本合同中发生的或与本合同有关的争端，甲乙双方应通过友好协商解决，</w:t>
      </w:r>
      <w:r>
        <w:rPr>
          <w:rFonts w:hint="eastAsia" w:ascii="宋体" w:hAnsi="宋体" w:eastAsia="宋体" w:cs="宋体"/>
          <w:bCs/>
          <w:color w:val="auto"/>
          <w:sz w:val="24"/>
          <w:highlight w:val="none"/>
        </w:rPr>
        <w:t>经协商在</w:t>
      </w:r>
      <w:r>
        <w:rPr>
          <w:rFonts w:hint="eastAsia" w:ascii="宋体" w:hAnsi="宋体" w:eastAsia="宋体" w:cs="宋体"/>
          <w:bCs/>
          <w:color w:val="auto"/>
          <w:sz w:val="24"/>
          <w:highlight w:val="none"/>
          <w:lang w:val="en-US" w:eastAsia="zh-CN"/>
        </w:rPr>
        <w:t>60</w:t>
      </w:r>
      <w:r>
        <w:rPr>
          <w:rFonts w:hint="eastAsia" w:ascii="宋体" w:hAnsi="宋体" w:eastAsia="宋体" w:cs="宋体"/>
          <w:bCs/>
          <w:color w:val="auto"/>
          <w:sz w:val="24"/>
          <w:highlight w:val="none"/>
        </w:rPr>
        <w:t>天内</w:t>
      </w:r>
      <w:r>
        <w:rPr>
          <w:rFonts w:hint="eastAsia" w:ascii="宋体" w:hAnsi="宋体" w:eastAsia="宋体" w:cs="宋体"/>
          <w:bCs/>
          <w:color w:val="auto"/>
          <w:sz w:val="24"/>
          <w:highlight w:val="none"/>
        </w:rPr>
        <w:t>不能达成协议时，应提交甲方所在地成都市成华区人民法院诉讼解决。</w:t>
      </w:r>
    </w:p>
    <w:p w14:paraId="06D0D3A6">
      <w:pPr>
        <w:spacing w:line="360" w:lineRule="auto"/>
        <w:ind w:right="105" w:rightChars="50"/>
        <w:jc w:val="left"/>
        <w:outlineLvl w:val="0"/>
        <w:rPr>
          <w:rFonts w:hint="eastAsia" w:ascii="宋体" w:hAnsi="宋体" w:eastAsia="宋体" w:cs="宋体"/>
          <w:b/>
          <w:color w:val="auto"/>
          <w:sz w:val="28"/>
          <w:szCs w:val="28"/>
          <w:highlight w:val="none"/>
        </w:rPr>
      </w:pPr>
      <w:bookmarkStart w:id="34" w:name="_Toc286993793"/>
      <w:bookmarkStart w:id="35" w:name="_Toc225670757"/>
      <w:bookmarkStart w:id="36" w:name="_Toc225244858"/>
      <w:bookmarkStart w:id="37" w:name="_Toc211911354"/>
      <w:bookmarkStart w:id="38" w:name="_Toc241833909"/>
      <w:bookmarkStart w:id="39" w:name="_Toc251768868"/>
      <w:bookmarkStart w:id="40" w:name="_Toc247334847"/>
      <w:bookmarkStart w:id="41" w:name="_Toc239233920"/>
      <w:bookmarkStart w:id="42" w:name="_Toc283019219"/>
      <w:bookmarkStart w:id="43" w:name="_Toc225654650"/>
      <w:bookmarkStart w:id="44" w:name="_Toc212019600"/>
      <w:bookmarkStart w:id="45" w:name="_Toc185395255"/>
      <w:bookmarkStart w:id="46" w:name="_Toc232492934"/>
      <w:bookmarkStart w:id="47" w:name="_Toc239568424"/>
      <w:bookmarkStart w:id="48" w:name="_Toc211854455"/>
      <w:bookmarkStart w:id="49" w:name="_Toc237145412"/>
      <w:bookmarkStart w:id="50" w:name="_Toc238984981"/>
      <w:bookmarkStart w:id="51" w:name="_Toc282696231"/>
      <w:r>
        <w:rPr>
          <w:rFonts w:hint="eastAsia" w:ascii="宋体" w:hAnsi="宋体" w:eastAsia="宋体" w:cs="宋体"/>
          <w:b/>
          <w:color w:val="auto"/>
          <w:sz w:val="28"/>
          <w:szCs w:val="28"/>
          <w:highlight w:val="none"/>
        </w:rPr>
        <w:t>十二、合同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color w:val="auto"/>
          <w:sz w:val="28"/>
          <w:szCs w:val="28"/>
          <w:highlight w:val="none"/>
        </w:rPr>
        <w:t>生效及其他</w:t>
      </w:r>
    </w:p>
    <w:p w14:paraId="164E613B">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1、本合同如有未尽事宜，应由甲乙双方友好协商并签订书面的补充协议，补充协议为本合同的有效组成部分。</w:t>
      </w:r>
    </w:p>
    <w:p w14:paraId="20E0F49B">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2、本合同自甲乙双方法定代表人或授权代表签字并加盖单位公章或合同专用章之日起生效。</w:t>
      </w:r>
    </w:p>
    <w:p w14:paraId="08417B46">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3、本合同执行中涉及采购资金和采购内容修改或补充的，须签书面补充协议，方可作为本合同不可分割的一部分。</w:t>
      </w:r>
    </w:p>
    <w:p w14:paraId="28C6A59E">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4、本合同一式</w:t>
      </w:r>
      <w:r>
        <w:rPr>
          <w:rFonts w:hint="eastAsia" w:ascii="宋体" w:hAnsi="宋体" w:eastAsia="宋体" w:cs="宋体"/>
          <w:bCs/>
          <w:color w:val="auto"/>
          <w:sz w:val="24"/>
          <w:highlight w:val="none"/>
          <w:lang w:val="en-US" w:eastAsia="zh-CN"/>
        </w:rPr>
        <w:t>6</w:t>
      </w:r>
      <w:r>
        <w:rPr>
          <w:rFonts w:hint="eastAsia" w:ascii="宋体" w:hAnsi="宋体" w:eastAsia="宋体" w:cs="宋体"/>
          <w:bCs/>
          <w:color w:val="auto"/>
          <w:sz w:val="24"/>
          <w:highlight w:val="none"/>
        </w:rPr>
        <w:t>份，甲方</w:t>
      </w:r>
      <w:r>
        <w:rPr>
          <w:rFonts w:hint="eastAsia" w:ascii="宋体" w:hAnsi="宋体" w:eastAsia="宋体" w:cs="宋体"/>
          <w:bCs/>
          <w:color w:val="auto"/>
          <w:sz w:val="24"/>
          <w:highlight w:val="none"/>
          <w:lang w:val="en-US" w:eastAsia="zh-CN"/>
        </w:rPr>
        <w:t>4</w:t>
      </w:r>
      <w:r>
        <w:rPr>
          <w:rFonts w:hint="eastAsia" w:ascii="宋体" w:hAnsi="宋体" w:eastAsia="宋体" w:cs="宋体"/>
          <w:bCs/>
          <w:color w:val="auto"/>
          <w:sz w:val="24"/>
          <w:highlight w:val="none"/>
        </w:rPr>
        <w:t>份，乙方</w:t>
      </w:r>
      <w:r>
        <w:rPr>
          <w:rFonts w:hint="eastAsia" w:ascii="宋体" w:hAnsi="宋体" w:eastAsia="宋体" w:cs="宋体"/>
          <w:bCs/>
          <w:color w:val="auto"/>
          <w:sz w:val="24"/>
          <w:highlight w:val="none"/>
          <w:lang w:val="en-US" w:eastAsia="zh-CN"/>
        </w:rPr>
        <w:t>1</w:t>
      </w:r>
      <w:r>
        <w:rPr>
          <w:rFonts w:hint="eastAsia" w:ascii="宋体" w:hAnsi="宋体" w:eastAsia="宋体" w:cs="宋体"/>
          <w:bCs/>
          <w:color w:val="auto"/>
          <w:sz w:val="24"/>
          <w:highlight w:val="none"/>
        </w:rPr>
        <w:t>份，政府采购代理机构</w:t>
      </w:r>
      <w:r>
        <w:rPr>
          <w:rFonts w:hint="eastAsia" w:ascii="宋体" w:hAnsi="宋体" w:eastAsia="宋体" w:cs="宋体"/>
          <w:bCs/>
          <w:color w:val="auto"/>
          <w:sz w:val="24"/>
          <w:highlight w:val="none"/>
          <w:lang w:val="en-US" w:eastAsia="zh-CN"/>
        </w:rPr>
        <w:t>1</w:t>
      </w:r>
      <w:r>
        <w:rPr>
          <w:rFonts w:hint="eastAsia" w:ascii="宋体" w:hAnsi="宋体" w:eastAsia="宋体" w:cs="宋体"/>
          <w:bCs/>
          <w:color w:val="auto"/>
          <w:sz w:val="24"/>
          <w:highlight w:val="none"/>
        </w:rPr>
        <w:t>份，每份具有同等法律效力。</w:t>
      </w:r>
    </w:p>
    <w:p w14:paraId="7E4C5F34">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本合同一方向另一方发出的任何与本合同有关的通知、回复或文件，均可以通过电话、信函、传真、电子邮件等方式发出。通过电话、传真、电子邮件等方式发出的，发出时即视为送达。通过信函发出的需以邮政快递（EMS）投邮，并在投邮后第三日即视为送达。信函送达地址为本合同尾部载明的地址，该地址亦作为诉讼时法院司法文书的送达地址。</w:t>
      </w:r>
    </w:p>
    <w:p w14:paraId="228D6F0A">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6、本合同的附件是本合同不可分割的组成部分，本合同的附件如下：</w:t>
      </w:r>
    </w:p>
    <w:p w14:paraId="5C609BC6">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附件1：****；</w:t>
      </w:r>
    </w:p>
    <w:p w14:paraId="1AE8F04B">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附件2：</w:t>
      </w:r>
      <w:r>
        <w:rPr>
          <w:rFonts w:hint="eastAsia" w:ascii="宋体" w:hAnsi="宋体" w:eastAsia="宋体" w:cs="宋体"/>
          <w:bCs/>
          <w:color w:val="auto"/>
          <w:sz w:val="24"/>
          <w:highlight w:val="none"/>
          <w:lang w:val="en-US" w:eastAsia="zh-CN"/>
        </w:rPr>
        <w:t>招标文件</w:t>
      </w:r>
      <w:r>
        <w:rPr>
          <w:rFonts w:hint="eastAsia" w:ascii="宋体" w:hAnsi="宋体" w:eastAsia="宋体" w:cs="宋体"/>
          <w:bCs/>
          <w:color w:val="auto"/>
          <w:sz w:val="24"/>
          <w:highlight w:val="none"/>
        </w:rPr>
        <w:t>；</w:t>
      </w:r>
    </w:p>
    <w:p w14:paraId="737DDBB1">
      <w:pPr>
        <w:spacing w:line="360" w:lineRule="auto"/>
        <w:ind w:right="105" w:rightChars="5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附件3：</w:t>
      </w:r>
      <w:r>
        <w:rPr>
          <w:rFonts w:hint="eastAsia" w:ascii="宋体" w:hAnsi="宋体" w:eastAsia="宋体" w:cs="宋体"/>
          <w:bCs/>
          <w:color w:val="auto"/>
          <w:sz w:val="24"/>
          <w:highlight w:val="none"/>
          <w:lang w:val="en-US" w:eastAsia="zh-CN"/>
        </w:rPr>
        <w:t>投标文件</w:t>
      </w:r>
      <w:r>
        <w:rPr>
          <w:rFonts w:hint="eastAsia" w:ascii="宋体" w:hAnsi="宋体" w:eastAsia="宋体" w:cs="宋体"/>
          <w:bCs/>
          <w:color w:val="auto"/>
          <w:sz w:val="24"/>
          <w:highlight w:val="none"/>
        </w:rPr>
        <w:t>。</w:t>
      </w:r>
    </w:p>
    <w:p w14:paraId="287BBE0D">
      <w:pPr>
        <w:pStyle w:val="8"/>
        <w:rPr>
          <w:rFonts w:hint="default"/>
          <w:color w:val="auto"/>
          <w:highlight w:val="none"/>
        </w:rPr>
      </w:pPr>
    </w:p>
    <w:p w14:paraId="6F5D3CC1">
      <w:pPr>
        <w:pStyle w:val="8"/>
        <w:rPr>
          <w:rFonts w:hint="default"/>
          <w:color w:val="auto"/>
          <w:sz w:val="24"/>
          <w:szCs w:val="24"/>
          <w:highlight w:val="none"/>
        </w:rPr>
      </w:pPr>
      <w:r>
        <w:rPr>
          <w:rFonts w:ascii="仿宋_GB2312" w:hAnsi="仿宋_GB2312" w:eastAsia="仿宋_GB2312" w:cs="仿宋_GB2312"/>
          <w:color w:val="auto"/>
          <w:highlight w:val="none"/>
        </w:rPr>
        <w:t xml:space="preserve"> </w:t>
      </w:r>
      <w:r>
        <w:rPr>
          <w:rFonts w:ascii="仿宋_GB2312" w:hAnsi="仿宋_GB2312" w:eastAsia="仿宋_GB2312" w:cs="仿宋_GB2312"/>
          <w:color w:val="auto"/>
          <w:sz w:val="24"/>
          <w:szCs w:val="24"/>
          <w:highlight w:val="none"/>
        </w:rPr>
        <w:t>甲方： （盖章）</w:t>
      </w:r>
    </w:p>
    <w:p w14:paraId="3F0FD7F7">
      <w:pPr>
        <w:pStyle w:val="8"/>
        <w:rPr>
          <w:rFonts w:hint="default"/>
          <w:color w:val="auto"/>
          <w:sz w:val="24"/>
          <w:szCs w:val="24"/>
          <w:highlight w:val="none"/>
        </w:rPr>
      </w:pPr>
      <w:r>
        <w:rPr>
          <w:rFonts w:ascii="仿宋_GB2312" w:hAnsi="仿宋_GB2312" w:eastAsia="仿宋_GB2312" w:cs="仿宋_GB2312"/>
          <w:color w:val="auto"/>
          <w:sz w:val="24"/>
          <w:szCs w:val="24"/>
          <w:highlight w:val="none"/>
        </w:rPr>
        <w:t xml:space="preserve"> 法定代表人或主要负责人（授权代表）：</w:t>
      </w:r>
    </w:p>
    <w:p w14:paraId="74E0C149">
      <w:pPr>
        <w:pStyle w:val="8"/>
        <w:rPr>
          <w:rFonts w:hint="default"/>
          <w:color w:val="auto"/>
          <w:sz w:val="24"/>
          <w:szCs w:val="24"/>
          <w:highlight w:val="none"/>
        </w:rPr>
      </w:pPr>
      <w:r>
        <w:rPr>
          <w:rFonts w:ascii="仿宋_GB2312" w:hAnsi="仿宋_GB2312" w:eastAsia="仿宋_GB2312" w:cs="仿宋_GB2312"/>
          <w:color w:val="auto"/>
          <w:sz w:val="24"/>
          <w:szCs w:val="24"/>
          <w:highlight w:val="none"/>
        </w:rPr>
        <w:t xml:space="preserve"> 地 址：</w:t>
      </w:r>
    </w:p>
    <w:p w14:paraId="736AAF74">
      <w:pPr>
        <w:pStyle w:val="8"/>
        <w:rPr>
          <w:rFonts w:hint="default"/>
          <w:color w:val="auto"/>
          <w:sz w:val="24"/>
          <w:szCs w:val="24"/>
          <w:highlight w:val="none"/>
        </w:rPr>
      </w:pPr>
      <w:r>
        <w:rPr>
          <w:rFonts w:ascii="仿宋_GB2312" w:hAnsi="仿宋_GB2312" w:eastAsia="仿宋_GB2312" w:cs="仿宋_GB2312"/>
          <w:color w:val="auto"/>
          <w:sz w:val="24"/>
          <w:szCs w:val="24"/>
          <w:highlight w:val="none"/>
        </w:rPr>
        <w:t xml:space="preserve"> 开户银行：</w:t>
      </w:r>
    </w:p>
    <w:p w14:paraId="60F35F4F">
      <w:pPr>
        <w:pStyle w:val="8"/>
        <w:rPr>
          <w:rFonts w:hint="default"/>
          <w:color w:val="auto"/>
          <w:sz w:val="24"/>
          <w:szCs w:val="24"/>
          <w:highlight w:val="none"/>
        </w:rPr>
      </w:pPr>
      <w:r>
        <w:rPr>
          <w:rFonts w:ascii="仿宋_GB2312" w:hAnsi="仿宋_GB2312" w:eastAsia="仿宋_GB2312" w:cs="仿宋_GB2312"/>
          <w:color w:val="auto"/>
          <w:sz w:val="24"/>
          <w:szCs w:val="24"/>
          <w:highlight w:val="none"/>
        </w:rPr>
        <w:t xml:space="preserve"> 账号：</w:t>
      </w:r>
    </w:p>
    <w:p w14:paraId="20015273">
      <w:pPr>
        <w:pStyle w:val="8"/>
        <w:rPr>
          <w:rFonts w:hint="default"/>
          <w:color w:val="auto"/>
          <w:sz w:val="24"/>
          <w:szCs w:val="24"/>
          <w:highlight w:val="none"/>
        </w:rPr>
      </w:pPr>
      <w:r>
        <w:rPr>
          <w:rFonts w:ascii="仿宋_GB2312" w:hAnsi="仿宋_GB2312" w:eastAsia="仿宋_GB2312" w:cs="仿宋_GB2312"/>
          <w:color w:val="auto"/>
          <w:sz w:val="24"/>
          <w:szCs w:val="24"/>
          <w:highlight w:val="none"/>
        </w:rPr>
        <w:t xml:space="preserve"> 签订时间： 年 月 日</w:t>
      </w:r>
    </w:p>
    <w:p w14:paraId="36EC0142">
      <w:pPr>
        <w:pStyle w:val="8"/>
        <w:rPr>
          <w:rFonts w:hint="default"/>
          <w:color w:val="auto"/>
          <w:sz w:val="24"/>
          <w:szCs w:val="24"/>
          <w:highlight w:val="none"/>
        </w:rPr>
      </w:pPr>
      <w:r>
        <w:rPr>
          <w:rFonts w:ascii="仿宋_GB2312" w:hAnsi="仿宋_GB2312" w:eastAsia="仿宋_GB2312" w:cs="仿宋_GB2312"/>
          <w:color w:val="auto"/>
          <w:sz w:val="24"/>
          <w:szCs w:val="24"/>
          <w:highlight w:val="none"/>
        </w:rPr>
        <w:t xml:space="preserve"> 乙方：(盖章）</w:t>
      </w:r>
    </w:p>
    <w:p w14:paraId="42384FEB">
      <w:pPr>
        <w:pStyle w:val="8"/>
        <w:rPr>
          <w:rFonts w:hint="default"/>
          <w:color w:val="auto"/>
          <w:sz w:val="24"/>
          <w:szCs w:val="24"/>
          <w:highlight w:val="none"/>
        </w:rPr>
      </w:pPr>
      <w:r>
        <w:rPr>
          <w:rFonts w:ascii="仿宋_GB2312" w:hAnsi="仿宋_GB2312" w:eastAsia="仿宋_GB2312" w:cs="仿宋_GB2312"/>
          <w:color w:val="auto"/>
          <w:sz w:val="24"/>
          <w:szCs w:val="24"/>
          <w:highlight w:val="none"/>
        </w:rPr>
        <w:t xml:space="preserve"> 法定代表人或主要负责人（授权代表）：</w:t>
      </w:r>
    </w:p>
    <w:p w14:paraId="339D4A1D">
      <w:pPr>
        <w:pStyle w:val="8"/>
        <w:rPr>
          <w:rFonts w:hint="default"/>
          <w:color w:val="auto"/>
          <w:sz w:val="24"/>
          <w:szCs w:val="24"/>
          <w:highlight w:val="none"/>
        </w:rPr>
      </w:pPr>
      <w:r>
        <w:rPr>
          <w:rFonts w:ascii="仿宋_GB2312" w:hAnsi="仿宋_GB2312" w:eastAsia="仿宋_GB2312" w:cs="仿宋_GB2312"/>
          <w:color w:val="auto"/>
          <w:sz w:val="24"/>
          <w:szCs w:val="24"/>
          <w:highlight w:val="none"/>
        </w:rPr>
        <w:t xml:space="preserve"> 地 址：</w:t>
      </w:r>
    </w:p>
    <w:p w14:paraId="381003C0">
      <w:pPr>
        <w:pStyle w:val="8"/>
        <w:rPr>
          <w:rFonts w:hint="default"/>
          <w:color w:val="auto"/>
          <w:sz w:val="24"/>
          <w:szCs w:val="24"/>
          <w:highlight w:val="none"/>
        </w:rPr>
      </w:pPr>
      <w:r>
        <w:rPr>
          <w:rFonts w:ascii="仿宋_GB2312" w:hAnsi="仿宋_GB2312" w:eastAsia="仿宋_GB2312" w:cs="仿宋_GB2312"/>
          <w:color w:val="auto"/>
          <w:sz w:val="24"/>
          <w:szCs w:val="24"/>
          <w:highlight w:val="none"/>
        </w:rPr>
        <w:t xml:space="preserve"> 开户银行：</w:t>
      </w:r>
    </w:p>
    <w:p w14:paraId="28DDAE4B">
      <w:pPr>
        <w:pStyle w:val="8"/>
        <w:rPr>
          <w:rFonts w:hint="default"/>
          <w:color w:val="auto"/>
          <w:sz w:val="24"/>
          <w:szCs w:val="24"/>
          <w:highlight w:val="none"/>
        </w:rPr>
      </w:pPr>
      <w:r>
        <w:rPr>
          <w:rFonts w:ascii="仿宋_GB2312" w:hAnsi="仿宋_GB2312" w:eastAsia="仿宋_GB2312" w:cs="仿宋_GB2312"/>
          <w:color w:val="auto"/>
          <w:sz w:val="24"/>
          <w:szCs w:val="24"/>
          <w:highlight w:val="none"/>
        </w:rPr>
        <w:t xml:space="preserve"> 账号：</w:t>
      </w:r>
    </w:p>
    <w:p w14:paraId="24460604">
      <w:pPr>
        <w:pStyle w:val="8"/>
        <w:rPr>
          <w:rFonts w:hint="default"/>
          <w:color w:val="auto"/>
          <w:sz w:val="24"/>
          <w:szCs w:val="24"/>
          <w:highlight w:val="none"/>
        </w:rPr>
      </w:pPr>
      <w:r>
        <w:rPr>
          <w:rFonts w:ascii="仿宋_GB2312" w:hAnsi="仿宋_GB2312" w:eastAsia="仿宋_GB2312" w:cs="仿宋_GB2312"/>
          <w:color w:val="auto"/>
          <w:sz w:val="24"/>
          <w:szCs w:val="24"/>
          <w:highlight w:val="none"/>
        </w:rPr>
        <w:t xml:space="preserve"> 签订时间： 年 月 日</w:t>
      </w:r>
    </w:p>
    <w:p w14:paraId="071B5163">
      <w:pPr>
        <w:rPr>
          <w:color w:val="auto"/>
          <w:highlight w:val="none"/>
        </w:rPr>
      </w:pPr>
    </w:p>
    <w:bookmarkEnd w:id="5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7A7B50"/>
    <w:rsid w:val="467A7B50"/>
    <w:rsid w:val="5FA46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7"/>
    <w:qFormat/>
    <w:uiPriority w:val="0"/>
    <w:pPr>
      <w:keepNext/>
      <w:keepLines/>
      <w:spacing w:before="240" w:beforeLines="0" w:beforeAutospacing="0" w:after="240" w:afterLines="0" w:afterAutospacing="0" w:line="240" w:lineRule="auto"/>
      <w:jc w:val="center"/>
      <w:outlineLvl w:val="0"/>
    </w:pPr>
    <w:rPr>
      <w:rFonts w:ascii="Times New Roman" w:hAnsi="Times New Roman" w:eastAsia="宋体" w:cs="Times New Roman"/>
      <w:b/>
      <w:kern w:val="44"/>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uiPriority w:val="0"/>
    <w:pPr>
      <w:jc w:val="left"/>
    </w:pPr>
  </w:style>
  <w:style w:type="character" w:styleId="6">
    <w:name w:val="annotation reference"/>
    <w:uiPriority w:val="0"/>
    <w:rPr>
      <w:sz w:val="21"/>
      <w:szCs w:val="21"/>
    </w:rPr>
  </w:style>
  <w:style w:type="character" w:customStyle="1" w:styleId="7">
    <w:name w:val="标题 1 Char"/>
    <w:link w:val="2"/>
    <w:qFormat/>
    <w:uiPriority w:val="0"/>
    <w:rPr>
      <w:rFonts w:ascii="Times New Roman" w:hAnsi="Times New Roman" w:eastAsia="宋体" w:cs="Times New Roman"/>
      <w:b/>
      <w:kern w:val="44"/>
      <w:sz w:val="32"/>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2025-03-24T08:10:00Z</dcterms:created>
  <dc:creator>范范</dc:creator>
  <cp:lastModifiedBy>范范</cp:lastModifiedBy>
  <dcterms:modified xsi:type="dcterms:W3CDTF">2025-03-24T08:11:05Z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248C8CC833904DE88D7A188C6C772AF4_11</vt:lpwstr>
  </property>
  <property fmtid="{D5CDD505-2E9C-101B-9397-08002B2CF9AE}" pid="4" name="KSOTemplateDocerSaveRecord">
    <vt:lpwstr>eyJoZGlkIjoiZDNjNTZlNWU3MzE1MjAzZGUzZjYwMGM2NGY1MmM2NDciLCJ1c2VySWQiOiI0NDYzMDE1NDcifQ==</vt:lpwstr>
  </property>
</Properties>
</file>