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版本号：N510101202500087620250613001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污泥无害化处置采购项目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N5101012025000876</w:t>
      </w:r>
    </w:p>
    <w:p>
      <w:pPr>
        <w:pStyle w:val="null3"/>
        <w:jc w:val="left"/>
        <w:outlineLvl w:val="2"/>
      </w:pPr>
      <w:r>
        <w:rPr>
          <w:rFonts w:ascii="仿宋_GB2312" w:hAnsi="仿宋_GB2312" w:cs="仿宋_GB2312" w:eastAsia="仿宋_GB2312"/>
          <w:sz w:val="28"/>
          <w:b/>
        </w:rPr>
        <w:t>成都市第六人民医院</w:t>
      </w:r>
    </w:p>
    <w:p>
      <w:pPr>
        <w:pStyle w:val="null3"/>
        <w:jc w:val="center"/>
        <w:outlineLvl w:val="2"/>
      </w:pPr>
      <w:r>
        <w:rPr>
          <w:rFonts w:ascii="仿宋_GB2312" w:hAnsi="仿宋_GB2312" w:cs="仿宋_GB2312" w:eastAsia="仿宋_GB2312"/>
          <w:sz w:val="28"/>
          <w:b/>
        </w:rPr>
        <w:t>四川五洲招标代理有限公司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四川五洲招标代理有限公司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成都市第六人民医院</w:t>
      </w:r>
      <w:r>
        <w:rPr>
          <w:rFonts w:ascii="仿宋_GB2312" w:hAnsi="仿宋_GB2312" w:cs="仿宋_GB2312" w:eastAsia="仿宋_GB2312"/>
        </w:rPr>
        <w:t xml:space="preserve"> 委托，拟对 </w:t>
      </w:r>
      <w:r>
        <w:rPr>
          <w:rFonts w:ascii="仿宋_GB2312" w:hAnsi="仿宋_GB2312" w:cs="仿宋_GB2312" w:eastAsia="仿宋_GB2312"/>
        </w:rPr>
        <w:t>污泥无害化处置采购项目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N5101012025000876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污泥无害化处置采购项目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需对成都市第六人民医院（沙河院区、金牛院区、东虹院区、青龙场院区）化粪池及污水处理站进行污泥清运处置工作（清掏时间接采购人通知为准），其中沙河院区共计化粪池6处，池体共计约80m³，污水处理站清掏池体约20m³，污水管道井池体约80m³；金牛院区共计化粪池3处，池体共计约300m³，污水处理站清掏池体约500m³，污水管道井池体约80m³；东虹院区共计化粪池1处，池体共计约24m³，污水管道井池体约18m³，污水处理站清掏池体约220m³；青龙场院区共计化粪池2处，池体共计约15m³，污水处理站清掏池体约15m³，污水管道井池体约3m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1、供应商具有危险废物经营许可证（描述：供应商具有危险废物经营许可证（核准经营危险废物类别中必须包含医疗废物 HW01 中的感染性医疗废物 841-001-01））</w:t>
      </w:r>
    </w:p>
    <w:p>
      <w:pPr>
        <w:pStyle w:val="null3"/>
        <w:jc w:val="left"/>
      </w:pPr>
      <w:r>
        <w:rPr>
          <w:rFonts w:ascii="仿宋_GB2312" w:hAnsi="仿宋_GB2312" w:cs="仿宋_GB2312" w:eastAsia="仿宋_GB2312"/>
        </w:rPr>
        <w:t>2、供应商具有道路运输经营许可证（描述：供应商具有道路运输经营许可证（危险货物运输：医疗废物））</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一、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二、为有效缓解中小企业融资难、融资贵问题，根据 成都市财政局中国人民银行成都分行营业管理部 关于 印发《成都市中小企业政府采购信用融资暂行办法》和 《成都市级支持中小企业政府采购信用融资实施方案》 的通知（成财采〔2019〕17 号）（见附件），成都市范围内政府 采购项目中标（成交）供应商为中小微企业的，可依据 政府采购合同申请政府采购信用融资。</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成都市第六人民医院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成都市成华区建设南路16号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028-6876965</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四川五洲招标代理有限公司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成都市武侯区星狮路511号大合仓C区415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衡女士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028-85446608-8835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由中标人（成交供应商）承担，按照《四川省政府采购营商环境指标提升专项行动工作方案》中关于代理服务费的相关规定以及与采购人签订的委托代理协议之相关约定，以预算金额作为计算基准，按差额定率累进法计算后下浮20%进行收取。中标金额100万以下部分按照1.50%收取。代理服务费由成交供应商承担，由成交供应商在领取成交通知书前向采购代理机构交纳代理服务费。【收款单位：四川五洲招标代理有限公司 银行账号：320 220 102 200 057 000 16 开户银行：成都银行金府路支行】 注：在代理服务费开票之前，请申请人仔细填写《增值税发票信息申请表》（详见附件），并将此表以电子邮件形式发送至四川五洲招标代理有限公司财务部的指定邮箱scwz@scwzzbdl.email。</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成都市第六人民医院</w:t>
      </w:r>
      <w:r>
        <w:rPr>
          <w:rFonts w:ascii="仿宋_GB2312" w:hAnsi="仿宋_GB2312" w:cs="仿宋_GB2312" w:eastAsia="仿宋_GB2312"/>
        </w:rPr>
        <w:t xml:space="preserve"> 和 </w:t>
      </w:r>
      <w:r>
        <w:rPr>
          <w:rFonts w:ascii="仿宋_GB2312" w:hAnsi="仿宋_GB2312" w:cs="仿宋_GB2312" w:eastAsia="仿宋_GB2312"/>
        </w:rPr>
        <w:t>四川五洲招标代理有限公司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成都市第六人民医院</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四川五洲招标代理有限公司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采购文件由采购人、代理机构编制，是项目采购活动开展的基本依据，主要包括以下内容：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三、供应商根据更正信息要求，下载更正后的采购文件，进行响应文件编制。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项目完成后，采购人在接到成交供应商项目验收申请后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是否满足采购需求及响应文件响应要求。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是否满足采购需求及响应文件响应要求。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按照《财政部关于进一步加强政府采购需求和履约验收管理的指导意见》（财库〔2016〕205号）及磋商文件技术要求、响应文件响应情况进行验收。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成都市第六人民医院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联系电话：028-6876965</w:t>
      </w:r>
    </w:p>
    <w:p>
      <w:pPr>
        <w:pStyle w:val="null3"/>
        <w:jc w:val="left"/>
      </w:pPr>
      <w:r>
        <w:rPr>
          <w:rFonts w:ascii="仿宋_GB2312" w:hAnsi="仿宋_GB2312" w:cs="仿宋_GB2312" w:eastAsia="仿宋_GB2312"/>
        </w:rPr>
        <w:t>地址：成都市成华区建设南路16号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联系人：衡女士</w:t>
      </w:r>
    </w:p>
    <w:p>
      <w:pPr>
        <w:pStyle w:val="null3"/>
        <w:jc w:val="left"/>
      </w:pPr>
      <w:r>
        <w:rPr>
          <w:rFonts w:ascii="仿宋_GB2312" w:hAnsi="仿宋_GB2312" w:cs="仿宋_GB2312" w:eastAsia="仿宋_GB2312"/>
        </w:rPr>
        <w:t>联系电话：028-85446608-8835</w:t>
      </w:r>
    </w:p>
    <w:p>
      <w:pPr>
        <w:pStyle w:val="null3"/>
        <w:jc w:val="left"/>
      </w:pPr>
      <w:r>
        <w:rPr>
          <w:rFonts w:ascii="仿宋_GB2312" w:hAnsi="仿宋_GB2312" w:cs="仿宋_GB2312" w:eastAsia="仿宋_GB2312"/>
        </w:rPr>
        <w:t>地址：成都市武侯区星狮路511号C区415</w:t>
      </w:r>
    </w:p>
    <w:p>
      <w:pPr>
        <w:pStyle w:val="null3"/>
        <w:jc w:val="left"/>
      </w:pPr>
      <w:r>
        <w:rPr>
          <w:rFonts w:ascii="仿宋_GB2312" w:hAnsi="仿宋_GB2312" w:cs="仿宋_GB2312" w:eastAsia="仿宋_GB2312"/>
        </w:rPr>
        <w:t>邮编：610043</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C07020499 其他危险废弃物治理服务</w:t>
            </w:r>
          </w:p>
        </w:tc>
        <w:tc>
          <w:tcPr>
            <w:tcW w:type="dxa" w:w="821"/>
          </w:tcPr>
          <w:p>
            <w:pPr>
              <w:pStyle w:val="null3"/>
              <w:jc w:val="left"/>
            </w:pPr>
            <w:r>
              <w:rPr>
                <w:rFonts w:ascii="仿宋_GB2312" w:hAnsi="仿宋_GB2312" w:cs="仿宋_GB2312" w:eastAsia="仿宋_GB2312"/>
              </w:rPr>
              <w:t>污泥无害化处置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污泥无害化处置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因系统固化原因，本项目单价限价为：9元/kg，报价表以响应文件格式中“报价表（以此为准）”为准，系统要求的报价表金额供应商可按“600000元”填写。</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标的名称：污泥无害化处置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240"/>
              <w:jc w:val="left"/>
            </w:pPr>
            <w:r>
              <w:rPr>
                <w:rFonts w:ascii="仿宋_GB2312" w:hAnsi="仿宋_GB2312" w:cs="仿宋_GB2312" w:eastAsia="仿宋_GB2312"/>
                <w:sz w:val="24"/>
              </w:rPr>
              <w:t>1.由供应商对医院沙河院区、金牛院区、东虹院区、青龙场院区的化粪池及污水处理站污泥栅渣进行清运处置，在清掏处置过程中不得在院内对污泥进行二次加工（脱水干化）处理；不得在医院内进行暂存，需立即现场拉走。</w:t>
            </w:r>
          </w:p>
          <w:p>
            <w:pPr>
              <w:pStyle w:val="null3"/>
              <w:ind w:firstLine="240"/>
              <w:jc w:val="left"/>
            </w:pPr>
            <w:r>
              <w:rPr>
                <w:rFonts w:ascii="仿宋_GB2312" w:hAnsi="仿宋_GB2312" w:cs="仿宋_GB2312" w:eastAsia="仿宋_GB2312"/>
                <w:sz w:val="24"/>
              </w:rPr>
              <w:t>2.由供应商派专人在现场对医院沙河院区、金牛院区、东虹院区、青龙场病区的化粪池及污水处理站污泥栅渣进行清掏处置工作。</w:t>
            </w:r>
          </w:p>
          <w:p>
            <w:pPr>
              <w:pStyle w:val="null3"/>
              <w:ind w:firstLine="240"/>
              <w:jc w:val="left"/>
            </w:pPr>
            <w:r>
              <w:rPr>
                <w:rFonts w:ascii="仿宋_GB2312" w:hAnsi="仿宋_GB2312" w:cs="仿宋_GB2312" w:eastAsia="仿宋_GB2312"/>
                <w:sz w:val="24"/>
              </w:rPr>
              <w:t>3.因清掏点位地势和位置原因，导致部分地区如车辆无法达到，常规清掏工作分为人工清掏及车辆清掏两种方式进行混合采用，每次清掏处置后，供应商负责医院污水井道内的污染物清掏处置。</w:t>
            </w:r>
          </w:p>
          <w:p>
            <w:pPr>
              <w:pStyle w:val="null3"/>
              <w:ind w:firstLine="240"/>
              <w:jc w:val="left"/>
            </w:pPr>
            <w:r>
              <w:rPr>
                <w:rFonts w:ascii="仿宋_GB2312" w:hAnsi="仿宋_GB2312" w:cs="仿宋_GB2312" w:eastAsia="仿宋_GB2312"/>
                <w:sz w:val="24"/>
              </w:rPr>
              <w:t>4.在化粪池及污水处理站淤泥栅渣清掏处置过程中，确保采购人与供应商双方人员、财产安全及第三方人身安全。</w:t>
            </w:r>
          </w:p>
          <w:p>
            <w:pPr>
              <w:pStyle w:val="null3"/>
              <w:ind w:firstLine="240"/>
              <w:jc w:val="left"/>
            </w:pPr>
            <w:r>
              <w:rPr>
                <w:rFonts w:ascii="仿宋_GB2312" w:hAnsi="仿宋_GB2312" w:cs="仿宋_GB2312" w:eastAsia="仿宋_GB2312"/>
                <w:sz w:val="24"/>
              </w:rPr>
              <w:t>5.供应商对化粪池及污水处理站淤泥栅渣清掏处置后的场地和周围环境进行清理。</w:t>
            </w:r>
          </w:p>
          <w:p>
            <w:pPr>
              <w:pStyle w:val="null3"/>
              <w:ind w:firstLine="240"/>
              <w:jc w:val="left"/>
            </w:pPr>
            <w:r>
              <w:rPr>
                <w:rFonts w:ascii="仿宋_GB2312" w:hAnsi="仿宋_GB2312" w:cs="仿宋_GB2312" w:eastAsia="仿宋_GB2312"/>
                <w:sz w:val="24"/>
              </w:rPr>
              <w:t>6.安全责任：按照《中华人民共和国安全生产法》要求，严禁在无人监护下进行作业。必须设监督人员进场跟踪方能作业。供应商必须按照国家法律法规要求依法执业，按照《中华人民共和国环境保护法》、《城镇排水与污水处理条例》、《成都市卫生健康委员会关于进一步规范医疗污泥、医药废物和废药物、药品处置的通知》等规章制度执行。在清掏处置和转运过程中如发生事故或人身伤亡由供应商承担法律责任和经济责任。</w:t>
            </w:r>
          </w:p>
          <w:p>
            <w:pPr>
              <w:pStyle w:val="null3"/>
              <w:ind w:firstLine="240"/>
              <w:jc w:val="left"/>
            </w:pPr>
            <w:r>
              <w:rPr>
                <w:rFonts w:ascii="仿宋_GB2312" w:hAnsi="仿宋_GB2312" w:cs="仿宋_GB2312" w:eastAsia="仿宋_GB2312"/>
                <w:sz w:val="24"/>
              </w:rPr>
              <w:t>7.在运输过程中供应商需保障危险废物不发生二次污染（如：破损、泄露等）。</w:t>
            </w:r>
          </w:p>
          <w:p>
            <w:pPr>
              <w:pStyle w:val="null3"/>
              <w:ind w:firstLine="240"/>
              <w:jc w:val="left"/>
            </w:pPr>
            <w:r>
              <w:rPr>
                <w:rFonts w:ascii="仿宋_GB2312" w:hAnsi="仿宋_GB2312" w:cs="仿宋_GB2312" w:eastAsia="仿宋_GB2312"/>
                <w:sz w:val="24"/>
              </w:rPr>
              <w:t>8.供应商需配合采购人向环保局提交转运处置所需资料。</w:t>
            </w:r>
          </w:p>
          <w:p>
            <w:pPr>
              <w:pStyle w:val="null3"/>
              <w:ind w:firstLine="240"/>
              <w:jc w:val="left"/>
            </w:pPr>
            <w:r>
              <w:rPr>
                <w:rFonts w:ascii="仿宋_GB2312" w:hAnsi="仿宋_GB2312" w:cs="仿宋_GB2312" w:eastAsia="仿宋_GB2312"/>
                <w:sz w:val="24"/>
              </w:rPr>
              <w:t>9.供应商接到采购人通知后需在15日内完成所有工作，如采购人有紧急需要需在接到采购人通知后立即响应派车派人到现场进行应急处置。</w:t>
            </w:r>
          </w:p>
          <w:p>
            <w:pPr>
              <w:pStyle w:val="null3"/>
              <w:jc w:val="both"/>
            </w:pPr>
            <w:r>
              <w:rPr>
                <w:rFonts w:ascii="仿宋_GB2312" w:hAnsi="仿宋_GB2312" w:cs="仿宋_GB2312" w:eastAsia="仿宋_GB2312"/>
                <w:sz w:val="24"/>
              </w:rPr>
              <w:t>10.医疗污泥运输车辆及相关驾乘人员应符合国家相关法规。【提供一辆运输车及负责运输人员的资料。（提供运输车辆所属单位的道路运输经营许可证（危险货物运输：医疗废物）复印件，并提供车辆的行驶证及相应车辆驾驶人员的驾驶证和押运员的《危险货物押运员证》及成都市危险化学品道路运输通行证复印件,所有证件需在有效期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实施方案与技术措施方案</w:t>
            </w:r>
          </w:p>
        </w:tc>
        <w:tc>
          <w:tcPr>
            <w:tcW w:type="dxa" w:w="5814"/>
          </w:tcPr>
          <w:p>
            <w:pPr>
              <w:pStyle w:val="null3"/>
              <w:jc w:val="both"/>
            </w:pPr>
            <w:r>
              <w:rPr>
                <w:rFonts w:ascii="仿宋_GB2312" w:hAnsi="仿宋_GB2312" w:cs="仿宋_GB2312" w:eastAsia="仿宋_GB2312"/>
                <w:sz w:val="21"/>
              </w:rPr>
              <w:t>供应商根据服务需求对本项目制定并提供详细的实施方案与技术措施。包括：</w:t>
            </w:r>
            <w:r>
              <w:rPr>
                <w:rFonts w:ascii="仿宋_GB2312" w:hAnsi="仿宋_GB2312" w:cs="仿宋_GB2312" w:eastAsia="仿宋_GB2312"/>
                <w:sz w:val="21"/>
              </w:rPr>
              <w:t>①实施的进度及管理；②技术措施；③组织机构体系；④项目实施安排及项目实施前的准备。（方案内容格式自拟）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质量管理体系与措施方案</w:t>
            </w:r>
          </w:p>
        </w:tc>
        <w:tc>
          <w:tcPr>
            <w:tcW w:type="dxa" w:w="5814"/>
          </w:tcPr>
          <w:p>
            <w:pPr>
              <w:pStyle w:val="null3"/>
              <w:jc w:val="both"/>
            </w:pPr>
            <w:r>
              <w:rPr>
                <w:rFonts w:ascii="仿宋_GB2312" w:hAnsi="仿宋_GB2312" w:cs="仿宋_GB2312" w:eastAsia="仿宋_GB2312"/>
                <w:sz w:val="21"/>
              </w:rPr>
              <w:t>供应商根据服务需求对本项目制定并提供详细的质量管理体系与措施方案。包括：</w:t>
            </w:r>
            <w:r>
              <w:rPr>
                <w:rFonts w:ascii="仿宋_GB2312" w:hAnsi="仿宋_GB2312" w:cs="仿宋_GB2312" w:eastAsia="仿宋_GB2312"/>
                <w:sz w:val="21"/>
              </w:rPr>
              <w:t>①建立质量监督体系；②质量监督责任制；③质量责任落实划分。</w:t>
            </w:r>
            <w:r>
              <w:rPr>
                <w:rFonts w:ascii="仿宋_GB2312" w:hAnsi="仿宋_GB2312" w:cs="仿宋_GB2312" w:eastAsia="仿宋_GB2312"/>
                <w:sz w:val="21"/>
              </w:rPr>
              <w:t>（方案内容格式自拟）</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应急处置方案</w:t>
            </w:r>
          </w:p>
        </w:tc>
        <w:tc>
          <w:tcPr>
            <w:tcW w:type="dxa" w:w="5814"/>
          </w:tcPr>
          <w:p>
            <w:pPr>
              <w:pStyle w:val="null3"/>
              <w:jc w:val="both"/>
            </w:pPr>
            <w:r>
              <w:rPr>
                <w:rFonts w:ascii="仿宋_GB2312" w:hAnsi="仿宋_GB2312" w:cs="仿宋_GB2312" w:eastAsia="仿宋_GB2312"/>
                <w:sz w:val="21"/>
              </w:rPr>
              <w:t>供应商根据服务需求对本项目制定并提供详细的应急处置方案，包括：</w:t>
            </w:r>
            <w:r>
              <w:rPr>
                <w:rFonts w:ascii="仿宋_GB2312" w:hAnsi="仿宋_GB2312" w:cs="仿宋_GB2312" w:eastAsia="仿宋_GB2312"/>
                <w:sz w:val="21"/>
              </w:rPr>
              <w:t>①恶劣天气清掏；②节假日清掏。</w:t>
            </w:r>
            <w:r>
              <w:rPr>
                <w:rFonts w:ascii="仿宋_GB2312" w:hAnsi="仿宋_GB2312" w:cs="仿宋_GB2312" w:eastAsia="仿宋_GB2312"/>
                <w:sz w:val="21"/>
              </w:rPr>
              <w:t>（方案内容格式自拟）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ind w:firstLine="480"/>
              <w:jc w:val="left"/>
            </w:pPr>
            <w:r>
              <w:rPr>
                <w:rFonts w:ascii="仿宋_GB2312" w:hAnsi="仿宋_GB2312" w:cs="仿宋_GB2312" w:eastAsia="仿宋_GB2312"/>
                <w:sz w:val="24"/>
                <w:color w:val="000000"/>
              </w:rPr>
              <w:t>(因系统固化原因，3.3.2.商务 要求中的付款进度安排不适用本项目，具体付款进度安排以此为准;供应商应答“付款进度安排”时，可仅应 答本条要求即可，对于 3.3.2. 商务要求中“付款进度安排”要求的应答不作强制要求)</w:t>
            </w:r>
          </w:p>
          <w:p>
            <w:pPr>
              <w:pStyle w:val="null3"/>
              <w:ind w:firstLine="480"/>
              <w:jc w:val="both"/>
            </w:pPr>
            <w:r>
              <w:rPr>
                <w:rFonts w:ascii="仿宋_GB2312" w:hAnsi="仿宋_GB2312" w:cs="仿宋_GB2312" w:eastAsia="仿宋_GB2312"/>
                <w:sz w:val="24"/>
                <w:color w:val="000000"/>
              </w:rPr>
              <w:t>化粪池和污水处理站污泥栅渣无害化处置按每次实际清理后产生的污泥重量</w:t>
            </w:r>
            <w:r>
              <w:rPr>
                <w:rFonts w:ascii="仿宋_GB2312" w:hAnsi="仿宋_GB2312" w:cs="仿宋_GB2312" w:eastAsia="仿宋_GB2312"/>
                <w:sz w:val="24"/>
                <w:color w:val="000000"/>
              </w:rPr>
              <w:t>×成交单价据实结算，一年总采购费用预算上限为60万元，如果一年内结算时超过60万元的按60万元支付。无害化处置数量由采购人后勤保障部确认，确认无误后中标供应商开出正式发票，采购人收到成交供应商数量清单和正规发票，达到付款条件后10个工作日内完成相关付款手续。</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ind w:firstLine="480"/>
              <w:jc w:val="both"/>
            </w:pPr>
            <w:r>
              <w:rPr>
                <w:rFonts w:ascii="仿宋_GB2312" w:hAnsi="仿宋_GB2312" w:cs="仿宋_GB2312" w:eastAsia="仿宋_GB2312"/>
                <w:sz w:val="24"/>
                <w:color w:val="000000"/>
              </w:rPr>
              <w:t>(因系统固化原因，3.3.2.商务要求中的支付方式不适用本项目，具体支付方式以此为准;供应商应答“支付方式”时，可仅应 答本条要求即可，对于 3.3.2. 商务要求中“支付方式”要求的应答不作强制要求)本项目支付方式：分期付款</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4"/>
                <w:color w:val="000000"/>
              </w:rPr>
              <w:t>1.若涉及商品包装和快递包装的，须符合《商品包装政府采购需求标准（试行）》、《快递包装政府采购需求标准（试行）》的通知财办库〔2020〕123号的要求。</w:t>
            </w:r>
          </w:p>
          <w:p>
            <w:pPr>
              <w:pStyle w:val="null3"/>
              <w:ind w:firstLine="480"/>
              <w:jc w:val="both"/>
            </w:pPr>
            <w:r>
              <w:rPr>
                <w:rFonts w:ascii="仿宋_GB2312" w:hAnsi="仿宋_GB2312" w:cs="仿宋_GB2312" w:eastAsia="仿宋_GB2312"/>
                <w:sz w:val="24"/>
                <w:color w:val="000000"/>
              </w:rPr>
              <w:t>2.保险：按照国家法律法规的相关要求执行。</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一年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成都市第六人民医院所有院区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3.1履约验收主体：成都市第六人民医院； 3.2履约验收时间：项目完成后，采购人在接到成交供应商项目验收申请后的7日内组织验收； 3.3履约验收方式：采购人单位内部验收； 3.4履约验收程序：一次性验收； 3.5履约验收内容和标准：按照《财政部关于进一步加强政府采购需求和履约验收管理的指导意见》（财库〔2016〕205号）及磋商文件技术要求、响应文件响应情况进行验收。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无害化处置数量由采购人后勤保障部确认，确认无误后中标供应商开出正式发票，采购人收到成交供应商数量清单和正规发票，达到付款条件起12日内，据实情况说明为化粪池和污水处理站污泥栅渣无害化处置按每次实际清理后产生的污泥重量×成交单价据实结算，一年总采购费用预算上限为60万元，如果一年内结算时超过60万元的按60万元支付。无害化处置数量由采购人后勤保障部确认，确认无误后中标供应商开出正式发票，采购人收到成交供应商数量清单和正规发票，达到付款条件后15日内（成交供应商为中小企业的在10个工作日内）完成相关付款手续。</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A.违约责任：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B.解决争议的方式:合同履行期间,若双方发生争议，可协商或由有关部门调解解决，协商或调解不成的，任何一方均可提交采购人所在地有管辖权的人民法院诉讼解决。律师费、诉讼费、公证费、公告费等费用由违约方承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color w:val="000000"/>
        </w:rPr>
        <w:t>在协商过程中，协商小组在获得采购人代表确认的前提下，可以根据协商情况实质性变动第三章技术、服务及其他要求的</w:t>
      </w:r>
      <w:r>
        <w:rPr>
          <w:rFonts w:ascii="仿宋_GB2312" w:hAnsi="仿宋_GB2312" w:cs="仿宋_GB2312" w:eastAsia="仿宋_GB2312"/>
          <w:sz w:val="21"/>
          <w:color w:val="000000"/>
        </w:rPr>
        <w:t>“</w:t>
      </w:r>
      <w:r>
        <w:rPr>
          <w:rFonts w:ascii="仿宋_GB2312" w:hAnsi="仿宋_GB2312" w:cs="仿宋_GB2312" w:eastAsia="仿宋_GB2312"/>
          <w:sz w:val="21"/>
          <w:color w:val="000000"/>
        </w:rPr>
        <w:t>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在协商过程中，协商小组在获得采购人代表确认的前提下，可以根据协商情况实质性变动拟签订采购合同文本。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w:t>
              <w:br/>
              <w:t>②若为事业法人：提供“统一社会信用代码法人登记证书”；未换证的提交“事业法人登记证书、组织机构代码证”；</w:t>
              <w:br/>
              <w:t>③若为其他组织：提供“对应主管部门颁发的准许执业证明文件或营业执照”；</w:t>
              <w:br/>
              <w:t>④若为个体工商户：提供“统一社会信用代码营业执照副本”或“营业执照、税务登记证”；⑤若为自然人：提供“身份证明材料”。（提供扫描件并进行电子签章。）</w:t>
            </w:r>
          </w:p>
        </w:tc>
        <w:tc>
          <w:tcPr>
            <w:tcW w:type="dxa" w:w="1910"/>
          </w:tcPr>
          <w:p>
            <w:pPr>
              <w:pStyle w:val="null3"/>
              <w:jc w:val="left"/>
            </w:pPr>
            <w:r>
              <w:rPr>
                <w:rFonts w:ascii="仿宋_GB2312" w:hAnsi="仿宋_GB2312" w:cs="仿宋_GB2312" w:eastAsia="仿宋_GB2312"/>
              </w:rPr>
              <w:t>具有独立承担民事责任的能力的证明材料.docx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供应商具有危险废物经营许可证</w:t>
            </w:r>
          </w:p>
        </w:tc>
        <w:tc>
          <w:tcPr>
            <w:tcW w:type="dxa" w:w="3322"/>
          </w:tcPr>
          <w:p>
            <w:pPr>
              <w:pStyle w:val="null3"/>
              <w:jc w:val="left"/>
            </w:pPr>
            <w:r>
              <w:rPr>
                <w:rFonts w:ascii="仿宋_GB2312" w:hAnsi="仿宋_GB2312" w:cs="仿宋_GB2312" w:eastAsia="仿宋_GB2312"/>
              </w:rPr>
              <w:t>供应商具有危险废物经营许可证（核准经营危险废物类别中必须包含医疗废物 HW01 中的感染性医疗废物 841-001-01）</w:t>
            </w:r>
          </w:p>
        </w:tc>
        <w:tc>
          <w:tcPr>
            <w:tcW w:type="dxa" w:w="1910"/>
          </w:tcPr>
          <w:p>
            <w:pPr>
              <w:pStyle w:val="null3"/>
              <w:jc w:val="left"/>
            </w:pPr>
            <w:r>
              <w:rPr>
                <w:rFonts w:ascii="仿宋_GB2312" w:hAnsi="仿宋_GB2312" w:cs="仿宋_GB2312" w:eastAsia="仿宋_GB2312"/>
              </w:rPr>
              <w:t>特殊资格证明材料.docx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供应商具有道路运输经营许可证</w:t>
            </w:r>
          </w:p>
        </w:tc>
        <w:tc>
          <w:tcPr>
            <w:tcW w:type="dxa" w:w="3322"/>
          </w:tcPr>
          <w:p>
            <w:pPr>
              <w:pStyle w:val="null3"/>
              <w:jc w:val="left"/>
            </w:pPr>
            <w:r>
              <w:rPr>
                <w:rFonts w:ascii="仿宋_GB2312" w:hAnsi="仿宋_GB2312" w:cs="仿宋_GB2312" w:eastAsia="仿宋_GB2312"/>
              </w:rPr>
              <w:t>供应商具有道路运输经营许可证（危险货物运输：医疗废物）</w:t>
            </w:r>
          </w:p>
        </w:tc>
        <w:tc>
          <w:tcPr>
            <w:tcW w:type="dxa" w:w="1910"/>
          </w:tcPr>
          <w:p>
            <w:pPr>
              <w:pStyle w:val="null3"/>
              <w:jc w:val="left"/>
            </w:pPr>
            <w:r>
              <w:rPr>
                <w:rFonts w:ascii="仿宋_GB2312" w:hAnsi="仿宋_GB2312" w:cs="仿宋_GB2312" w:eastAsia="仿宋_GB2312"/>
              </w:rPr>
              <w:t>特殊资格证明材料.docx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除第三章以外，需要供应商进行承诺的实质性要求，无需供应商单独提供材料进行响应，只需供应商承诺严格遵守并执行的相关实质性要求。【因系统固化原因，审查内容中序号1“需要供应商进行承诺的实质性要求”及序号1中“具体标准和要求”以此为准】</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针对第三章-技术、服务及其他要求中实质性要求的响应要求</w:t>
            </w:r>
          </w:p>
        </w:tc>
        <w:tc>
          <w:tcPr>
            <w:tcW w:type="dxa" w:w="3322"/>
          </w:tcPr>
          <w:p>
            <w:pPr>
              <w:pStyle w:val="null3"/>
              <w:jc w:val="left"/>
            </w:pPr>
            <w:r>
              <w:rPr>
                <w:rFonts w:ascii="仿宋_GB2312" w:hAnsi="仿宋_GB2312" w:cs="仿宋_GB2312" w:eastAsia="仿宋_GB2312"/>
              </w:rPr>
              <w:t>针对本项目第三章实质性要求，供应商按照采购文件要求上传相应证明材料。</w:t>
            </w:r>
          </w:p>
        </w:tc>
        <w:tc>
          <w:tcPr>
            <w:tcW w:type="dxa" w:w="1910"/>
          </w:tcPr>
          <w:p>
            <w:pPr>
              <w:pStyle w:val="null3"/>
              <w:jc w:val="left"/>
            </w:pPr>
            <w:r>
              <w:rPr>
                <w:rFonts w:ascii="仿宋_GB2312" w:hAnsi="仿宋_GB2312" w:cs="仿宋_GB2312" w:eastAsia="仿宋_GB2312"/>
              </w:rPr>
              <w:t>供应商认为需要提供的其他证明材料.docx,技术、服务、商务要求响应偏离表.docx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pPr>
      <w:r>
        <w:rPr>
          <w:rFonts w:ascii="仿宋_GB2312" w:hAnsi="仿宋_GB2312" w:cs="仿宋_GB2312" w:eastAsia="仿宋_GB2312"/>
        </w:rPr>
        <w:t>七、供应商最后报价无效的，本次采购活动终止，并发布终止公告。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协商小组检查通过资格和符合性审查的供应商是否超过采购文件的采购预算及最高限价。</w:t>
            </w:r>
          </w:p>
        </w:tc>
        <w:tc>
          <w:tcPr>
            <w:tcW w:type="dxa" w:w="2123"/>
          </w:tcPr>
          <w:p>
            <w:pPr>
              <w:pStyle w:val="null3"/>
              <w:jc w:val="left"/>
            </w:pPr>
            <w:r>
              <w:rPr>
                <w:rFonts w:ascii="仿宋_GB2312" w:hAnsi="仿宋_GB2312" w:cs="仿宋_GB2312" w:eastAsia="仿宋_GB2312"/>
              </w:rPr>
              <w:t>响应文件封面,报价一览表,报价明细表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详见附件：技术、服务、商务要求响应偏离表.docx</w:t>
      </w:r>
    </w:p>
    <w:p>
      <w:pPr>
        <w:pStyle w:val="null3"/>
        <w:ind w:firstLine="960"/>
        <w:jc w:val="left"/>
      </w:pPr>
      <w:r>
        <w:rPr>
          <w:rFonts w:ascii="仿宋_GB2312" w:hAnsi="仿宋_GB2312" w:cs="仿宋_GB2312" w:eastAsia="仿宋_GB2312"/>
        </w:rPr>
        <w:t>详见附件：具有独立承担民事责任的能力的证明材料.docx</w:t>
      </w:r>
    </w:p>
    <w:p>
      <w:pPr>
        <w:pStyle w:val="null3"/>
        <w:ind w:firstLine="960"/>
        <w:jc w:val="left"/>
      </w:pPr>
      <w:r>
        <w:rPr>
          <w:rFonts w:ascii="仿宋_GB2312" w:hAnsi="仿宋_GB2312" w:cs="仿宋_GB2312" w:eastAsia="仿宋_GB2312"/>
        </w:rPr>
        <w:t>详见附件：特殊资格证明材料.docx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