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版本号：GXHC-20260920260513002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商洛市中级人民法院移动办案办公服务项目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GXHC-202609</w:t>
      </w:r>
      <w:r>
        <w:br/>
      </w:r>
      <w:r>
        <w:br/>
      </w:r>
      <w:r>
        <w:br/>
      </w:r>
    </w:p>
    <w:p>
      <w:pPr>
        <w:pStyle w:val="null3"/>
        <w:jc w:val="center"/>
        <w:outlineLvl w:val="2"/>
      </w:pPr>
      <w:r>
        <w:rPr>
          <w:rFonts w:ascii="仿宋_GB2312" w:hAnsi="仿宋_GB2312" w:cs="仿宋_GB2312" w:eastAsia="仿宋_GB2312"/>
          <w:sz w:val="28"/>
          <w:b/>
        </w:rPr>
        <w:t>陕西省商洛市中级人民法院</w:t>
      </w:r>
    </w:p>
    <w:p>
      <w:pPr>
        <w:pStyle w:val="null3"/>
        <w:jc w:val="center"/>
        <w:outlineLvl w:val="2"/>
      </w:pPr>
      <w:r>
        <w:rPr>
          <w:rFonts w:ascii="仿宋_GB2312" w:hAnsi="仿宋_GB2312" w:cs="仿宋_GB2312" w:eastAsia="仿宋_GB2312"/>
          <w:sz w:val="28"/>
          <w:b/>
        </w:rPr>
        <w:t>陕西国信恒创工程咨询有限公司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陕西国信恒创工程咨询有限公司</w:t>
      </w:r>
      <w:r>
        <w:rPr>
          <w:rFonts w:ascii="仿宋_GB2312" w:hAnsi="仿宋_GB2312" w:cs="仿宋_GB2312" w:eastAsia="仿宋_GB2312"/>
        </w:rPr>
        <w:t>（以下简称“代理机构”）受</w:t>
      </w:r>
      <w:r>
        <w:rPr>
          <w:rFonts w:ascii="仿宋_GB2312" w:hAnsi="仿宋_GB2312" w:cs="仿宋_GB2312" w:eastAsia="仿宋_GB2312"/>
        </w:rPr>
        <w:t>陕西省商洛市中级人民法院</w:t>
      </w:r>
      <w:r>
        <w:rPr>
          <w:rFonts w:ascii="仿宋_GB2312" w:hAnsi="仿宋_GB2312" w:cs="仿宋_GB2312" w:eastAsia="仿宋_GB2312"/>
        </w:rPr>
        <w:t>委托，拟对</w:t>
      </w:r>
      <w:r>
        <w:rPr>
          <w:rFonts w:ascii="仿宋_GB2312" w:hAnsi="仿宋_GB2312" w:cs="仿宋_GB2312" w:eastAsia="仿宋_GB2312"/>
        </w:rPr>
        <w:t>商洛市中级人民法院移动办案办公服务项目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GXHC-202609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商洛市中级人民法院移动办案办公服务项目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本项目为商洛市中级人民法院移动办案办公服务项目，采购内容为：移动互联网安全访问服务、配套通信服务、虚拟专网服务、沙箱安全服务等。具体要求详见磋商文件及采购清单。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授权委托：法定代表人直接参与投标时需提供身份证原件及复印件加盖公章；被授权人参与投标时需提供法定代表人授权委托书（附法定代表人及被委托人身份证复印件并加盖公章）并出示被授权代表的身份证原件；</w:t>
      </w:r>
    </w:p>
    <w:p>
      <w:pPr>
        <w:pStyle w:val="null3"/>
      </w:pPr>
      <w:r>
        <w:rPr>
          <w:rFonts w:ascii="仿宋_GB2312" w:hAnsi="仿宋_GB2312" w:cs="仿宋_GB2312" w:eastAsia="仿宋_GB2312"/>
        </w:rPr>
        <w:t>3、网站截图：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4、书面声明：提供具有履行本合同所必需的设备和专业技术能力的声明。</w:t>
      </w:r>
    </w:p>
    <w:p>
      <w:pPr>
        <w:pStyle w:val="null3"/>
      </w:pPr>
      <w:r>
        <w:rPr>
          <w:rFonts w:ascii="仿宋_GB2312" w:hAnsi="仿宋_GB2312" w:cs="仿宋_GB2312" w:eastAsia="仿宋_GB2312"/>
        </w:rPr>
        <w:t>5、书面声明：提供参加政府采购活动前三年内在经营活动中没有重大违法记录的书面声明；</w:t>
      </w:r>
    </w:p>
    <w:p>
      <w:pPr>
        <w:pStyle w:val="null3"/>
      </w:pPr>
      <w:r>
        <w:rPr>
          <w:rFonts w:ascii="仿宋_GB2312" w:hAnsi="仿宋_GB2312" w:cs="仿宋_GB2312" w:eastAsia="仿宋_GB2312"/>
        </w:rPr>
        <w:t>6、保证金缴纳：提供本项目投标保证金交纳凭证；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陕西省商洛市中级人民法院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商洛市商州区金凤路5号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陕西省商洛市中级人民法院经办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18192551311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陕西国信恒创工程咨询有限公司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陕西省商洛市商州区商郡城2幢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13154078736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开户名称：陕西国信恒创工程咨询有限公司</w:t>
            </w:r>
          </w:p>
          <w:p>
            <w:pPr>
              <w:pStyle w:val="null3"/>
            </w:pPr>
            <w:r>
              <w:rPr>
                <w:rFonts w:ascii="仿宋_GB2312" w:hAnsi="仿宋_GB2312" w:cs="仿宋_GB2312" w:eastAsia="仿宋_GB2312"/>
              </w:rPr>
              <w:t>开户银行：中国建设银行股份有限公司商洛分行营业部</w:t>
            </w:r>
          </w:p>
          <w:p>
            <w:pPr>
              <w:pStyle w:val="null3"/>
            </w:pPr>
            <w:r>
              <w:rPr>
                <w:rFonts w:ascii="仿宋_GB2312" w:hAnsi="仿宋_GB2312" w:cs="仿宋_GB2312" w:eastAsia="仿宋_GB2312"/>
              </w:rPr>
              <w:t>银行账号：61050167001400002546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代理服务费收费标准：参照国家计委[2002]1980号文件《招标代理服务收费管理暂行办法》、发改委[2011]534号文件《关于降低部分建设项目收费标准规范收费行为等有关问题的通知》规定的收费标准收取。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陕西省商洛市中级人民法院</w:t>
      </w:r>
      <w:r>
        <w:rPr>
          <w:rFonts w:ascii="仿宋_GB2312" w:hAnsi="仿宋_GB2312" w:cs="仿宋_GB2312" w:eastAsia="仿宋_GB2312"/>
        </w:rPr>
        <w:t>和</w:t>
      </w:r>
      <w:r>
        <w:rPr>
          <w:rFonts w:ascii="仿宋_GB2312" w:hAnsi="仿宋_GB2312" w:cs="仿宋_GB2312" w:eastAsia="仿宋_GB2312"/>
        </w:rPr>
        <w:t>陕西国信恒创工程咨询有限公司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陕西省商洛市中级人民法院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陕西国信恒创工程咨询有限公司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陕西省商洛市中级人民法院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陕西国信恒创工程咨询有限公司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 （1）货物（如有）到达甲方指定地点后，甲方根据合同要求，进行外观验收，确认产地、规格、型号和数量。 （2）乙方应出具一份符合合同规定的检验报告单，检验报告单可作为甲方验收的依据，但不能作为有关货物质量、规格、数量或性能的最终检验结果。 2、甲方确认乙方的自检内容后，组织乙方（必要时请有关专家）按照合同的内容和合同验收标准进行最终验收。 3、乙方向甲方提交货物、服务实施过程中的所有资料，以便甲方日后管理和维护。乙方对验收结果有分歧，可以申请仲裁。</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陕西国信恒创工程咨询有限公司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联系人：李昱</w:t>
      </w:r>
    </w:p>
    <w:p>
      <w:pPr>
        <w:pStyle w:val="null3"/>
      </w:pPr>
      <w:r>
        <w:rPr>
          <w:rFonts w:ascii="仿宋_GB2312" w:hAnsi="仿宋_GB2312" w:cs="仿宋_GB2312" w:eastAsia="仿宋_GB2312"/>
        </w:rPr>
        <w:t>联系电话：13154078736</w:t>
      </w:r>
    </w:p>
    <w:p>
      <w:pPr>
        <w:pStyle w:val="null3"/>
      </w:pPr>
      <w:r>
        <w:rPr>
          <w:rFonts w:ascii="仿宋_GB2312" w:hAnsi="仿宋_GB2312" w:cs="仿宋_GB2312" w:eastAsia="仿宋_GB2312"/>
        </w:rPr>
        <w:t>地址：陕西省商洛市商郡城北门2幢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本项目为商洛市中级人民法院移动办案办公服务项目，采购内容为：移动互联网安全访问服务、配套通信服务、虚拟专网服务、沙箱安全服务等。具体要求详见磋商文件及采购清单。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1,480,000.00</w:t>
      </w:r>
    </w:p>
    <w:p>
      <w:pPr>
        <w:pStyle w:val="null3"/>
      </w:pPr>
      <w:r>
        <w:rPr>
          <w:rFonts w:ascii="仿宋_GB2312" w:hAnsi="仿宋_GB2312" w:cs="仿宋_GB2312" w:eastAsia="仿宋_GB2312"/>
        </w:rPr>
        <w:t>采购包最高限价（元）: 1,480,000.00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移动办公办案服务</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1,480,000.00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标的名称：移动办公办案服务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color w:val="000000"/>
              </w:rPr>
              <w:t>一、</w:t>
            </w:r>
            <w:r>
              <w:rPr>
                <w:rFonts w:ascii="仿宋_GB2312" w:hAnsi="仿宋_GB2312" w:cs="仿宋_GB2312" w:eastAsia="仿宋_GB2312"/>
                <w:color w:val="000000"/>
              </w:rPr>
              <w:t>移动互联网安全</w:t>
            </w:r>
            <w:r>
              <w:rPr>
                <w:rFonts w:ascii="仿宋_GB2312" w:hAnsi="仿宋_GB2312" w:cs="仿宋_GB2312" w:eastAsia="仿宋_GB2312"/>
                <w:color w:val="000000"/>
              </w:rPr>
              <w:t>访问服务（</w:t>
            </w:r>
            <w:r>
              <w:rPr>
                <w:rFonts w:ascii="仿宋_GB2312" w:hAnsi="仿宋_GB2312" w:cs="仿宋_GB2312" w:eastAsia="仿宋_GB2312"/>
                <w:b/>
                <w:color w:val="000000"/>
              </w:rPr>
              <w:t>数量：</w:t>
            </w:r>
            <w:r>
              <w:rPr>
                <w:rFonts w:ascii="仿宋_GB2312" w:hAnsi="仿宋_GB2312" w:cs="仿宋_GB2312" w:eastAsia="仿宋_GB2312"/>
              </w:rPr>
              <w:t xml:space="preserve">150    </w:t>
            </w:r>
            <w:r>
              <w:rPr>
                <w:rFonts w:ascii="仿宋_GB2312" w:hAnsi="仿宋_GB2312" w:cs="仿宋_GB2312" w:eastAsia="仿宋_GB2312"/>
                <w:b/>
                <w:color w:val="000000"/>
              </w:rPr>
              <w:t>单位：</w:t>
            </w:r>
            <w:r>
              <w:rPr>
                <w:rFonts w:ascii="仿宋_GB2312" w:hAnsi="仿宋_GB2312" w:cs="仿宋_GB2312" w:eastAsia="仿宋_GB2312"/>
              </w:rPr>
              <w:t>项</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FF0000"/>
              </w:rPr>
              <w:t>★</w:t>
            </w:r>
            <w:r>
              <w:rPr>
                <w:rFonts w:ascii="仿宋_GB2312" w:hAnsi="仿宋_GB2312" w:cs="仿宋_GB2312" w:eastAsia="仿宋_GB2312"/>
                <w:color w:val="000000"/>
              </w:rPr>
              <w:t>通信服务：</w:t>
            </w:r>
            <w:r>
              <w:rPr>
                <w:rFonts w:ascii="仿宋_GB2312" w:hAnsi="仿宋_GB2312" w:cs="仿宋_GB2312" w:eastAsia="仿宋_GB2312"/>
                <w:color w:val="000000"/>
              </w:rPr>
              <w:t>每月提供≥2000分钟国内时长语音接入，</w:t>
            </w:r>
            <w:r>
              <w:rPr>
                <w:rFonts w:ascii="仿宋_GB2312" w:hAnsi="仿宋_GB2312" w:cs="仿宋_GB2312" w:eastAsia="仿宋_GB2312"/>
                <w:color w:val="000000"/>
              </w:rPr>
              <w:t>每月提供≥150GB国内流量接入，每月提供≥100条短信。（包含3年服务）</w:t>
            </w:r>
          </w:p>
          <w:p>
            <w:pPr>
              <w:pStyle w:val="null3"/>
            </w:pPr>
            <w:r>
              <w:rPr>
                <w:rFonts w:ascii="仿宋_GB2312" w:hAnsi="仿宋_GB2312" w:cs="仿宋_GB2312" w:eastAsia="仿宋_GB2312"/>
                <w:color w:val="000000"/>
              </w:rPr>
              <w:t>2、</w:t>
            </w:r>
            <w:r>
              <w:rPr>
                <w:rFonts w:ascii="仿宋_GB2312" w:hAnsi="仿宋_GB2312" w:cs="仿宋_GB2312" w:eastAsia="仿宋_GB2312"/>
                <w:color w:val="000000"/>
              </w:rPr>
              <w:t>满足一张网办案办公需求。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color w:val="000000"/>
              </w:rPr>
              <w:t>二、</w:t>
            </w:r>
            <w:r>
              <w:rPr>
                <w:rFonts w:ascii="仿宋_GB2312" w:hAnsi="仿宋_GB2312" w:cs="仿宋_GB2312" w:eastAsia="仿宋_GB2312"/>
              </w:rPr>
              <w:t>移动办案办公服务（</w:t>
            </w:r>
            <w:r>
              <w:rPr>
                <w:rFonts w:ascii="仿宋_GB2312" w:hAnsi="仿宋_GB2312" w:cs="仿宋_GB2312" w:eastAsia="仿宋_GB2312"/>
                <w:b/>
                <w:color w:val="000000"/>
              </w:rPr>
              <w:t>数量：</w:t>
            </w:r>
            <w:r>
              <w:rPr>
                <w:rFonts w:ascii="仿宋_GB2312" w:hAnsi="仿宋_GB2312" w:cs="仿宋_GB2312" w:eastAsia="仿宋_GB2312"/>
              </w:rPr>
              <w:t xml:space="preserve">150    </w:t>
            </w:r>
            <w:r>
              <w:rPr>
                <w:rFonts w:ascii="仿宋_GB2312" w:hAnsi="仿宋_GB2312" w:cs="仿宋_GB2312" w:eastAsia="仿宋_GB2312"/>
                <w:b/>
                <w:color w:val="000000"/>
              </w:rPr>
              <w:t>单位：</w:t>
            </w:r>
            <w:r>
              <w:rPr>
                <w:rFonts w:ascii="仿宋_GB2312" w:hAnsi="仿宋_GB2312" w:cs="仿宋_GB2312" w:eastAsia="仿宋_GB2312"/>
              </w:rPr>
              <w:t>项）</w:t>
            </w:r>
          </w:p>
          <w:p>
            <w:pPr>
              <w:pStyle w:val="null3"/>
            </w:pPr>
            <w:r>
              <w:rPr>
                <w:rFonts w:ascii="仿宋_GB2312" w:hAnsi="仿宋_GB2312" w:cs="仿宋_GB2312" w:eastAsia="仿宋_GB2312"/>
                <w:color w:val="000000"/>
              </w:rPr>
              <w:t>1、</w:t>
            </w:r>
            <w:r>
              <w:rPr>
                <w:rFonts w:ascii="仿宋_GB2312" w:hAnsi="仿宋_GB2312" w:cs="仿宋_GB2312" w:eastAsia="仿宋_GB2312"/>
                <w:color w:val="FF0000"/>
              </w:rPr>
              <w:t>★</w:t>
            </w:r>
            <w:r>
              <w:rPr>
                <w:rFonts w:ascii="仿宋_GB2312" w:hAnsi="仿宋_GB2312" w:cs="仿宋_GB2312" w:eastAsia="仿宋_GB2312"/>
                <w:color w:val="000000"/>
              </w:rPr>
              <w:t>终端品牌：国产品牌。</w:t>
            </w:r>
            <w:r>
              <w:br/>
            </w:r>
            <w:r>
              <w:rPr>
                <w:rFonts w:ascii="仿宋_GB2312" w:hAnsi="仿宋_GB2312" w:cs="仿宋_GB2312" w:eastAsia="仿宋_GB2312"/>
                <w:color w:val="000000"/>
              </w:rPr>
              <w:t>2、</w:t>
            </w:r>
            <w:r>
              <w:rPr>
                <w:rFonts w:ascii="仿宋_GB2312" w:hAnsi="仿宋_GB2312" w:cs="仿宋_GB2312" w:eastAsia="仿宋_GB2312"/>
                <w:color w:val="FF0000"/>
              </w:rPr>
              <w:t>★</w:t>
            </w:r>
            <w:r>
              <w:rPr>
                <w:rFonts w:ascii="仿宋_GB2312" w:hAnsi="仿宋_GB2312" w:cs="仿宋_GB2312" w:eastAsia="仿宋_GB2312"/>
                <w:color w:val="000000"/>
              </w:rPr>
              <w:t>网络制式要求：5G双卡双待,全网通。</w:t>
            </w:r>
            <w:r>
              <w:br/>
            </w:r>
            <w:r>
              <w:rPr>
                <w:rFonts w:ascii="仿宋_GB2312" w:hAnsi="仿宋_GB2312" w:cs="仿宋_GB2312" w:eastAsia="仿宋_GB2312"/>
                <w:color w:val="000000"/>
              </w:rPr>
              <w:t>3、</w:t>
            </w:r>
            <w:r>
              <w:rPr>
                <w:rFonts w:ascii="仿宋_GB2312" w:hAnsi="仿宋_GB2312" w:cs="仿宋_GB2312" w:eastAsia="仿宋_GB2312"/>
                <w:color w:val="FF0000"/>
              </w:rPr>
              <w:t>★</w:t>
            </w:r>
            <w:r>
              <w:rPr>
                <w:rFonts w:ascii="仿宋_GB2312" w:hAnsi="仿宋_GB2312" w:cs="仿宋_GB2312" w:eastAsia="仿宋_GB2312"/>
                <w:color w:val="000000"/>
              </w:rPr>
              <w:t>存储要求： 运行内存（RAM）≥12GB， 机身存储（ROM）≥512GB。</w:t>
            </w:r>
            <w:r>
              <w:br/>
            </w:r>
            <w:r>
              <w:rPr>
                <w:rFonts w:ascii="仿宋_GB2312" w:hAnsi="仿宋_GB2312" w:cs="仿宋_GB2312" w:eastAsia="仿宋_GB2312"/>
                <w:color w:val="000000"/>
              </w:rPr>
              <w:t>4、</w:t>
            </w:r>
            <w:r>
              <w:rPr>
                <w:rFonts w:ascii="仿宋_GB2312" w:hAnsi="仿宋_GB2312" w:cs="仿宋_GB2312" w:eastAsia="仿宋_GB2312"/>
                <w:color w:val="FF0000"/>
              </w:rPr>
              <w:t>★</w:t>
            </w:r>
            <w:r>
              <w:rPr>
                <w:rFonts w:ascii="仿宋_GB2312" w:hAnsi="仿宋_GB2312" w:cs="仿宋_GB2312" w:eastAsia="仿宋_GB2312"/>
                <w:color w:val="000000"/>
              </w:rPr>
              <w:t>屏幕要求：屏幕尺寸≥6.75英寸，屏幕分辨率≥2832×1280像素。</w:t>
            </w:r>
            <w:r>
              <w:br/>
            </w:r>
            <w:r>
              <w:rPr>
                <w:rFonts w:ascii="仿宋_GB2312" w:hAnsi="仿宋_GB2312" w:cs="仿宋_GB2312" w:eastAsia="仿宋_GB2312"/>
                <w:color w:val="000000"/>
              </w:rPr>
              <w:t>5、</w:t>
            </w:r>
            <w:r>
              <w:rPr>
                <w:rFonts w:ascii="仿宋_GB2312" w:hAnsi="仿宋_GB2312" w:cs="仿宋_GB2312" w:eastAsia="仿宋_GB2312"/>
                <w:color w:val="FF0000"/>
              </w:rPr>
              <w:t>★</w:t>
            </w:r>
            <w:r>
              <w:rPr>
                <w:rFonts w:ascii="仿宋_GB2312" w:hAnsi="仿宋_GB2312" w:cs="仿宋_GB2312" w:eastAsia="仿宋_GB2312"/>
                <w:color w:val="000000"/>
              </w:rPr>
              <w:t>拍摄功能要求：后置主摄像头≥5000万像素，前置摄像头≥1300万像素。</w:t>
            </w:r>
            <w:r>
              <w:br/>
            </w:r>
            <w:r>
              <w:rPr>
                <w:rFonts w:ascii="仿宋_GB2312" w:hAnsi="仿宋_GB2312" w:cs="仿宋_GB2312" w:eastAsia="仿宋_GB2312"/>
                <w:color w:val="000000"/>
              </w:rPr>
              <w:t>6、传输功能要求：支持读卡、写卡、卡模拟，支持北斗卫星消息。</w:t>
            </w:r>
            <w:r>
              <w:br/>
            </w:r>
            <w:r>
              <w:rPr>
                <w:rFonts w:ascii="仿宋_GB2312" w:hAnsi="仿宋_GB2312" w:cs="仿宋_GB2312" w:eastAsia="仿宋_GB2312"/>
                <w:color w:val="000000"/>
              </w:rPr>
              <w:t>7、安全与生物识别：支持3D人脸识别+屏下指纹双解锁。</w:t>
            </w:r>
            <w:r>
              <w:br/>
            </w:r>
            <w:r>
              <w:rPr>
                <w:rFonts w:ascii="仿宋_GB2312" w:hAnsi="仿宋_GB2312" w:cs="仿宋_GB2312" w:eastAsia="仿宋_GB2312"/>
                <w:color w:val="000000"/>
              </w:rPr>
              <w:t>8、</w:t>
            </w:r>
            <w:r>
              <w:rPr>
                <w:rFonts w:ascii="仿宋_GB2312" w:hAnsi="仿宋_GB2312" w:cs="仿宋_GB2312" w:eastAsia="仿宋_GB2312"/>
                <w:color w:val="FF0000"/>
              </w:rPr>
              <w:t>★</w:t>
            </w:r>
            <w:r>
              <w:rPr>
                <w:rFonts w:ascii="仿宋_GB2312" w:hAnsi="仿宋_GB2312" w:cs="仿宋_GB2312" w:eastAsia="仿宋_GB2312"/>
                <w:color w:val="000000"/>
              </w:rPr>
              <w:t>操作系统要求：国产操作系统。</w:t>
            </w:r>
            <w:r>
              <w:br/>
            </w:r>
            <w:r>
              <w:rPr>
                <w:rFonts w:ascii="仿宋_GB2312" w:hAnsi="仿宋_GB2312" w:cs="仿宋_GB2312" w:eastAsia="仿宋_GB2312"/>
                <w:color w:val="000000"/>
              </w:rPr>
              <w:t>9、其它要求：支持Type-C数据线接口，电池容量≥5750mAh，有线快充≥66W，无线快充≥50W。</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color w:val="000000"/>
              </w:rPr>
              <w:t>三、</w:t>
            </w:r>
            <w:r>
              <w:rPr>
                <w:rFonts w:ascii="仿宋_GB2312" w:hAnsi="仿宋_GB2312" w:cs="仿宋_GB2312" w:eastAsia="仿宋_GB2312"/>
                <w:color w:val="000000"/>
              </w:rPr>
              <w:t>虚拟专网服务</w:t>
            </w:r>
            <w:r>
              <w:rPr>
                <w:rFonts w:ascii="仿宋_GB2312" w:hAnsi="仿宋_GB2312" w:cs="仿宋_GB2312" w:eastAsia="仿宋_GB2312"/>
              </w:rPr>
              <w:t>（</w:t>
            </w:r>
            <w:r>
              <w:rPr>
                <w:rFonts w:ascii="仿宋_GB2312" w:hAnsi="仿宋_GB2312" w:cs="仿宋_GB2312" w:eastAsia="仿宋_GB2312"/>
                <w:b/>
                <w:color w:val="000000"/>
              </w:rPr>
              <w:t>数量：</w:t>
            </w:r>
            <w:r>
              <w:rPr>
                <w:rFonts w:ascii="仿宋_GB2312" w:hAnsi="仿宋_GB2312" w:cs="仿宋_GB2312" w:eastAsia="仿宋_GB2312"/>
              </w:rPr>
              <w:t xml:space="preserve">150    </w:t>
            </w:r>
            <w:r>
              <w:rPr>
                <w:rFonts w:ascii="仿宋_GB2312" w:hAnsi="仿宋_GB2312" w:cs="仿宋_GB2312" w:eastAsia="仿宋_GB2312"/>
                <w:b/>
                <w:color w:val="000000"/>
              </w:rPr>
              <w:t>单位：</w:t>
            </w:r>
            <w:r>
              <w:rPr>
                <w:rFonts w:ascii="仿宋_GB2312" w:hAnsi="仿宋_GB2312" w:cs="仿宋_GB2312" w:eastAsia="仿宋_GB2312"/>
              </w:rPr>
              <w:t>项）</w:t>
            </w:r>
          </w:p>
          <w:p>
            <w:pPr>
              <w:pStyle w:val="null3"/>
            </w:pPr>
            <w:r>
              <w:rPr>
                <w:rFonts w:ascii="仿宋_GB2312" w:hAnsi="仿宋_GB2312" w:cs="仿宋_GB2312" w:eastAsia="仿宋_GB2312"/>
                <w:color w:val="000000"/>
              </w:rPr>
              <w:t>提供系统网内短号互通、短号短信服务；每人每月网内500分钟通话时长。</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color w:val="000000"/>
              </w:rPr>
              <w:t>四、沙箱安全服务</w:t>
            </w:r>
            <w:r>
              <w:rPr>
                <w:rFonts w:ascii="仿宋_GB2312" w:hAnsi="仿宋_GB2312" w:cs="仿宋_GB2312" w:eastAsia="仿宋_GB2312"/>
              </w:rPr>
              <w:t>（</w:t>
            </w:r>
            <w:r>
              <w:rPr>
                <w:rFonts w:ascii="仿宋_GB2312" w:hAnsi="仿宋_GB2312" w:cs="仿宋_GB2312" w:eastAsia="仿宋_GB2312"/>
                <w:b/>
                <w:color w:val="000000"/>
              </w:rPr>
              <w:t>数量：</w:t>
            </w:r>
            <w:r>
              <w:rPr>
                <w:rFonts w:ascii="仿宋_GB2312" w:hAnsi="仿宋_GB2312" w:cs="仿宋_GB2312" w:eastAsia="仿宋_GB2312"/>
              </w:rPr>
              <w:t xml:space="preserve">150    </w:t>
            </w:r>
            <w:r>
              <w:rPr>
                <w:rFonts w:ascii="仿宋_GB2312" w:hAnsi="仿宋_GB2312" w:cs="仿宋_GB2312" w:eastAsia="仿宋_GB2312"/>
                <w:b/>
                <w:color w:val="000000"/>
              </w:rPr>
              <w:t>单位：</w:t>
            </w:r>
            <w:r>
              <w:rPr>
                <w:rFonts w:ascii="仿宋_GB2312" w:hAnsi="仿宋_GB2312" w:cs="仿宋_GB2312" w:eastAsia="仿宋_GB2312"/>
              </w:rPr>
              <w:t>项）</w:t>
            </w:r>
          </w:p>
          <w:p>
            <w:pPr>
              <w:pStyle w:val="null3"/>
            </w:pPr>
            <w:r>
              <w:rPr>
                <w:rFonts w:ascii="仿宋_GB2312" w:hAnsi="仿宋_GB2312" w:cs="仿宋_GB2312" w:eastAsia="仿宋_GB2312"/>
                <w:color w:val="000000"/>
              </w:rPr>
              <w:t>1、本地访问网络控制：支持按 IP 段、单 IP 地址、IP + 端口多维度配置业务系统访问策略，实现网络隔离与业务受限受控访问。</w:t>
            </w:r>
            <w:r>
              <w:br/>
            </w:r>
            <w:r>
              <w:rPr>
                <w:rFonts w:ascii="仿宋_GB2312" w:hAnsi="仿宋_GB2312" w:cs="仿宋_GB2312" w:eastAsia="仿宋_GB2312"/>
                <w:color w:val="000000"/>
              </w:rPr>
              <w:t>2、本地域名解析：内置 DNS 服务器地址解析配置、移动端 Hosts 配置能力，满足沙箱环境本地域名解析使用需求。</w:t>
            </w:r>
            <w:r>
              <w:br/>
            </w:r>
            <w:r>
              <w:rPr>
                <w:rFonts w:ascii="仿宋_GB2312" w:hAnsi="仿宋_GB2312" w:cs="仿宋_GB2312" w:eastAsia="仿宋_GB2312"/>
                <w:color w:val="000000"/>
              </w:rPr>
              <w:t>3、策略分组管控：支持按组织、用户、策略组差异化下发安全管控策略，可对不同人员及部门配置独立管控规则。</w:t>
            </w:r>
            <w:r>
              <w:br/>
            </w:r>
            <w:r>
              <w:rPr>
                <w:rFonts w:ascii="仿宋_GB2312" w:hAnsi="仿宋_GB2312" w:cs="仿宋_GB2312" w:eastAsia="仿宋_GB2312"/>
                <w:color w:val="000000"/>
              </w:rPr>
              <w:t>4、应用分发管控：支持 APP 上架安全沙箱管理端，可通过策略指定不同用户分发同 / 差异化 APP 安装包。</w:t>
            </w:r>
            <w:r>
              <w:br/>
            </w:r>
            <w:r>
              <w:rPr>
                <w:rFonts w:ascii="仿宋_GB2312" w:hAnsi="仿宋_GB2312" w:cs="仿宋_GB2312" w:eastAsia="仿宋_GB2312"/>
                <w:color w:val="000000"/>
              </w:rPr>
              <w:t>5、应用操作防护：具备沙箱内上架 APP 截屏、录屏禁用管控能力，严防应用内容外泄。</w:t>
            </w:r>
            <w:r>
              <w:br/>
            </w:r>
            <w:r>
              <w:rPr>
                <w:rFonts w:ascii="仿宋_GB2312" w:hAnsi="仿宋_GB2312" w:cs="仿宋_GB2312" w:eastAsia="仿宋_GB2312"/>
                <w:color w:val="000000"/>
              </w:rPr>
              <w:t>6、屏幕水印能力：支持按用户 / 账号定制屏幕水印，可自定义水印文字内容，并可调校水印颜色、字体大小。</w:t>
            </w:r>
            <w:r>
              <w:br/>
            </w:r>
            <w:r>
              <w:rPr>
                <w:rFonts w:ascii="仿宋_GB2312" w:hAnsi="仿宋_GB2312" w:cs="仿宋_GB2312" w:eastAsia="仿宋_GB2312"/>
                <w:color w:val="000000"/>
              </w:rPr>
              <w:t>7、应用与存储隔离：支持合法原生 APP、H5 应用沙箱内隔离运行，拦截非法程序；采用独立存储空间，禁止沙箱数据向外导出。</w:t>
            </w:r>
            <w:r>
              <w:br/>
            </w:r>
            <w:r>
              <w:rPr>
                <w:rFonts w:ascii="仿宋_GB2312" w:hAnsi="仿宋_GB2312" w:cs="仿宋_GB2312" w:eastAsia="仿宋_GB2312"/>
                <w:color w:val="000000"/>
              </w:rPr>
              <w:t>8、终端运维管理：支持用户及绑定设备查询、管理端 APP 推送安装与版本升级、移动沙箱强制推送升级、远程终端解绑。</w:t>
            </w:r>
            <w:r>
              <w:br/>
            </w:r>
            <w:r>
              <w:rPr>
                <w:rFonts w:ascii="仿宋_GB2312" w:hAnsi="仿宋_GB2312" w:cs="仿宋_GB2312" w:eastAsia="仿宋_GB2312"/>
                <w:color w:val="000000"/>
              </w:rPr>
              <w:t>9、授权与日志审计：支持终端注销自动回收授权点数，不占用授权资源；内置三员管理角色及自定义权限角色，具备登录、审批、安全告警等系统日志审计与远程日志获取能力。</w:t>
            </w:r>
            <w:r>
              <w:br/>
            </w:r>
            <w:r>
              <w:rPr>
                <w:rFonts w:ascii="仿宋_GB2312" w:hAnsi="仿宋_GB2312" w:cs="仿宋_GB2312" w:eastAsia="仿宋_GB2312"/>
                <w:color w:val="000000"/>
              </w:rPr>
              <w:t>10、沙箱底层防护：采用路径重定向技术实现沙箱数据权限接管与深度隔离，禁止沙箱向外设传输数据。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已放保证合同设备是全新、未曾使用过的，其质量、规格及技术特征符合招标文件的要求。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乙方提供以下售后服务： 1、服务期内设备故障免费保修，如果同一主要部件出现质量问题经过两次维修后仍无法正常使用，须免费更换同型号、同规格的全新产品。质保期后厂商保证长期供应零备件和正常的售后服务。 2、乙方定期派技术人员到设备现场走访，对设备给予检查维护；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合同签订后20日历天内完成移动互联网安全访问服务及办案办公服务,服务期3年（自服务启用之日起计算）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商洛市商州区丹南片区马莲峪河北侧</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 （1）货物（如有）到达甲方指定地点后，甲方根据合同要求，进行外观验收，确认产地、规格、型号和数量。 （2）乙方应出具一份符合合同规定的检验报告单，检验报告单可作为甲方验收的依据，但不能作为有关货物质量、规格、数量或性能的最终检验结果。 2、甲方确认乙方的自检内容后，组织乙方（必要时请有关专家）按照合同的内容和合同验收标准进行最终验收。 3、乙方向甲方提交货物、服务实施过程中的所有资料，以便甲方日后管理和维护。乙方对验收结果有分歧，可以申请仲裁。 4、验收依据 （1）合同文本及合同补充文件（条款）。 （2）招标文件。 （3）投标文件。 （4）项目相关质量验收统一标准。 （5）其他相关的法律法规。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合同签订后，乙方按照采购要求及合同规定完成项目内容，验收合格之日起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第一次付款满一年后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度二次付款满一年后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1、按《中华人民共和国民法典》中的相关条款执行，双方必须遵守本合同并执行合同中的各项规定，保证本合同的正常履行。 2、未按招标文件要求提供设备质量不能满足技术要求，甲方会同监督单位有权终止合同，甚至对乙方违约行为进行追究。 3、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法定代表人直接参与投标时需提供身份证原件及复印件加盖公章；被授权人参与投标时需提供法定代表人授权委托书（附法定代表人及被委托人身份证复印件并加盖公章）并出示被授权代表的身份证原件；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提供本项目投标保证金交纳凭证；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响应文件封面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公司业绩 （6分）</w:t>
            </w:r>
          </w:p>
        </w:tc>
        <w:tc>
          <w:tcPr>
            <w:tcW w:type="dxa" w:w="2492"/>
          </w:tcPr>
          <w:p>
            <w:pPr>
              <w:pStyle w:val="null3"/>
            </w:pPr>
            <w:r>
              <w:rPr>
                <w:rFonts w:ascii="仿宋_GB2312" w:hAnsi="仿宋_GB2312" w:cs="仿宋_GB2312" w:eastAsia="仿宋_GB2312"/>
              </w:rPr>
              <w:t>提供近三年至今类似业绩：每提供一份得2分，最多得6分。 评分依据：提供中标通知书/业绩合同扫描件加盖公章，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财务状况 （6分）</w:t>
            </w:r>
          </w:p>
        </w:tc>
        <w:tc>
          <w:tcPr>
            <w:tcW w:type="dxa" w:w="2492"/>
          </w:tcPr>
          <w:p>
            <w:pPr>
              <w:pStyle w:val="null3"/>
            </w:pPr>
            <w:r>
              <w:rPr>
                <w:rFonts w:ascii="仿宋_GB2312" w:hAnsi="仿宋_GB2312" w:cs="仿宋_GB2312" w:eastAsia="仿宋_GB2312"/>
              </w:rPr>
              <w:t>供应商提供开标前半年内任意3个月的缴税凭证，每个月得1分，共计3分； 供应商提供社保参保证明及开标前半年内任意三个月社保缴费凭证，每个月得1分，共计3分；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项目人员配备 （8分）</w:t>
            </w:r>
          </w:p>
        </w:tc>
        <w:tc>
          <w:tcPr>
            <w:tcW w:type="dxa" w:w="2492"/>
          </w:tcPr>
          <w:p>
            <w:pPr>
              <w:pStyle w:val="null3"/>
            </w:pPr>
            <w:r>
              <w:rPr>
                <w:rFonts w:ascii="仿宋_GB2312" w:hAnsi="仿宋_GB2312" w:cs="仿宋_GB2312" w:eastAsia="仿宋_GB2312"/>
              </w:rPr>
              <w:t>项目组织结构、专业服务团队配置齐全；项目关键岗位人员配备；拟派人员数量和搭配齐全、职称证书（中级）齐全有效。 评委综合评议后按其人员配备情况赋分。 岗位分配合理，技术职称与项目配套并证书齐全，技术人员≥5人；计6～8分， 岗位分配合理，技术职称与项目配套并证书齐全，技术人员3（含）-5人；计4～6分；技术人员3人以下未提供不得分。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项目服务 方案 （15分）</w:t>
            </w:r>
          </w:p>
        </w:tc>
        <w:tc>
          <w:tcPr>
            <w:tcW w:type="dxa" w:w="2492"/>
          </w:tcPr>
          <w:p>
            <w:pPr>
              <w:pStyle w:val="null3"/>
            </w:pPr>
            <w:r>
              <w:rPr>
                <w:rFonts w:ascii="仿宋_GB2312" w:hAnsi="仿宋_GB2312" w:cs="仿宋_GB2312" w:eastAsia="仿宋_GB2312"/>
              </w:rPr>
              <w:t>整体方案描述符合项目总体技术方案要求和磋商文件要求，供应商对项目建设背景、建设目标理解充分，符合本项目建设总体要求，技术方案能全面满足用户需求，方案设计科学有效，合理先进、安全可靠、经济实用，完全满足用户需求。 ①方案针对性强、贴合项目需求、服务逻辑完整、管理流程清晰得12（含）-15分； ②方案基本合理、逻辑一般、少量套用通用模板得8（含）-11分； ③方案简单，基本能保证项目实施计4-7分 ④方案粗糙、针对性差、不符合本项目用工要求得1（含）-3分；未提供方案不得分。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产品配置 （25分）</w:t>
            </w:r>
          </w:p>
        </w:tc>
        <w:tc>
          <w:tcPr>
            <w:tcW w:type="dxa" w:w="2492"/>
          </w:tcPr>
          <w:p>
            <w:pPr>
              <w:pStyle w:val="null3"/>
            </w:pPr>
            <w:r>
              <w:rPr>
                <w:rFonts w:ascii="仿宋_GB2312" w:hAnsi="仿宋_GB2312" w:cs="仿宋_GB2312" w:eastAsia="仿宋_GB2312"/>
              </w:rPr>
              <w:t>1、产品配置齐全，符合需求、数量、参数清楚、明确的计 1-2 分； 2、技术指标全部参数满足要求配置得10分。“★”参数每有一项正偏离，基础分上加2 分，最多加分不得超过 8分。该项满分18分。 3.设备性能 设备的稳定性、在主要技术性能、自动化程度、结构优化、环境保护、操作条件、现代新技术的应用等方面具有技术上的先进性使用，效果良好，结构合理，材质好，优得4-5分； 设备的稳定性好，效果良好，结构合理，材质好，良好得2-3分； 设备较稳定，材质好，一般得0-1分。 以上佐证资料能提供生产厂家出具的、响应的功能证明材料（包括但不限于检测报告、官网截图、彩页、说明书等相关资料）。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服务质量技术组织措施 （8分）</w:t>
            </w:r>
          </w:p>
        </w:tc>
        <w:tc>
          <w:tcPr>
            <w:tcW w:type="dxa" w:w="2492"/>
          </w:tcPr>
          <w:p>
            <w:pPr>
              <w:pStyle w:val="null3"/>
            </w:pPr>
            <w:r>
              <w:rPr>
                <w:rFonts w:ascii="仿宋_GB2312" w:hAnsi="仿宋_GB2312" w:cs="仿宋_GB2312" w:eastAsia="仿宋_GB2312"/>
              </w:rPr>
              <w:t>提供确保本项目质量的技术组织措施 技术组织措施方案有效可行、具备完善的内部管理架构、工作流程、信息反馈渠道，计6-8分； 技术组织措施方案较合理、内部管理架构较完善，措施一般，计3-6分； 技术组织方案不合理、内部管理架构不完善，计1-3分。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产品渠道 （2分）</w:t>
            </w:r>
          </w:p>
        </w:tc>
        <w:tc>
          <w:tcPr>
            <w:tcW w:type="dxa" w:w="2492"/>
          </w:tcPr>
          <w:p>
            <w:pPr>
              <w:pStyle w:val="null3"/>
            </w:pPr>
            <w:r>
              <w:rPr>
                <w:rFonts w:ascii="仿宋_GB2312" w:hAnsi="仿宋_GB2312" w:cs="仿宋_GB2312" w:eastAsia="仿宋_GB2312"/>
              </w:rPr>
              <w:t>能提供所投产品的合法来源渠道证明文件，得0-2分（包括但不限于产品授权、销售许可等）；未提供的不得分。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突发事件应急预案 （5分）</w:t>
            </w:r>
          </w:p>
        </w:tc>
        <w:tc>
          <w:tcPr>
            <w:tcW w:type="dxa" w:w="2492"/>
          </w:tcPr>
          <w:p>
            <w:pPr>
              <w:pStyle w:val="null3"/>
            </w:pPr>
            <w:r>
              <w:rPr>
                <w:rFonts w:ascii="仿宋_GB2312" w:hAnsi="仿宋_GB2312" w:cs="仿宋_GB2312" w:eastAsia="仿宋_GB2312"/>
              </w:rPr>
              <w:t>供应商结合本项目实施特点，充分考虑服务难点、要点；应对网络故障、设备故障等常见突发事件制定专项应急预案； ①应急组织机构清晰，明确岗位应急分工，兼顾采购要求，响应机制完善，贴合项目管理要求，得3（含）-5分。 ②应急预案内容较完整，包含主要突发事件，具备基础处置流程，岗位分工简单，缺少物资保障或计划得1（含）-2分。 未提供应急处置预案，本项不得分。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 （5分）</w:t>
            </w:r>
          </w:p>
        </w:tc>
        <w:tc>
          <w:tcPr>
            <w:tcW w:type="dxa" w:w="2492"/>
          </w:tcPr>
          <w:p>
            <w:pPr>
              <w:pStyle w:val="null3"/>
            </w:pPr>
            <w:r>
              <w:rPr>
                <w:rFonts w:ascii="仿宋_GB2312" w:hAnsi="仿宋_GB2312" w:cs="仿宋_GB2312" w:eastAsia="仿宋_GB2312"/>
              </w:rPr>
              <w:t>1、售后服务方案及售后服务承诺详细、具体、可行（包括投标人售后服务网点的设定、拟投入售后服务人员配置情况、项目交付用户后出现故障响应时间等），计0-5分； 内容具体、完整、详细、全面的计详尽可行的，得4-5分； 内容欠缺、薄弱的计2-3分； 内容严重欠缺、薄弱的计0-1分；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 （6分）</w:t>
            </w:r>
          </w:p>
        </w:tc>
        <w:tc>
          <w:tcPr>
            <w:tcW w:type="dxa" w:w="2492"/>
          </w:tcPr>
          <w:p>
            <w:pPr>
              <w:pStyle w:val="null3"/>
            </w:pPr>
            <w:r>
              <w:rPr>
                <w:rFonts w:ascii="仿宋_GB2312" w:hAnsi="仿宋_GB2312" w:cs="仿宋_GB2312" w:eastAsia="仿宋_GB2312"/>
              </w:rPr>
              <w:t>供应商结合本项目，为采购人提供采购内容之外的专享服务、配套产品或其它便捷措施。根据提供的服务完整度，每有一项得1分，满分6分。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商务响应 （4分）</w:t>
            </w:r>
          </w:p>
        </w:tc>
        <w:tc>
          <w:tcPr>
            <w:tcW w:type="dxa" w:w="2492"/>
          </w:tcPr>
          <w:p>
            <w:pPr>
              <w:pStyle w:val="null3"/>
            </w:pPr>
            <w:r>
              <w:rPr>
                <w:rFonts w:ascii="仿宋_GB2312" w:hAnsi="仿宋_GB2312" w:cs="仿宋_GB2312" w:eastAsia="仿宋_GB2312"/>
              </w:rPr>
              <w:t>响应文件中对服务费用、内容及范围、标准等合同主要条款要求全面响应，详细具体合同主要条款响应说明得1-4分，无合同主要条款响应说明不得分。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1.经初审合格的响应文件，其磋商报价为有效报价。对符合政策性扣减的有效磋商报价进行政策性扣减，并依据扣减后的价格（评审价格）进行价格评审。 2.最低有效的最后报价为基准价，计10分 价格分P=10×Pmin/ Pn Pmin：合格供应商投标报价中的最低价，Pn：第n个供应商的投标报价；价格分四舍五入，保留两位小数。 经评审委员会一致认定，供应商的磋商报价低于公认市场成本，或超过采购预算,其投标将被拒绝，按无效处理。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详见附件：采购合同主要条款.（法院）docx(4).docx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