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版本号：N511623202600007620260409001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智能交通网络租赁服务供应商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N5116232026000076</w:t>
      </w:r>
    </w:p>
    <w:p>
      <w:pPr>
        <w:pStyle w:val="null3"/>
        <w:jc w:val="left"/>
        <w:outlineLvl w:val="2"/>
      </w:pPr>
      <w:r>
        <w:rPr>
          <w:rFonts w:ascii="仿宋_GB2312" w:hAnsi="仿宋_GB2312" w:cs="仿宋_GB2312" w:eastAsia="仿宋_GB2312"/>
          <w:sz w:val="28"/>
          <w:b/>
        </w:rPr>
        <w:t>邻水县公安局交通管理大队</w:t>
      </w:r>
    </w:p>
    <w:p>
      <w:pPr>
        <w:pStyle w:val="null3"/>
        <w:jc w:val="center"/>
        <w:outlineLvl w:val="2"/>
      </w:pPr>
      <w:r>
        <w:rPr>
          <w:rFonts w:ascii="仿宋_GB2312" w:hAnsi="仿宋_GB2312" w:cs="仿宋_GB2312" w:eastAsia="仿宋_GB2312"/>
          <w:sz w:val="28"/>
          <w:b/>
        </w:rPr>
        <w:t>邻水县政府采购中心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邻水县政府采购中心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邻水县公安局交通管理大队</w:t>
      </w:r>
      <w:r>
        <w:rPr>
          <w:rFonts w:ascii="仿宋_GB2312" w:hAnsi="仿宋_GB2312" w:cs="仿宋_GB2312" w:eastAsia="仿宋_GB2312"/>
        </w:rPr>
        <w:t xml:space="preserve"> 委托，拟对 </w:t>
      </w:r>
      <w:r>
        <w:rPr>
          <w:rFonts w:ascii="仿宋_GB2312" w:hAnsi="仿宋_GB2312" w:cs="仿宋_GB2312" w:eastAsia="仿宋_GB2312"/>
        </w:rPr>
        <w:t>智能交通网络租赁服务供应商</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智能交通网络租赁服务供应商</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邻水县公安局交通警察大队智能交通设备为辖区范围提供基础设施、运算环境、数据存储、网络通信、系统安全等软硬件资源和相关技术支撑，承担着保障辖区交通类业务信息系统稳定、高效、安全运行的重要任务。 近年来，邻水县公安局交通警察大队智能交通设备的各类需求和数据量急剧增长，部分项目已经完成服务期限，大部分设备已超出厂家保修服务期，为保障设备在长期使用、高负荷作业下减少故障的发生，延长使用寿命，提升使用质效，保障交通管理各项工作业务的安全稳定运行，拟采购智能交通设备运行维护服务供应商一名，承担智能交通设备维护及运维技术服务等工作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中华人民共和国基础电信业务经营许可证》或《信息网络传播视听节目许可证》（描述：提供《中华人民共和国基础电信业务经营许可证》或《信息网络传播视听节目许可证》（描述：需提供在有效期内《中华人民共和国基础电信业务经营许可证》或《信息网络传播视听节目许可证》的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邻水县公安局交通管理大队</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邻水县鼎屏镇人民路南段422号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0826-3223066</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邻水县政府采购中心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四川省广安市邻水县鼎屏镇云峰三巷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0826-3215660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采购包1：830,000.00元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邻水县公安局交通管理大队</w:t>
      </w:r>
      <w:r>
        <w:rPr>
          <w:rFonts w:ascii="仿宋_GB2312" w:hAnsi="仿宋_GB2312" w:cs="仿宋_GB2312" w:eastAsia="仿宋_GB2312"/>
        </w:rPr>
        <w:t xml:space="preserve"> 和 </w:t>
      </w:r>
      <w:r>
        <w:rPr>
          <w:rFonts w:ascii="仿宋_GB2312" w:hAnsi="仿宋_GB2312" w:cs="仿宋_GB2312" w:eastAsia="仿宋_GB2312"/>
        </w:rPr>
        <w:t>邻水县政府采购中心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邻水县公安局交通管理大队</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邻水县政府采购中心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供应商与采购人应严格按照《财政部关于进一步加强政府采购需求和履约验收管理 的指导意见》（财库[2016]205号)、《广安市政府采购 项目履约验收工作规程的通知》(广市财采（2021〕275号)、询价通知书及项目合同的相关要求进行验收。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供应商与采购人应严格按照《财政部关于进一步加强政府采购需 求和履约验收管理的 指导意见》（财库[2016]205号 ）、《广安市政府采购项目履约验收工作规程 的通知》(广市财采〔2021〕275号)、响应文件及项目合同的相关要求进行验收。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本项目采购人将严格按照政府采购相关法律法规以及财政部《财政部关于进一步加强政府采购需求和履约验收管理的指导意见》（ 财库〔 2016〕205号） 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邻水县公安局交通管理大队</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联系人：肖老师</w:t>
      </w:r>
    </w:p>
    <w:p>
      <w:pPr>
        <w:pStyle w:val="null3"/>
        <w:jc w:val="left"/>
      </w:pPr>
      <w:r>
        <w:rPr>
          <w:rFonts w:ascii="仿宋_GB2312" w:hAnsi="仿宋_GB2312" w:cs="仿宋_GB2312" w:eastAsia="仿宋_GB2312"/>
        </w:rPr>
        <w:t>联系电话：0826-3223066</w:t>
      </w:r>
    </w:p>
    <w:p>
      <w:pPr>
        <w:pStyle w:val="null3"/>
        <w:jc w:val="left"/>
      </w:pPr>
      <w:r>
        <w:rPr>
          <w:rFonts w:ascii="仿宋_GB2312" w:hAnsi="仿宋_GB2312" w:cs="仿宋_GB2312" w:eastAsia="仿宋_GB2312"/>
        </w:rPr>
        <w:t>地址：邻水县鼎屏镇人民路南段422号</w:t>
      </w:r>
    </w:p>
    <w:p>
      <w:pPr>
        <w:pStyle w:val="null3"/>
        <w:jc w:val="left"/>
      </w:pPr>
      <w:r>
        <w:rPr>
          <w:rFonts w:ascii="仿宋_GB2312" w:hAnsi="仿宋_GB2312" w:cs="仿宋_GB2312" w:eastAsia="仿宋_GB2312"/>
        </w:rPr>
        <w:t>邮编：638500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830,000.00</w:t>
      </w:r>
    </w:p>
    <w:p>
      <w:pPr>
        <w:pStyle w:val="null3"/>
        <w:jc w:val="left"/>
      </w:pPr>
      <w:r>
        <w:rPr>
          <w:rFonts w:ascii="仿宋_GB2312" w:hAnsi="仿宋_GB2312" w:cs="仿宋_GB2312" w:eastAsia="仿宋_GB2312"/>
        </w:rPr>
        <w:t>采购包最高限价（元）: 830,000.00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C17990000 其他电信和信息传输服务</w:t>
            </w:r>
          </w:p>
        </w:tc>
        <w:tc>
          <w:tcPr>
            <w:tcW w:type="dxa" w:w="821"/>
          </w:tcPr>
          <w:p>
            <w:pPr>
              <w:pStyle w:val="null3"/>
              <w:jc w:val="left"/>
            </w:pPr>
            <w:r>
              <w:rPr>
                <w:rFonts w:ascii="仿宋_GB2312" w:hAnsi="仿宋_GB2312" w:cs="仿宋_GB2312" w:eastAsia="仿宋_GB2312"/>
              </w:rPr>
              <w:t>智能交通网络租赁服务供应商</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830,000.00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智能交通网络租赁服务供应商</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标的名称：智能交通网络租赁服务供应商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技术要求内容（性能指标）</w:t>
            </w:r>
          </w:p>
        </w:tc>
        <w:tc>
          <w:tcPr>
            <w:tcW w:type="dxa" w:w="5814"/>
          </w:tcPr>
          <w:p>
            <w:pPr>
              <w:pStyle w:val="null3"/>
              <w:spacing w:before="105" w:after="105"/>
              <w:jc w:val="left"/>
            </w:pPr>
            <w:r>
              <w:rPr>
                <w:rFonts w:ascii="仿宋_GB2312" w:hAnsi="仿宋_GB2312" w:cs="仿宋_GB2312" w:eastAsia="仿宋_GB2312"/>
                <w:sz w:val="34"/>
              </w:rPr>
              <w:t>租赁原则</w:t>
            </w:r>
            <w:r>
              <w:br/>
            </w:r>
            <w:r>
              <w:rPr>
                <w:rFonts w:ascii="仿宋_GB2312" w:hAnsi="仿宋_GB2312" w:cs="仿宋_GB2312" w:eastAsia="仿宋_GB2312"/>
                <w:sz w:val="34"/>
              </w:rPr>
              <w:t xml:space="preserve">1.1.可靠性：要保证系统可靠运行和网络的稳定性。系统的核心部件采用主备结构，传输骨干线路形成环路结构，并配备不间断电源，主要设备支持双机、多机可用结构，支持热插拔。    </w:t>
            </w:r>
            <w:r>
              <w:br/>
            </w:r>
            <w:r>
              <w:rPr>
                <w:rFonts w:ascii="仿宋_GB2312" w:hAnsi="仿宋_GB2312" w:cs="仿宋_GB2312" w:eastAsia="仿宋_GB2312"/>
                <w:sz w:val="34"/>
              </w:rPr>
              <w:t>1.2.先进性：世界上计算机技术的发展十分迅速，更新换代周期越来越短。所以，选购设备要充分考虑先进性，选择硬件要预测到未来发展方向，选择软件要考虑开放性、工具性和软件集成优势。</w:t>
            </w:r>
            <w:r>
              <w:br/>
            </w:r>
            <w:r>
              <w:rPr>
                <w:rFonts w:ascii="仿宋_GB2312" w:hAnsi="仿宋_GB2312" w:cs="仿宋_GB2312" w:eastAsia="仿宋_GB2312"/>
                <w:sz w:val="34"/>
              </w:rPr>
              <w:t>1.3实用性：能够最大限度地满足实际工作的要求，是每个信息系统在建设过程中所必须考虑的一种系统性能，它是自动化系统对用户最基本的承诺。因此网络系统的建设设计方案要本着实用的原则，使之在实用的基础上追求先进性。</w:t>
            </w:r>
            <w:r>
              <w:br/>
            </w:r>
            <w:r>
              <w:rPr>
                <w:rFonts w:ascii="仿宋_GB2312" w:hAnsi="仿宋_GB2312" w:cs="仿宋_GB2312" w:eastAsia="仿宋_GB2312"/>
                <w:sz w:val="34"/>
              </w:rPr>
              <w:t>1.4可兼容及可扩展性：为确保将来不同厂家设备、不同应用、不同协议连接，整个网络从设计、技术和设备的选择，必须支持国际标准的网络接口和协议，以提供高度的开放性。同时在网络建成后，随着应用和用户的增加，核心骨干网络设备的交换能力和容量必须做出线性的增长。设备应能提供高端口密度、模块化的设计以及多种类接口、技术的选择，以方便未来更灵活地扩展。</w:t>
            </w:r>
            <w:r>
              <w:br/>
            </w:r>
            <w:r>
              <w:rPr>
                <w:rFonts w:ascii="仿宋_GB2312" w:hAnsi="仿宋_GB2312" w:cs="仿宋_GB2312" w:eastAsia="仿宋_GB2312"/>
                <w:sz w:val="34"/>
              </w:rPr>
              <w:t xml:space="preserve">1.5经济性：选择最优设计方案，同时选取性价比较高的网络设备,更好地来节约资金。 </w:t>
            </w:r>
            <w:r>
              <w:br/>
            </w:r>
            <w:r>
              <w:rPr>
                <w:rFonts w:ascii="仿宋_GB2312" w:hAnsi="仿宋_GB2312" w:cs="仿宋_GB2312" w:eastAsia="仿宋_GB2312"/>
                <w:sz w:val="34"/>
              </w:rPr>
              <w:t>1.6安全性：本项目所有链路均不允许接入外网，物理上严格区分，并采用专线接入方式，因此网络的建设要考虑到系统的可靠性、信息安全性和保密性，同时拥有灵活方便的权限设定和控制机制。</w:t>
            </w:r>
            <w:r>
              <w:br/>
            </w:r>
            <w:r>
              <w:rPr>
                <w:rFonts w:ascii="仿宋_GB2312" w:hAnsi="仿宋_GB2312" w:cs="仿宋_GB2312" w:eastAsia="仿宋_GB2312"/>
                <w:sz w:val="34"/>
              </w:rPr>
              <w:t>2.业务适配与兼容</w:t>
            </w:r>
          </w:p>
          <w:p>
            <w:pPr>
              <w:pStyle w:val="null3"/>
              <w:spacing w:before="105" w:after="105"/>
              <w:jc w:val="left"/>
            </w:pPr>
            <w:r>
              <w:rPr>
                <w:rFonts w:ascii="仿宋_GB2312" w:hAnsi="仿宋_GB2312" w:cs="仿宋_GB2312" w:eastAsia="仿宋_GB2312"/>
                <w:sz w:val="34"/>
              </w:rPr>
              <w:t>2.1兼容现有通信设备与组网架构，支持平滑接入。支持语音、数据、视频等多业务综合承载。</w:t>
            </w:r>
          </w:p>
          <w:p>
            <w:pPr>
              <w:pStyle w:val="null3"/>
              <w:spacing w:before="105" w:after="105"/>
              <w:jc w:val="left"/>
            </w:pPr>
            <w:r>
              <w:rPr>
                <w:rFonts w:ascii="仿宋_GB2312" w:hAnsi="仿宋_GB2312" w:cs="仿宋_GB2312" w:eastAsia="仿宋_GB2312"/>
                <w:sz w:val="34"/>
              </w:rPr>
              <w:t>2.2满足业务扩容需求，具备灵活的带宽调整能力。符合运营商传输网技术规范，互联互通稳定可靠。</w:t>
            </w:r>
            <w:r>
              <w:br/>
            </w:r>
            <w:r>
              <w:rPr>
                <w:rFonts w:ascii="仿宋_GB2312" w:hAnsi="仿宋_GB2312" w:cs="仿宋_GB2312" w:eastAsia="仿宋_GB2312"/>
                <w:sz w:val="34"/>
              </w:rPr>
              <w:t>3.传输性能需求</w:t>
            </w:r>
            <w:r>
              <w:br/>
            </w:r>
            <w:r>
              <w:rPr>
                <w:rFonts w:ascii="仿宋_GB2312" w:hAnsi="仿宋_GB2312" w:cs="仿宋_GB2312" w:eastAsia="仿宋_GB2312"/>
                <w:sz w:val="34"/>
              </w:rPr>
              <w:t>3.1链路传输设备支持关键功能模块应包括交叉板、时钟单元、主控板、电源模块等1+1保护，支持电源极性反接保护功能，支持电压过压、防雷击保护等。</w:t>
            </w:r>
            <w:r>
              <w:br/>
            </w:r>
            <w:r>
              <w:rPr>
                <w:rFonts w:ascii="仿宋_GB2312" w:hAnsi="仿宋_GB2312" w:cs="仿宋_GB2312" w:eastAsia="仿宋_GB2312"/>
                <w:sz w:val="34"/>
              </w:rPr>
              <w:t>3.2传输电路正常运行率： 大于等于 99.95%， 除因法律法规，规定的不可抗力因素以及其它外部不可控因素外，全年每条传输电路发生中断的时间不得超过 262 分钟。误码率：≤10-6。 传输电路全程时延：≤15ms。 抖动和漂移不得影响本项目承载的图像、视频业务。</w:t>
            </w:r>
            <w:r>
              <w:br/>
            </w:r>
            <w:r>
              <w:rPr>
                <w:rFonts w:ascii="仿宋_GB2312" w:hAnsi="仿宋_GB2312" w:cs="仿宋_GB2312" w:eastAsia="仿宋_GB2312"/>
                <w:sz w:val="34"/>
              </w:rPr>
              <w:t>3.3传输电路在开通前应当进行端到端测试并出具测试报告。</w:t>
            </w:r>
            <w:r>
              <w:br/>
            </w:r>
            <w:r>
              <w:rPr>
                <w:rFonts w:ascii="仿宋_GB2312" w:hAnsi="仿宋_GB2312" w:cs="仿宋_GB2312" w:eastAsia="仿宋_GB2312"/>
                <w:sz w:val="34"/>
              </w:rPr>
              <w:t>4. 运行服务要求</w:t>
            </w:r>
            <w:r>
              <w:br/>
            </w:r>
            <w:r>
              <w:rPr>
                <w:rFonts w:ascii="仿宋_GB2312" w:hAnsi="仿宋_GB2312" w:cs="仿宋_GB2312" w:eastAsia="仿宋_GB2312"/>
                <w:sz w:val="34"/>
              </w:rPr>
              <w:t>4.1供应商负责对本项目所涉及的所有传输链路有关设施设备进行维护保养，保证设施设备及信息传输系统正常运行。</w:t>
            </w:r>
            <w:r>
              <w:br/>
            </w:r>
            <w:r>
              <w:rPr>
                <w:rFonts w:ascii="仿宋_GB2312" w:hAnsi="仿宋_GB2312" w:cs="仿宋_GB2312" w:eastAsia="仿宋_GB2312"/>
                <w:sz w:val="34"/>
              </w:rPr>
              <w:t>4.2供应商应保证每条线路的物理安全，并保障用户方网络以外的用户不能通过该线路进行任何访问，避免非法网络攻击。</w:t>
            </w:r>
            <w:r>
              <w:br/>
            </w:r>
            <w:r>
              <w:rPr>
                <w:rFonts w:ascii="仿宋_GB2312" w:hAnsi="仿宋_GB2312" w:cs="仿宋_GB2312" w:eastAsia="仿宋_GB2312"/>
                <w:sz w:val="34"/>
              </w:rPr>
              <w:t>4.3供应商对投资的设备和承载网络，在服务期内提供 7*24 小时的服务保障，通过开展日常巡检，及时发现并处理各个监控点的通讯和图像中出现的问题，巡检中对涉及的设备告警、性能、运行状态进行检查分析，同时核对采购人的工程技术资料、电路资料、电路参数、维护路由、终端设备和内部组网等，保持采购人资料的准确性和可用性。每月至少对整个网络巡检一次，如遇重大活动或重要事件（由采购人根据上级部门每年统一安排或根据工作需要确定），要在活动或事件前一天对机房、节点及传输网络进行全面巡检。</w:t>
            </w:r>
            <w:r>
              <w:br/>
            </w:r>
            <w:r>
              <w:rPr>
                <w:rFonts w:ascii="仿宋_GB2312" w:hAnsi="仿宋_GB2312" w:cs="仿宋_GB2312" w:eastAsia="仿宋_GB2312"/>
                <w:sz w:val="34"/>
              </w:rPr>
              <w:t>4.4对采购人在链路使用过程中出现的技术问题，供应商应及时派专业技术维修工程师提供现场服务，迅速进行故障诊断和排除。同时提供专职网络管理人员7×24小时网络监控及定期网络巡查，提供全天候电话技术支持服务。</w:t>
            </w:r>
            <w:r>
              <w:br/>
            </w:r>
            <w:r>
              <w:rPr>
                <w:rFonts w:ascii="仿宋_GB2312" w:hAnsi="仿宋_GB2312" w:cs="仿宋_GB2312" w:eastAsia="仿宋_GB2312"/>
                <w:sz w:val="34"/>
              </w:rPr>
              <w:t>4.5及时处理系统故障</w:t>
            </w:r>
            <w:r>
              <w:br/>
            </w:r>
            <w:r>
              <w:rPr>
                <w:rFonts w:ascii="仿宋_GB2312" w:hAnsi="仿宋_GB2312" w:cs="仿宋_GB2312" w:eastAsia="仿宋_GB2312"/>
                <w:sz w:val="34"/>
              </w:rPr>
              <w:t>1）前端设备故障：供应商须建立24小时值班制度，接到紧急抢修任务必须25分钟内到达现场进行应急处置，一般故障40分钟内解决，较大故障24小时内解决，重大故障必须上报采购单位负责人，恢复解决时间不超过72小时。</w:t>
            </w:r>
            <w:r>
              <w:br/>
            </w:r>
            <w:r>
              <w:rPr>
                <w:rFonts w:ascii="仿宋_GB2312" w:hAnsi="仿宋_GB2312" w:cs="仿宋_GB2312" w:eastAsia="仿宋_GB2312"/>
                <w:sz w:val="34"/>
              </w:rPr>
              <w:t>2）传输线路故障</w:t>
            </w:r>
            <w:r>
              <w:br/>
            </w:r>
            <w:r>
              <w:rPr>
                <w:rFonts w:ascii="仿宋_GB2312" w:hAnsi="仿宋_GB2312" w:cs="仿宋_GB2312" w:eastAsia="仿宋_GB2312"/>
                <w:sz w:val="34"/>
              </w:rPr>
              <w:t>主干传输线路采用主、备传输线路，当一条传输线路出现故障时，会自动切换到正常传输线路上，保证传输不中断；当主、备传输线路均中断，响应时间：半小时；解决时间：</w:t>
            </w:r>
            <w:r>
              <w:rPr>
                <w:rFonts w:ascii="仿宋_GB2312" w:hAnsi="仿宋_GB2312" w:cs="仿宋_GB2312" w:eastAsia="仿宋_GB2312"/>
                <w:sz w:val="34"/>
              </w:rPr>
              <w:t>2 小时。</w:t>
            </w:r>
          </w:p>
          <w:p>
            <w:pPr>
              <w:pStyle w:val="null3"/>
              <w:spacing w:before="105" w:after="105"/>
              <w:jc w:val="left"/>
            </w:pPr>
            <w:r>
              <w:rPr>
                <w:rFonts w:ascii="仿宋_GB2312" w:hAnsi="仿宋_GB2312" w:cs="仿宋_GB2312" w:eastAsia="仿宋_GB2312"/>
                <w:sz w:val="34"/>
              </w:rPr>
              <w:t>3）负责网络传输光纤链路、设备、杆管路由的维修及抢修，若在合同期内网络传输出现故障，及时更换引起传输故障的链路、设备及零部件。</w:t>
            </w:r>
          </w:p>
          <w:p>
            <w:pPr>
              <w:pStyle w:val="null3"/>
              <w:spacing w:before="105" w:after="105"/>
              <w:jc w:val="left"/>
            </w:pPr>
            <w:r>
              <w:rPr>
                <w:rFonts w:ascii="仿宋_GB2312" w:hAnsi="仿宋_GB2312" w:cs="仿宋_GB2312" w:eastAsia="仿宋_GB2312"/>
                <w:sz w:val="34"/>
              </w:rPr>
              <w:t>4）一对一VIP专属客户经理跟踪回访，提供全过程一站式服务，每月与使用单位主动联系掌握运维情况。</w:t>
            </w:r>
          </w:p>
          <w:p>
            <w:pPr>
              <w:pStyle w:val="null3"/>
              <w:spacing w:before="105" w:after="105"/>
              <w:jc w:val="left"/>
            </w:pPr>
            <w:r>
              <w:rPr>
                <w:rFonts w:ascii="仿宋_GB2312" w:hAnsi="仿宋_GB2312" w:cs="仿宋_GB2312" w:eastAsia="仿宋_GB2312"/>
                <w:sz w:val="34"/>
              </w:rPr>
              <w:t>5）有专职网络管理人员7×24小时网络监控及定期网络巡查，提供全天候电话技术支持服务。</w:t>
            </w:r>
          </w:p>
          <w:p>
            <w:pPr>
              <w:pStyle w:val="null3"/>
              <w:spacing w:before="105" w:after="105"/>
              <w:jc w:val="left"/>
            </w:pPr>
            <w:r>
              <w:rPr>
                <w:rFonts w:ascii="仿宋_GB2312" w:hAnsi="仿宋_GB2312" w:cs="仿宋_GB2312" w:eastAsia="仿宋_GB2312"/>
                <w:sz w:val="34"/>
              </w:rPr>
              <w:t>4.6业务开通需求，供应商接到采购人开通需求任务，应及时派专业技术工程师线路开通，开通时限要求：3日内。</w:t>
            </w:r>
          </w:p>
          <w:p>
            <w:pPr>
              <w:pStyle w:val="null3"/>
              <w:spacing w:before="105" w:after="105"/>
              <w:jc w:val="left"/>
            </w:pPr>
            <w:r>
              <w:rPr>
                <w:rFonts w:ascii="仿宋_GB2312" w:hAnsi="仿宋_GB2312" w:cs="仿宋_GB2312" w:eastAsia="仿宋_GB2312"/>
                <w:sz w:val="34"/>
              </w:rPr>
              <w:t>5.</w:t>
            </w:r>
            <w:r>
              <w:rPr>
                <w:rFonts w:ascii="仿宋_GB2312" w:hAnsi="仿宋_GB2312" w:cs="仿宋_GB2312" w:eastAsia="仿宋_GB2312"/>
                <w:sz w:val="34"/>
              </w:rPr>
              <w:t>点位清单</w:t>
            </w:r>
          </w:p>
          <w:p>
            <w:pPr>
              <w:pStyle w:val="null3"/>
              <w:spacing w:before="105" w:after="105"/>
              <w:jc w:val="left"/>
            </w:pPr>
            <w:r>
              <w:rPr>
                <w:rFonts w:ascii="仿宋_GB2312" w:hAnsi="仿宋_GB2312" w:cs="仿宋_GB2312" w:eastAsia="仿宋_GB2312"/>
                <w:sz w:val="34"/>
              </w:rPr>
              <w:t>共计</w:t>
            </w:r>
            <w:r>
              <w:rPr>
                <w:rFonts w:ascii="仿宋_GB2312" w:hAnsi="仿宋_GB2312" w:cs="仿宋_GB2312" w:eastAsia="仿宋_GB2312"/>
                <w:sz w:val="34"/>
              </w:rPr>
              <w:t>123个点位</w:t>
            </w:r>
          </w:p>
          <w:tbl>
            <w:tblPr>
              <w:tblInd w:type="dxa" w:w="210"/>
              <w:tblBorders>
                <w:top w:val="none" w:color="000000" w:sz="4"/>
                <w:left w:val="none" w:color="000000" w:sz="4"/>
                <w:bottom w:val="none" w:color="000000" w:sz="4"/>
                <w:right w:val="none" w:color="000000" w:sz="4"/>
                <w:insideH w:val="none"/>
                <w:insideV w:val="none"/>
              </w:tblBorders>
            </w:tblPr>
            <w:tblGrid>
              <w:gridCol w:w="593"/>
              <w:gridCol w:w="2980"/>
              <w:gridCol w:w="617"/>
              <w:gridCol w:w="1381"/>
            </w:tblGrid>
            <w:tr>
              <w:tc>
                <w:tcPr>
                  <w:tcW w:type="dxa" w:w="3573"/>
                  <w:gridSpan w:val="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点位</w:t>
                  </w:r>
                </w:p>
              </w:tc>
              <w:tc>
                <w:tcPr>
                  <w:tcW w:type="dxa" w:w="61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数量</w:t>
                  </w:r>
                </w:p>
              </w:tc>
              <w:tc>
                <w:tcPr>
                  <w:tcW w:type="dxa" w:w="13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电路带宽</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学府路口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天城名都路口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国税路口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城南佳景路口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阳光花城路口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入城广场路口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青年路口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梓园路口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中医院路口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东门路口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建新路口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南门路口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运管所路口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大佛寺工业园区路口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恒源路口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北部新区路口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三角田路口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喜满鸿福路口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建业广场路口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邻州府路口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客运中心路口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看守所路口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菜稀饭路口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同心桥路口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泽达路口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体育场路口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检察院路口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锦云路口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钓协路口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现代生活路口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远华老车站路口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宏帆电影院</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电商路口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十五幼</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红星美凯龙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邦泰路口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天华路口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幸福花园路口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小蛮腰路口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二号路口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南出口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丰禾十字路口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丰禾</w:t>
                  </w:r>
                  <w:r>
                    <w:rPr>
                      <w:rFonts w:ascii="仿宋_GB2312" w:hAnsi="仿宋_GB2312" w:cs="仿宋_GB2312" w:eastAsia="仿宋_GB2312"/>
                      <w:sz w:val="28"/>
                    </w:rPr>
                    <w:t>T形路口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袁市路口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w:t>
                  </w:r>
                  <w:r>
                    <w:rPr>
                      <w:rFonts w:ascii="仿宋_GB2312" w:hAnsi="仿宋_GB2312" w:cs="仿宋_GB2312" w:eastAsia="仿宋_GB2312"/>
                      <w:sz w:val="28"/>
                    </w:rPr>
                    <w:t>208路口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w:t>
                  </w:r>
                  <w:r>
                    <w:rPr>
                      <w:rFonts w:ascii="仿宋_GB2312" w:hAnsi="仿宋_GB2312" w:cs="仿宋_GB2312" w:eastAsia="仿宋_GB2312"/>
                      <w:sz w:val="28"/>
                    </w:rPr>
                    <w:t>210路口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高滩工业园区</w:t>
                  </w:r>
                  <w:r>
                    <w:rPr>
                      <w:rFonts w:ascii="仿宋_GB2312" w:hAnsi="仿宋_GB2312" w:cs="仿宋_GB2312" w:eastAsia="仿宋_GB2312"/>
                      <w:sz w:val="28"/>
                    </w:rPr>
                    <w:t>1</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高滩工业园区</w:t>
                  </w:r>
                  <w:r>
                    <w:rPr>
                      <w:rFonts w:ascii="仿宋_GB2312" w:hAnsi="仿宋_GB2312" w:cs="仿宋_GB2312" w:eastAsia="仿宋_GB2312"/>
                      <w:sz w:val="28"/>
                    </w:rPr>
                    <w:t>2</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49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高滩工业园区</w:t>
                  </w:r>
                  <w:r>
                    <w:rPr>
                      <w:rFonts w:ascii="仿宋_GB2312" w:hAnsi="仿宋_GB2312" w:cs="仿宋_GB2312" w:eastAsia="仿宋_GB2312"/>
                      <w:sz w:val="28"/>
                    </w:rPr>
                    <w:t>3</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高滩熊猫路口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高滩广安路口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高滩渝广路口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高滩平安路口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高滩重庆路</w:t>
                  </w:r>
                  <w:r>
                    <w:rPr>
                      <w:rFonts w:ascii="仿宋_GB2312" w:hAnsi="仿宋_GB2312" w:cs="仿宋_GB2312" w:eastAsia="仿宋_GB2312"/>
                      <w:sz w:val="28"/>
                    </w:rPr>
                    <w:t>1</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高滩重庆路</w:t>
                  </w:r>
                  <w:r>
                    <w:rPr>
                      <w:rFonts w:ascii="仿宋_GB2312" w:hAnsi="仿宋_GB2312" w:cs="仿宋_GB2312" w:eastAsia="仿宋_GB2312"/>
                      <w:sz w:val="28"/>
                    </w:rPr>
                    <w:t>2</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高滩重庆路</w:t>
                  </w:r>
                  <w:r>
                    <w:rPr>
                      <w:rFonts w:ascii="仿宋_GB2312" w:hAnsi="仿宋_GB2312" w:cs="仿宋_GB2312" w:eastAsia="仿宋_GB2312"/>
                      <w:sz w:val="28"/>
                    </w:rPr>
                    <w:t>3</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高滩重庆路</w:t>
                  </w:r>
                  <w:r>
                    <w:rPr>
                      <w:rFonts w:ascii="仿宋_GB2312" w:hAnsi="仿宋_GB2312" w:cs="仿宋_GB2312" w:eastAsia="仿宋_GB2312"/>
                      <w:sz w:val="28"/>
                    </w:rPr>
                    <w:t>4</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高滩重庆路</w:t>
                  </w:r>
                  <w:r>
                    <w:rPr>
                      <w:rFonts w:ascii="仿宋_GB2312" w:hAnsi="仿宋_GB2312" w:cs="仿宋_GB2312" w:eastAsia="仿宋_GB2312"/>
                      <w:sz w:val="28"/>
                    </w:rPr>
                    <w:t>5</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文星路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同德路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银鼎山路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致远路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邻山西路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松林路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草店子大道</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中科路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渝邻大道</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邻山中路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达邻大道</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尖山坡路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人民路北段</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灌沟路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兴龙巷</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东临路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云峰路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熙源路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指路碑路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金源路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79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青年路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人民路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九龙镇</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丰禾镇</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3</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精湛路</w:t>
                  </w:r>
                  <w:r>
                    <w:rPr>
                      <w:rFonts w:ascii="仿宋_GB2312" w:hAnsi="仿宋_GB2312" w:cs="仿宋_GB2312" w:eastAsia="仿宋_GB2312"/>
                      <w:sz w:val="28"/>
                    </w:rPr>
                    <w:t xml:space="preserve">   </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城北派出所门口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黄桷树</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精湛路</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200M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广邻大道</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城北镇赵家桥</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89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城南镇芭蕉河</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柳塘三岔路口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兴仁寒坡岭</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丰禾柏桠头</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两河收费站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老车站收费站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锣果铺道班</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甘坝一号桥</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袁市砖厂</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黎家三岔路口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99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石滓收费站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丰禾一号桥</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刘家坝收费站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西出口收费站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103</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龙王庙路口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104</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柑子镇场口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105</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坛同水文站</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106</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邻渝大道郑家村路口</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107</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建业大道邻中方向</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108</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建业大道奥体中心</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109</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车管所</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110</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广安至邻水专线</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111</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邻水交管大队至各中队</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6</w:t>
                  </w:r>
                </w:p>
              </w:tc>
              <w:tc>
                <w:tcPr>
                  <w:tcW w:type="dxa" w:w="138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500M</w:t>
                  </w:r>
                </w:p>
              </w:tc>
            </w:tr>
            <w:tr>
              <w:tc>
                <w:tcPr>
                  <w:tcW w:type="dxa" w:w="5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112</w:t>
                  </w:r>
                </w:p>
              </w:tc>
              <w:tc>
                <w:tcPr>
                  <w:tcW w:type="dxa" w:w="29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合计：</w:t>
                  </w: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8"/>
                    </w:rPr>
                    <w:t>123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34"/>
              </w:rPr>
              <w:t>6.</w:t>
            </w:r>
            <w:r>
              <w:rPr>
                <w:rFonts w:ascii="仿宋_GB2312" w:hAnsi="仿宋_GB2312" w:cs="仿宋_GB2312" w:eastAsia="仿宋_GB2312"/>
                <w:sz w:val="34"/>
              </w:rPr>
              <w:t>考核要求</w:t>
            </w:r>
          </w:p>
          <w:p>
            <w:pPr>
              <w:pStyle w:val="null3"/>
              <w:spacing w:before="105" w:after="105"/>
              <w:jc w:val="left"/>
            </w:pPr>
            <w:r>
              <w:rPr>
                <w:rFonts w:ascii="仿宋_GB2312" w:hAnsi="仿宋_GB2312" w:cs="仿宋_GB2312" w:eastAsia="仿宋_GB2312"/>
                <w:sz w:val="34"/>
              </w:rPr>
              <w:t>6.1采购人每季度对中标人进行一次考核，考核总分为100分，考核等级评定分为：优秀（</w:t>
            </w:r>
            <w:r>
              <w:rPr>
                <w:rFonts w:ascii="仿宋_GB2312" w:hAnsi="仿宋_GB2312" w:cs="仿宋_GB2312" w:eastAsia="仿宋_GB2312"/>
                <w:sz w:val="34"/>
              </w:rPr>
              <w:t>90</w:t>
            </w:r>
            <w:r>
              <w:rPr>
                <w:rFonts w:ascii="仿宋_GB2312" w:hAnsi="仿宋_GB2312" w:cs="仿宋_GB2312" w:eastAsia="仿宋_GB2312"/>
                <w:sz w:val="34"/>
              </w:rPr>
              <w:t>-100分）、良 好（</w:t>
            </w:r>
            <w:r>
              <w:rPr>
                <w:rFonts w:ascii="仿宋_GB2312" w:hAnsi="仿宋_GB2312" w:cs="仿宋_GB2312" w:eastAsia="仿宋_GB2312"/>
                <w:sz w:val="34"/>
              </w:rPr>
              <w:t>80</w:t>
            </w:r>
            <w:r>
              <w:rPr>
                <w:rFonts w:ascii="仿宋_GB2312" w:hAnsi="仿宋_GB2312" w:cs="仿宋_GB2312" w:eastAsia="仿宋_GB2312"/>
                <w:sz w:val="34"/>
              </w:rPr>
              <w:t>-</w:t>
            </w:r>
            <w:r>
              <w:rPr>
                <w:rFonts w:ascii="仿宋_GB2312" w:hAnsi="仿宋_GB2312" w:cs="仿宋_GB2312" w:eastAsia="仿宋_GB2312"/>
                <w:sz w:val="34"/>
              </w:rPr>
              <w:t>90</w:t>
            </w:r>
            <w:r>
              <w:rPr>
                <w:rFonts w:ascii="仿宋_GB2312" w:hAnsi="仿宋_GB2312" w:cs="仿宋_GB2312" w:eastAsia="仿宋_GB2312"/>
                <w:sz w:val="34"/>
              </w:rPr>
              <w:t>分）、合格（</w:t>
            </w:r>
            <w:r>
              <w:rPr>
                <w:rFonts w:ascii="仿宋_GB2312" w:hAnsi="仿宋_GB2312" w:cs="仿宋_GB2312" w:eastAsia="仿宋_GB2312"/>
                <w:sz w:val="34"/>
              </w:rPr>
              <w:t>60</w:t>
            </w:r>
            <w:r>
              <w:rPr>
                <w:rFonts w:ascii="仿宋_GB2312" w:hAnsi="仿宋_GB2312" w:cs="仿宋_GB2312" w:eastAsia="仿宋_GB2312"/>
                <w:sz w:val="34"/>
              </w:rPr>
              <w:t>-</w:t>
            </w:r>
            <w:r>
              <w:rPr>
                <w:rFonts w:ascii="仿宋_GB2312" w:hAnsi="仿宋_GB2312" w:cs="仿宋_GB2312" w:eastAsia="仿宋_GB2312"/>
                <w:sz w:val="34"/>
              </w:rPr>
              <w:t>80</w:t>
            </w:r>
            <w:r>
              <w:rPr>
                <w:rFonts w:ascii="仿宋_GB2312" w:hAnsi="仿宋_GB2312" w:cs="仿宋_GB2312" w:eastAsia="仿宋_GB2312"/>
                <w:sz w:val="34"/>
              </w:rPr>
              <w:t>分）、不合格（</w:t>
            </w:r>
            <w:r>
              <w:rPr>
                <w:rFonts w:ascii="仿宋_GB2312" w:hAnsi="仿宋_GB2312" w:cs="仿宋_GB2312" w:eastAsia="仿宋_GB2312"/>
                <w:sz w:val="34"/>
              </w:rPr>
              <w:t>60分以下），考核结果运用于该季度合同款项支付</w:t>
            </w:r>
            <w:r>
              <w:rPr>
                <w:rFonts w:ascii="仿宋_GB2312" w:hAnsi="仿宋_GB2312" w:cs="仿宋_GB2312" w:eastAsia="仿宋_GB2312"/>
                <w:sz w:val="34"/>
              </w:rPr>
              <w:t>。</w:t>
            </w:r>
          </w:p>
          <w:p>
            <w:pPr>
              <w:pStyle w:val="null3"/>
              <w:spacing w:before="105" w:after="105"/>
              <w:jc w:val="left"/>
            </w:pPr>
            <w:r>
              <w:rPr>
                <w:rFonts w:ascii="仿宋_GB2312" w:hAnsi="仿宋_GB2312" w:cs="仿宋_GB2312" w:eastAsia="仿宋_GB2312"/>
                <w:sz w:val="34"/>
              </w:rPr>
              <w:t>6.2服务考核表（样表：满分100分）</w:t>
            </w:r>
          </w:p>
          <w:tbl>
            <w:tblPr>
              <w:tblBorders>
                <w:top w:val="none" w:color="000000" w:sz="4"/>
                <w:left w:val="none" w:color="000000" w:sz="4"/>
                <w:bottom w:val="none" w:color="000000" w:sz="4"/>
                <w:right w:val="none" w:color="000000" w:sz="4"/>
                <w:insideH w:val="none"/>
                <w:insideV w:val="none"/>
              </w:tblBorders>
            </w:tblPr>
            <w:tblGrid>
              <w:gridCol w:w="1244"/>
              <w:gridCol w:w="2735"/>
              <w:gridCol w:w="958"/>
            </w:tblGrid>
            <w:tr>
              <w:tc>
                <w:tcPr>
                  <w:tcW w:type="dxa" w:w="1244"/>
                  <w:tcBorders>
                    <w:top w:val="singl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考核项目</w:t>
                  </w:r>
                </w:p>
              </w:tc>
              <w:tc>
                <w:tcPr>
                  <w:tcW w:type="dxa" w:w="2735"/>
                  <w:tcBorders>
                    <w:top w:val="singl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考核指标与评分标准</w:t>
                  </w:r>
                </w:p>
              </w:tc>
              <w:tc>
                <w:tcPr>
                  <w:tcW w:type="dxa" w:w="958"/>
                  <w:tcBorders>
                    <w:top w:val="singl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满分</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1、传输电路正常运行率（15分）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传输电路正常运行率</w:t>
                  </w:r>
                  <w:r>
                    <w:rPr>
                      <w:rFonts w:ascii="仿宋_GB2312" w:hAnsi="仿宋_GB2312" w:cs="仿宋_GB2312" w:eastAsia="仿宋_GB2312"/>
                      <w:sz w:val="28"/>
                    </w:rPr>
                    <w:t>≥ 99.95%，满足要求得满分，每下降1%，扣2分，扣完为止</w:t>
                  </w:r>
                </w:p>
                <w:p>
                  <w:pPr>
                    <w:pStyle w:val="null3"/>
                    <w:jc w:val="both"/>
                  </w:pPr>
                  <w:r>
                    <w:rPr>
                      <w:rFonts w:ascii="仿宋_GB2312" w:hAnsi="仿宋_GB2312" w:cs="仿宋_GB2312" w:eastAsia="仿宋_GB2312"/>
                      <w:sz w:val="28"/>
                    </w:rPr>
                    <w:t>传输电路正常运行率</w:t>
                  </w:r>
                  <w:r>
                    <w:rPr>
                      <w:rFonts w:ascii="仿宋_GB2312" w:hAnsi="仿宋_GB2312" w:cs="仿宋_GB2312" w:eastAsia="仿宋_GB2312"/>
                      <w:sz w:val="28"/>
                    </w:rPr>
                    <w:t>=传输电路可用时间/统计期内的总时间</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15</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1、故障处理（30 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故障发生以后，响应超时、解决时间超时；</w:t>
                  </w:r>
                </w:p>
                <w:p>
                  <w:pPr>
                    <w:pStyle w:val="null3"/>
                    <w:jc w:val="both"/>
                  </w:pPr>
                  <w:r>
                    <w:rPr>
                      <w:rFonts w:ascii="仿宋_GB2312" w:hAnsi="仿宋_GB2312" w:cs="仿宋_GB2312" w:eastAsia="仿宋_GB2312"/>
                      <w:sz w:val="28"/>
                    </w:rPr>
                    <w:t>响应每超时</w:t>
                  </w:r>
                  <w:r>
                    <w:rPr>
                      <w:rFonts w:ascii="仿宋_GB2312" w:hAnsi="仿宋_GB2312" w:cs="仿宋_GB2312" w:eastAsia="仿宋_GB2312"/>
                      <w:sz w:val="28"/>
                    </w:rPr>
                    <w:t>5分钟扣1分，解决时间每超时1小时扣2分，重大故障未上报采购单位负责人扣5分；</w:t>
                  </w:r>
                </w:p>
                <w:p>
                  <w:pPr>
                    <w:pStyle w:val="null3"/>
                    <w:jc w:val="both"/>
                  </w:pPr>
                  <w:r>
                    <w:rPr>
                      <w:rFonts w:ascii="仿宋_GB2312" w:hAnsi="仿宋_GB2312" w:cs="仿宋_GB2312" w:eastAsia="仿宋_GB2312"/>
                      <w:sz w:val="28"/>
                    </w:rPr>
                    <w:t>未提供故障处理报告的，发生一起扣</w:t>
                  </w:r>
                  <w:r>
                    <w:rPr>
                      <w:rFonts w:ascii="仿宋_GB2312" w:hAnsi="仿宋_GB2312" w:cs="仿宋_GB2312" w:eastAsia="仿宋_GB2312"/>
                      <w:sz w:val="28"/>
                    </w:rPr>
                    <w:t>5分，扣完为止。自然灾害等不可抗力原因或因甲方原因不扣分。</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30</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2、日常巡查（10 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未按要求巡查，发生一起扣</w:t>
                  </w:r>
                  <w:r>
                    <w:rPr>
                      <w:rFonts w:ascii="仿宋_GB2312" w:hAnsi="仿宋_GB2312" w:cs="仿宋_GB2312" w:eastAsia="仿宋_GB2312"/>
                      <w:sz w:val="28"/>
                    </w:rPr>
                    <w:t>1 分，扣完为止。</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10</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3、现场检查（15 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采购人不定时检查，发现未按规定进行日常巡查的，发现一起扣</w:t>
                  </w:r>
                  <w:r>
                    <w:rPr>
                      <w:rFonts w:ascii="仿宋_GB2312" w:hAnsi="仿宋_GB2312" w:cs="仿宋_GB2312" w:eastAsia="仿宋_GB2312"/>
                      <w:sz w:val="28"/>
                    </w:rPr>
                    <w:t>2 分，扣完为止。</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15</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4、报告制度（15分）：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按采购人要求提供点位开通测试报告。未提供扣</w:t>
                  </w:r>
                  <w:r>
                    <w:rPr>
                      <w:rFonts w:ascii="仿宋_GB2312" w:hAnsi="仿宋_GB2312" w:cs="仿宋_GB2312" w:eastAsia="仿宋_GB2312"/>
                      <w:sz w:val="28"/>
                    </w:rPr>
                    <w:t>5 分，扣完为止。</w:t>
                  </w:r>
                </w:p>
                <w:p>
                  <w:pPr>
                    <w:pStyle w:val="null3"/>
                    <w:jc w:val="both"/>
                  </w:pPr>
                  <w:r>
                    <w:rPr>
                      <w:rFonts w:ascii="仿宋_GB2312" w:hAnsi="仿宋_GB2312" w:cs="仿宋_GB2312" w:eastAsia="仿宋_GB2312"/>
                      <w:sz w:val="28"/>
                    </w:rPr>
                    <w:t>本季度无故障，无新增点位开通，本项不扣分</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15</w:t>
                  </w:r>
                </w:p>
              </w:tc>
            </w:tr>
            <w:tr>
              <w:tc>
                <w:tcPr>
                  <w:tcW w:type="dxa" w:w="1244"/>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5、重大活动及重要事件保障（15分）</w:t>
                  </w:r>
                </w:p>
              </w:tc>
              <w:tc>
                <w:tcPr>
                  <w:tcW w:type="dxa" w:w="2735"/>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及时响应采购人重保要求，及时部署保障任务，及时反馈落实情况，若因供应商原因延误采购人工作安排和落实，每发生一次扣</w:t>
                  </w:r>
                  <w:r>
                    <w:rPr>
                      <w:rFonts w:ascii="仿宋_GB2312" w:hAnsi="仿宋_GB2312" w:cs="仿宋_GB2312" w:eastAsia="仿宋_GB2312"/>
                      <w:sz w:val="28"/>
                    </w:rPr>
                    <w:t>5分。</w:t>
                  </w:r>
                </w:p>
                <w:p>
                  <w:pPr>
                    <w:pStyle w:val="null3"/>
                    <w:jc w:val="both"/>
                  </w:pPr>
                  <w:r>
                    <w:rPr>
                      <w:rFonts w:ascii="仿宋_GB2312" w:hAnsi="仿宋_GB2312" w:cs="仿宋_GB2312" w:eastAsia="仿宋_GB2312"/>
                      <w:sz w:val="28"/>
                    </w:rPr>
                    <w:t>若因供应商原因，出现保障人员不到位、支撑脱节、保障不力等致使出现事故的每次扣</w:t>
                  </w:r>
                  <w:r>
                    <w:rPr>
                      <w:rFonts w:ascii="仿宋_GB2312" w:hAnsi="仿宋_GB2312" w:cs="仿宋_GB2312" w:eastAsia="仿宋_GB2312"/>
                      <w:sz w:val="28"/>
                    </w:rPr>
                    <w:t>10分；出现1次事故，本项计0分，且考核定为不合格。</w:t>
                  </w:r>
                </w:p>
                <w:p>
                  <w:pPr>
                    <w:pStyle w:val="null3"/>
                    <w:jc w:val="both"/>
                  </w:pPr>
                  <w:r>
                    <w:rPr>
                      <w:rFonts w:ascii="仿宋_GB2312" w:hAnsi="仿宋_GB2312" w:cs="仿宋_GB2312" w:eastAsia="仿宋_GB2312"/>
                      <w:sz w:val="28"/>
                    </w:rPr>
                    <w:t>本季度无重保任务，本项不扣分</w:t>
                  </w:r>
                </w:p>
              </w:tc>
              <w:tc>
                <w:tcPr>
                  <w:tcW w:type="dxa" w:w="958"/>
                  <w:tcBorders>
                    <w:top w:val="none" w:color="000000" w:sz="4"/>
                    <w:left w:val="single" w:color="000000" w:sz="4"/>
                    <w:bottom w:val="single" w:color="000000" w:sz="4"/>
                    <w:right w:val="single" w:color="000000" w:sz="4"/>
                  </w:tcBorders>
                  <w:tcMar>
                    <w:top w:type="dxa" w:w="225"/>
                    <w:left w:type="dxa" w:w="120"/>
                    <w:bottom w:type="dxa" w:w="225"/>
                    <w:right w:type="dxa" w:w="120"/>
                  </w:tcMar>
                  <w:vAlign w:val="top"/>
                </w:tcPr>
                <w:p>
                  <w:pPr>
                    <w:pStyle w:val="null3"/>
                    <w:jc w:val="both"/>
                  </w:pPr>
                  <w:r>
                    <w:rPr>
                      <w:rFonts w:ascii="仿宋_GB2312" w:hAnsi="仿宋_GB2312" w:cs="仿宋_GB2312" w:eastAsia="仿宋_GB2312"/>
                      <w:sz w:val="28"/>
                    </w:rPr>
                    <w:t>15</w:t>
                  </w:r>
                </w:p>
              </w:tc>
            </w:tr>
          </w:tbl>
          <w:p>
            <w:pPr>
              <w:pStyle w:val="null3"/>
              <w:spacing w:before="105" w:after="105"/>
              <w:jc w:val="left"/>
            </w:pPr>
            <w:r>
              <w:rPr>
                <w:rFonts w:ascii="仿宋_GB2312" w:hAnsi="仿宋_GB2312" w:cs="仿宋_GB2312" w:eastAsia="仿宋_GB2312"/>
              </w:rPr>
              <w:t xml:space="preserve"> </w:t>
            </w:r>
          </w:p>
          <w:p>
            <w:pPr>
              <w:pStyle w:val="null3"/>
              <w:spacing w:before="105" w:after="105"/>
              <w:jc w:val="left"/>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邻水县范围内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标的验收标准和方法:采购项目履约完成后，采购人应严格按照《广安市政府采购项目履约验收工作规程》（广市财采（2021）275号）的要求进行验收，并每季度对成交供应商的服务情况进行考核验收，验收标准应按照文件中采购需求和响应文件的投标响应及国家行业验收标准进行。 2、服务考核结果运用标准：(1)综合考评得分高于90分(含90分)，全额支付服务费。 (2)综合考评得分在80分(含80分)至90分之间，在供应商提供的当季服务结算费用上直接扣减5%的服务费。 (3)综合考评得分在60分(含60分)至80分之间，在供应商提供的当季服务结算费用上直接扣减10%的服务费。 (4)综合考评得分低于60分，考核不合格，不予支付本季度服务费，且取消服务资格并终止合同。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1、进度款，每服务满一季度，达到付款条件起30日内，据实结算说明为每季度应付价款，减去考核应扣除费用，支付合同总金额的25%</w:t>
            </w:r>
          </w:p>
          <w:p>
            <w:pPr>
              <w:pStyle w:val="null3"/>
              <w:jc w:val="left"/>
            </w:pPr>
            <w:r>
              <w:rPr>
                <w:rFonts w:ascii="仿宋_GB2312" w:hAnsi="仿宋_GB2312" w:cs="仿宋_GB2312" w:eastAsia="仿宋_GB2312"/>
              </w:rPr>
              <w:t>2、进度款，每服务满一季度，达到付款条件起30日内，据实结算说明为每季度应付价款，减去考核应扣除费用，支付合同总金额的25%</w:t>
            </w:r>
          </w:p>
          <w:p>
            <w:pPr>
              <w:pStyle w:val="null3"/>
              <w:jc w:val="left"/>
            </w:pPr>
            <w:r>
              <w:rPr>
                <w:rFonts w:ascii="仿宋_GB2312" w:hAnsi="仿宋_GB2312" w:cs="仿宋_GB2312" w:eastAsia="仿宋_GB2312"/>
              </w:rPr>
              <w:t>3、进度款，每服务满一季度，达到付款条件起30日内，据实结算说明为每季度应付价款，减去考核应扣除费用，支付合同总金额的25%</w:t>
            </w:r>
          </w:p>
          <w:p>
            <w:pPr>
              <w:pStyle w:val="null3"/>
              <w:jc w:val="left"/>
            </w:pPr>
            <w:r>
              <w:rPr>
                <w:rFonts w:ascii="仿宋_GB2312" w:hAnsi="仿宋_GB2312" w:cs="仿宋_GB2312" w:eastAsia="仿宋_GB2312"/>
              </w:rPr>
              <w:t>4、进度款，每服务满一季度，达到付款条件起30日内，据实结算说明为每季度应付价款，减去考核应扣除费用，支付合同总金额的25%</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1.采购人的违约责任： 1.1采购人应该严格遵守双方约定的进度安排，提供项目的施工环境和施工条件。 1.2如由于采购人原因终止合同，采购人应偿付供应商相应损失；若施工已开始,采购人不得终止合同。 2.供应商的违约责任： 2.1供应商应该严格遵守双方约定的进度安排，若在规定的时间内供应商未能如期完成，每逾期一周成交供应商应按合同金额的0.5%支付违约金，违约总金额不超过合同总价的20%。 2.2如由于供应商原因终止合同或停止履约，供应商除退还未履约部分款项外，应偿付采购人合同总额的10%的违约金。 3.争议解决办法：因本项目引起的或与本项目有关的任何争议，合同双方友好协商不成、不愿提请争议组评审或者不愿接受争议评审组意见的向邻水县人民法院提起诉讼。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★1.为保证网络高效运行、对接，供应商提供的网络链路能 够无缝接入广安市交管勤务平台。 ★2.供应商成交后应提供骨干层网络保护方式的图示 和说明，骨干网和城域网均有保护功能，使电路的安全性得到充分保障。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谈判小组根据本项目实际情况，制定第三章“技术、服务及其他要求”中“3.2.技术要求”，“3.3.服务要求”可实质性变动的内容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谈判小组根据本项目实际情况，制定第七章“拟签订采购合同文本”可实质性变动的内容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或2025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提供《中华人民共和国基础电信业务经营许可证》或《信息网络传播视听节目许可证》</w:t>
            </w:r>
          </w:p>
        </w:tc>
        <w:tc>
          <w:tcPr>
            <w:tcW w:type="dxa" w:w="3322"/>
          </w:tcPr>
          <w:p>
            <w:pPr>
              <w:pStyle w:val="null3"/>
              <w:jc w:val="left"/>
            </w:pPr>
            <w:r>
              <w:rPr>
                <w:rFonts w:ascii="仿宋_GB2312" w:hAnsi="仿宋_GB2312" w:cs="仿宋_GB2312" w:eastAsia="仿宋_GB2312"/>
              </w:rPr>
              <w:t>提供《中华人民共和国基础电信业务经营许可证》或《信息网络传播视听节目许可证》（描述：需提供在有效期内《中华人民共和国基础电信业务经营许可证》或《信息网络传播视听节目许可证》的证书复印件）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按照采购文件的要求进行符合性审查</w:t>
            </w:r>
          </w:p>
        </w:tc>
        <w:tc>
          <w:tcPr>
            <w:tcW w:type="dxa" w:w="1661"/>
          </w:tcPr>
          <w:p>
            <w:pPr>
              <w:pStyle w:val="null3"/>
              <w:jc w:val="left"/>
            </w:pPr>
            <w:r>
              <w:rPr>
                <w:rFonts w:ascii="仿宋_GB2312" w:hAnsi="仿宋_GB2312" w:cs="仿宋_GB2312" w:eastAsia="仿宋_GB2312"/>
              </w:rPr>
              <w:t>响应文件封面,服务应答表,报价表,投标人认为需要提供的其他文件和资料.docx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投标（响应）函,投标人认为需要提供的其他文件和资料.docx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详见附件：投标人认为需要提供的其他文件和资料.docx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