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FF6BCC">
      <w:pPr>
        <w:pStyle w:val="2"/>
        <w:rPr>
          <w:rFonts w:ascii="仿宋_GB2312" w:hAnsi="仿宋_GB2312" w:eastAsia="仿宋_GB2312" w:cs="仿宋_GB2312"/>
          <w:highlight w:val="none"/>
        </w:rPr>
      </w:pPr>
      <w:r>
        <w:rPr>
          <w:rFonts w:hint="eastAsia" w:ascii="仿宋_GB2312" w:hAnsi="仿宋_GB2312" w:eastAsia="仿宋_GB2312" w:cs="仿宋_GB2312"/>
          <w:highlight w:val="none"/>
        </w:rPr>
        <w:t>（</w:t>
      </w:r>
      <w:r>
        <w:rPr>
          <w:rFonts w:hint="eastAsia" w:ascii="仿宋_GB2312" w:hAnsi="仿宋_GB2312" w:eastAsia="仿宋_GB2312" w:cs="仿宋_GB2312"/>
          <w:highlight w:val="none"/>
          <w:lang w:eastAsia="zh-CN"/>
        </w:rPr>
        <w:t>营口市工会关爱女职工“两癌”筛查及健康检查服务项目</w:t>
      </w:r>
      <w:r>
        <w:rPr>
          <w:rFonts w:hint="eastAsia" w:ascii="仿宋_GB2312" w:hAnsi="仿宋_GB2312" w:eastAsia="仿宋_GB2312" w:cs="仿宋_GB2312"/>
          <w:highlight w:val="none"/>
        </w:rPr>
        <w:t>）的招标公告</w:t>
      </w:r>
    </w:p>
    <w:p w14:paraId="5BFF6C62">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35DD4F8B">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lang w:eastAsia="zh-CN"/>
        </w:rPr>
        <w:t>营口市工会关爱女职工“两癌”筛查及健康检查服务项目</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 xml:space="preserve"> 招标项目的潜在供应商应在</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i/>
          <w:szCs w:val="21"/>
          <w:highlight w:val="none"/>
          <w:u w:val="single"/>
          <w:lang w:eastAsia="zh-CN"/>
        </w:rPr>
        <w:t>辽宁众途工程造价咨询有限公司</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获取招标文件，并于</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bCs/>
          <w:color w:val="0000FF"/>
          <w:szCs w:val="21"/>
          <w:highlight w:val="none"/>
          <w:u w:val="single"/>
        </w:rPr>
        <w:t xml:space="preserve"> </w:t>
      </w:r>
      <w:r>
        <w:rPr>
          <w:rFonts w:hint="eastAsia" w:ascii="仿宋_GB2312" w:hAnsi="仿宋_GB2312" w:eastAsia="仿宋_GB2312" w:cs="仿宋_GB2312"/>
          <w:bCs/>
          <w:color w:val="0000FF"/>
          <w:szCs w:val="21"/>
          <w:highlight w:val="none"/>
          <w:u w:val="single"/>
          <w:lang w:val="en-US" w:eastAsia="zh-CN"/>
        </w:rPr>
        <w:t>2024</w:t>
      </w:r>
      <w:r>
        <w:rPr>
          <w:rFonts w:hint="eastAsia" w:ascii="仿宋_GB2312" w:hAnsi="仿宋_GB2312" w:eastAsia="仿宋_GB2312" w:cs="仿宋_GB2312"/>
          <w:bCs/>
          <w:color w:val="0000FF"/>
          <w:szCs w:val="21"/>
          <w:highlight w:val="none"/>
          <w:u w:val="single"/>
        </w:rPr>
        <w:t xml:space="preserve">年 </w:t>
      </w:r>
      <w:r>
        <w:rPr>
          <w:rFonts w:hint="eastAsia" w:ascii="仿宋_GB2312" w:hAnsi="仿宋_GB2312" w:eastAsia="仿宋_GB2312" w:cs="仿宋_GB2312"/>
          <w:bCs/>
          <w:color w:val="0000FF"/>
          <w:szCs w:val="21"/>
          <w:highlight w:val="none"/>
          <w:u w:val="single"/>
          <w:lang w:val="en-US" w:eastAsia="zh-CN"/>
        </w:rPr>
        <w:t>7</w:t>
      </w:r>
      <w:r>
        <w:rPr>
          <w:rFonts w:hint="eastAsia" w:ascii="仿宋_GB2312" w:hAnsi="仿宋_GB2312" w:eastAsia="仿宋_GB2312" w:cs="仿宋_GB2312"/>
          <w:bCs/>
          <w:color w:val="0000FF"/>
          <w:szCs w:val="21"/>
          <w:highlight w:val="none"/>
          <w:u w:val="single"/>
        </w:rPr>
        <w:t>月</w:t>
      </w:r>
      <w:r>
        <w:rPr>
          <w:rFonts w:hint="eastAsia" w:ascii="仿宋_GB2312" w:hAnsi="仿宋_GB2312" w:eastAsia="仿宋_GB2312" w:cs="仿宋_GB2312"/>
          <w:bCs/>
          <w:color w:val="0000FF"/>
          <w:szCs w:val="21"/>
          <w:highlight w:val="none"/>
          <w:u w:val="single"/>
          <w:lang w:val="en-US" w:eastAsia="zh-CN"/>
        </w:rPr>
        <w:t>26</w:t>
      </w:r>
      <w:r>
        <w:rPr>
          <w:rFonts w:hint="eastAsia" w:ascii="仿宋_GB2312" w:hAnsi="仿宋_GB2312" w:eastAsia="仿宋_GB2312" w:cs="仿宋_GB2312"/>
          <w:bCs/>
          <w:color w:val="0000FF"/>
          <w:szCs w:val="21"/>
          <w:highlight w:val="none"/>
          <w:u w:val="single"/>
        </w:rPr>
        <w:t>日</w:t>
      </w:r>
      <w:r>
        <w:rPr>
          <w:rFonts w:hint="eastAsia" w:ascii="仿宋_GB2312" w:hAnsi="仿宋_GB2312" w:eastAsia="仿宋_GB2312" w:cs="仿宋_GB2312"/>
          <w:bCs/>
          <w:color w:val="0000FF"/>
          <w:szCs w:val="21"/>
          <w:highlight w:val="none"/>
          <w:u w:val="single"/>
          <w:lang w:val="en-US" w:eastAsia="zh-CN"/>
        </w:rPr>
        <w:t>09</w:t>
      </w:r>
      <w:r>
        <w:rPr>
          <w:rFonts w:hint="eastAsia" w:ascii="仿宋_GB2312" w:hAnsi="仿宋_GB2312" w:eastAsia="仿宋_GB2312" w:cs="仿宋_GB2312"/>
          <w:bCs/>
          <w:color w:val="0000FF"/>
          <w:szCs w:val="21"/>
          <w:highlight w:val="none"/>
          <w:u w:val="single"/>
        </w:rPr>
        <w:t xml:space="preserve">点 </w:t>
      </w:r>
      <w:r>
        <w:rPr>
          <w:rFonts w:hint="eastAsia" w:ascii="仿宋_GB2312" w:hAnsi="仿宋_GB2312" w:eastAsia="仿宋_GB2312" w:cs="仿宋_GB2312"/>
          <w:bCs/>
          <w:color w:val="0000FF"/>
          <w:szCs w:val="21"/>
          <w:highlight w:val="none"/>
          <w:u w:val="single"/>
          <w:lang w:val="en-US" w:eastAsia="zh-CN"/>
        </w:rPr>
        <w:t>30</w:t>
      </w:r>
      <w:r>
        <w:rPr>
          <w:rFonts w:hint="eastAsia" w:ascii="仿宋_GB2312" w:hAnsi="仿宋_GB2312" w:eastAsia="仿宋_GB2312" w:cs="仿宋_GB2312"/>
          <w:bCs/>
          <w:color w:val="0000FF"/>
          <w:szCs w:val="21"/>
          <w:highlight w:val="none"/>
          <w:u w:val="single"/>
        </w:rPr>
        <w:t xml:space="preserve"> 分</w:t>
      </w:r>
      <w:r>
        <w:rPr>
          <w:rFonts w:hint="eastAsia" w:ascii="仿宋_GB2312" w:hAnsi="仿宋_GB2312" w:eastAsia="仿宋_GB2312" w:cs="仿宋_GB2312"/>
          <w:bCs/>
          <w:szCs w:val="21"/>
          <w:highlight w:val="none"/>
          <w:u w:val="single"/>
        </w:rPr>
        <w:t>（</w:t>
      </w:r>
      <w:r>
        <w:rPr>
          <w:rFonts w:hint="eastAsia" w:ascii="仿宋_GB2312" w:hAnsi="仿宋_GB2312" w:eastAsia="仿宋_GB2312" w:cs="仿宋_GB2312"/>
          <w:bCs/>
          <w:szCs w:val="21"/>
          <w:highlight w:val="none"/>
        </w:rPr>
        <w:t>北京时间）前递交投标文件</w:t>
      </w:r>
      <w:r>
        <w:rPr>
          <w:rFonts w:hint="eastAsia" w:ascii="仿宋_GB2312" w:hAnsi="仿宋_GB2312" w:eastAsia="仿宋_GB2312" w:cs="仿宋_GB2312"/>
          <w:szCs w:val="21"/>
          <w:highlight w:val="none"/>
        </w:rPr>
        <w:t>。</w:t>
      </w:r>
    </w:p>
    <w:p w14:paraId="16137C52">
      <w:pPr>
        <w:widowControl/>
        <w:adjustRightInd w:val="0"/>
        <w:snapToGrid w:val="0"/>
        <w:spacing w:line="360" w:lineRule="auto"/>
        <w:ind w:firstLine="420" w:firstLineChars="200"/>
        <w:jc w:val="left"/>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p>
    <w:p w14:paraId="13C893B0">
      <w:pPr>
        <w:adjustRightInd w:val="0"/>
        <w:snapToGrid w:val="0"/>
        <w:spacing w:line="360" w:lineRule="auto"/>
        <w:rPr>
          <w:rFonts w:hint="eastAsia" w:ascii="仿宋_GB2312" w:hAnsi="仿宋_GB2312" w:eastAsia="仿宋_GB2312" w:cs="仿宋_GB2312"/>
          <w:b/>
          <w:bCs/>
          <w:szCs w:val="21"/>
          <w:highlight w:val="none"/>
        </w:rPr>
      </w:pPr>
      <w:bookmarkStart w:id="0" w:name="_Toc28359002"/>
      <w:bookmarkStart w:id="1" w:name="_Toc35393790"/>
      <w:bookmarkStart w:id="2" w:name="_Toc28359079"/>
      <w:bookmarkStart w:id="3" w:name="_Toc35393621"/>
      <w:bookmarkStart w:id="4" w:name="_Hlk24379207"/>
      <w:r>
        <w:rPr>
          <w:rFonts w:hint="eastAsia" w:ascii="仿宋_GB2312" w:hAnsi="仿宋_GB2312" w:eastAsia="仿宋_GB2312" w:cs="仿宋_GB2312"/>
          <w:b/>
          <w:bCs/>
          <w:szCs w:val="21"/>
          <w:highlight w:val="none"/>
        </w:rPr>
        <w:t>一、项目基本情况</w:t>
      </w:r>
      <w:bookmarkEnd w:id="0"/>
      <w:bookmarkEnd w:id="1"/>
      <w:bookmarkEnd w:id="2"/>
      <w:bookmarkEnd w:id="3"/>
    </w:p>
    <w:p w14:paraId="36D4BD29">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项目编号：</w:t>
      </w:r>
      <w:r>
        <w:rPr>
          <w:rFonts w:hint="eastAsia" w:ascii="仿宋_GB2312" w:hAnsi="仿宋_GB2312" w:eastAsia="仿宋_GB2312" w:cs="仿宋_GB2312"/>
          <w:szCs w:val="21"/>
          <w:highlight w:val="none"/>
          <w:lang w:eastAsia="zh-CN"/>
        </w:rPr>
        <w:t>lnzt-2024-29</w:t>
      </w:r>
    </w:p>
    <w:p w14:paraId="2CB7F0A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szCs w:val="21"/>
          <w:highlight w:val="none"/>
          <w:lang w:eastAsia="zh-CN"/>
        </w:rPr>
        <w:t>营口市工会关爱女职工“两癌”筛查及健康检查服务项目</w:t>
      </w:r>
    </w:p>
    <w:bookmarkEnd w:id="4"/>
    <w:p w14:paraId="47A0AA02">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430元/人（含两癌筛查300元/人、健康检查130元/人）</w:t>
      </w:r>
    </w:p>
    <w:p w14:paraId="3A4AA969">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最高限价：</w:t>
      </w:r>
      <w:r>
        <w:rPr>
          <w:rFonts w:hint="eastAsia" w:ascii="仿宋_GB2312" w:hAnsi="仿宋_GB2312" w:eastAsia="仿宋_GB2312" w:cs="仿宋_GB2312"/>
          <w:szCs w:val="21"/>
          <w:highlight w:val="none"/>
          <w:lang w:val="en-US" w:eastAsia="zh-CN"/>
        </w:rPr>
        <w:t>430元/人（两癌筛查不超过300元/人、健康检查不超过130元/人）</w:t>
      </w:r>
    </w:p>
    <w:p w14:paraId="211AFF7D">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本项目分为2个合同包，投标人不兼投不兼中。</w:t>
      </w:r>
    </w:p>
    <w:p w14:paraId="4CF2C57C">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1包：</w:t>
      </w:r>
      <w:r>
        <w:rPr>
          <w:rFonts w:hint="eastAsia" w:ascii="仿宋_GB2312" w:hAnsi="仿宋_GB2312" w:eastAsia="仿宋_GB2312" w:cs="仿宋_GB2312"/>
          <w:szCs w:val="21"/>
          <w:highlight w:val="none"/>
          <w:lang w:eastAsia="zh-CN"/>
        </w:rPr>
        <w:t>营口市工会关爱女职工（站前区、西市区、老边区、大石桥市）“两癌”筛查及健康检查服务项目，</w:t>
      </w:r>
      <w:r>
        <w:rPr>
          <w:rFonts w:hint="eastAsia" w:ascii="仿宋_GB2312" w:hAnsi="仿宋_GB2312" w:eastAsia="仿宋_GB2312" w:cs="仿宋_GB2312"/>
          <w:szCs w:val="21"/>
          <w:highlight w:val="none"/>
          <w:lang w:val="en-US" w:eastAsia="zh-CN"/>
        </w:rPr>
        <w:t>500人左右，以实际发生的人数为准。</w:t>
      </w:r>
    </w:p>
    <w:p w14:paraId="68509705">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2包：</w:t>
      </w:r>
      <w:r>
        <w:rPr>
          <w:rFonts w:hint="eastAsia" w:ascii="仿宋_GB2312" w:hAnsi="仿宋_GB2312" w:eastAsia="仿宋_GB2312" w:cs="仿宋_GB2312"/>
          <w:szCs w:val="21"/>
          <w:highlight w:val="none"/>
          <w:lang w:eastAsia="zh-CN"/>
        </w:rPr>
        <w:t>营口市工会关爱女职工（鲅鱼圈区、盖州市）“两癌”筛查及健康检查服务项目，</w:t>
      </w:r>
      <w:r>
        <w:rPr>
          <w:rFonts w:hint="eastAsia" w:ascii="仿宋_GB2312" w:hAnsi="仿宋_GB2312" w:eastAsia="仿宋_GB2312" w:cs="仿宋_GB2312"/>
          <w:szCs w:val="21"/>
          <w:highlight w:val="none"/>
          <w:lang w:val="en-US" w:eastAsia="zh-CN"/>
        </w:rPr>
        <w:t>200人左右，以实际发生的人数为准。</w:t>
      </w:r>
    </w:p>
    <w:p w14:paraId="66E82088">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采购需求：</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lang w:eastAsia="zh-CN"/>
        </w:rPr>
        <w:t>“两癌”（宫颈癌和乳腺癌）筛查，宫颈癌筛查：妇科检查、宫颈脱落细胞</w:t>
      </w:r>
      <w:r>
        <w:rPr>
          <w:rFonts w:hint="eastAsia" w:ascii="仿宋_GB2312" w:hAnsi="仿宋_GB2312" w:eastAsia="仿宋_GB2312" w:cs="仿宋_GB2312"/>
          <w:szCs w:val="21"/>
          <w:highlight w:val="none"/>
          <w:lang w:val="en-US" w:eastAsia="zh-CN"/>
        </w:rPr>
        <w:t>TCT检查；乳腺癌筛查：乳腺临床检查、彩超检查；</w:t>
      </w:r>
    </w:p>
    <w:p w14:paraId="5F5C5029">
      <w:pPr>
        <w:adjustRightInd w:val="0"/>
        <w:snapToGrid w:val="0"/>
        <w:spacing w:line="360" w:lineRule="auto"/>
        <w:ind w:firstLine="1470" w:firstLineChars="700"/>
        <w:rPr>
          <w:rFonts w:hint="default" w:ascii="仿宋_GB2312" w:hAnsi="仿宋_GB2312" w:eastAsia="仿宋_GB2312" w:cs="仿宋_GB2312"/>
          <w:szCs w:val="21"/>
          <w:highlight w:val="none"/>
          <w:u w:val="single"/>
          <w:lang w:val="en-US" w:eastAsia="zh-CN"/>
        </w:rPr>
      </w:pPr>
      <w:r>
        <w:rPr>
          <w:rFonts w:hint="eastAsia" w:ascii="仿宋_GB2312" w:hAnsi="仿宋_GB2312" w:eastAsia="仿宋_GB2312" w:cs="仿宋_GB2312"/>
          <w:szCs w:val="21"/>
          <w:highlight w:val="none"/>
          <w:lang w:val="en-US" w:eastAsia="zh-CN"/>
        </w:rPr>
        <w:t>2.健康检查:阴式彩超、电子阴道镜、分泌物常规。</w:t>
      </w:r>
    </w:p>
    <w:p w14:paraId="7AF9E85C">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合同履行期限：</w:t>
      </w:r>
      <w:r>
        <w:rPr>
          <w:rFonts w:hint="eastAsia" w:ascii="仿宋_GB2312" w:hAnsi="仿宋_GB2312" w:eastAsia="仿宋_GB2312" w:cs="仿宋_GB2312"/>
          <w:szCs w:val="21"/>
          <w:highlight w:val="none"/>
          <w:lang w:eastAsia="zh-CN"/>
        </w:rPr>
        <w:t>2025年-2026年政策不变的情况下履约期限为三年，合同履行过程中，如遇政策调整，按照最新政策执行，合同最长不超过三年。</w:t>
      </w:r>
    </w:p>
    <w:p w14:paraId="74526E9E">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需落实的政府采购政策内容：</w:t>
      </w:r>
      <w:r>
        <w:rPr>
          <w:rFonts w:hint="eastAsia" w:ascii="仿宋_GB2312" w:hAnsi="仿宋_GB2312" w:eastAsia="仿宋_GB2312" w:cs="仿宋_GB2312"/>
          <w:szCs w:val="21"/>
          <w:highlight w:val="none"/>
          <w:lang w:eastAsia="zh-CN"/>
        </w:rPr>
        <w:t>促进中小企业、促进残疾人就业、支持监狱企业、支持脱贫攻坚等相关政策</w:t>
      </w:r>
    </w:p>
    <w:p w14:paraId="353EECEC">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i/>
          <w:szCs w:val="21"/>
          <w:highlight w:val="none"/>
        </w:rPr>
        <w:t>是/否</w:t>
      </w:r>
      <w:r>
        <w:rPr>
          <w:rFonts w:hint="eastAsia" w:ascii="仿宋_GB2312" w:hAnsi="仿宋_GB2312" w:eastAsia="仿宋_GB2312" w:cs="仿宋_GB2312"/>
          <w:szCs w:val="21"/>
          <w:highlight w:val="none"/>
        </w:rPr>
        <w:t>）接受联合体投标</w:t>
      </w:r>
      <w:r>
        <w:rPr>
          <w:rFonts w:hint="eastAsia" w:ascii="仿宋_GB2312" w:hAnsi="仿宋_GB2312" w:eastAsia="仿宋_GB2312" w:cs="仿宋_GB2312"/>
          <w:szCs w:val="21"/>
          <w:highlight w:val="none"/>
          <w:lang w:eastAsia="zh-CN"/>
        </w:rPr>
        <w:t>：否</w:t>
      </w:r>
    </w:p>
    <w:p w14:paraId="0568E6B5">
      <w:pPr>
        <w:adjustRightInd w:val="0"/>
        <w:snapToGrid w:val="0"/>
        <w:spacing w:line="360" w:lineRule="auto"/>
        <w:rPr>
          <w:rFonts w:hint="eastAsia" w:ascii="仿宋_GB2312" w:hAnsi="仿宋_GB2312" w:eastAsia="仿宋_GB2312" w:cs="仿宋_GB2312"/>
          <w:b/>
          <w:bCs/>
          <w:szCs w:val="21"/>
          <w:highlight w:val="none"/>
        </w:rPr>
      </w:pPr>
      <w:bookmarkStart w:id="5" w:name="_Toc35393622"/>
      <w:bookmarkStart w:id="6" w:name="_Toc35393791"/>
      <w:bookmarkStart w:id="7" w:name="_Toc28359080"/>
      <w:bookmarkStart w:id="8" w:name="_Toc28359003"/>
      <w:r>
        <w:rPr>
          <w:rFonts w:hint="eastAsia" w:ascii="仿宋_GB2312" w:hAnsi="仿宋_GB2312" w:eastAsia="仿宋_GB2312" w:cs="仿宋_GB2312"/>
          <w:b/>
          <w:bCs/>
          <w:szCs w:val="21"/>
          <w:highlight w:val="none"/>
        </w:rPr>
        <w:t>二、供应商的资格要求：</w:t>
      </w:r>
      <w:bookmarkEnd w:id="5"/>
      <w:bookmarkEnd w:id="6"/>
      <w:bookmarkEnd w:id="7"/>
      <w:bookmarkEnd w:id="8"/>
    </w:p>
    <w:p w14:paraId="57801557">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1.满足《中华人民共和国政府采购法》第二十二条规定</w:t>
      </w:r>
      <w:r>
        <w:rPr>
          <w:rFonts w:hint="eastAsia" w:ascii="仿宋_GB2312" w:hAnsi="仿宋_GB2312" w:eastAsia="仿宋_GB2312" w:cs="仿宋_GB2312"/>
          <w:szCs w:val="21"/>
          <w:highlight w:val="none"/>
          <w:lang w:eastAsia="zh-CN"/>
        </w:rPr>
        <w:t>。</w:t>
      </w:r>
    </w:p>
    <w:p w14:paraId="2ED2AC43">
      <w:pPr>
        <w:adjustRightInd w:val="0"/>
        <w:snapToGrid w:val="0"/>
        <w:spacing w:line="360" w:lineRule="auto"/>
        <w:ind w:firstLine="420" w:firstLineChars="200"/>
        <w:rPr>
          <w:rFonts w:hint="eastAsia" w:ascii="仿宋_GB2312" w:hAnsi="仿宋_GB2312" w:eastAsia="仿宋_GB2312" w:cs="仿宋_GB2312"/>
          <w:szCs w:val="21"/>
          <w:highlight w:val="none"/>
          <w:u w:val="single"/>
          <w:lang w:eastAsia="zh-CN"/>
        </w:rPr>
      </w:pPr>
      <w:bookmarkStart w:id="9" w:name="_Toc28359004"/>
      <w:bookmarkStart w:id="10" w:name="_Toc28359081"/>
      <w:r>
        <w:rPr>
          <w:rFonts w:hint="eastAsia" w:ascii="仿宋_GB2312" w:hAnsi="仿宋_GB2312" w:eastAsia="仿宋_GB2312" w:cs="仿宋_GB2312"/>
          <w:szCs w:val="21"/>
          <w:highlight w:val="none"/>
        </w:rPr>
        <w:t>2.落实政府采购政策需满足的资格要求：</w:t>
      </w:r>
      <w:r>
        <w:rPr>
          <w:rFonts w:hint="eastAsia" w:ascii="仿宋_GB2312" w:hAnsi="仿宋_GB2312" w:eastAsia="仿宋_GB2312" w:cs="仿宋_GB2312"/>
          <w:szCs w:val="21"/>
          <w:highlight w:val="none"/>
          <w:u w:val="single"/>
          <w:lang w:eastAsia="zh-CN"/>
        </w:rPr>
        <w:t>无</w:t>
      </w:r>
    </w:p>
    <w:p w14:paraId="5C727F2A">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3.本项目的特定资格要求：</w:t>
      </w:r>
    </w:p>
    <w:p w14:paraId="3658D93A">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lang w:eastAsia="zh-CN"/>
        </w:rPr>
        <w:t>）供应商须具备二级（含）以上（等级）资质，取得卫生行政主管部门颁发的《医疗机构执业许可证》，具备妇科、检验、乳腺超声、病理诊疗科目。</w:t>
      </w:r>
    </w:p>
    <w:p w14:paraId="234F8CF3">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lang w:eastAsia="zh-CN"/>
        </w:rPr>
        <w:t>）服务机构地址：</w:t>
      </w:r>
      <w:r>
        <w:rPr>
          <w:rFonts w:hint="eastAsia" w:ascii="仿宋_GB2312" w:hAnsi="仿宋_GB2312" w:eastAsia="仿宋_GB2312" w:cs="仿宋_GB2312"/>
          <w:szCs w:val="21"/>
          <w:highlight w:val="none"/>
          <w:lang w:val="en-US" w:eastAsia="zh-CN"/>
        </w:rPr>
        <w:t>1包须设立在营口市站前区、营口市西市区或营口市老边区；2包须设立在营口市鲅鱼圈区，</w:t>
      </w:r>
      <w:r>
        <w:rPr>
          <w:rFonts w:hint="eastAsia" w:ascii="仿宋_GB2312" w:hAnsi="仿宋_GB2312" w:eastAsia="仿宋_GB2312" w:cs="仿宋_GB2312"/>
          <w:szCs w:val="21"/>
          <w:highlight w:val="none"/>
          <w:lang w:eastAsia="zh-CN"/>
        </w:rPr>
        <w:t>供应商地址以《医疗机构执业许可证》地址为准，要求具有固定检查场所，且在人员、设备等方面具有独立实施“两癌”筛查检查相应的能力。</w:t>
      </w:r>
    </w:p>
    <w:p w14:paraId="1D883A0E">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（3）中标供应商不得将项目转包或分包，必须独立完成“两癌”筛查项目的全部内容，不允许有合作机构参与本项目。</w:t>
      </w:r>
    </w:p>
    <w:p w14:paraId="4EB2352E">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三、政府采购供应商入库须知</w:t>
      </w:r>
    </w:p>
    <w:p w14:paraId="37C24DDF">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1" w:name="_Toc35393623"/>
      <w:bookmarkStart w:id="12" w:name="_Toc35393792"/>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3A2F4D8F">
      <w:pPr>
        <w:adjustRightInd w:val="0"/>
        <w:snapToGrid w:val="0"/>
        <w:spacing w:line="360" w:lineRule="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9"/>
      <w:bookmarkEnd w:id="10"/>
      <w:bookmarkEnd w:id="11"/>
      <w:bookmarkEnd w:id="12"/>
    </w:p>
    <w:p w14:paraId="13A2E621">
      <w:pPr>
        <w:adjustRightInd w:val="0"/>
        <w:snapToGrid w:val="0"/>
        <w:spacing w:line="360" w:lineRule="auto"/>
        <w:ind w:firstLine="54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时间：</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u w:val="single"/>
          <w:lang w:val="en-US" w:eastAsia="zh-CN"/>
        </w:rPr>
        <w:t>2024</w:t>
      </w:r>
      <w:r>
        <w:rPr>
          <w:rFonts w:hint="eastAsia" w:ascii="仿宋_GB2312" w:hAnsi="仿宋_GB2312" w:eastAsia="仿宋_GB2312" w:cs="仿宋_GB2312"/>
          <w:color w:val="0000FF"/>
          <w:szCs w:val="21"/>
          <w:highlight w:val="none"/>
          <w:u w:val="single"/>
        </w:rPr>
        <w:t>年</w:t>
      </w:r>
      <w:r>
        <w:rPr>
          <w:rFonts w:hint="eastAsia" w:ascii="仿宋_GB2312" w:hAnsi="仿宋_GB2312" w:eastAsia="仿宋_GB2312" w:cs="仿宋_GB2312"/>
          <w:color w:val="0000FF"/>
          <w:szCs w:val="21"/>
          <w:highlight w:val="none"/>
          <w:u w:val="single"/>
          <w:lang w:val="en-US" w:eastAsia="zh-CN"/>
        </w:rPr>
        <w:t>7</w:t>
      </w:r>
      <w:r>
        <w:rPr>
          <w:rFonts w:hint="eastAsia" w:ascii="仿宋_GB2312" w:hAnsi="仿宋_GB2312" w:eastAsia="仿宋_GB2312" w:cs="仿宋_GB2312"/>
          <w:color w:val="0000FF"/>
          <w:szCs w:val="21"/>
          <w:highlight w:val="none"/>
          <w:u w:val="single"/>
        </w:rPr>
        <w:t>月</w:t>
      </w:r>
      <w:r>
        <w:rPr>
          <w:rFonts w:hint="eastAsia" w:ascii="仿宋_GB2312" w:hAnsi="仿宋_GB2312" w:eastAsia="仿宋_GB2312" w:cs="仿宋_GB2312"/>
          <w:color w:val="0000FF"/>
          <w:szCs w:val="21"/>
          <w:highlight w:val="none"/>
          <w:u w:val="single"/>
          <w:lang w:val="en-US" w:eastAsia="zh-CN"/>
        </w:rPr>
        <w:t>5</w:t>
      </w:r>
      <w:r>
        <w:rPr>
          <w:rFonts w:hint="eastAsia" w:ascii="仿宋_GB2312" w:hAnsi="仿宋_GB2312" w:eastAsia="仿宋_GB2312" w:cs="仿宋_GB2312"/>
          <w:color w:val="0000FF"/>
          <w:szCs w:val="21"/>
          <w:highlight w:val="none"/>
          <w:u w:val="single"/>
        </w:rPr>
        <w:t>日</w:t>
      </w:r>
      <w:r>
        <w:rPr>
          <w:rFonts w:hint="eastAsia" w:ascii="仿宋_GB2312" w:hAnsi="仿宋_GB2312" w:eastAsia="仿宋_GB2312" w:cs="仿宋_GB2312"/>
          <w:color w:val="0000FF"/>
          <w:szCs w:val="21"/>
          <w:highlight w:val="none"/>
        </w:rPr>
        <w:t>至</w:t>
      </w:r>
      <w:r>
        <w:rPr>
          <w:rFonts w:hint="eastAsia" w:ascii="仿宋_GB2312" w:hAnsi="仿宋_GB2312" w:eastAsia="仿宋_GB2312" w:cs="仿宋_GB2312"/>
          <w:color w:val="0000FF"/>
          <w:szCs w:val="21"/>
          <w:highlight w:val="none"/>
          <w:u w:val="single"/>
        </w:rPr>
        <w:t xml:space="preserve"> </w:t>
      </w:r>
      <w:r>
        <w:rPr>
          <w:rFonts w:hint="eastAsia" w:ascii="仿宋_GB2312" w:hAnsi="仿宋_GB2312" w:eastAsia="仿宋_GB2312" w:cs="仿宋_GB2312"/>
          <w:color w:val="0000FF"/>
          <w:szCs w:val="21"/>
          <w:highlight w:val="none"/>
          <w:u w:val="single"/>
          <w:lang w:val="en-US" w:eastAsia="zh-CN"/>
        </w:rPr>
        <w:t>2024</w:t>
      </w:r>
      <w:r>
        <w:rPr>
          <w:rFonts w:hint="eastAsia" w:ascii="仿宋_GB2312" w:hAnsi="仿宋_GB2312" w:eastAsia="仿宋_GB2312" w:cs="仿宋_GB2312"/>
          <w:color w:val="0000FF"/>
          <w:szCs w:val="21"/>
          <w:highlight w:val="none"/>
          <w:u w:val="single"/>
        </w:rPr>
        <w:t>年</w:t>
      </w:r>
      <w:r>
        <w:rPr>
          <w:rFonts w:hint="eastAsia" w:ascii="仿宋_GB2312" w:hAnsi="仿宋_GB2312" w:eastAsia="仿宋_GB2312" w:cs="仿宋_GB2312"/>
          <w:color w:val="0000FF"/>
          <w:szCs w:val="21"/>
          <w:highlight w:val="none"/>
          <w:u w:val="single"/>
          <w:lang w:val="en-US" w:eastAsia="zh-CN"/>
        </w:rPr>
        <w:t>7</w:t>
      </w:r>
      <w:r>
        <w:rPr>
          <w:rFonts w:hint="eastAsia" w:ascii="仿宋_GB2312" w:hAnsi="仿宋_GB2312" w:eastAsia="仿宋_GB2312" w:cs="仿宋_GB2312"/>
          <w:color w:val="0000FF"/>
          <w:szCs w:val="21"/>
          <w:highlight w:val="none"/>
          <w:u w:val="single"/>
        </w:rPr>
        <w:t>月</w:t>
      </w:r>
      <w:r>
        <w:rPr>
          <w:rFonts w:hint="eastAsia" w:ascii="仿宋_GB2312" w:hAnsi="仿宋_GB2312" w:eastAsia="仿宋_GB2312" w:cs="仿宋_GB2312"/>
          <w:color w:val="0000FF"/>
          <w:szCs w:val="21"/>
          <w:highlight w:val="none"/>
          <w:u w:val="single"/>
          <w:lang w:val="en-US" w:eastAsia="zh-CN"/>
        </w:rPr>
        <w:t>12</w:t>
      </w:r>
      <w:r>
        <w:rPr>
          <w:rFonts w:hint="eastAsia" w:ascii="仿宋_GB2312" w:hAnsi="仿宋_GB2312" w:eastAsia="仿宋_GB2312" w:cs="仿宋_GB2312"/>
          <w:color w:val="0000FF"/>
          <w:szCs w:val="21"/>
          <w:highlight w:val="none"/>
          <w:u w:val="single"/>
        </w:rPr>
        <w:t>日</w:t>
      </w:r>
      <w:r>
        <w:rPr>
          <w:rFonts w:hint="eastAsia" w:ascii="仿宋_GB2312" w:hAnsi="仿宋_GB2312" w:eastAsia="仿宋_GB2312" w:cs="仿宋_GB2312"/>
          <w:szCs w:val="21"/>
          <w:highlight w:val="none"/>
        </w:rPr>
        <w:t>，每天上午</w:t>
      </w:r>
      <w:r>
        <w:rPr>
          <w:rFonts w:hint="eastAsia" w:ascii="仿宋_GB2312" w:hAnsi="仿宋_GB2312" w:eastAsia="仿宋_GB2312" w:cs="仿宋_GB2312"/>
          <w:szCs w:val="21"/>
          <w:highlight w:val="none"/>
          <w:u w:val="single"/>
          <w:lang w:val="en-US" w:eastAsia="zh-CN"/>
        </w:rPr>
        <w:t>08:30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lang w:val="en-US" w:eastAsia="zh-CN"/>
        </w:rPr>
        <w:t>11:30</w:t>
      </w:r>
      <w:r>
        <w:rPr>
          <w:rFonts w:hint="eastAsia" w:ascii="仿宋_GB2312" w:hAnsi="仿宋_GB2312" w:eastAsia="仿宋_GB2312" w:cs="仿宋_GB2312"/>
          <w:szCs w:val="21"/>
          <w:highlight w:val="none"/>
        </w:rPr>
        <w:t>，下午</w:t>
      </w:r>
      <w:r>
        <w:rPr>
          <w:rFonts w:hint="eastAsia" w:ascii="仿宋_GB2312" w:hAnsi="仿宋_GB2312" w:eastAsia="仿宋_GB2312" w:cs="仿宋_GB2312"/>
          <w:szCs w:val="21"/>
          <w:highlight w:val="none"/>
          <w:u w:val="single"/>
          <w:lang w:val="en-US" w:eastAsia="zh-CN"/>
        </w:rPr>
        <w:t>13:00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lang w:val="en-US" w:eastAsia="zh-CN"/>
        </w:rPr>
        <w:t>16:00</w:t>
      </w:r>
      <w:r>
        <w:rPr>
          <w:rFonts w:hint="eastAsia" w:ascii="仿宋_GB2312" w:hAnsi="仿宋_GB2312" w:eastAsia="仿宋_GB2312" w:cs="仿宋_GB2312"/>
          <w:szCs w:val="21"/>
          <w:highlight w:val="none"/>
        </w:rPr>
        <w:t>（北京时间，法定节假日除外）</w:t>
      </w:r>
    </w:p>
    <w:p w14:paraId="58EB74E3">
      <w:pPr>
        <w:adjustRightInd w:val="0"/>
        <w:snapToGrid w:val="0"/>
        <w:spacing w:line="360" w:lineRule="auto"/>
        <w:ind w:firstLine="540"/>
        <w:rPr>
          <w:rFonts w:hint="eastAsia" w:ascii="仿宋_GB2312" w:hAnsi="仿宋_GB2312" w:eastAsia="仿宋_GB2312" w:cs="仿宋_GB2312"/>
          <w:szCs w:val="21"/>
          <w:highlight w:val="none"/>
          <w:u w:val="single"/>
          <w:lang w:eastAsia="zh-CN"/>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szCs w:val="21"/>
          <w:highlight w:val="none"/>
          <w:lang w:eastAsia="zh-CN"/>
        </w:rPr>
        <w:t>辽宁众途工程造价咨询有限公司</w:t>
      </w:r>
    </w:p>
    <w:p w14:paraId="3B0CE2BF">
      <w:pPr>
        <w:adjustRightInd w:val="0"/>
        <w:snapToGrid w:val="0"/>
        <w:spacing w:line="360" w:lineRule="auto"/>
        <w:ind w:firstLine="540"/>
        <w:rPr>
          <w:rFonts w:hint="default" w:ascii="仿宋_GB2312" w:hAnsi="仿宋_GB2312" w:eastAsia="仿宋_GB2312" w:cs="仿宋_GB2312"/>
          <w:szCs w:val="21"/>
          <w:highlight w:val="none"/>
          <w:u w:val="single"/>
          <w:lang w:val="en-US" w:eastAsia="zh-CN"/>
        </w:rPr>
      </w:pPr>
      <w:r>
        <w:rPr>
          <w:rFonts w:hint="eastAsia" w:ascii="仿宋_GB2312" w:hAnsi="仿宋_GB2312" w:eastAsia="仿宋_GB2312" w:cs="仿宋_GB2312"/>
          <w:szCs w:val="21"/>
          <w:highlight w:val="none"/>
        </w:rPr>
        <w:t>方式：</w:t>
      </w:r>
      <w:r>
        <w:rPr>
          <w:rFonts w:hint="eastAsia" w:ascii="仿宋_GB2312" w:hAnsi="仿宋_GB2312" w:eastAsia="仿宋_GB2312" w:cs="仿宋_GB2312"/>
          <w:szCs w:val="21"/>
          <w:highlight w:val="none"/>
          <w:lang w:eastAsia="zh-CN"/>
        </w:rPr>
        <w:t>现场领取</w:t>
      </w:r>
      <w:r>
        <w:rPr>
          <w:rFonts w:hint="eastAsia" w:ascii="仿宋_GB2312" w:hAnsi="仿宋_GB2312" w:eastAsia="仿宋_GB2312" w:cs="仿宋_GB2312"/>
          <w:szCs w:val="21"/>
          <w:highlight w:val="none"/>
          <w:lang w:val="en-US" w:eastAsia="zh-CN"/>
        </w:rPr>
        <w:t>/邮箱发送</w:t>
      </w:r>
    </w:p>
    <w:p w14:paraId="5FE183E0">
      <w:pPr>
        <w:adjustRightInd w:val="0"/>
        <w:snapToGrid w:val="0"/>
        <w:spacing w:line="360" w:lineRule="auto"/>
        <w:ind w:firstLine="54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售价：</w:t>
      </w:r>
      <w:r>
        <w:rPr>
          <w:rFonts w:hint="eastAsia" w:ascii="仿宋_GB2312" w:hAnsi="仿宋_GB2312" w:eastAsia="仿宋_GB2312" w:cs="仿宋_GB2312"/>
          <w:szCs w:val="21"/>
          <w:highlight w:val="none"/>
          <w:lang w:eastAsia="zh-CN"/>
        </w:rPr>
        <w:t>免费</w:t>
      </w:r>
    </w:p>
    <w:p w14:paraId="1C9A4011">
      <w:pPr>
        <w:adjustRightInd w:val="0"/>
        <w:snapToGrid w:val="0"/>
        <w:spacing w:line="360" w:lineRule="auto"/>
        <w:rPr>
          <w:rFonts w:hint="eastAsia" w:ascii="仿宋_GB2312" w:hAnsi="仿宋_GB2312" w:eastAsia="仿宋_GB2312" w:cs="仿宋_GB2312"/>
          <w:b/>
          <w:bCs/>
          <w:szCs w:val="21"/>
          <w:highlight w:val="none"/>
        </w:rPr>
      </w:pPr>
      <w:bookmarkStart w:id="13" w:name="_Toc28359082"/>
      <w:bookmarkStart w:id="14" w:name="_Toc28359005"/>
      <w:bookmarkStart w:id="15" w:name="_Toc35393624"/>
      <w:bookmarkStart w:id="16" w:name="_Toc35393793"/>
      <w:r>
        <w:rPr>
          <w:rFonts w:hint="eastAsia" w:ascii="仿宋_GB2312" w:hAnsi="仿宋_GB2312" w:eastAsia="仿宋_GB2312" w:cs="仿宋_GB2312"/>
          <w:b/>
          <w:bCs/>
          <w:szCs w:val="21"/>
          <w:highlight w:val="none"/>
        </w:rPr>
        <w:t>五、提交投标文件</w:t>
      </w:r>
      <w:bookmarkEnd w:id="13"/>
      <w:bookmarkEnd w:id="14"/>
      <w:r>
        <w:rPr>
          <w:rFonts w:hint="eastAsia" w:ascii="仿宋_GB2312" w:hAnsi="仿宋_GB2312" w:eastAsia="仿宋_GB2312" w:cs="仿宋_GB2312"/>
          <w:b/>
          <w:bCs/>
          <w:szCs w:val="21"/>
          <w:highlight w:val="none"/>
        </w:rPr>
        <w:t>截止时间、开标时间和地点</w:t>
      </w:r>
      <w:bookmarkEnd w:id="15"/>
      <w:bookmarkEnd w:id="16"/>
    </w:p>
    <w:p w14:paraId="362C0199">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bCs/>
          <w:color w:val="0000FF"/>
          <w:szCs w:val="21"/>
          <w:highlight w:val="none"/>
          <w:u w:val="single"/>
        </w:rPr>
        <w:t xml:space="preserve"> </w:t>
      </w:r>
      <w:r>
        <w:rPr>
          <w:rFonts w:hint="eastAsia" w:ascii="仿宋_GB2312" w:hAnsi="仿宋_GB2312" w:eastAsia="仿宋_GB2312" w:cs="仿宋_GB2312"/>
          <w:bCs/>
          <w:color w:val="0000FF"/>
          <w:szCs w:val="21"/>
          <w:highlight w:val="none"/>
          <w:u w:val="single"/>
          <w:lang w:val="en-US" w:eastAsia="zh-CN"/>
        </w:rPr>
        <w:t>2024</w:t>
      </w:r>
      <w:r>
        <w:rPr>
          <w:rFonts w:hint="eastAsia" w:ascii="仿宋_GB2312" w:hAnsi="仿宋_GB2312" w:eastAsia="仿宋_GB2312" w:cs="仿宋_GB2312"/>
          <w:bCs/>
          <w:color w:val="0000FF"/>
          <w:szCs w:val="21"/>
          <w:highlight w:val="none"/>
          <w:u w:val="single"/>
        </w:rPr>
        <w:t xml:space="preserve">年 </w:t>
      </w:r>
      <w:r>
        <w:rPr>
          <w:rFonts w:hint="eastAsia" w:ascii="仿宋_GB2312" w:hAnsi="仿宋_GB2312" w:eastAsia="仿宋_GB2312" w:cs="仿宋_GB2312"/>
          <w:bCs/>
          <w:color w:val="0000FF"/>
          <w:szCs w:val="21"/>
          <w:highlight w:val="none"/>
          <w:u w:val="single"/>
          <w:lang w:val="en-US" w:eastAsia="zh-CN"/>
        </w:rPr>
        <w:t>7</w:t>
      </w:r>
      <w:r>
        <w:rPr>
          <w:rFonts w:hint="eastAsia" w:ascii="仿宋_GB2312" w:hAnsi="仿宋_GB2312" w:eastAsia="仿宋_GB2312" w:cs="仿宋_GB2312"/>
          <w:bCs/>
          <w:color w:val="0000FF"/>
          <w:szCs w:val="21"/>
          <w:highlight w:val="none"/>
          <w:u w:val="single"/>
        </w:rPr>
        <w:t>月</w:t>
      </w:r>
      <w:r>
        <w:rPr>
          <w:rFonts w:hint="eastAsia" w:ascii="仿宋_GB2312" w:hAnsi="仿宋_GB2312" w:eastAsia="仿宋_GB2312" w:cs="仿宋_GB2312"/>
          <w:bCs/>
          <w:color w:val="0000FF"/>
          <w:szCs w:val="21"/>
          <w:highlight w:val="none"/>
          <w:u w:val="single"/>
          <w:lang w:val="en-US" w:eastAsia="zh-CN"/>
        </w:rPr>
        <w:t>26</w:t>
      </w:r>
      <w:r>
        <w:rPr>
          <w:rFonts w:hint="eastAsia" w:ascii="仿宋_GB2312" w:hAnsi="仿宋_GB2312" w:eastAsia="仿宋_GB2312" w:cs="仿宋_GB2312"/>
          <w:bCs/>
          <w:color w:val="0000FF"/>
          <w:szCs w:val="21"/>
          <w:highlight w:val="none"/>
          <w:u w:val="single"/>
        </w:rPr>
        <w:t>日</w:t>
      </w:r>
      <w:r>
        <w:rPr>
          <w:rFonts w:hint="eastAsia" w:ascii="仿宋_GB2312" w:hAnsi="仿宋_GB2312" w:eastAsia="仿宋_GB2312" w:cs="仿宋_GB2312"/>
          <w:bCs/>
          <w:color w:val="0000FF"/>
          <w:szCs w:val="21"/>
          <w:highlight w:val="none"/>
          <w:u w:val="single"/>
          <w:lang w:val="en-US" w:eastAsia="zh-CN"/>
        </w:rPr>
        <w:t>09</w:t>
      </w:r>
      <w:r>
        <w:rPr>
          <w:rFonts w:hint="eastAsia" w:ascii="仿宋_GB2312" w:hAnsi="仿宋_GB2312" w:eastAsia="仿宋_GB2312" w:cs="仿宋_GB2312"/>
          <w:bCs/>
          <w:color w:val="0000FF"/>
          <w:szCs w:val="21"/>
          <w:highlight w:val="none"/>
          <w:u w:val="single"/>
        </w:rPr>
        <w:t xml:space="preserve">点 </w:t>
      </w:r>
      <w:r>
        <w:rPr>
          <w:rFonts w:hint="eastAsia" w:ascii="仿宋_GB2312" w:hAnsi="仿宋_GB2312" w:eastAsia="仿宋_GB2312" w:cs="仿宋_GB2312"/>
          <w:bCs/>
          <w:color w:val="0000FF"/>
          <w:szCs w:val="21"/>
          <w:highlight w:val="none"/>
          <w:u w:val="single"/>
          <w:lang w:val="en-US" w:eastAsia="zh-CN"/>
        </w:rPr>
        <w:t>30</w:t>
      </w:r>
      <w:r>
        <w:rPr>
          <w:rFonts w:hint="eastAsia" w:ascii="仿宋_GB2312" w:hAnsi="仿宋_GB2312" w:eastAsia="仿宋_GB2312" w:cs="仿宋_GB2312"/>
          <w:bCs/>
          <w:color w:val="0000FF"/>
          <w:szCs w:val="21"/>
          <w:highlight w:val="none"/>
          <w:u w:val="single"/>
        </w:rPr>
        <w:t xml:space="preserve"> 分</w:t>
      </w:r>
      <w:r>
        <w:rPr>
          <w:rFonts w:hint="eastAsia" w:ascii="仿宋_GB2312" w:hAnsi="仿宋_GB2312" w:eastAsia="仿宋_GB2312" w:cs="仿宋_GB2312"/>
          <w:bCs/>
          <w:szCs w:val="21"/>
          <w:highlight w:val="none"/>
        </w:rPr>
        <w:t>（北京时间）</w:t>
      </w:r>
    </w:p>
    <w:p w14:paraId="47D55B87">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szCs w:val="21"/>
          <w:highlight w:val="none"/>
          <w:lang w:eastAsia="zh-CN"/>
        </w:rPr>
        <w:t>辽宁众途工程造价咨询有限公司</w:t>
      </w:r>
    </w:p>
    <w:p w14:paraId="712A6498">
      <w:pPr>
        <w:adjustRightInd w:val="0"/>
        <w:snapToGrid w:val="0"/>
        <w:spacing w:line="360" w:lineRule="auto"/>
        <w:rPr>
          <w:rFonts w:hint="eastAsia" w:ascii="仿宋_GB2312" w:hAnsi="仿宋_GB2312" w:eastAsia="仿宋_GB2312" w:cs="仿宋_GB2312"/>
          <w:b/>
          <w:bCs/>
          <w:szCs w:val="21"/>
          <w:highlight w:val="none"/>
        </w:rPr>
      </w:pPr>
      <w:bookmarkStart w:id="17" w:name="_Toc28359007"/>
      <w:bookmarkStart w:id="18" w:name="_Toc35393794"/>
      <w:bookmarkStart w:id="19" w:name="_Toc28359084"/>
      <w:bookmarkStart w:id="20" w:name="_Toc35393625"/>
      <w:r>
        <w:rPr>
          <w:rFonts w:hint="eastAsia" w:ascii="仿宋_GB2312" w:hAnsi="仿宋_GB2312" w:eastAsia="仿宋_GB2312" w:cs="仿宋_GB2312"/>
          <w:b/>
          <w:bCs/>
          <w:szCs w:val="21"/>
          <w:highlight w:val="none"/>
        </w:rPr>
        <w:t>六、公告期限</w:t>
      </w:r>
      <w:bookmarkEnd w:id="17"/>
      <w:bookmarkEnd w:id="18"/>
      <w:bookmarkEnd w:id="19"/>
      <w:bookmarkEnd w:id="20"/>
    </w:p>
    <w:p w14:paraId="0DEB0539">
      <w:pPr>
        <w:adjustRightInd w:val="0"/>
        <w:snapToGrid w:val="0"/>
        <w:spacing w:line="360" w:lineRule="auto"/>
        <w:ind w:firstLine="420" w:firstLineChars="2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自本公告发布之日起5个工作日。</w:t>
      </w:r>
    </w:p>
    <w:p w14:paraId="4C897C20">
      <w:pPr>
        <w:keepNext/>
        <w:keepLines/>
        <w:adjustRightInd w:val="0"/>
        <w:snapToGrid w:val="0"/>
        <w:spacing w:line="360" w:lineRule="auto"/>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rPr>
        <w:t>七、质疑与投诉</w:t>
      </w:r>
    </w:p>
    <w:p w14:paraId="75799A6E">
      <w:pPr>
        <w:widowControl/>
        <w:adjustRightInd w:val="0"/>
        <w:snapToGrid w:val="0"/>
        <w:spacing w:line="360" w:lineRule="auto"/>
        <w:ind w:firstLine="539"/>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供应商认为自己的权益受到损害的，可以在知道或者应知其权益受到损害之日起七个工作日内，向采购代理机构或采购人提出质疑。</w:t>
      </w:r>
    </w:p>
    <w:p w14:paraId="5D8AB234">
      <w:pPr>
        <w:widowControl/>
        <w:adjustRightInd w:val="0"/>
        <w:snapToGrid w:val="0"/>
        <w:spacing w:line="360" w:lineRule="auto"/>
        <w:ind w:firstLine="48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1、接收质疑函方式：书面纸质质疑函</w:t>
      </w:r>
    </w:p>
    <w:p w14:paraId="242D3A16">
      <w:pPr>
        <w:widowControl/>
        <w:adjustRightInd w:val="0"/>
        <w:snapToGrid w:val="0"/>
        <w:spacing w:line="360" w:lineRule="auto"/>
        <w:ind w:firstLine="48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2、质疑函内容、格式：应符合《政府采购质疑和投诉办法》相关规定和财政部制定的《政府采购质疑函范本》格式，详见辽宁政府采购网。</w:t>
      </w:r>
    </w:p>
    <w:p w14:paraId="4F40ABCC">
      <w:pPr>
        <w:adjustRightInd w:val="0"/>
        <w:snapToGrid w:val="0"/>
        <w:spacing w:line="360" w:lineRule="auto"/>
        <w:rPr>
          <w:rFonts w:hint="eastAsia" w:ascii="仿宋_GB2312" w:hAnsi="仿宋_GB2312" w:eastAsia="仿宋_GB2312" w:cs="仿宋_GB2312"/>
          <w:szCs w:val="21"/>
          <w:highlight w:val="none"/>
        </w:rPr>
      </w:pPr>
      <w:bookmarkStart w:id="21" w:name="_Toc35393795"/>
      <w:bookmarkStart w:id="22" w:name="_Toc35393626"/>
      <w:r>
        <w:rPr>
          <w:rFonts w:hint="eastAsia" w:ascii="仿宋_GB2312" w:hAnsi="仿宋_GB2312" w:eastAsia="仿宋_GB2312" w:cs="仿宋_GB2312"/>
          <w:szCs w:val="21"/>
          <w:highlight w:val="none"/>
        </w:rPr>
        <w:t>八、其他补充事宜</w:t>
      </w:r>
      <w:bookmarkEnd w:id="21"/>
      <w:bookmarkEnd w:id="22"/>
    </w:p>
    <w:p w14:paraId="1FD4F5FD">
      <w:pPr>
        <w:widowControl/>
        <w:adjustRightInd w:val="0"/>
        <w:snapToGrid w:val="0"/>
        <w:spacing w:line="360" w:lineRule="auto"/>
        <w:ind w:firstLine="480"/>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eastAsia="zh-CN"/>
        </w:rPr>
        <w:t>现场领取或邮箱发送需要的材料</w:t>
      </w:r>
      <w:r>
        <w:rPr>
          <w:rFonts w:hint="eastAsia" w:ascii="仿宋_GB2312" w:hAnsi="仿宋_GB2312" w:eastAsia="仿宋_GB2312" w:cs="仿宋_GB2312"/>
          <w:szCs w:val="21"/>
          <w:highlight w:val="none"/>
        </w:rPr>
        <w:t>：1、法人或者其他组织的营业执照等主体证明文件或自然人的身份证明（自然人身份证明仅限在自然人作为响应主体时使用）；2、法定代表人（或非法人组织负责人）身份证明书（自然人作为响应主体时不需提供）；3、授权委托书（法定代表人、非法人组织负责人、自然人本人领取采购文件的无需提供）。</w:t>
      </w:r>
    </w:p>
    <w:p w14:paraId="75356127">
      <w:pPr>
        <w:adjustRightInd w:val="0"/>
        <w:snapToGrid w:val="0"/>
        <w:spacing w:line="360" w:lineRule="auto"/>
        <w:rPr>
          <w:rFonts w:hint="eastAsia" w:ascii="仿宋_GB2312" w:hAnsi="仿宋_GB2312" w:eastAsia="仿宋_GB2312" w:cs="仿宋_GB2312"/>
          <w:szCs w:val="21"/>
          <w:highlight w:val="none"/>
        </w:rPr>
      </w:pPr>
      <w:bookmarkStart w:id="23" w:name="_Toc35393796"/>
      <w:bookmarkStart w:id="24" w:name="_Toc35393627"/>
      <w:bookmarkStart w:id="25" w:name="_Toc28359085"/>
      <w:bookmarkStart w:id="26" w:name="_Toc28359008"/>
      <w:r>
        <w:rPr>
          <w:rFonts w:hint="eastAsia" w:ascii="仿宋_GB2312" w:hAnsi="仿宋_GB2312" w:eastAsia="仿宋_GB2312" w:cs="仿宋_GB2312"/>
          <w:szCs w:val="21"/>
          <w:highlight w:val="none"/>
        </w:rPr>
        <w:t>九、对本次招标提出询问，请按以下方式联系。</w:t>
      </w:r>
      <w:bookmarkEnd w:id="23"/>
      <w:bookmarkEnd w:id="24"/>
      <w:bookmarkEnd w:id="25"/>
      <w:bookmarkEnd w:id="26"/>
    </w:p>
    <w:p w14:paraId="6C9C0764">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14:paraId="771E0891">
      <w:pPr>
        <w:widowControl/>
        <w:adjustRightInd w:val="0"/>
        <w:snapToGrid w:val="0"/>
        <w:spacing w:line="360" w:lineRule="auto"/>
        <w:ind w:firstLine="613" w:firstLineChars="292"/>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名称：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eastAsia="zh-CN"/>
        </w:rPr>
        <w:t>营口市总工会</w:t>
      </w:r>
      <w:r>
        <w:rPr>
          <w:rFonts w:ascii="仿宋_GB2312" w:hAnsi="仿宋_GB2312" w:eastAsia="仿宋_GB2312" w:cs="仿宋_GB2312"/>
          <w:szCs w:val="21"/>
          <w:highlight w:val="none"/>
          <w:u w:val="single"/>
        </w:rPr>
        <w:t>　</w:t>
      </w:r>
    </w:p>
    <w:p w14:paraId="05A16BAB">
      <w:pPr>
        <w:widowControl/>
        <w:adjustRightInd w:val="0"/>
        <w:snapToGrid w:val="0"/>
        <w:spacing w:line="360" w:lineRule="auto"/>
        <w:ind w:firstLine="613" w:firstLineChars="292"/>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地址：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eastAsia="zh-CN"/>
        </w:rPr>
        <w:t>营口市站前区渤海大街东</w:t>
      </w:r>
      <w:r>
        <w:rPr>
          <w:rFonts w:hint="eastAsia" w:ascii="仿宋_GB2312" w:hAnsi="仿宋_GB2312" w:eastAsia="仿宋_GB2312" w:cs="仿宋_GB2312"/>
          <w:szCs w:val="21"/>
          <w:highlight w:val="none"/>
          <w:u w:val="single"/>
          <w:lang w:val="en-US" w:eastAsia="zh-CN"/>
        </w:rPr>
        <w:t>27号</w:t>
      </w:r>
      <w:r>
        <w:rPr>
          <w:rFonts w:ascii="仿宋_GB2312" w:hAnsi="仿宋_GB2312" w:eastAsia="仿宋_GB2312" w:cs="仿宋_GB2312"/>
          <w:szCs w:val="21"/>
          <w:highlight w:val="none"/>
          <w:u w:val="single"/>
        </w:rPr>
        <w:t>　</w:t>
      </w:r>
    </w:p>
    <w:p w14:paraId="6FC8463D">
      <w:pPr>
        <w:widowControl/>
        <w:adjustRightInd w:val="0"/>
        <w:snapToGrid w:val="0"/>
        <w:spacing w:line="360" w:lineRule="auto"/>
        <w:ind w:firstLine="613" w:firstLineChars="292"/>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联系方式：</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val="en-US" w:eastAsia="zh-CN"/>
        </w:rPr>
        <w:t>0417-2892713</w:t>
      </w:r>
      <w:r>
        <w:rPr>
          <w:rFonts w:ascii="仿宋_GB2312" w:hAnsi="仿宋_GB2312" w:eastAsia="仿宋_GB2312" w:cs="仿宋_GB2312"/>
          <w:szCs w:val="21"/>
          <w:highlight w:val="none"/>
          <w:u w:val="single"/>
        </w:rPr>
        <w:t>　</w:t>
      </w:r>
    </w:p>
    <w:p w14:paraId="0FA5690C">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14:paraId="41745BBC">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名称：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rPr>
        <w:t>辽宁众途工程造价咨询有限公司</w:t>
      </w:r>
      <w:r>
        <w:rPr>
          <w:rFonts w:ascii="仿宋_GB2312" w:hAnsi="仿宋_GB2312" w:eastAsia="仿宋_GB2312" w:cs="仿宋_GB2312"/>
          <w:szCs w:val="21"/>
          <w:highlight w:val="none"/>
          <w:u w:val="single"/>
        </w:rPr>
        <w:t>　</w:t>
      </w:r>
    </w:p>
    <w:p w14:paraId="25673CA3">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地址： </w:t>
      </w:r>
      <w:r>
        <w:rPr>
          <w:rFonts w:hint="eastAsia" w:ascii="仿宋_GB2312" w:hAnsi="仿宋_GB2312" w:eastAsia="仿宋_GB2312" w:cs="仿宋_GB2312"/>
          <w:szCs w:val="21"/>
          <w:highlight w:val="none"/>
          <w:u w:val="single"/>
        </w:rPr>
        <w:t>　营口市站前区建设街135号（老客运站）　</w:t>
      </w:r>
    </w:p>
    <w:p w14:paraId="79519237">
      <w:pPr>
        <w:snapToGrid w:val="0"/>
        <w:spacing w:line="360" w:lineRule="auto"/>
        <w:ind w:firstLine="621" w:firstLineChars="296"/>
        <w:jc w:val="left"/>
        <w:rPr>
          <w:rFonts w:hint="eastAsia" w:ascii="仿宋_GB2312" w:hAnsi="仿宋_GB2312" w:eastAsia="仿宋_GB2312" w:cs="仿宋_GB2312"/>
          <w:szCs w:val="21"/>
          <w:highlight w:val="none"/>
          <w:u w:val="single"/>
          <w:lang w:val="en-US" w:eastAsia="zh-CN"/>
        </w:rPr>
      </w:pPr>
      <w:r>
        <w:rPr>
          <w:rFonts w:hint="eastAsia" w:ascii="仿宋_GB2312" w:hAnsi="仿宋_GB2312" w:eastAsia="仿宋_GB2312" w:cs="仿宋_GB2312"/>
          <w:bCs/>
          <w:szCs w:val="21"/>
          <w:highlight w:val="none"/>
        </w:rPr>
        <w:t>联系方式：</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val="en-US" w:eastAsia="zh-CN"/>
        </w:rPr>
        <w:t xml:space="preserve">0417-2819001 </w:t>
      </w:r>
    </w:p>
    <w:p w14:paraId="21D5C236">
      <w:pPr>
        <w:snapToGrid w:val="0"/>
        <w:spacing w:line="360" w:lineRule="auto"/>
        <w:ind w:firstLine="621" w:firstLineChars="296"/>
        <w:jc w:val="left"/>
        <w:rPr>
          <w:rFonts w:hint="eastAsia" w:ascii="仿宋_GB2312" w:hAnsi="仿宋_GB2312" w:eastAsia="仿宋_GB2312" w:cs="仿宋_GB2312"/>
          <w:szCs w:val="21"/>
          <w:highlight w:val="none"/>
          <w:u w:val="single"/>
        </w:rPr>
      </w:pPr>
      <w:r>
        <w:rPr>
          <w:rFonts w:hint="eastAsia" w:ascii="仿宋_GB2312" w:hAnsi="仿宋_GB2312" w:eastAsia="仿宋_GB2312" w:cs="仿宋_GB2312"/>
          <w:bCs/>
          <w:szCs w:val="21"/>
          <w:highlight w:val="none"/>
        </w:rPr>
        <w:t>邮箱地址：</w:t>
      </w:r>
      <w:r>
        <w:rPr>
          <w:rFonts w:hint="eastAsia" w:ascii="仿宋_GB2312" w:hAnsi="仿宋_GB2312" w:eastAsia="仿宋_GB2312" w:cs="仿宋_GB2312"/>
          <w:szCs w:val="21"/>
          <w:highlight w:val="none"/>
          <w:u w:val="single"/>
        </w:rPr>
        <w:t>　ln_ztzb@163.com</w:t>
      </w:r>
    </w:p>
    <w:p w14:paraId="22C18E49">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开户行：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rPr>
        <w:t>营口银行股份有限公司高新园区支行　</w:t>
      </w:r>
    </w:p>
    <w:p w14:paraId="48545B78">
      <w:pPr>
        <w:adjustRightInd w:val="0"/>
        <w:snapToGrid w:val="0"/>
        <w:spacing w:line="360" w:lineRule="auto"/>
        <w:ind w:firstLine="630" w:firstLineChars="300"/>
        <w:rPr>
          <w:rFonts w:hint="eastAsia" w:ascii="仿宋_GB2312" w:hAnsi="仿宋_GB2312" w:eastAsia="仿宋_GB2312" w:cs="仿宋_GB2312"/>
          <w:bCs/>
          <w:szCs w:val="21"/>
          <w:highlight w:val="none"/>
        </w:rPr>
      </w:pPr>
      <w:r>
        <w:rPr>
          <w:rFonts w:hint="eastAsia" w:ascii="仿宋_GB2312" w:hAnsi="仿宋_GB2312" w:eastAsia="仿宋_GB2312" w:cs="仿宋_GB2312"/>
          <w:bCs/>
          <w:szCs w:val="21"/>
          <w:highlight w:val="none"/>
        </w:rPr>
        <w:t xml:space="preserve">账户名称： </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rPr>
        <w:t>辽宁众途工程造价咨询有限公司</w:t>
      </w:r>
    </w:p>
    <w:p w14:paraId="126E62FD">
      <w:pPr>
        <w:adjustRightInd w:val="0"/>
        <w:snapToGrid w:val="0"/>
        <w:spacing w:line="360" w:lineRule="auto"/>
        <w:ind w:firstLine="630" w:firstLineChars="300"/>
        <w:rPr>
          <w:rFonts w:hint="eastAsia" w:ascii="仿宋_GB2312" w:hAnsi="仿宋_GB2312" w:eastAsia="仿宋_GB2312" w:cs="仿宋_GB2312"/>
          <w:szCs w:val="21"/>
          <w:highlight w:val="none"/>
          <w:u w:val="single"/>
        </w:rPr>
      </w:pPr>
      <w:r>
        <w:rPr>
          <w:rFonts w:hint="eastAsia" w:ascii="仿宋_GB2312" w:hAnsi="仿宋_GB2312" w:eastAsia="仿宋_GB2312" w:cs="仿宋_GB2312"/>
          <w:bCs/>
          <w:szCs w:val="21"/>
          <w:highlight w:val="none"/>
        </w:rPr>
        <w:t>账号：</w:t>
      </w:r>
      <w:r>
        <w:rPr>
          <w:rFonts w:hint="eastAsia" w:ascii="仿宋_GB2312" w:hAnsi="仿宋_GB2312" w:eastAsia="仿宋_GB2312" w:cs="仿宋_GB2312"/>
          <w:szCs w:val="21"/>
          <w:highlight w:val="none"/>
          <w:u w:val="single"/>
        </w:rPr>
        <w:t>　518801001536416</w:t>
      </w:r>
    </w:p>
    <w:p w14:paraId="08AE44A1">
      <w:pPr>
        <w:adjustRightInd w:val="0"/>
        <w:snapToGrid w:val="0"/>
        <w:spacing w:line="360" w:lineRule="auto"/>
        <w:ind w:left="495" w:firstLine="210" w:firstLineChars="1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3.项目联系方式</w:t>
      </w:r>
    </w:p>
    <w:p w14:paraId="6874CECC">
      <w:pPr>
        <w:adjustRightInd w:val="0"/>
        <w:snapToGrid w:val="0"/>
        <w:spacing w:line="360" w:lineRule="auto"/>
        <w:ind w:left="495" w:firstLine="210" w:firstLineChars="100"/>
        <w:rPr>
          <w:rFonts w:hint="eastAsia" w:ascii="仿宋_GB2312" w:hAnsi="仿宋_GB2312" w:eastAsia="仿宋_GB2312" w:cs="仿宋_GB2312"/>
          <w:szCs w:val="21"/>
          <w:highlight w:val="none"/>
          <w:lang w:eastAsia="zh-CN"/>
        </w:rPr>
      </w:pPr>
      <w:r>
        <w:rPr>
          <w:rFonts w:ascii="仿宋_GB2312" w:hAnsi="仿宋_GB2312" w:eastAsia="仿宋_GB2312" w:cs="仿宋_GB2312"/>
          <w:szCs w:val="21"/>
          <w:highlight w:val="none"/>
        </w:rPr>
        <w:t>项目联系人：</w:t>
      </w:r>
      <w:r>
        <w:rPr>
          <w:rFonts w:hint="eastAsia" w:ascii="仿宋_GB2312" w:hAnsi="仿宋_GB2312" w:eastAsia="仿宋_GB2312" w:cs="仿宋_GB2312"/>
          <w:szCs w:val="21"/>
          <w:highlight w:val="none"/>
          <w:u w:val="single"/>
          <w:lang w:eastAsia="zh-CN"/>
        </w:rPr>
        <w:t>杨明月</w:t>
      </w:r>
    </w:p>
    <w:p w14:paraId="1EC00F16">
      <w:pPr>
        <w:adjustRightInd w:val="0"/>
        <w:snapToGrid w:val="0"/>
        <w:spacing w:line="360" w:lineRule="auto"/>
        <w:ind w:left="495" w:firstLine="210" w:firstLineChars="100"/>
        <w:rPr>
          <w:rFonts w:ascii="仿宋_GB2312" w:hAnsi="仿宋_GB2312" w:eastAsia="仿宋_GB2312" w:cs="仿宋_GB2312"/>
          <w:szCs w:val="21"/>
          <w:highlight w:val="none"/>
        </w:rPr>
      </w:pPr>
      <w:r>
        <w:rPr>
          <w:rFonts w:ascii="仿宋_GB2312" w:hAnsi="仿宋_GB2312" w:eastAsia="仿宋_GB2312" w:cs="仿宋_GB2312"/>
          <w:szCs w:val="21"/>
          <w:highlight w:val="none"/>
        </w:rPr>
        <w:t>电　话：</w:t>
      </w:r>
      <w:r>
        <w:rPr>
          <w:rFonts w:ascii="仿宋_GB2312" w:hAnsi="仿宋_GB2312" w:eastAsia="仿宋_GB2312" w:cs="仿宋_GB2312"/>
          <w:szCs w:val="21"/>
          <w:highlight w:val="none"/>
          <w:u w:val="single"/>
        </w:rPr>
        <w:t>　</w:t>
      </w:r>
      <w:r>
        <w:rPr>
          <w:rFonts w:hint="eastAsia" w:ascii="仿宋_GB2312" w:hAnsi="仿宋_GB2312" w:eastAsia="仿宋_GB2312" w:cs="仿宋_GB2312"/>
          <w:szCs w:val="21"/>
          <w:highlight w:val="none"/>
          <w:u w:val="single"/>
          <w:lang w:val="en-US" w:eastAsia="zh-CN"/>
        </w:rPr>
        <w:t xml:space="preserve">0417-2819001 </w:t>
      </w:r>
    </w:p>
    <w:p w14:paraId="349A3DE1">
      <w:bookmarkStart w:id="27" w:name="_GoBack"/>
      <w:bookmarkEnd w:id="2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2YWNhZjBkNjI1ZjEyMWUxNGU4M2MxM2ZmMWY3NDcifQ=="/>
  </w:docVars>
  <w:rsids>
    <w:rsidRoot w:val="12780609"/>
    <w:rsid w:val="127806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Calibri"/>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2024-07-05T03:06:00Z</dcterms:created>
  <dc:creator>Administrator</dc:creator>
  <cp:lastModifiedBy>Administrator</cp:lastModifiedBy>
  <dcterms:modified xsi:type="dcterms:W3CDTF">2024-07-05T03:07:14Z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3F438316D72B4E3C96E35E8DCE058A1E_11</vt:lpwstr>
  </property>
</Properties>
</file>