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00" w:lineRule="auto"/>
        <w:jc w:val="center"/>
        <w:outlineLvl w:val="0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bookmarkStart w:id="0" w:name="_GoBack"/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中山大学2024年深圳校区先进能源学院工学园1栋实验室改造工程</w:t>
      </w:r>
    </w:p>
    <w:bookmarkEnd w:id="0"/>
    <w:p>
      <w:pPr>
        <w:spacing w:line="300" w:lineRule="auto"/>
        <w:jc w:val="center"/>
        <w:outlineLvl w:val="0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答疑澄清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文件</w:t>
      </w:r>
    </w:p>
    <w:p>
      <w:pPr>
        <w:spacing w:line="300" w:lineRule="auto"/>
        <w:rPr>
          <w:rFonts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各投标人：</w:t>
      </w:r>
    </w:p>
    <w:p>
      <w:pPr>
        <w:spacing w:line="360" w:lineRule="auto"/>
        <w:ind w:firstLine="435"/>
        <w:rPr>
          <w:rFonts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本项目对各投标人提出的疑问解答和对招标文件的澄清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文件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如下。凡招标文件与本答疑澄清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文件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不一致之处，以本答疑澄清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文件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为准。本答疑澄清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文件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作为招标文件的一部份，请各投标单位应仔细阅读本答疑澄清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文件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，认真编制投标文件。</w:t>
      </w:r>
    </w:p>
    <w:p>
      <w:pPr>
        <w:spacing w:line="360" w:lineRule="auto"/>
        <w:ind w:firstLine="435"/>
        <w:outlineLvl w:val="0"/>
        <w:rPr>
          <w:rFonts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一、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答疑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配电系统图中标有“利旧配电箱”的配电箱是不是已经安装在图中所示位置，电箱进线和“改造前回路”已敷设完成，只需要对箱内回路进行改造即可？部分配电箱没有标注“利旧配电箱”，如4AP11、4AP4、4AP5及低压开关柜等，如何区分哪些电箱利旧？如何区分哪些回路需要改造？能否提供改造前图纸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利旧部分已经敷设完成，不在本次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范围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内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只需要对箱内回路进行改造即可（配电箱内增加断路器）；图纸标注改造前回路部分是原有回路不需要计算，剩下没标注或者标注新增是本次计算范围。低压出线回路看系统图纸配电箱是新增的，该进线回路就是新增出线。工程量清单无误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教学实验室和科研实验室如何区分？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区分教学实验室和科研实验室只是为了发包人内部立项使用，不影响项目的实施，属于同一个项目，工程量及工程内容之和为整套图纸的内容。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能否明确本次招标范围内的电缆施工范围，不清楚有些电缆是否在施工范围，如：图号S0212G1-E0020-1002中5RFAP-1、RFAP-1配电箱进出线；图号S0212G1-E0020-1001中低压开关柜的出线，AP-4A-2配电箱的进线等。如在本次招标范围，需提供配套的平面图和工程量清单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电缆区分详见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问题1答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复。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实验室的等电位接地只有LEB箱，请提供具体做法和清单。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实验室的等电位接地做法可见相关说明要求或局部等电位接地图集，后期施工单位根据现场设备情况深化，请投标单位综合考虑成本、风险进行投标报价，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通风柜变风量控制系统，除变风量控制器和变风量操作面板外，还需风速传感器、人在传感器、门高传感器及变风量阀等，数量应为77套。清单中未体现。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项目施工期间根据实际需要，再考虑是否需要设计变更，按实际签证。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 xml:space="preserve">装饰平面布置图中门编号有重叠的并且有差异的，以哪个为准？如地下一层平面布置图中扫描电镜GM1526/FM甲1526，三层局部平面布置图中新风机房FM甲1526/FM甲1522，四层局部平面布置图中公共耗材室FM乙1026/FM甲1026等。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扫描电镜按照FM甲1526考虑；新风机房按照FM甲1526考虑；公共耗材室按照FM乙1026考虑。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装饰清单中“拆除要求：采取一切措施保证拆除施工不损坏原有结构，若出现因拆除而损坏则须按原貌复原。”需要确认目前现场是否已有损坏情况。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原有现场是否有损坏，施工前三方现场勘察确定为准，无勘察确定记录的均属于施工损坏。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装饰图纸中的天花拆除复原范围在“非设计范围”的阴影区，是否均在本次招标范围内。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vertAlign w:val="baseli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“非设计范围”的阴影区部分已考虑进去，请打开施工图多线宽，以线框范围内及图纸注明为准。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157" w:afterLines="5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highlight w:val="none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5980430" cy="3363595"/>
                  <wp:effectExtent l="0" t="0" r="1270" b="8255"/>
                  <wp:docPr id="48" name="图片 48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336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装饰图纸设计说明（三）3 吊顶工程第四条，“凡吊顶标高吊杆高度高于1500mm时，需增加吊筋反向支撑，当吊杆高度超过3米或者天花上方管道密布无位置生根吊筋时，需做40型角钢转换层。”地下室层高12米，吊顶夹层高度均超过3米，清单中未见转换层项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地下一层层高为5.2m，净高5.08，最低的天花为2.65m，天花上方管道只有2.43m，无转换层，吊顶内净高在3.0m内,无需增加角钢构件转换层，只需要增加附加钢筋。请投标单位综合考虑成本、风险进行投标报价，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装饰清单中“新做装饰格栅围挡，样式参考原有格栅”，图纸未对原有格栅的材质及规格进行说明。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招标文件有要求现场勘察时间，请投标单位按约定时间对现场进行勘察，并综合考虑成本、风险进行投标报价，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中考虑。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snapToGrid w:val="0"/>
              <w:spacing w:line="360" w:lineRule="auto"/>
              <w:jc w:val="center"/>
              <w:rPr>
                <w:rFonts w:hint="eastAsia" w:eastAsia="微软雅黑"/>
                <w:color w:val="0000FF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微软雅黑"/>
                <w:color w:val="0000FF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1297305" cy="1386840"/>
                  <wp:effectExtent l="0" t="0" r="17145" b="3810"/>
                  <wp:docPr id="49" name="图片 49" descr="图片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图片2-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305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="微软雅黑"/>
                <w:color w:val="0000FF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2579370" cy="1381760"/>
                  <wp:effectExtent l="0" t="0" r="11430" b="8890"/>
                  <wp:docPr id="50" name="图片 50" descr="图片2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图片2-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370" cy="138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360" w:lineRule="auto"/>
        <w:ind w:left="425" w:hanging="425"/>
        <w:jc w:val="center"/>
        <w:rPr>
          <w:highlight w:val="none"/>
        </w:rPr>
      </w:pP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无机涂料墙面需要对原墙面进行基层处理（原墙面饰面铲除），清单中未见该描述或单独列项。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未注明，因为图纸的墙体基本上都是在新砌的砖墙或者为轻钢龙骨隔墙，属于总包范围，以图纸为准，请投标单位综合考虑成本、风险进行投标报价，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装饰图纸中未见土建墙体中圈梁和构造柱做法，清单数量无法核实。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构造柱的做法，详见原始结构设计说明。本次改造范围内的构造柱做法与原有设计一致。请投标单位综合考虑成本、风险进行投标报价。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装饰清单中“静电地板收口，详见图纸”，图纸中未见静电地板收口做法。</w:t>
      </w:r>
    </w:p>
    <w:p>
      <w:pPr>
        <w:spacing w:after="157" w:afterLines="50" w:line="360" w:lineRule="auto"/>
        <w:ind w:firstLine="422" w:firstLineChars="200"/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snapToGrid w:val="0"/>
              <w:spacing w:line="360" w:lineRule="auto"/>
              <w:jc w:val="center"/>
              <w:rPr>
                <w:rFonts w:hint="eastAsia" w:eastAsia="微软雅黑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微软雅黑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5989955" cy="1405890"/>
                  <wp:effectExtent l="0" t="0" r="10795" b="3810"/>
                  <wp:docPr id="52" name="图片 52" descr="图片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图片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955" cy="14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装饰清单中“轻钢龙骨玻璃雨棚”图纸及清单描述较简单，需要补充详细节点做法。</w:t>
      </w:r>
    </w:p>
    <w:p>
      <w:pPr>
        <w:spacing w:after="157" w:afterLines="50" w:line="360" w:lineRule="auto"/>
        <w:ind w:firstLine="422" w:firstLineChars="200"/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tabs>
                <w:tab w:val="left" w:pos="6405"/>
              </w:tabs>
              <w:snapToGrid w:val="0"/>
              <w:spacing w:line="360" w:lineRule="auto"/>
              <w:jc w:val="center"/>
              <w:rPr>
                <w:rFonts w:hint="eastAsia" w:eastAsia="微软雅黑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微软雅黑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5983605" cy="2717165"/>
                  <wp:effectExtent l="0" t="0" r="17145" b="6985"/>
                  <wp:docPr id="53" name="图片 53" descr="图片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图片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3605" cy="271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给排水设计说明中提到了管道保温项，清单中未体现。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明装和吊顶管道需要进行结露措施，投标单位综合考虑在管道综合单价中，并综合考虑成本、风险进行投标报价。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负一层排水管道敷设是否需要开挖地面，清单中未体现。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如投标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单位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未在招标文件约定时间踏勘现场，可联系踏勘现场联系人再次前往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现场进行勘察，并综合考虑成本、风险进行投标报价，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本项目改造工程区域内房间、过道、电梯轿厢及材料运输路线上。现场已施工的墙面乳胶漆、地面瓷砖、窗帘，均需做成品保护，本项目成品保护面积大。清单仅有教学实验室的土建部分，考虑476.75元的成品保护费用，此费用不足以做如此大面积成品保护，需明确成品保护方案和对应的预算。</w:t>
      </w: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shd w:val="clear" w:color="auto" w:fill="auto"/>
            <w:noWrap w:val="0"/>
            <w:vAlign w:val="top"/>
          </w:tcPr>
          <w:p>
            <w:pPr>
              <w:jc w:val="center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drawing>
                <wp:inline distT="0" distB="0" distL="114300" distR="114300">
                  <wp:extent cx="1958340" cy="1468755"/>
                  <wp:effectExtent l="0" t="0" r="3810" b="17145"/>
                  <wp:docPr id="6" name="图片 4" descr="IMG_20241122_144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 descr="IMG_20241122_14454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340" cy="146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highlight w:val="none"/>
              </w:rPr>
            </w:pPr>
            <w:r>
              <w:rPr>
                <w:rFonts w:hint="eastAsia" w:ascii="宋体" w:hAnsi="Courier New" w:eastAsia="宋体" w:cs="Times New Roman"/>
                <w:kern w:val="2"/>
                <w:sz w:val="21"/>
                <w:szCs w:val="21"/>
                <w:highlight w:val="none"/>
                <w:lang w:val="en-US" w:eastAsia="zh-CN" w:bidi="ar-SA"/>
              </w:rPr>
              <w:t>大楼货梯及货梯间均无保护</w:t>
            </w:r>
          </w:p>
        </w:tc>
        <w:tc>
          <w:tcPr>
            <w:tcW w:w="4261" w:type="dxa"/>
            <w:shd w:val="clear" w:color="auto" w:fill="auto"/>
            <w:noWrap w:val="0"/>
            <w:vAlign w:val="top"/>
          </w:tcPr>
          <w:p>
            <w:pPr>
              <w:jc w:val="center"/>
              <w:rPr>
                <w:rFonts w:hint="eastAsia" w:eastAsia="微软雅黑"/>
                <w:highlight w:val="none"/>
                <w:lang w:eastAsia="zh-CN"/>
              </w:rPr>
            </w:pPr>
            <w:r>
              <w:rPr>
                <w:rFonts w:hint="eastAsia" w:eastAsia="微软雅黑"/>
                <w:highlight w:val="none"/>
                <w:lang w:eastAsia="zh-CN"/>
              </w:rPr>
              <w:drawing>
                <wp:inline distT="0" distB="0" distL="114300" distR="114300">
                  <wp:extent cx="2038350" cy="1524000"/>
                  <wp:effectExtent l="0" t="0" r="0" b="0"/>
                  <wp:docPr id="8" name="图片 8" descr="8d65e65a2a4f2507d439643a179e2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8d65e65a2a4f2507d439643a179e2f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highlight w:val="none"/>
              </w:rPr>
            </w:pPr>
            <w:r>
              <w:rPr>
                <w:rFonts w:hint="eastAsia" w:ascii="宋体" w:hAnsi="Courier New" w:eastAsia="宋体" w:cs="Times New Roman"/>
                <w:kern w:val="2"/>
                <w:sz w:val="21"/>
                <w:szCs w:val="21"/>
                <w:highlight w:val="none"/>
                <w:lang w:val="en-US" w:eastAsia="zh-CN" w:bidi="ar-SA"/>
              </w:rPr>
              <w:t>大楼公共走廊都已装修、地面为瓷砖材质。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3" w:hRule="atLeast"/>
        </w:trPr>
        <w:tc>
          <w:tcPr>
            <w:tcW w:w="8522" w:type="dxa"/>
            <w:gridSpan w:val="2"/>
            <w:shd w:val="clear" w:color="auto" w:fill="auto"/>
            <w:noWrap w:val="0"/>
            <w:vAlign w:val="top"/>
          </w:tcPr>
          <w:p>
            <w:pPr>
              <w:jc w:val="center"/>
              <w:rPr>
                <w:rFonts w:hint="eastAsia" w:eastAsia="微软雅黑"/>
                <w:highlight w:val="none"/>
                <w:lang w:eastAsia="zh-CN"/>
              </w:rPr>
            </w:pPr>
            <w:r>
              <w:rPr>
                <w:rFonts w:hint="eastAsia" w:eastAsia="微软雅黑"/>
                <w:highlight w:val="none"/>
                <w:lang w:eastAsia="zh-CN"/>
              </w:rPr>
              <w:drawing>
                <wp:inline distT="0" distB="0" distL="114300" distR="114300">
                  <wp:extent cx="3943350" cy="2952750"/>
                  <wp:effectExtent l="0" t="0" r="0" b="0"/>
                  <wp:docPr id="7" name="图片 7" descr="eb52b114ab00ee58d08c013facd4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eb52b114ab00ee58d08c013facd47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50" cy="295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highlight w:val="none"/>
              </w:rPr>
            </w:pPr>
            <w:r>
              <w:rPr>
                <w:rFonts w:hint="eastAsia" w:ascii="宋体" w:hAnsi="Courier New" w:eastAsia="宋体" w:cs="Times New Roman"/>
                <w:kern w:val="2"/>
                <w:sz w:val="21"/>
                <w:szCs w:val="21"/>
                <w:highlight w:val="none"/>
                <w:lang w:val="en-US" w:eastAsia="zh-CN" w:bidi="ar-SA"/>
              </w:rPr>
              <w:t>改造房间地面、墙面均已装修；</w:t>
            </w:r>
          </w:p>
        </w:tc>
      </w:tr>
    </w:tbl>
    <w:p>
      <w:pPr>
        <w:rPr>
          <w:highlight w:val="none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预算包干费已含成品保护费，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控制价总价已考虑，请投标单位综合考虑成本、风险进行投标报价。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在电气图中，墙面线管为暗敷工艺，但清单中缺少开槽及修复（包括面漆修复）的预算。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工程量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清单中敷设方式明确是综合考虑，所有管道综合考虑开槽及修复（包括面漆修复），请投标单位综合考虑成本、风险进行投标报价。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低压出线系统图中表示屋面层设备RFAP-1、实验室电表箱ABX-6A-SYSz进线电缆为WDZA-YJY-1KV-4x150+1x70，但招标清单中无项内容，是否属于清单漏项？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1、屋面层设备RPAP-1、5层屋面设备5RFAP-1进线电缆不在本次招标范围。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 w:eastAsia="楷体_GB2312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楷体_GB2312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4520565" cy="2383155"/>
                  <wp:effectExtent l="0" t="0" r="13335" b="17145"/>
                  <wp:docPr id="54" name="图片 54" descr="图片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图片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0565" cy="238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rPr>
          <w:rFonts w:hint="eastAsia"/>
          <w:highlight w:val="none"/>
        </w:rPr>
      </w:pPr>
    </w:p>
    <w:p>
      <w:pPr>
        <w:jc w:val="center"/>
        <w:rPr>
          <w:rFonts w:hint="eastAsia" w:ascii="宋体" w:hAnsi="宋体" w:cs="宋体"/>
          <w:szCs w:val="21"/>
          <w:highlight w:val="none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0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2、教学实验室电表箱ABX-6A-SYSz电缆问题：招标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工程量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清单规格为WDZA-YJY-4*70+1*35mm2，本项目为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总价包干合同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，以图纸为准，此项进线电缆应为WDZA-YJY-1KV-4x150+1x70，请投标单位综合考虑成本、风险进行投标报价，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图纸新增电箱总进线电缆未见电缆走向平面图，没法核算电缆用量。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补充电缆走向图纸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详见：答疑澄清文件附件1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，工程量无误，请投标单位综合考虑成本、风险进行投标报价。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工艺排风、空调风管穿越墙体、管井等需拆除墙体及墙体修复，清单上未见此项清单。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属于总包范围内，管道敷设清单有明确“综合考虑按图纸和规范要求而实施、完成这项工程的一切有关费用”，请投标单位综合考虑成本、风险进行投标报价。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多联机DL-4DL-9、DL-WD-1系统，室外机是否为新增，清单上未见此室外机设备清单。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jc w:val="center"/>
              <w:rPr>
                <w:rFonts w:hint="eastAsia" w:eastAsia="微软雅黑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微软雅黑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5982335" cy="1666240"/>
                  <wp:effectExtent l="0" t="0" r="18415" b="10160"/>
                  <wp:docPr id="55" name="图片 55" descr="图片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图片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335" cy="166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highlight w:val="none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根据平面表示，云线部分才需要进行改造，以平面云线标注为准。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jc w:val="center"/>
              <w:rPr>
                <w:rFonts w:hint="eastAsia" w:eastAsia="微软雅黑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微软雅黑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4762500" cy="2853055"/>
                  <wp:effectExtent l="0" t="0" r="0" b="4445"/>
                  <wp:docPr id="56" name="图片 56" descr="图片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图片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0" cy="285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科研实验室洁净空调水系统（橡胶接头DN65）清单漏量2个，（橡胶接头DN40）清单漏量6个，（闸阀DN65）清单漏量2个，（闸阀DN50）清单漏量1个，（压差平衡阀DN15）清单漏项1个，（闸阀DN15）清单漏项2个，（温度计）清单漏量6个，（冷热量计量表DN65）清单漏项1个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属于总包范围内，以图纸为准，请投标单位综合考虑成本、风险进行投标报价，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教学实验室洁净空调水系统（Y型过滤器DN70）清单漏量1个，（Y型过滤器DN32）清单漏量1个，（电动两通调节阀DN32）清单漏项1个，（压力表）清单漏量1个，（温度计）清单漏量1个，（橡胶接头DN32）清单漏项2个，（闸阀DN150）清单漏项4个，（闸阀DN32）清单漏项2个，（压差平衡阀DN15）清单漏项1个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属于总包范围内，以图纸为准，请投标单位综合考虑成本、风险进行投标报价，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消防工程中灰显的七氟丙烷气体灭火装置，在清单内未见此项内容，是否属于清单漏项？</w:t>
      </w: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2564130" cy="1432560"/>
                  <wp:effectExtent l="0" t="0" r="7620" b="15240"/>
                  <wp:docPr id="13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13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2540635" cy="1791970"/>
                  <wp:effectExtent l="0" t="0" r="12065" b="1778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635" cy="179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平面灰色设备不在本次招标范围，显示才是本次招标范围。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jc w:val="center"/>
              <w:rPr>
                <w:rFonts w:hint="eastAsia"/>
                <w:highlight w:val="none"/>
                <w:lang w:eastAsia="zh-CN"/>
              </w:rPr>
            </w:pPr>
            <w:r>
              <w:rPr>
                <w:rFonts w:hint="eastAsia"/>
                <w:highlight w:val="none"/>
                <w:lang w:eastAsia="zh-CN"/>
              </w:rPr>
              <w:drawing>
                <wp:inline distT="0" distB="0" distL="114300" distR="114300">
                  <wp:extent cx="2836545" cy="2195195"/>
                  <wp:effectExtent l="0" t="0" r="1905" b="14605"/>
                  <wp:docPr id="57" name="图片 57" descr="图片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图片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545" cy="219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jc w:val="center"/>
              <w:rPr>
                <w:rFonts w:hint="eastAsia"/>
                <w:highlight w:val="none"/>
                <w:lang w:eastAsia="zh-CN"/>
              </w:rPr>
            </w:pPr>
            <w:r>
              <w:rPr>
                <w:rFonts w:hint="eastAsia"/>
                <w:highlight w:val="none"/>
                <w:lang w:eastAsia="zh-CN"/>
              </w:rPr>
              <w:drawing>
                <wp:inline distT="0" distB="0" distL="114300" distR="114300">
                  <wp:extent cx="3903345" cy="1585595"/>
                  <wp:effectExtent l="0" t="0" r="1905" b="14605"/>
                  <wp:docPr id="61" name="图片 61" descr="图片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图片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3345" cy="158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color w:val="0000FF"/>
          <w:highlight w:val="none"/>
        </w:rPr>
      </w:pP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拆除工程清单项目特征描述为以料代工，是否表明施工过程中拆除的原建筑材料与设备由中标单位自行处置？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是的，投标人综合考虑。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暖通图纸有77个文丘里阀，清单只有72个文丘里阀，清单漏量5个文丘里阀。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属于总包范围内，以图纸为准，请投标单位综合考虑成本、风险进行投标报价，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在投标总报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土建部分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28.1、门窗工程量清单此扇门未计，是否为漏计，请确认？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 w:eastAsia="楷体_GB2312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楷体_GB2312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4401820" cy="1401445"/>
                  <wp:effectExtent l="0" t="0" r="17780" b="8255"/>
                  <wp:docPr id="59" name="图片 59" descr="图片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图片1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1820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jc w:val="center"/>
        <w:rPr>
          <w:highlight w:val="none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此门为现场原有门，不计入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28.2、泄压口为墙体二次开洞口，清单未计取，请确认？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 w:eastAsia="楷体_GB2312"/>
                <w:highlight w:val="none"/>
                <w:vertAlign w:val="baseline"/>
                <w:lang w:eastAsia="zh-CN"/>
              </w:rPr>
            </w:pPr>
            <w:r>
              <w:rPr>
                <w:rFonts w:hint="eastAsia" w:eastAsia="楷体_GB2312"/>
                <w:highlight w:val="none"/>
                <w:vertAlign w:val="baseline"/>
                <w:lang w:eastAsia="zh-CN"/>
              </w:rPr>
              <w:drawing>
                <wp:inline distT="0" distB="0" distL="114300" distR="114300">
                  <wp:extent cx="2350770" cy="1562735"/>
                  <wp:effectExtent l="0" t="0" r="11430" b="18415"/>
                  <wp:docPr id="60" name="图片 60" descr="图片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图片1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770" cy="1562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jc w:val="center"/>
        <w:rPr>
          <w:highlight w:val="none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1、属于本次投标范围内；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0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2、200厚墙体开孔：480*270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mm,数量:7个；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0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3、由控制价总价综合考虑，请投标单位综合考虑成本、风险进行投标报价。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  <w:lang w:val="en-US" w:eastAsia="zh-CN"/>
        </w:rPr>
      </w:pPr>
      <w:r>
        <w:rPr>
          <w:rFonts w:hint="eastAsia" w:eastAsia="宋体"/>
          <w:sz w:val="21"/>
          <w:szCs w:val="21"/>
          <w:highlight w:val="none"/>
          <w:lang w:val="en-US" w:eastAsia="zh-CN"/>
        </w:rPr>
        <w:t>弱电智能化部分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29.1、智能化部分网络插座与语音信息插座数量有误，应为各90个，请确认？</w:t>
      </w:r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2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86145" cy="483870"/>
                  <wp:effectExtent l="0" t="0" r="14605" b="11430"/>
                  <wp:docPr id="21" name="图片 21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6145" cy="48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79160" cy="643890"/>
                  <wp:effectExtent l="0" t="0" r="2540" b="3810"/>
                  <wp:docPr id="22" name="图片 22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9160" cy="643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经复核，工程量无误，二层弱电不在本次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范围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内。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29.2、（1）清单中交换机与机柜仅有1台，与综合布线图及二层四层图纸数量不符，图纸为7台24口交换机及3台机柜，请确认？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（2）机柜强电取自UPS,弱电接至原有弱电间机柜，因平面图无表达，清单线缆均未计取，请确认？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87415" cy="668655"/>
                  <wp:effectExtent l="0" t="0" r="13335" b="17145"/>
                  <wp:docPr id="23" name="图片 23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7415" cy="66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86145" cy="695960"/>
                  <wp:effectExtent l="0" t="0" r="14605" b="8890"/>
                  <wp:docPr id="24" name="图片 24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6145" cy="69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3409315" cy="1331595"/>
                  <wp:effectExtent l="0" t="0" r="635" b="1905"/>
                  <wp:docPr id="25" name="图片 25" descr="图片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图片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33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2544445" cy="1302385"/>
                  <wp:effectExtent l="0" t="0" r="8255" b="12065"/>
                  <wp:docPr id="26" name="图片 26" descr="图片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图片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445" cy="130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1549400" cy="925830"/>
                  <wp:effectExtent l="0" t="0" r="12700" b="7620"/>
                  <wp:docPr id="27" name="图片 27" descr="图片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图片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0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经复核，工程量无误，系统图纸只计算新增部分内容，电脑配电无UPS，网络机柜也无需UPS配电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29.3、综合布线系统中三层修改后部分跳线及配线架清单均未计取，请确认？</w:t>
      </w:r>
    </w:p>
    <w:tbl>
      <w:tblPr>
        <w:tblStyle w:val="1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5" w:hRule="atLeast"/>
          <w:jc w:val="center"/>
        </w:trPr>
        <w:tc>
          <w:tcPr>
            <w:tcW w:w="812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2573020" cy="1452245"/>
                  <wp:effectExtent l="0" t="0" r="17780" b="14605"/>
                  <wp:docPr id="28" name="图片 28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20" cy="145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该部分不在本次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范围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内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，仅为修改图纸，无工程量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  <w:lang w:val="en-US" w:eastAsia="zh-CN"/>
        </w:rPr>
      </w:pPr>
      <w:r>
        <w:rPr>
          <w:rFonts w:hint="eastAsia" w:eastAsia="宋体"/>
          <w:sz w:val="21"/>
          <w:szCs w:val="21"/>
          <w:highlight w:val="none"/>
          <w:lang w:val="en-US" w:eastAsia="zh-CN"/>
        </w:rPr>
        <w:t>电气安装工程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30.1、“新增楼层配电柜及电表箱接自配电房低压柜，请问配电房位置在哪里？且清单未见有WDZA-YJY-1KV4x150+1x70规格电缆？请问是否在本次施工范围内？”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4458335" cy="1706880"/>
                  <wp:effectExtent l="0" t="0" r="18415" b="7620"/>
                  <wp:docPr id="29" name="图片 29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335" cy="170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补充低压出线电力平面图纸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详见：答疑澄清文件附件1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，招标清单规格为WDZA-YJY-4*70+1*35mm2，本项目为总包工程，以图纸为准，此项进线电缆应为WDZA-YJY-1KV-4x150+1x70，请投标单位综合考虑成本、风险进行投标报价，控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30.2、新增电箱电缆出线无法使用原有桥架，设计有穿管，清单均未计取线管，请确认？例如类似下图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3523615" cy="1195070"/>
                  <wp:effectExtent l="0" t="0" r="635" b="5080"/>
                  <wp:docPr id="62" name="图片 62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3615" cy="1195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原有桥架位置需现场实际确定，按走原有桥架计算。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30.3、4AP11显示为更换总开关，平面图有画出进线路由，但未体现规格型号？系统图也未有说明，请问如何考虑？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3931920" cy="1626235"/>
                  <wp:effectExtent l="0" t="0" r="11430" b="12065"/>
                  <wp:docPr id="31" name="图片 31" descr="图片3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图片3-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1920" cy="162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4904105" cy="1356995"/>
                  <wp:effectExtent l="0" t="0" r="10795" b="14605"/>
                  <wp:docPr id="32" name="图片 32" descr="图片3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图片3-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105" cy="135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4AP11进线电缆是原有电缆，平面路由只是桥架走向。不需要计算4AP11进线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30.4、新增电柜RFAP-1及5RFAP-1两个电箱平面图无具体位置，电气及自控平面图仅显示有出线至终端箱，未有具体路由，请问如何考虑？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jc w:val="center"/>
        </w:trPr>
        <w:tc>
          <w:tcPr>
            <w:tcW w:w="9650" w:type="dxa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5981700" cy="1403985"/>
                  <wp:effectExtent l="0" t="0" r="0" b="5715"/>
                  <wp:docPr id="33" name="图片 33" descr="图片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图片4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700" cy="140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5RFAP-1位置5层在24-3交1/24-G轴电井位置位置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RFAP-1位置在屋面层24-16~17交24/C至24-Da电井位置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30.5、下图内配电箱系统图出线电缆清单未计取，因平面均无法确认原电箱位置，如WDZA/WDZB-5*10电缆共18个回路，清单仅有约110米电缆，请确认？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4813300" cy="1414780"/>
                  <wp:effectExtent l="0" t="0" r="6350" b="13970"/>
                  <wp:docPr id="34" name="图片 34" descr="图片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图片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3300" cy="141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补充低压出线电力平面图纸，经核查，电缆工程量无误，系统中还有5*4,5*6电缆。</w:t>
      </w:r>
    </w:p>
    <w:p>
      <w:pPr>
        <w:pStyle w:val="7"/>
        <w:numPr>
          <w:ilvl w:val="0"/>
          <w:numId w:val="1"/>
        </w:numPr>
        <w:spacing w:line="360" w:lineRule="auto"/>
        <w:ind w:firstLine="420" w:firstLineChars="200"/>
        <w:rPr>
          <w:rFonts w:hint="eastAsia" w:eastAsia="宋体"/>
          <w:sz w:val="21"/>
          <w:szCs w:val="21"/>
          <w:highlight w:val="none"/>
          <w:lang w:val="en-US" w:eastAsia="zh-CN"/>
        </w:rPr>
      </w:pPr>
      <w:r>
        <w:rPr>
          <w:rFonts w:hint="eastAsia" w:eastAsia="宋体"/>
          <w:sz w:val="21"/>
          <w:szCs w:val="21"/>
          <w:highlight w:val="none"/>
          <w:lang w:val="en-US" w:eastAsia="zh-CN"/>
        </w:rPr>
        <w:t>空调安装工程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31.1、PAH-4F-5/6/7平面图备注为从四楼移位至五楼安装，请问是否可利旧安装，请确认？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4078605" cy="2355215"/>
                  <wp:effectExtent l="0" t="0" r="17145" b="6985"/>
                  <wp:docPr id="63" name="图片 63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605" cy="235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图纸备注移位的就是利旧设备（拆除原有设备移到新的安装位置）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31.2、清单未计取水箱保温及屋面空调供回水管保温铝皮保护壳，请确认？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5982335" cy="1489075"/>
                  <wp:effectExtent l="0" t="0" r="18415" b="15875"/>
                  <wp:docPr id="36" name="图片 36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335" cy="148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已经考虑到设备中计算，并由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控制价总价综合考虑，请投标单位综合考虑成本、风险进行投标报价。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31.3、DN150无缝钢管工程量少计11米管，请确认？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5982335" cy="863600"/>
                  <wp:effectExtent l="0" t="0" r="18415" b="12700"/>
                  <wp:docPr id="37" name="图片 37" descr="图片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图片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335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经核查，按原招标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工程量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清单不调整，请投标单位综合考虑成本、风险进行投标报价。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31.4、多联机系统末端平移，涉及工艺繁杂，需先保护性拆除设备，支吊架后方能移动，拆除清单风盘均为保护性拆除后利旧安装，为何还有残值回收项？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4008755" cy="1913255"/>
                  <wp:effectExtent l="0" t="0" r="10795" b="10795"/>
                  <wp:docPr id="38" name="图片 38" descr="图片4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图片4-1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8755" cy="1913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2871470" cy="481330"/>
                  <wp:effectExtent l="0" t="0" r="5080" b="13970"/>
                  <wp:docPr id="39" name="图片 39" descr="图片4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图片4-2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470" cy="481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请投标单位综合考虑成本、风险进行投标报价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31.5、接近1200平方风管拆除，合价不足200元，是否有误？按定额保护性拆除以人工及机械为基数的70%，破坏性拆除为35%。且风管为矩形或圆形，占比空间大，拆除后还需再拆除成钢板，基本无残值可计，请合理考虑？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650" w:type="dxa"/>
          </w:tcPr>
          <w:p>
            <w:pPr>
              <w:pStyle w:val="2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82970" cy="1015365"/>
                  <wp:effectExtent l="0" t="0" r="17780" b="13335"/>
                  <wp:docPr id="40" name="图片 40" descr="图片5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图片5-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970" cy="101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989955" cy="991870"/>
                  <wp:effectExtent l="0" t="0" r="10795" b="17780"/>
                  <wp:docPr id="41" name="图片 41" descr="图片5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图片5-2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955" cy="99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请投标单位综合考虑成本、风险进行投标报价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31.6、压差平衡阀清单漏计，请确认？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jc w:val="center"/>
        </w:trPr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1456690" cy="1217930"/>
                  <wp:effectExtent l="0" t="0" r="10160" b="1270"/>
                  <wp:docPr id="42" name="图片 42" descr="图片6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图片6-1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690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1012825" cy="1244600"/>
                  <wp:effectExtent l="0" t="0" r="15875" b="12700"/>
                  <wp:docPr id="43" name="图片 43" descr="图片6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图片6-2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825" cy="124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请投标单位综合考虑成本、风险进行投标报价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pStyle w:val="2"/>
        <w:rPr>
          <w:rFonts w:hint="eastAsia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31.7、风管大样为法兰连接，定额子目均按咬口连接套取，是否有误，请确认？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jc w:val="center"/>
        </w:trPr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3046730" cy="2082165"/>
                  <wp:effectExtent l="0" t="0" r="1270" b="13335"/>
                  <wp:docPr id="44" name="图片 44" descr="图片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图片7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730" cy="208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157" w:afterLines="50" w:line="360" w:lineRule="auto"/>
        <w:ind w:firstLine="422" w:firstLineChars="200"/>
        <w:rPr>
          <w:rFonts w:hint="eastAsia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请投标单位综合考虑成本、风险进行投标报价，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在投标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总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价中考虑。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31.8、文丘里阀材质设计说明有冲突，请问是否以清单为准？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5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650" w:type="dxa"/>
          </w:tcPr>
          <w:p>
            <w:pPr>
              <w:pStyle w:val="2"/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351145" cy="1289050"/>
                  <wp:effectExtent l="0" t="0" r="1905" b="6350"/>
                  <wp:docPr id="45" name="图片 45" descr="图片8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图片8-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1145" cy="128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drawing>
                <wp:inline distT="0" distB="0" distL="114300" distR="114300">
                  <wp:extent cx="5419725" cy="815975"/>
                  <wp:effectExtent l="0" t="0" r="9525" b="3175"/>
                  <wp:docPr id="46" name="图片 46" descr="图片8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图片8-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9725" cy="81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7" w:afterLines="50" w:line="360" w:lineRule="auto"/>
        <w:ind w:firstLine="422" w:firstLineChars="20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问题答复：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以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工程量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</w:rPr>
        <w:t>清单为准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eastAsia="zh-CN"/>
        </w:rPr>
        <w:t>。</w:t>
      </w:r>
    </w:p>
    <w:p>
      <w:pPr>
        <w:numPr>
          <w:ilvl w:val="0"/>
          <w:numId w:val="2"/>
        </w:numPr>
        <w:spacing w:line="300" w:lineRule="auto"/>
        <w:ind w:firstLine="435"/>
        <w:rPr>
          <w:rFonts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招标澄清</w:t>
      </w:r>
    </w:p>
    <w:p>
      <w:pPr>
        <w:numPr>
          <w:ilvl w:val="0"/>
          <w:numId w:val="3"/>
        </w:numPr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补充低压出线电力平面图纸，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详见本答疑澄清文件附件。</w:t>
      </w:r>
    </w:p>
    <w:p>
      <w:pPr>
        <w:numPr>
          <w:ilvl w:val="0"/>
          <w:numId w:val="2"/>
        </w:numPr>
        <w:spacing w:line="300" w:lineRule="auto"/>
        <w:ind w:firstLine="435"/>
        <w:rPr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本项目招投标活动时间安排变更如下：</w:t>
      </w:r>
    </w:p>
    <w:p>
      <w:pPr>
        <w:numPr>
          <w:ilvl w:val="0"/>
          <w:numId w:val="4"/>
        </w:numPr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投标截止时间及开标时间由原来2024-1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05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 xml:space="preserve"> 09:30:00改为2024-1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17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 xml:space="preserve"> 09:30:00;</w:t>
      </w:r>
    </w:p>
    <w:p>
      <w:pPr>
        <w:numPr>
          <w:ilvl w:val="0"/>
          <w:numId w:val="4"/>
        </w:numPr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纸质投标保函递交时间由原来2024-1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05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 xml:space="preserve"> 09:00:00至 09:30:00改为2024-1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17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 xml:space="preserve"> 09:00:00至 09:30:00； </w:t>
      </w:r>
    </w:p>
    <w:p>
      <w:pPr>
        <w:numPr>
          <w:ilvl w:val="0"/>
          <w:numId w:val="4"/>
        </w:numPr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投标文件解密时间由原来2024-1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05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 xml:space="preserve"> 09:30:00至 10:00:00改为2024-1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-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 xml:space="preserve">17 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09:30:00至 10:00:00；</w:t>
      </w:r>
    </w:p>
    <w:p>
      <w:pPr>
        <w:spacing w:line="300" w:lineRule="auto"/>
        <w:ind w:right="440"/>
        <w:jc w:val="right"/>
        <w:rPr>
          <w:rFonts w:hint="eastAsia" w:ascii="宋体" w:hAnsi="宋体" w:eastAsia="宋体" w:cs="宋体"/>
          <w:sz w:val="21"/>
          <w:szCs w:val="21"/>
          <w:highlight w:val="none"/>
        </w:rPr>
      </w:pPr>
    </w:p>
    <w:p>
      <w:pPr>
        <w:spacing w:line="300" w:lineRule="auto"/>
        <w:ind w:right="440"/>
        <w:jc w:val="right"/>
        <w:rPr>
          <w:rFonts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 xml:space="preserve">                                              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广东省国际工程咨询有限公司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　　　　　</w:t>
      </w:r>
    </w:p>
    <w:p>
      <w:pPr>
        <w:spacing w:line="300" w:lineRule="auto"/>
        <w:ind w:right="440"/>
        <w:jc w:val="right"/>
        <w:rPr>
          <w:rFonts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2024年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11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28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 xml:space="preserve"> 日</w:t>
      </w:r>
    </w:p>
    <w:sectPr>
      <w:pgSz w:w="11906" w:h="16838"/>
      <w:pgMar w:top="1440" w:right="1236" w:bottom="1440" w:left="123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64C1A70"/>
    <w:multiLevelType w:val="singleLevel"/>
    <w:tmpl w:val="C64C1A7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1BAF5E5"/>
    <w:multiLevelType w:val="singleLevel"/>
    <w:tmpl w:val="01BAF5E5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3A03429A"/>
    <w:multiLevelType w:val="singleLevel"/>
    <w:tmpl w:val="3A03429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838FB72"/>
    <w:multiLevelType w:val="singleLevel"/>
    <w:tmpl w:val="6838FB72"/>
    <w:lvl w:ilvl="0" w:tentative="0">
      <w:start w:val="1"/>
      <w:numFmt w:val="decimal"/>
      <w:suff w:val="nothing"/>
      <w:lvlText w:val="问题%1、"/>
      <w:lvlJc w:val="left"/>
      <w:pPr>
        <w:tabs>
          <w:tab w:val="left" w:pos="0"/>
        </w:tabs>
      </w:pPr>
      <w:rPr>
        <w:rFonts w:hint="default" w:ascii="宋体" w:hAnsi="宋体" w:eastAsia="宋体" w:cs="宋体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A3ODk1ODg1NjliNjNiYzNmYzQyMTVlYmUyYjI4MTcifQ=="/>
  </w:docVars>
  <w:rsids>
    <w:rsidRoot w:val="67A4408D"/>
    <w:rsid w:val="000141EF"/>
    <w:rsid w:val="0008146A"/>
    <w:rsid w:val="000B6603"/>
    <w:rsid w:val="000E2F10"/>
    <w:rsid w:val="00397DB8"/>
    <w:rsid w:val="003C36A0"/>
    <w:rsid w:val="003C4A8F"/>
    <w:rsid w:val="00484549"/>
    <w:rsid w:val="00593723"/>
    <w:rsid w:val="00687E79"/>
    <w:rsid w:val="007C0F24"/>
    <w:rsid w:val="009B5896"/>
    <w:rsid w:val="00A06791"/>
    <w:rsid w:val="00A92D70"/>
    <w:rsid w:val="00B13878"/>
    <w:rsid w:val="00CE6834"/>
    <w:rsid w:val="00D06EBA"/>
    <w:rsid w:val="00F301D5"/>
    <w:rsid w:val="00F52730"/>
    <w:rsid w:val="00F70258"/>
    <w:rsid w:val="00FB1382"/>
    <w:rsid w:val="06AB0AA8"/>
    <w:rsid w:val="07437F5E"/>
    <w:rsid w:val="094C0348"/>
    <w:rsid w:val="0E652085"/>
    <w:rsid w:val="18BA1E3F"/>
    <w:rsid w:val="1FF16B7D"/>
    <w:rsid w:val="279672B2"/>
    <w:rsid w:val="293D752E"/>
    <w:rsid w:val="3572589A"/>
    <w:rsid w:val="36CA2482"/>
    <w:rsid w:val="37A313A5"/>
    <w:rsid w:val="3C5A0B39"/>
    <w:rsid w:val="445514DD"/>
    <w:rsid w:val="526D668B"/>
    <w:rsid w:val="58F44785"/>
    <w:rsid w:val="5F864151"/>
    <w:rsid w:val="654A050F"/>
    <w:rsid w:val="67A4408D"/>
    <w:rsid w:val="67BC2E06"/>
    <w:rsid w:val="68603079"/>
    <w:rsid w:val="6BBB06DC"/>
    <w:rsid w:val="6CCF6429"/>
    <w:rsid w:val="7D874572"/>
    <w:rsid w:val="7FA577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50" w:beforeLines="50" w:beforeAutospacing="0" w:after="50" w:afterLines="50" w:afterAutospacing="0" w:line="360" w:lineRule="auto"/>
      <w:outlineLvl w:val="1"/>
    </w:pPr>
    <w:rPr>
      <w:rFonts w:ascii="Arial" w:hAnsi="Arial" w:eastAsia="黑体"/>
      <w:b/>
      <w:sz w:val="28"/>
    </w:rPr>
  </w:style>
  <w:style w:type="paragraph" w:styleId="4">
    <w:name w:val="heading 4"/>
    <w:basedOn w:val="1"/>
    <w:next w:val="1"/>
    <w:qFormat/>
    <w:uiPriority w:val="0"/>
    <w:pPr>
      <w:keepNext/>
      <w:keepLines/>
      <w:spacing w:before="280" w:beforeLines="0" w:after="290" w:afterLines="0" w:line="372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/>
    </w:pPr>
    <w:rPr>
      <w:rFonts w:ascii="Times New Roman" w:hAnsi="Times New Roman" w:eastAsia="楷体_GB2312"/>
      <w:szCs w:val="20"/>
    </w:rPr>
  </w:style>
  <w:style w:type="paragraph" w:styleId="5">
    <w:name w:val="Normal Indent"/>
    <w:basedOn w:val="1"/>
    <w:next w:val="1"/>
    <w:semiHidden/>
    <w:unhideWhenUsed/>
    <w:qFormat/>
    <w:uiPriority w:val="99"/>
    <w:pPr>
      <w:ind w:firstLine="420" w:firstLineChars="200"/>
    </w:pPr>
  </w:style>
  <w:style w:type="paragraph" w:styleId="6">
    <w:name w:val="annotation text"/>
    <w:basedOn w:val="1"/>
    <w:qFormat/>
    <w:uiPriority w:val="0"/>
  </w:style>
  <w:style w:type="paragraph" w:styleId="7">
    <w:name w:val="Plain Text"/>
    <w:basedOn w:val="1"/>
    <w:next w:val="1"/>
    <w:qFormat/>
    <w:uiPriority w:val="0"/>
    <w:pPr>
      <w:widowControl w:val="0"/>
      <w:adjustRightInd/>
      <w:snapToGrid/>
      <w:spacing w:after="0"/>
      <w:jc w:val="both"/>
    </w:pPr>
    <w:rPr>
      <w:rFonts w:ascii="宋体" w:hAnsi="Courier New" w:eastAsia="楷体_GB2312"/>
      <w:kern w:val="2"/>
      <w:sz w:val="24"/>
      <w:szCs w:val="20"/>
    </w:rPr>
  </w:style>
  <w:style w:type="paragraph" w:styleId="8">
    <w:name w:val="Balloon Text"/>
    <w:basedOn w:val="1"/>
    <w:link w:val="32"/>
    <w:qFormat/>
    <w:uiPriority w:val="0"/>
    <w:pPr>
      <w:spacing w:after="0"/>
    </w:pPr>
    <w:rPr>
      <w:sz w:val="18"/>
      <w:szCs w:val="18"/>
    </w:rPr>
  </w:style>
  <w:style w:type="paragraph" w:styleId="9">
    <w:name w:val="footer"/>
    <w:basedOn w:val="1"/>
    <w:link w:val="34"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0">
    <w:name w:val="header"/>
    <w:basedOn w:val="1"/>
    <w:link w:val="3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1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12">
    <w:name w:val="Body Text First Indent"/>
    <w:basedOn w:val="2"/>
    <w:qFormat/>
    <w:uiPriority w:val="0"/>
    <w:pPr>
      <w:ind w:firstLine="420"/>
    </w:pPr>
  </w:style>
  <w:style w:type="table" w:styleId="14">
    <w:name w:val="Table Grid"/>
    <w:basedOn w:val="13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annotation reference"/>
    <w:basedOn w:val="15"/>
    <w:qFormat/>
    <w:uiPriority w:val="0"/>
    <w:rPr>
      <w:sz w:val="21"/>
      <w:szCs w:val="21"/>
    </w:rPr>
  </w:style>
  <w:style w:type="character" w:customStyle="1" w:styleId="17">
    <w:name w:val="active"/>
    <w:basedOn w:val="15"/>
    <w:qFormat/>
    <w:uiPriority w:val="0"/>
    <w:rPr>
      <w:color w:val="C0C4CC"/>
    </w:rPr>
  </w:style>
  <w:style w:type="character" w:customStyle="1" w:styleId="18">
    <w:name w:val="tip[data-v-68b2dfce]"/>
    <w:basedOn w:val="15"/>
    <w:qFormat/>
    <w:uiPriority w:val="0"/>
    <w:rPr>
      <w:color w:val="0056B1"/>
    </w:rPr>
  </w:style>
  <w:style w:type="character" w:customStyle="1" w:styleId="19">
    <w:name w:val="tabname[data-v-1dc33507]"/>
    <w:basedOn w:val="15"/>
    <w:qFormat/>
    <w:uiPriority w:val="0"/>
  </w:style>
  <w:style w:type="character" w:customStyle="1" w:styleId="20">
    <w:name w:val="checkbox[data-v-a24992c2]"/>
    <w:basedOn w:val="15"/>
    <w:qFormat/>
    <w:uiPriority w:val="0"/>
    <w:rPr>
      <w:bdr w:val="single" w:color="DDDDDD" w:sz="6" w:space="0"/>
    </w:rPr>
  </w:style>
  <w:style w:type="character" w:customStyle="1" w:styleId="21">
    <w:name w:val="not([class*=suffix])"/>
    <w:basedOn w:val="15"/>
    <w:qFormat/>
    <w:uiPriority w:val="0"/>
    <w:rPr>
      <w:sz w:val="19"/>
      <w:szCs w:val="19"/>
    </w:rPr>
  </w:style>
  <w:style w:type="character" w:customStyle="1" w:styleId="22">
    <w:name w:val="not([class*=suffix])1"/>
    <w:basedOn w:val="15"/>
    <w:qFormat/>
    <w:uiPriority w:val="0"/>
  </w:style>
  <w:style w:type="character" w:customStyle="1" w:styleId="23">
    <w:name w:val="hover2"/>
    <w:basedOn w:val="15"/>
    <w:qFormat/>
    <w:uiPriority w:val="0"/>
    <w:rPr>
      <w:color w:val="C0C4CC"/>
    </w:rPr>
  </w:style>
  <w:style w:type="character" w:customStyle="1" w:styleId="24">
    <w:name w:val="hover3"/>
    <w:basedOn w:val="15"/>
    <w:qFormat/>
    <w:uiPriority w:val="0"/>
    <w:rPr>
      <w:color w:val="3D89FA"/>
      <w:bdr w:val="single" w:color="3D89FA" w:sz="6" w:space="0"/>
    </w:rPr>
  </w:style>
  <w:style w:type="character" w:customStyle="1" w:styleId="25">
    <w:name w:val="required[data-v-5a92749f]"/>
    <w:basedOn w:val="15"/>
    <w:qFormat/>
    <w:uiPriority w:val="0"/>
  </w:style>
  <w:style w:type="character" w:customStyle="1" w:styleId="26">
    <w:name w:val="underline[data-v-1dc33507]"/>
    <w:basedOn w:val="15"/>
    <w:qFormat/>
    <w:uiPriority w:val="0"/>
  </w:style>
  <w:style w:type="character" w:customStyle="1" w:styleId="27">
    <w:name w:val="num[data-v-014b66c3]"/>
    <w:basedOn w:val="15"/>
    <w:qFormat/>
    <w:uiPriority w:val="0"/>
    <w:rPr>
      <w:color w:val="95E68A"/>
      <w:sz w:val="30"/>
      <w:szCs w:val="30"/>
    </w:rPr>
  </w:style>
  <w:style w:type="character" w:customStyle="1" w:styleId="28">
    <w:name w:val="num[data-v-014b66c3]1"/>
    <w:basedOn w:val="15"/>
    <w:qFormat/>
    <w:uiPriority w:val="0"/>
    <w:rPr>
      <w:color w:val="54A8FF"/>
      <w:sz w:val="30"/>
      <w:szCs w:val="30"/>
    </w:rPr>
  </w:style>
  <w:style w:type="character" w:customStyle="1" w:styleId="29">
    <w:name w:val="num[data-v-014b66c3]2"/>
    <w:basedOn w:val="15"/>
    <w:qFormat/>
    <w:uiPriority w:val="0"/>
    <w:rPr>
      <w:color w:val="0052CC"/>
      <w:sz w:val="30"/>
      <w:szCs w:val="30"/>
    </w:rPr>
  </w:style>
  <w:style w:type="character" w:customStyle="1" w:styleId="30">
    <w:name w:val="hover"/>
    <w:basedOn w:val="15"/>
    <w:qFormat/>
    <w:uiPriority w:val="0"/>
    <w:rPr>
      <w:color w:val="3D89FA"/>
      <w:bdr w:val="single" w:color="3D89FA" w:sz="6" w:space="0"/>
    </w:rPr>
  </w:style>
  <w:style w:type="character" w:customStyle="1" w:styleId="31">
    <w:name w:val="hover1"/>
    <w:basedOn w:val="15"/>
    <w:qFormat/>
    <w:uiPriority w:val="0"/>
    <w:rPr>
      <w:color w:val="C0C4CC"/>
    </w:rPr>
  </w:style>
  <w:style w:type="character" w:customStyle="1" w:styleId="32">
    <w:name w:val="批注框文本 字符"/>
    <w:basedOn w:val="15"/>
    <w:link w:val="8"/>
    <w:qFormat/>
    <w:uiPriority w:val="0"/>
    <w:rPr>
      <w:rFonts w:ascii="Tahoma" w:hAnsi="Tahoma" w:eastAsia="微软雅黑"/>
      <w:sz w:val="18"/>
      <w:szCs w:val="18"/>
    </w:rPr>
  </w:style>
  <w:style w:type="character" w:customStyle="1" w:styleId="33">
    <w:name w:val="页眉 字符"/>
    <w:basedOn w:val="15"/>
    <w:link w:val="10"/>
    <w:qFormat/>
    <w:uiPriority w:val="0"/>
    <w:rPr>
      <w:rFonts w:ascii="Tahoma" w:hAnsi="Tahoma" w:eastAsia="微软雅黑"/>
      <w:sz w:val="18"/>
      <w:szCs w:val="18"/>
    </w:rPr>
  </w:style>
  <w:style w:type="character" w:customStyle="1" w:styleId="34">
    <w:name w:val="页脚 字符"/>
    <w:basedOn w:val="15"/>
    <w:link w:val="9"/>
    <w:qFormat/>
    <w:uiPriority w:val="0"/>
    <w:rPr>
      <w:rFonts w:ascii="Tahoma" w:hAnsi="Tahoma" w:eastAsia="微软雅黑"/>
      <w:sz w:val="18"/>
      <w:szCs w:val="18"/>
    </w:rPr>
  </w:style>
  <w:style w:type="paragraph" w:customStyle="1" w:styleId="35">
    <w:name w:val="正文 New New New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36">
    <w:name w:val="Revision"/>
    <w:hidden/>
    <w:unhideWhenUsed/>
    <w:qFormat/>
    <w:uiPriority w:val="99"/>
    <w:rPr>
      <w:rFonts w:ascii="Tahoma" w:hAnsi="Tahoma" w:eastAsia="微软雅黑" w:cs="Times New Roman"/>
      <w:sz w:val="22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神州网信技术有限公司</Company>
  <Pages>7</Pages>
  <Words>932</Words>
  <Characters>5314</Characters>
  <Lines>44</Lines>
  <Paragraphs>12</Paragraphs>
  <TotalTime>5</TotalTime>
  <ScaleCrop>false</ScaleCrop>
  <LinksUpToDate>false</LinksUpToDate>
  <CharactersWithSpaces>6234</CharactersWithSpaces>
  <Application>WPS Office_11.8.2.12055_F1E327BC-269C-435d-A152-05C5408002CA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2021-09-13T01:26:00Z</dcterms:created>
  <dc:creator>yoyo</dc:creator>
  <cp:lastModifiedBy>单卫红</cp:lastModifiedBy>
  <cp:lastPrinted>2024-07-03T02:51:00Z</cp:lastPrinted>
  <dcterms:modified xsi:type="dcterms:W3CDTF">2024-11-28T07:43:27Z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2052-11.8.2.12055</vt:lpwstr>
  </property>
  <property fmtid="{D5CDD505-2E9C-101B-9397-08002B2CF9AE}" pid="3" name="ICV">
    <vt:lpwstr>D3B06BC6D9C14461B8F9E2ACADEB9953</vt:lpwstr>
  </property>
</Properties>
</file>