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E8E0B1">
      <w:pPr>
        <w:pStyle w:val="3"/>
        <w:rPr>
          <w:rFonts w:hint="eastAsia" w:ascii="仿宋" w:hAnsi="仿宋" w:eastAsia="仿宋" w:cs="仿宋"/>
          <w:b/>
          <w:color w:val="auto"/>
          <w:spacing w:val="-11"/>
          <w:sz w:val="30"/>
          <w:szCs w:val="30"/>
        </w:rPr>
      </w:pPr>
      <w:r>
        <w:rPr>
          <w:rFonts w:hint="eastAsia" w:ascii="仿宋" w:hAnsi="仿宋" w:eastAsia="仿宋" w:cs="仿宋"/>
          <w:b/>
          <w:color w:val="auto"/>
          <w:spacing w:val="-11"/>
          <w:sz w:val="30"/>
          <w:szCs w:val="30"/>
        </w:rPr>
        <w:t>湘西自治州州直学校新生入学结核病筛查服务采购项目比选公告</w:t>
      </w:r>
    </w:p>
    <w:p w14:paraId="7E8BC267">
      <w:pPr>
        <w:rPr>
          <w:color w:val="auto"/>
        </w:rPr>
      </w:pPr>
    </w:p>
    <w:p w14:paraId="72DE0390">
      <w:pPr>
        <w:pStyle w:val="6"/>
        <w:spacing w:line="460" w:lineRule="exact"/>
        <w:ind w:left="0" w:leftChars="0" w:firstLine="480" w:firstLineChars="200"/>
        <w:rPr>
          <w:rFonts w:hint="eastAsia" w:ascii="仿宋" w:hAnsi="仿宋" w:eastAsia="仿宋" w:cs="仿宋"/>
          <w:color w:val="auto"/>
          <w:kern w:val="2"/>
          <w:lang w:bidi="zh-CN"/>
        </w:rPr>
      </w:pPr>
      <w:r>
        <w:rPr>
          <w:rFonts w:hint="eastAsia" w:ascii="仿宋" w:hAnsi="仿宋" w:eastAsia="仿宋" w:cs="仿宋"/>
          <w:color w:val="auto"/>
          <w:kern w:val="2"/>
          <w:lang w:bidi="zh-CN"/>
        </w:rPr>
        <w:t>湖南笃诚项目咨询管理有限公司受湘</w:t>
      </w:r>
      <w:bookmarkStart w:id="7" w:name="_GoBack"/>
      <w:bookmarkEnd w:id="7"/>
      <w:r>
        <w:rPr>
          <w:rFonts w:hint="eastAsia" w:ascii="仿宋" w:hAnsi="仿宋" w:eastAsia="仿宋" w:cs="仿宋"/>
          <w:color w:val="auto"/>
          <w:kern w:val="2"/>
          <w:lang w:bidi="zh-CN"/>
        </w:rPr>
        <w:t>西土家族苗族自治州疾病预防控制中心的委托，对湘西自治州州直学校新生入学结核病筛查服务采购项目进行公开比选，欢迎符合资格条件的</w:t>
      </w:r>
      <w:r>
        <w:rPr>
          <w:rFonts w:hint="eastAsia" w:ascii="仿宋" w:hAnsi="仿宋" w:eastAsia="仿宋" w:cs="仿宋"/>
          <w:color w:val="auto"/>
          <w:kern w:val="2"/>
          <w:lang w:val="en-US" w:bidi="zh-CN"/>
        </w:rPr>
        <w:t>比选申请人</w:t>
      </w:r>
      <w:r>
        <w:rPr>
          <w:rFonts w:hint="eastAsia" w:ascii="仿宋" w:hAnsi="仿宋" w:eastAsia="仿宋" w:cs="仿宋"/>
          <w:color w:val="auto"/>
          <w:kern w:val="2"/>
          <w:lang w:bidi="zh-CN"/>
        </w:rPr>
        <w:t>参加比选。</w:t>
      </w:r>
    </w:p>
    <w:p w14:paraId="145AE451">
      <w:pPr>
        <w:numPr>
          <w:ilvl w:val="0"/>
          <w:numId w:val="1"/>
        </w:numPr>
        <w:tabs>
          <w:tab w:val="left" w:pos="737"/>
        </w:tabs>
        <w:autoSpaceDE w:val="0"/>
        <w:autoSpaceDN w:val="0"/>
        <w:spacing w:line="460" w:lineRule="exact"/>
        <w:ind w:firstLine="482" w:firstLineChars="200"/>
        <w:jc w:val="left"/>
        <w:outlineLvl w:val="1"/>
        <w:rPr>
          <w:rFonts w:hint="eastAsia" w:ascii="仿宋" w:hAnsi="仿宋" w:eastAsia="仿宋" w:cs="仿宋"/>
          <w:b/>
          <w:bCs/>
          <w:color w:val="auto"/>
          <w:sz w:val="24"/>
          <w:lang w:val="zh-CN" w:bidi="zh-CN"/>
        </w:rPr>
      </w:pPr>
      <w:bookmarkStart w:id="0" w:name="_Toc20695"/>
      <w:r>
        <w:rPr>
          <w:rFonts w:hint="eastAsia" w:ascii="仿宋" w:hAnsi="仿宋" w:eastAsia="仿宋" w:cs="仿宋"/>
          <w:b/>
          <w:bCs/>
          <w:color w:val="auto"/>
          <w:sz w:val="24"/>
          <w:lang w:val="zh-CN" w:bidi="zh-CN"/>
        </w:rPr>
        <w:t>项目概况与</w:t>
      </w:r>
      <w:r>
        <w:rPr>
          <w:rFonts w:hint="eastAsia" w:ascii="仿宋" w:hAnsi="仿宋" w:eastAsia="仿宋" w:cs="仿宋"/>
          <w:b/>
          <w:bCs/>
          <w:color w:val="auto"/>
          <w:sz w:val="24"/>
          <w:lang w:bidi="zh-CN"/>
        </w:rPr>
        <w:t>服务内容</w:t>
      </w:r>
      <w:bookmarkEnd w:id="0"/>
    </w:p>
    <w:p w14:paraId="3CE1BC04">
      <w:pPr>
        <w:autoSpaceDE w:val="0"/>
        <w:autoSpaceDN w:val="0"/>
        <w:spacing w:line="460" w:lineRule="exact"/>
        <w:ind w:firstLine="480" w:firstLineChars="200"/>
        <w:rPr>
          <w:rFonts w:hint="eastAsia" w:ascii="仿宋" w:hAnsi="仿宋" w:eastAsia="仿宋" w:cs="仿宋"/>
          <w:color w:val="auto"/>
          <w:sz w:val="24"/>
          <w:lang w:bidi="zh-CN"/>
        </w:rPr>
      </w:pPr>
      <w:r>
        <w:rPr>
          <w:rFonts w:hint="eastAsia" w:ascii="仿宋" w:hAnsi="仿宋" w:eastAsia="仿宋" w:cs="仿宋"/>
          <w:color w:val="auto"/>
          <w:sz w:val="24"/>
          <w:lang w:bidi="zh-CN"/>
        </w:rPr>
        <w:t>1.1 项目名称：湘西自治州州直学校新生入学结核病筛查服务采购项目；</w:t>
      </w:r>
    </w:p>
    <w:p w14:paraId="0A9AB385">
      <w:pPr>
        <w:autoSpaceDE w:val="0"/>
        <w:autoSpaceDN w:val="0"/>
        <w:spacing w:line="460" w:lineRule="exact"/>
        <w:ind w:firstLine="480" w:firstLineChars="200"/>
        <w:rPr>
          <w:rFonts w:hint="eastAsia" w:ascii="仿宋" w:hAnsi="仿宋" w:eastAsia="仿宋" w:cs="仿宋"/>
          <w:color w:val="auto"/>
          <w:sz w:val="24"/>
          <w:lang w:bidi="zh-CN"/>
        </w:rPr>
      </w:pPr>
      <w:r>
        <w:rPr>
          <w:rFonts w:hint="eastAsia" w:ascii="仿宋" w:hAnsi="仿宋" w:eastAsia="仿宋" w:cs="仿宋"/>
          <w:color w:val="auto"/>
          <w:sz w:val="24"/>
          <w:lang w:bidi="zh-CN"/>
        </w:rPr>
        <w:t>1.2 服务地点：湖南省湘西自治州；</w:t>
      </w:r>
    </w:p>
    <w:p w14:paraId="34E813BE">
      <w:pPr>
        <w:autoSpaceDE w:val="0"/>
        <w:autoSpaceDN w:val="0"/>
        <w:spacing w:line="460" w:lineRule="exact"/>
        <w:ind w:firstLine="480" w:firstLineChars="200"/>
        <w:rPr>
          <w:rFonts w:hint="eastAsia" w:ascii="仿宋" w:hAnsi="仿宋" w:eastAsia="仿宋" w:cs="仿宋"/>
          <w:color w:val="auto"/>
          <w:sz w:val="24"/>
          <w:lang w:bidi="zh-CN"/>
        </w:rPr>
      </w:pPr>
      <w:r>
        <w:rPr>
          <w:rFonts w:hint="eastAsia" w:ascii="仿宋" w:hAnsi="仿宋" w:eastAsia="仿宋" w:cs="仿宋"/>
          <w:color w:val="auto"/>
          <w:sz w:val="24"/>
          <w:lang w:bidi="zh-CN"/>
        </w:rPr>
        <w:t>1.3 服务内容：</w:t>
      </w:r>
      <w:r>
        <w:rPr>
          <w:rFonts w:hint="eastAsia" w:ascii="仿宋" w:hAnsi="仿宋" w:eastAsia="仿宋" w:cs="仿宋"/>
          <w:color w:val="auto"/>
          <w:kern w:val="0"/>
          <w:sz w:val="24"/>
          <w:szCs w:val="24"/>
          <w:highlight w:val="none"/>
          <w:lang w:val="en-US" w:eastAsia="zh-CN" w:bidi="ar"/>
        </w:rPr>
        <w:t>严格按照</w:t>
      </w:r>
      <w:r>
        <w:rPr>
          <w:rFonts w:hint="eastAsia" w:ascii="仿宋" w:hAnsi="仿宋" w:eastAsia="仿宋" w:cs="仿宋"/>
          <w:b w:val="0"/>
          <w:bCs w:val="0"/>
          <w:color w:val="auto"/>
          <w:kern w:val="0"/>
          <w:sz w:val="24"/>
          <w:szCs w:val="24"/>
          <w:highlight w:val="none"/>
          <w:lang w:val="en-US" w:eastAsia="zh-CN" w:bidi="ar"/>
        </w:rPr>
        <w:t>《学校结核病防控工作规范(2017版)》和《肺结核诊断》(WS 288-2017)</w:t>
      </w:r>
      <w:r>
        <w:rPr>
          <w:rFonts w:hint="eastAsia" w:ascii="仿宋" w:hAnsi="仿宋" w:eastAsia="仿宋" w:cs="仿宋"/>
          <w:color w:val="auto"/>
          <w:kern w:val="0"/>
          <w:sz w:val="24"/>
          <w:szCs w:val="24"/>
          <w:highlight w:val="none"/>
          <w:lang w:val="en-US" w:eastAsia="zh-CN" w:bidi="ar"/>
        </w:rPr>
        <w:t>的相关要求，对州直相关学校开展学生结核病筛查工作，包括筛查工作资料印制、EC试验、对EC试验阳性反应结果的学生免费进行DR胸片复查、对EC试验禁忌症的学生及因故前期未能参加EC试验且年满15周岁的学生免费进行DR胸片检查、实施工作中出现异常反应和意外情况的处置、筛查数据的收集与汇总分析、出具医学建议、撰写筛查报告等（具体详见第五章第四条）</w:t>
      </w:r>
      <w:r>
        <w:rPr>
          <w:rFonts w:hint="eastAsia" w:ascii="仿宋" w:hAnsi="仿宋" w:eastAsia="仿宋" w:cs="仿宋"/>
          <w:color w:val="auto"/>
          <w:sz w:val="24"/>
          <w:lang w:bidi="zh-CN"/>
        </w:rPr>
        <w:t>；</w:t>
      </w:r>
    </w:p>
    <w:p w14:paraId="78128C27">
      <w:pPr>
        <w:autoSpaceDE w:val="0"/>
        <w:autoSpaceDN w:val="0"/>
        <w:spacing w:line="460" w:lineRule="exact"/>
        <w:ind w:firstLine="480" w:firstLineChars="200"/>
        <w:rPr>
          <w:rFonts w:hint="eastAsia" w:ascii="仿宋" w:hAnsi="仿宋" w:eastAsia="仿宋" w:cs="仿宋"/>
          <w:color w:val="auto"/>
          <w:sz w:val="24"/>
          <w:lang w:bidi="zh-CN"/>
        </w:rPr>
      </w:pPr>
      <w:r>
        <w:rPr>
          <w:rFonts w:hint="eastAsia" w:ascii="仿宋" w:hAnsi="仿宋" w:eastAsia="仿宋" w:cs="仿宋"/>
          <w:color w:val="auto"/>
          <w:sz w:val="24"/>
          <w:lang w:bidi="zh-CN"/>
        </w:rPr>
        <w:t>1.4 服务期限：</w:t>
      </w:r>
      <w:r>
        <w:rPr>
          <w:rFonts w:hint="eastAsia" w:ascii="仿宋" w:hAnsi="仿宋" w:eastAsia="仿宋" w:cs="仿宋"/>
          <w:color w:val="auto"/>
          <w:kern w:val="0"/>
          <w:sz w:val="24"/>
          <w:szCs w:val="24"/>
          <w:highlight w:val="none"/>
          <w:lang w:val="en-US" w:eastAsia="zh-CN" w:bidi="ar"/>
        </w:rPr>
        <w:t>结核病筛查工作必须在合同签订后10日内完成，具体时间由学校和疾病预防控制中心共同确定</w:t>
      </w:r>
      <w:r>
        <w:rPr>
          <w:rFonts w:hint="eastAsia" w:ascii="仿宋" w:hAnsi="仿宋" w:eastAsia="仿宋" w:cs="仿宋"/>
          <w:color w:val="auto"/>
          <w:sz w:val="24"/>
          <w:lang w:bidi="zh-CN"/>
        </w:rPr>
        <w:t>；</w:t>
      </w:r>
    </w:p>
    <w:p w14:paraId="39715363">
      <w:pPr>
        <w:autoSpaceDE w:val="0"/>
        <w:autoSpaceDN w:val="0"/>
        <w:spacing w:line="46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bidi="zh-CN"/>
        </w:rPr>
        <w:t xml:space="preserve">1.5 </w:t>
      </w:r>
      <w:r>
        <w:rPr>
          <w:rFonts w:hint="eastAsia" w:ascii="仿宋" w:hAnsi="仿宋" w:eastAsia="仿宋" w:cs="仿宋"/>
          <w:color w:val="auto"/>
          <w:sz w:val="24"/>
        </w:rPr>
        <w:t>比选控制价（最高限价）：本项目比选控制价（最高限价）为</w:t>
      </w:r>
      <w:r>
        <w:rPr>
          <w:rFonts w:hint="eastAsia" w:ascii="仿宋" w:hAnsi="仿宋" w:eastAsia="仿宋" w:cs="仿宋"/>
          <w:color w:val="auto"/>
          <w:sz w:val="24"/>
          <w:lang w:val="en-US" w:eastAsia="zh-CN"/>
        </w:rPr>
        <w:t>55</w:t>
      </w:r>
      <w:r>
        <w:rPr>
          <w:rFonts w:hint="eastAsia" w:ascii="仿宋" w:hAnsi="仿宋" w:eastAsia="仿宋" w:cs="仿宋"/>
          <w:color w:val="auto"/>
          <w:sz w:val="24"/>
        </w:rPr>
        <w:t>万元；</w:t>
      </w:r>
    </w:p>
    <w:p w14:paraId="7CA082CB">
      <w:pPr>
        <w:autoSpaceDE w:val="0"/>
        <w:autoSpaceDN w:val="0"/>
        <w:spacing w:line="460" w:lineRule="exact"/>
        <w:ind w:firstLine="480" w:firstLineChars="200"/>
        <w:rPr>
          <w:rFonts w:hint="eastAsia" w:ascii="仿宋" w:hAnsi="仿宋" w:eastAsia="仿宋" w:cs="仿宋"/>
          <w:color w:val="auto"/>
          <w:sz w:val="24"/>
          <w:lang w:bidi="zh-CN"/>
        </w:rPr>
      </w:pPr>
      <w:r>
        <w:rPr>
          <w:rFonts w:hint="eastAsia" w:ascii="仿宋" w:hAnsi="仿宋" w:eastAsia="仿宋" w:cs="仿宋"/>
          <w:color w:val="auto"/>
          <w:sz w:val="24"/>
          <w:lang w:bidi="zh-CN"/>
        </w:rPr>
        <w:t>1.</w:t>
      </w:r>
      <w:r>
        <w:rPr>
          <w:rFonts w:hint="eastAsia" w:ascii="仿宋" w:hAnsi="仿宋" w:eastAsia="仿宋" w:cs="仿宋"/>
          <w:color w:val="auto"/>
          <w:sz w:val="24"/>
          <w:lang w:val="en-US" w:bidi="zh-CN"/>
        </w:rPr>
        <w:t>6</w:t>
      </w:r>
      <w:r>
        <w:rPr>
          <w:rFonts w:hint="eastAsia" w:ascii="仿宋" w:hAnsi="仿宋" w:eastAsia="仿宋" w:cs="仿宋"/>
          <w:color w:val="auto"/>
          <w:sz w:val="24"/>
          <w:lang w:bidi="zh-CN"/>
        </w:rPr>
        <w:t xml:space="preserve"> 付款方式：</w:t>
      </w:r>
      <w:r>
        <w:rPr>
          <w:rFonts w:hint="eastAsia" w:ascii="仿宋" w:hAnsi="仿宋" w:eastAsia="仿宋" w:cs="仿宋"/>
          <w:color w:val="auto"/>
          <w:kern w:val="0"/>
          <w:sz w:val="24"/>
          <w:szCs w:val="24"/>
          <w:highlight w:val="none"/>
          <w:lang w:val="en-US" w:eastAsia="zh-CN" w:bidi="ar"/>
        </w:rPr>
        <w:t>待所有服务完成之后（无服务质量问题、售后服务纠纷，以及其他经济法律纠纷等问题），经比选人验收合格后60日内，一次性无息支付</w:t>
      </w:r>
      <w:r>
        <w:rPr>
          <w:rFonts w:hint="eastAsia" w:ascii="仿宋" w:hAnsi="仿宋" w:eastAsia="仿宋" w:cs="仿宋"/>
          <w:color w:val="auto"/>
          <w:sz w:val="24"/>
          <w:lang w:bidi="zh-CN"/>
        </w:rPr>
        <w:t>。</w:t>
      </w:r>
    </w:p>
    <w:p w14:paraId="45979055">
      <w:pPr>
        <w:numPr>
          <w:ilvl w:val="0"/>
          <w:numId w:val="1"/>
        </w:numPr>
        <w:tabs>
          <w:tab w:val="left" w:pos="737"/>
        </w:tabs>
        <w:autoSpaceDE w:val="0"/>
        <w:autoSpaceDN w:val="0"/>
        <w:spacing w:line="460" w:lineRule="exact"/>
        <w:ind w:firstLine="482" w:firstLineChars="200"/>
        <w:jc w:val="left"/>
        <w:outlineLvl w:val="1"/>
        <w:rPr>
          <w:rFonts w:hint="eastAsia" w:ascii="仿宋" w:hAnsi="仿宋" w:eastAsia="仿宋" w:cs="仿宋"/>
          <w:b/>
          <w:bCs/>
          <w:color w:val="auto"/>
          <w:sz w:val="24"/>
          <w:lang w:val="zh-CN" w:bidi="zh-CN"/>
        </w:rPr>
      </w:pPr>
      <w:bookmarkStart w:id="1" w:name="_Toc16206"/>
      <w:r>
        <w:rPr>
          <w:rFonts w:hint="eastAsia" w:ascii="仿宋" w:hAnsi="仿宋" w:eastAsia="仿宋" w:cs="仿宋"/>
          <w:b/>
          <w:bCs/>
          <w:color w:val="auto"/>
          <w:sz w:val="24"/>
          <w:lang w:val="zh-CN" w:bidi="zh-CN"/>
        </w:rPr>
        <w:t>比选申请人资格要求</w:t>
      </w:r>
      <w:bookmarkEnd w:id="1"/>
    </w:p>
    <w:p w14:paraId="182F1A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Autospacing="0" w:after="0" w:afterAutospacing="0" w:line="460" w:lineRule="exact"/>
        <w:ind w:left="0" w:right="0" w:firstLine="42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2.1 比选申请人基本资格条件：比选申请人必须是在中华人民共和国境内注册登记的法人、其他组织或者自然人，且应当符合《政府采购法》第二十二条第一款的规定。 </w:t>
      </w:r>
    </w:p>
    <w:p w14:paraId="67CE8C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Autospacing="0" w:after="0" w:afterAutospacing="0" w:line="460" w:lineRule="exact"/>
        <w:ind w:left="0" w:right="0" w:firstLine="420"/>
        <w:jc w:val="left"/>
        <w:textAlignment w:val="auto"/>
        <w:rPr>
          <w:rFonts w:hint="eastAsia" w:ascii="仿宋" w:hAnsi="仿宋" w:eastAsia="仿宋" w:cs="仿宋"/>
          <w:b w:val="0"/>
          <w:bCs w:val="0"/>
          <w:color w:val="auto"/>
          <w:sz w:val="24"/>
          <w:szCs w:val="24"/>
        </w:rPr>
      </w:pPr>
      <w:r>
        <w:rPr>
          <w:rFonts w:hint="eastAsia" w:ascii="仿宋" w:hAnsi="仿宋" w:eastAsia="仿宋" w:cs="仿宋"/>
          <w:color w:val="auto"/>
          <w:kern w:val="0"/>
          <w:sz w:val="24"/>
          <w:szCs w:val="24"/>
          <w:lang w:val="en-US" w:eastAsia="zh-CN" w:bidi="ar"/>
        </w:rPr>
        <w:t>2.2 比选申请人特定资格条件：具有有效的《医疗机构执业许可证》。</w:t>
      </w:r>
    </w:p>
    <w:p w14:paraId="624E1D0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Autospacing="0" w:after="0" w:afterAutospacing="0" w:line="460" w:lineRule="exact"/>
        <w:ind w:left="0" w:right="0" w:firstLine="420"/>
        <w:jc w:val="lef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 xml:space="preserve">2.3 被《信用中国》网站列入失信被执行人、重大税收违法失信主体名单，被《中国政府采购网》列入政府采购严重违法失信行为记录名单的，拒绝其参与本次比选活动。 </w:t>
      </w:r>
    </w:p>
    <w:p w14:paraId="2F93E4B2">
      <w:pPr>
        <w:numPr>
          <w:ilvl w:val="0"/>
          <w:numId w:val="1"/>
        </w:numPr>
        <w:tabs>
          <w:tab w:val="left" w:pos="737"/>
        </w:tabs>
        <w:autoSpaceDE w:val="0"/>
        <w:autoSpaceDN w:val="0"/>
        <w:spacing w:line="460" w:lineRule="exact"/>
        <w:ind w:firstLine="482" w:firstLineChars="200"/>
        <w:jc w:val="left"/>
        <w:outlineLvl w:val="1"/>
        <w:rPr>
          <w:rFonts w:hint="eastAsia" w:ascii="仿宋" w:hAnsi="仿宋" w:eastAsia="仿宋" w:cs="仿宋"/>
          <w:b/>
          <w:bCs/>
          <w:color w:val="auto"/>
          <w:sz w:val="24"/>
          <w:lang w:val="zh-CN" w:bidi="zh-CN"/>
        </w:rPr>
      </w:pPr>
      <w:bookmarkStart w:id="2" w:name="_Toc2962"/>
      <w:r>
        <w:rPr>
          <w:rFonts w:hint="eastAsia" w:ascii="仿宋" w:hAnsi="仿宋" w:eastAsia="仿宋" w:cs="仿宋"/>
          <w:b/>
          <w:bCs/>
          <w:color w:val="auto"/>
          <w:sz w:val="24"/>
          <w:lang w:val="zh-CN" w:bidi="zh-CN"/>
        </w:rPr>
        <w:t>评标办法及资格审查方式</w:t>
      </w:r>
      <w:bookmarkEnd w:id="2"/>
    </w:p>
    <w:p w14:paraId="6706DD0B">
      <w:pPr>
        <w:autoSpaceDE w:val="0"/>
        <w:autoSpaceDN w:val="0"/>
        <w:spacing w:line="460" w:lineRule="exact"/>
        <w:ind w:firstLine="480" w:firstLineChars="200"/>
        <w:rPr>
          <w:rFonts w:hint="eastAsia" w:ascii="仿宋" w:hAnsi="仿宋" w:eastAsia="仿宋" w:cs="仿宋"/>
          <w:color w:val="auto"/>
          <w:sz w:val="24"/>
          <w:lang w:val="zh-CN" w:bidi="zh-CN"/>
        </w:rPr>
      </w:pPr>
      <w:r>
        <w:rPr>
          <w:rFonts w:hint="eastAsia" w:ascii="仿宋" w:hAnsi="仿宋" w:eastAsia="仿宋" w:cs="仿宋"/>
          <w:color w:val="auto"/>
          <w:sz w:val="24"/>
          <w:lang w:val="en-US" w:bidi="zh-CN"/>
        </w:rPr>
        <w:t xml:space="preserve">3.1 </w:t>
      </w:r>
      <w:r>
        <w:rPr>
          <w:rFonts w:hint="eastAsia" w:ascii="仿宋" w:hAnsi="仿宋" w:eastAsia="仿宋" w:cs="仿宋"/>
          <w:color w:val="auto"/>
          <w:sz w:val="24"/>
          <w:lang w:val="zh-CN" w:bidi="zh-CN"/>
        </w:rPr>
        <w:t>本</w:t>
      </w:r>
      <w:r>
        <w:rPr>
          <w:rFonts w:hint="eastAsia" w:ascii="仿宋" w:hAnsi="仿宋" w:eastAsia="仿宋" w:cs="仿宋"/>
          <w:color w:val="auto"/>
          <w:sz w:val="24"/>
          <w:lang w:val="zh-CN" w:eastAsia="zh-CN" w:bidi="zh-CN"/>
        </w:rPr>
        <w:t>次招标</w:t>
      </w:r>
      <w:r>
        <w:rPr>
          <w:rFonts w:hint="eastAsia" w:ascii="仿宋" w:hAnsi="仿宋" w:eastAsia="仿宋" w:cs="仿宋"/>
          <w:color w:val="auto"/>
          <w:sz w:val="24"/>
          <w:lang w:val="en-US" w:eastAsia="zh-CN" w:bidi="zh-CN"/>
        </w:rPr>
        <w:t>的评标办法</w:t>
      </w:r>
      <w:r>
        <w:rPr>
          <w:rFonts w:hint="eastAsia" w:ascii="仿宋" w:hAnsi="仿宋" w:eastAsia="仿宋" w:cs="仿宋"/>
          <w:color w:val="auto"/>
          <w:sz w:val="24"/>
          <w:lang w:val="zh-CN" w:bidi="zh-CN"/>
        </w:rPr>
        <w:t>采用“综合评估法”，资格审查方式为资格后审。</w:t>
      </w:r>
    </w:p>
    <w:p w14:paraId="5B4A1779">
      <w:pPr>
        <w:numPr>
          <w:ilvl w:val="0"/>
          <w:numId w:val="1"/>
        </w:numPr>
        <w:tabs>
          <w:tab w:val="left" w:pos="737"/>
        </w:tabs>
        <w:autoSpaceDE w:val="0"/>
        <w:autoSpaceDN w:val="0"/>
        <w:spacing w:line="460" w:lineRule="exact"/>
        <w:ind w:firstLine="482" w:firstLineChars="200"/>
        <w:jc w:val="left"/>
        <w:outlineLvl w:val="1"/>
        <w:rPr>
          <w:rFonts w:hint="eastAsia" w:ascii="仿宋" w:hAnsi="仿宋" w:eastAsia="仿宋" w:cs="仿宋"/>
          <w:b/>
          <w:bCs/>
          <w:color w:val="auto"/>
          <w:sz w:val="24"/>
          <w:lang w:val="zh-CN" w:bidi="zh-CN"/>
        </w:rPr>
      </w:pPr>
      <w:bookmarkStart w:id="3" w:name="_Toc2623"/>
      <w:r>
        <w:rPr>
          <w:rFonts w:hint="eastAsia" w:ascii="仿宋" w:hAnsi="仿宋" w:eastAsia="仿宋" w:cs="仿宋"/>
          <w:b/>
          <w:bCs/>
          <w:color w:val="auto"/>
          <w:sz w:val="24"/>
          <w:lang w:val="zh-CN" w:bidi="zh-CN"/>
        </w:rPr>
        <w:t>比选文件的获取</w:t>
      </w:r>
      <w:bookmarkEnd w:id="3"/>
    </w:p>
    <w:p w14:paraId="0B683150">
      <w:pPr>
        <w:pStyle w:val="7"/>
        <w:tabs>
          <w:tab w:val="left" w:pos="944"/>
        </w:tabs>
        <w:spacing w:before="0" w:line="460" w:lineRule="exact"/>
        <w:ind w:left="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rPr>
        <w:t>4.1 凡</w:t>
      </w:r>
      <w:r>
        <w:rPr>
          <w:rFonts w:hint="eastAsia" w:ascii="仿宋" w:hAnsi="仿宋" w:eastAsia="仿宋" w:cs="仿宋"/>
          <w:color w:val="auto"/>
          <w:kern w:val="2"/>
          <w:sz w:val="24"/>
          <w:szCs w:val="24"/>
          <w:lang w:val="en-US"/>
        </w:rPr>
        <w:t>符合资格条件并有意参加比选的</w:t>
      </w:r>
      <w:r>
        <w:rPr>
          <w:rFonts w:hint="eastAsia" w:ascii="仿宋" w:hAnsi="仿宋" w:eastAsia="仿宋" w:cs="仿宋"/>
          <w:color w:val="auto"/>
          <w:kern w:val="0"/>
          <w:sz w:val="24"/>
          <w:szCs w:val="24"/>
          <w:lang w:val="en-US" w:eastAsia="zh-CN" w:bidi="ar"/>
        </w:rPr>
        <w:t>比选申请人</w:t>
      </w:r>
      <w:r>
        <w:rPr>
          <w:rFonts w:hint="eastAsia" w:ascii="仿宋" w:hAnsi="仿宋" w:eastAsia="仿宋" w:cs="仿宋"/>
          <w:color w:val="auto"/>
          <w:kern w:val="2"/>
          <w:sz w:val="24"/>
          <w:szCs w:val="24"/>
          <w:lang w:val="en-US"/>
        </w:rPr>
        <w:t>，从即日起</w:t>
      </w:r>
      <w:r>
        <w:rPr>
          <w:rFonts w:hint="eastAsia" w:ascii="仿宋" w:hAnsi="仿宋" w:eastAsia="仿宋" w:cs="仿宋"/>
          <w:color w:val="auto"/>
          <w:kern w:val="2"/>
          <w:sz w:val="24"/>
          <w:szCs w:val="24"/>
        </w:rPr>
        <w:t>至202</w:t>
      </w:r>
      <w:r>
        <w:rPr>
          <w:rFonts w:hint="eastAsia" w:ascii="仿宋" w:hAnsi="仿宋" w:eastAsia="仿宋" w:cs="仿宋"/>
          <w:color w:val="auto"/>
          <w:kern w:val="2"/>
          <w:sz w:val="24"/>
          <w:szCs w:val="24"/>
          <w:lang w:val="en-US"/>
        </w:rPr>
        <w:t>4</w:t>
      </w:r>
      <w:r>
        <w:rPr>
          <w:rFonts w:hint="eastAsia" w:ascii="仿宋" w:hAnsi="仿宋" w:eastAsia="仿宋" w:cs="仿宋"/>
          <w:color w:val="auto"/>
          <w:kern w:val="2"/>
          <w:sz w:val="24"/>
          <w:szCs w:val="24"/>
        </w:rPr>
        <w:t>年</w:t>
      </w:r>
      <w:r>
        <w:rPr>
          <w:rFonts w:hint="eastAsia" w:ascii="仿宋" w:hAnsi="仿宋" w:eastAsia="仿宋" w:cs="仿宋"/>
          <w:color w:val="auto"/>
          <w:kern w:val="2"/>
          <w:sz w:val="24"/>
          <w:szCs w:val="24"/>
          <w:lang w:val="en-US" w:eastAsia="zh-CN"/>
        </w:rPr>
        <w:t>9</w:t>
      </w:r>
      <w:r>
        <w:rPr>
          <w:rFonts w:hint="eastAsia" w:ascii="仿宋" w:hAnsi="仿宋" w:eastAsia="仿宋" w:cs="仿宋"/>
          <w:color w:val="auto"/>
          <w:kern w:val="2"/>
          <w:sz w:val="24"/>
          <w:szCs w:val="24"/>
        </w:rPr>
        <w:t>月</w:t>
      </w:r>
      <w:r>
        <w:rPr>
          <w:rFonts w:hint="eastAsia" w:ascii="仿宋" w:hAnsi="仿宋" w:eastAsia="仿宋" w:cs="仿宋"/>
          <w:color w:val="auto"/>
          <w:kern w:val="2"/>
          <w:sz w:val="24"/>
          <w:szCs w:val="24"/>
          <w:lang w:val="en-US" w:eastAsia="zh-CN"/>
        </w:rPr>
        <w:t>5</w:t>
      </w:r>
      <w:r>
        <w:rPr>
          <w:rFonts w:hint="eastAsia" w:ascii="仿宋" w:hAnsi="仿宋" w:eastAsia="仿宋" w:cs="仿宋"/>
          <w:color w:val="auto"/>
          <w:kern w:val="2"/>
          <w:sz w:val="24"/>
          <w:szCs w:val="24"/>
        </w:rPr>
        <w:t>日</w:t>
      </w:r>
      <w:r>
        <w:rPr>
          <w:rFonts w:hint="eastAsia" w:ascii="仿宋" w:hAnsi="仿宋" w:eastAsia="仿宋" w:cs="仿宋"/>
          <w:color w:val="auto"/>
          <w:kern w:val="2"/>
          <w:sz w:val="24"/>
          <w:szCs w:val="24"/>
          <w:lang w:val="en-US"/>
        </w:rPr>
        <w:t>18时止（北京时间）</w:t>
      </w:r>
      <w:r>
        <w:rPr>
          <w:rFonts w:hint="eastAsia" w:ascii="仿宋" w:hAnsi="仿宋" w:eastAsia="仿宋" w:cs="仿宋"/>
          <w:color w:val="auto"/>
          <w:sz w:val="24"/>
          <w:szCs w:val="24"/>
          <w:lang w:val="en-US"/>
        </w:rPr>
        <w:t>将</w:t>
      </w:r>
      <w:r>
        <w:rPr>
          <w:rFonts w:hint="eastAsia" w:ascii="仿宋" w:hAnsi="仿宋" w:eastAsia="仿宋" w:cs="仿宋"/>
          <w:color w:val="auto"/>
          <w:sz w:val="24"/>
          <w:szCs w:val="24"/>
        </w:rPr>
        <w:t>比选申请人资格要</w:t>
      </w:r>
      <w:r>
        <w:rPr>
          <w:rFonts w:hint="eastAsia" w:ascii="仿宋" w:hAnsi="仿宋" w:eastAsia="仿宋" w:cs="仿宋"/>
          <w:color w:val="auto"/>
          <w:kern w:val="2"/>
          <w:sz w:val="24"/>
          <w:szCs w:val="24"/>
        </w:rPr>
        <w:t>求（</w:t>
      </w:r>
      <w:r>
        <w:rPr>
          <w:rFonts w:hint="eastAsia" w:ascii="仿宋" w:hAnsi="仿宋" w:eastAsia="仿宋" w:cs="仿宋"/>
          <w:color w:val="auto"/>
          <w:kern w:val="2"/>
          <w:sz w:val="24"/>
          <w:szCs w:val="24"/>
          <w:lang w:val="en-US"/>
        </w:rPr>
        <w:t>第2.1</w:t>
      </w:r>
      <w:r>
        <w:rPr>
          <w:rFonts w:hint="eastAsia" w:ascii="仿宋" w:hAnsi="仿宋" w:eastAsia="仿宋" w:cs="仿宋"/>
          <w:color w:val="auto"/>
          <w:kern w:val="2"/>
          <w:sz w:val="24"/>
          <w:szCs w:val="24"/>
          <w:lang w:val="en-US" w:eastAsia="zh-CN"/>
        </w:rPr>
        <w:t>至2.2</w:t>
      </w:r>
      <w:r>
        <w:rPr>
          <w:rFonts w:hint="eastAsia" w:ascii="仿宋" w:hAnsi="仿宋" w:eastAsia="仿宋" w:cs="仿宋"/>
          <w:color w:val="auto"/>
          <w:kern w:val="2"/>
          <w:sz w:val="24"/>
          <w:szCs w:val="24"/>
          <w:lang w:val="en-US"/>
        </w:rPr>
        <w:t>项</w:t>
      </w:r>
      <w:r>
        <w:rPr>
          <w:rFonts w:hint="eastAsia" w:ascii="仿宋" w:hAnsi="仿宋" w:eastAsia="仿宋" w:cs="仿宋"/>
          <w:color w:val="auto"/>
          <w:kern w:val="2"/>
          <w:sz w:val="24"/>
          <w:szCs w:val="24"/>
        </w:rPr>
        <w:t>）的证书复印件、法定代表人身份证明(或者附</w:t>
      </w:r>
      <w:r>
        <w:rPr>
          <w:rFonts w:hint="eastAsia" w:ascii="仿宋" w:hAnsi="仿宋" w:eastAsia="仿宋" w:cs="仿宋"/>
          <w:color w:val="auto"/>
          <w:kern w:val="2"/>
          <w:sz w:val="24"/>
          <w:szCs w:val="24"/>
          <w:lang w:val="en-US"/>
        </w:rPr>
        <w:t>有</w:t>
      </w:r>
      <w:r>
        <w:rPr>
          <w:rFonts w:hint="eastAsia" w:ascii="仿宋" w:hAnsi="仿宋" w:eastAsia="仿宋" w:cs="仿宋"/>
          <w:color w:val="auto"/>
          <w:kern w:val="2"/>
          <w:sz w:val="24"/>
          <w:szCs w:val="24"/>
        </w:rPr>
        <w:t>法定代表人身份证明</w:t>
      </w:r>
      <w:r>
        <w:rPr>
          <w:rFonts w:hint="eastAsia" w:ascii="仿宋" w:hAnsi="仿宋" w:eastAsia="仿宋" w:cs="仿宋"/>
          <w:color w:val="auto"/>
          <w:kern w:val="2"/>
          <w:sz w:val="24"/>
          <w:szCs w:val="24"/>
          <w:lang w:val="en-US"/>
        </w:rPr>
        <w:t>的法定代表人</w:t>
      </w:r>
      <w:r>
        <w:rPr>
          <w:rFonts w:hint="eastAsia" w:ascii="仿宋" w:hAnsi="仿宋" w:eastAsia="仿宋" w:cs="仿宋"/>
          <w:color w:val="auto"/>
          <w:kern w:val="2"/>
          <w:sz w:val="24"/>
          <w:szCs w:val="24"/>
        </w:rPr>
        <w:t>授权委托书)（均加盖单位公章，</w:t>
      </w:r>
      <w:r>
        <w:rPr>
          <w:rFonts w:hint="eastAsia" w:ascii="仿宋" w:hAnsi="仿宋" w:eastAsia="仿宋" w:cs="仿宋"/>
          <w:color w:val="auto"/>
          <w:kern w:val="2"/>
          <w:sz w:val="24"/>
          <w:szCs w:val="24"/>
          <w:lang w:val="en-US"/>
        </w:rPr>
        <w:t>其中法定代表人</w:t>
      </w:r>
      <w:r>
        <w:rPr>
          <w:rFonts w:hint="eastAsia" w:ascii="仿宋" w:hAnsi="仿宋" w:eastAsia="仿宋" w:cs="仿宋"/>
          <w:color w:val="auto"/>
          <w:kern w:val="2"/>
          <w:sz w:val="24"/>
          <w:szCs w:val="24"/>
        </w:rPr>
        <w:t>授权委托书</w:t>
      </w:r>
      <w:r>
        <w:rPr>
          <w:rFonts w:hint="eastAsia" w:ascii="仿宋" w:hAnsi="仿宋" w:eastAsia="仿宋" w:cs="仿宋"/>
          <w:color w:val="auto"/>
          <w:kern w:val="2"/>
          <w:sz w:val="24"/>
          <w:szCs w:val="24"/>
          <w:lang w:val="en-US"/>
        </w:rPr>
        <w:t>需法定代表人及委托代理人签字</w:t>
      </w:r>
      <w:r>
        <w:rPr>
          <w:rFonts w:hint="eastAsia" w:ascii="仿宋" w:hAnsi="仿宋" w:eastAsia="仿宋" w:cs="仿宋"/>
          <w:color w:val="auto"/>
          <w:kern w:val="2"/>
          <w:sz w:val="24"/>
          <w:szCs w:val="24"/>
        </w:rPr>
        <w:t>）</w:t>
      </w:r>
      <w:r>
        <w:rPr>
          <w:rFonts w:hint="eastAsia" w:ascii="仿宋" w:hAnsi="仿宋" w:eastAsia="仿宋" w:cs="仿宋"/>
          <w:color w:val="auto"/>
          <w:kern w:val="2"/>
          <w:sz w:val="24"/>
          <w:szCs w:val="24"/>
          <w:lang w:val="en-US"/>
        </w:rPr>
        <w:t>按顺序</w:t>
      </w:r>
      <w:r>
        <w:rPr>
          <w:rFonts w:hint="eastAsia" w:ascii="仿宋" w:hAnsi="仿宋" w:eastAsia="仿宋" w:cs="仿宋"/>
          <w:color w:val="auto"/>
          <w:kern w:val="2"/>
          <w:sz w:val="24"/>
          <w:szCs w:val="24"/>
          <w:lang w:val="en-US" w:eastAsia="zh-CN"/>
        </w:rPr>
        <w:t>扫描</w:t>
      </w:r>
      <w:r>
        <w:rPr>
          <w:rFonts w:hint="eastAsia" w:ascii="仿宋" w:hAnsi="仿宋" w:eastAsia="仿宋" w:cs="仿宋"/>
          <w:color w:val="auto"/>
          <w:kern w:val="2"/>
          <w:sz w:val="24"/>
          <w:szCs w:val="24"/>
          <w:lang w:val="en-US"/>
        </w:rPr>
        <w:t>发送至2132633046@qq.com进行</w:t>
      </w:r>
      <w:r>
        <w:rPr>
          <w:rFonts w:hint="eastAsia" w:ascii="仿宋" w:hAnsi="仿宋" w:eastAsia="仿宋" w:cs="仿宋"/>
          <w:color w:val="auto"/>
          <w:sz w:val="24"/>
          <w:szCs w:val="24"/>
        </w:rPr>
        <w:t>报名（</w:t>
      </w:r>
      <w:r>
        <w:rPr>
          <w:rFonts w:hint="eastAsia" w:ascii="仿宋" w:hAnsi="仿宋" w:eastAsia="仿宋" w:cs="仿宋"/>
          <w:color w:val="auto"/>
          <w:sz w:val="24"/>
          <w:szCs w:val="24"/>
          <w:lang w:val="en-US"/>
        </w:rPr>
        <w:t>报名</w:t>
      </w:r>
      <w:r>
        <w:rPr>
          <w:rFonts w:hint="eastAsia" w:ascii="仿宋" w:hAnsi="仿宋" w:eastAsia="仿宋" w:cs="仿宋"/>
          <w:color w:val="auto"/>
          <w:sz w:val="24"/>
          <w:szCs w:val="24"/>
          <w:lang w:val="en-US" w:eastAsia="zh-CN"/>
        </w:rPr>
        <w:t>资料</w:t>
      </w:r>
      <w:r>
        <w:rPr>
          <w:rFonts w:hint="eastAsia" w:ascii="仿宋" w:hAnsi="仿宋" w:eastAsia="仿宋" w:cs="仿宋"/>
          <w:color w:val="auto"/>
          <w:sz w:val="24"/>
          <w:szCs w:val="24"/>
          <w:lang w:val="en-US"/>
        </w:rPr>
        <w:t>发送后请联系18074304150）</w:t>
      </w:r>
      <w:r>
        <w:rPr>
          <w:rFonts w:hint="eastAsia" w:ascii="仿宋" w:hAnsi="仿宋" w:eastAsia="仿宋" w:cs="仿宋"/>
          <w:color w:val="auto"/>
          <w:sz w:val="24"/>
          <w:szCs w:val="24"/>
        </w:rPr>
        <w:t>并</w:t>
      </w:r>
      <w:r>
        <w:rPr>
          <w:rFonts w:hint="eastAsia" w:ascii="仿宋" w:hAnsi="仿宋" w:eastAsia="仿宋" w:cs="仿宋"/>
          <w:color w:val="auto"/>
          <w:sz w:val="24"/>
          <w:szCs w:val="24"/>
          <w:lang w:val="en-US" w:eastAsia="zh-CN"/>
        </w:rPr>
        <w:t>领取</w:t>
      </w:r>
      <w:r>
        <w:rPr>
          <w:rFonts w:hint="eastAsia" w:ascii="仿宋" w:hAnsi="仿宋" w:eastAsia="仿宋" w:cs="仿宋"/>
          <w:color w:val="auto"/>
          <w:sz w:val="24"/>
          <w:szCs w:val="24"/>
        </w:rPr>
        <w:t>比选文件。</w:t>
      </w:r>
    </w:p>
    <w:p w14:paraId="035C7752">
      <w:pPr>
        <w:numPr>
          <w:ilvl w:val="0"/>
          <w:numId w:val="1"/>
        </w:numPr>
        <w:tabs>
          <w:tab w:val="left" w:pos="737"/>
        </w:tabs>
        <w:autoSpaceDE w:val="0"/>
        <w:autoSpaceDN w:val="0"/>
        <w:spacing w:line="460" w:lineRule="exact"/>
        <w:ind w:firstLine="482" w:firstLineChars="200"/>
        <w:jc w:val="left"/>
        <w:outlineLvl w:val="1"/>
        <w:rPr>
          <w:rFonts w:hint="eastAsia" w:ascii="仿宋" w:hAnsi="仿宋" w:eastAsia="仿宋" w:cs="仿宋"/>
          <w:b/>
          <w:bCs/>
          <w:color w:val="auto"/>
          <w:sz w:val="24"/>
          <w:lang w:val="zh-CN" w:bidi="zh-CN"/>
        </w:rPr>
      </w:pPr>
      <w:bookmarkStart w:id="4" w:name="_Toc9342"/>
      <w:r>
        <w:rPr>
          <w:rFonts w:hint="eastAsia" w:ascii="仿宋" w:hAnsi="仿宋" w:eastAsia="仿宋" w:cs="仿宋"/>
          <w:b/>
          <w:bCs/>
          <w:color w:val="auto"/>
          <w:sz w:val="24"/>
          <w:lang w:val="zh-CN" w:bidi="zh-CN"/>
        </w:rPr>
        <w:t>比选申请文件的递交</w:t>
      </w:r>
      <w:r>
        <w:rPr>
          <w:rFonts w:hint="eastAsia" w:ascii="仿宋" w:hAnsi="仿宋" w:eastAsia="仿宋" w:cs="仿宋"/>
          <w:b/>
          <w:bCs/>
          <w:color w:val="auto"/>
          <w:sz w:val="24"/>
          <w:lang w:bidi="zh-CN"/>
        </w:rPr>
        <w:t>及比选</w:t>
      </w:r>
      <w:bookmarkEnd w:id="4"/>
    </w:p>
    <w:p w14:paraId="40A114DE">
      <w:pPr>
        <w:autoSpaceDE w:val="0"/>
        <w:autoSpaceDN w:val="0"/>
        <w:spacing w:line="460" w:lineRule="exact"/>
        <w:ind w:firstLine="480" w:firstLineChars="200"/>
        <w:rPr>
          <w:rFonts w:hint="eastAsia" w:ascii="仿宋" w:hAnsi="仿宋" w:eastAsia="仿宋" w:cs="仿宋"/>
          <w:color w:val="auto"/>
          <w:sz w:val="24"/>
          <w:lang w:bidi="zh-CN"/>
        </w:rPr>
      </w:pPr>
      <w:r>
        <w:rPr>
          <w:rFonts w:hint="eastAsia" w:ascii="仿宋" w:hAnsi="仿宋" w:eastAsia="仿宋" w:cs="仿宋"/>
          <w:color w:val="auto"/>
          <w:sz w:val="24"/>
          <w:lang w:bidi="zh-CN"/>
        </w:rPr>
        <w:t>5.1 比选文件递交的截止时间/比选时间：2024年</w:t>
      </w:r>
      <w:r>
        <w:rPr>
          <w:rFonts w:hint="eastAsia" w:ascii="仿宋" w:hAnsi="仿宋" w:eastAsia="仿宋" w:cs="仿宋"/>
          <w:color w:val="auto"/>
          <w:sz w:val="24"/>
          <w:lang w:val="en-US" w:bidi="zh-CN"/>
        </w:rPr>
        <w:t>9</w:t>
      </w:r>
      <w:r>
        <w:rPr>
          <w:rFonts w:hint="eastAsia" w:ascii="仿宋" w:hAnsi="仿宋" w:eastAsia="仿宋" w:cs="仿宋"/>
          <w:color w:val="auto"/>
          <w:sz w:val="24"/>
          <w:lang w:bidi="zh-CN"/>
        </w:rPr>
        <w:t>月</w:t>
      </w:r>
      <w:r>
        <w:rPr>
          <w:rFonts w:hint="eastAsia" w:ascii="仿宋" w:hAnsi="仿宋" w:eastAsia="仿宋" w:cs="仿宋"/>
          <w:color w:val="auto"/>
          <w:sz w:val="24"/>
          <w:lang w:val="en-US" w:bidi="zh-CN"/>
        </w:rPr>
        <w:t>6</w:t>
      </w:r>
      <w:r>
        <w:rPr>
          <w:rFonts w:hint="eastAsia" w:ascii="仿宋" w:hAnsi="仿宋" w:eastAsia="仿宋" w:cs="仿宋"/>
          <w:color w:val="auto"/>
          <w:sz w:val="24"/>
          <w:lang w:bidi="zh-CN"/>
        </w:rPr>
        <w:t>日</w:t>
      </w:r>
      <w:r>
        <w:rPr>
          <w:rFonts w:hint="eastAsia" w:ascii="仿宋" w:hAnsi="仿宋" w:eastAsia="仿宋" w:cs="仿宋"/>
          <w:color w:val="auto"/>
          <w:sz w:val="24"/>
          <w:lang w:val="en-US" w:bidi="zh-CN"/>
        </w:rPr>
        <w:t>15</w:t>
      </w:r>
      <w:r>
        <w:rPr>
          <w:rFonts w:hint="eastAsia" w:ascii="仿宋" w:hAnsi="仿宋" w:eastAsia="仿宋" w:cs="仿宋"/>
          <w:color w:val="auto"/>
          <w:sz w:val="24"/>
          <w:lang w:bidi="zh-CN"/>
        </w:rPr>
        <w:t>时</w:t>
      </w:r>
      <w:r>
        <w:rPr>
          <w:rFonts w:hint="eastAsia" w:ascii="仿宋" w:hAnsi="仿宋" w:eastAsia="仿宋" w:cs="仿宋"/>
          <w:color w:val="auto"/>
          <w:sz w:val="24"/>
          <w:lang w:val="en-US" w:bidi="zh-CN"/>
        </w:rPr>
        <w:t>00</w:t>
      </w:r>
      <w:r>
        <w:rPr>
          <w:rFonts w:hint="eastAsia" w:ascii="仿宋" w:hAnsi="仿宋" w:eastAsia="仿宋" w:cs="仿宋"/>
          <w:color w:val="auto"/>
          <w:sz w:val="24"/>
          <w:lang w:bidi="zh-CN"/>
        </w:rPr>
        <w:t>分（北京时间）；</w:t>
      </w:r>
    </w:p>
    <w:p w14:paraId="6D5FDA3C">
      <w:pPr>
        <w:autoSpaceDE w:val="0"/>
        <w:autoSpaceDN w:val="0"/>
        <w:spacing w:line="460" w:lineRule="exact"/>
        <w:ind w:firstLine="480" w:firstLineChars="200"/>
        <w:rPr>
          <w:rFonts w:hint="eastAsia" w:ascii="仿宋" w:hAnsi="仿宋" w:eastAsia="仿宋" w:cs="仿宋"/>
          <w:color w:val="auto"/>
          <w:sz w:val="24"/>
          <w:lang w:bidi="zh-CN"/>
        </w:rPr>
      </w:pPr>
      <w:r>
        <w:rPr>
          <w:rFonts w:hint="eastAsia" w:ascii="仿宋" w:hAnsi="仿宋" w:eastAsia="仿宋" w:cs="仿宋"/>
          <w:color w:val="auto"/>
          <w:sz w:val="24"/>
          <w:lang w:bidi="zh-CN"/>
        </w:rPr>
        <w:t>5.2 比选文件递交/比选地点：湖南省湘西州经开区广州工业园区产业中心五楼A区；</w:t>
      </w:r>
    </w:p>
    <w:p w14:paraId="0E99B99E">
      <w:pPr>
        <w:autoSpaceDE w:val="0"/>
        <w:autoSpaceDN w:val="0"/>
        <w:spacing w:line="460" w:lineRule="exact"/>
        <w:ind w:firstLine="480" w:firstLineChars="200"/>
        <w:rPr>
          <w:rFonts w:hint="eastAsia" w:ascii="仿宋" w:hAnsi="仿宋" w:eastAsia="仿宋" w:cs="仿宋"/>
          <w:b/>
          <w:bCs/>
          <w:color w:val="auto"/>
          <w:sz w:val="24"/>
          <w:lang w:val="zh-CN" w:bidi="zh-CN"/>
        </w:rPr>
      </w:pPr>
      <w:r>
        <w:rPr>
          <w:rFonts w:hint="eastAsia" w:ascii="仿宋" w:hAnsi="仿宋" w:eastAsia="仿宋" w:cs="仿宋"/>
          <w:color w:val="auto"/>
          <w:sz w:val="24"/>
          <w:lang w:bidi="zh-CN"/>
        </w:rPr>
        <w:t>5.3 逾期送达的或者未送达指定地点的或未按本比选公告规定获取比选文件的，</w:t>
      </w:r>
      <w:r>
        <w:rPr>
          <w:rFonts w:hint="eastAsia" w:ascii="仿宋" w:hAnsi="仿宋" w:eastAsia="仿宋" w:cs="仿宋"/>
          <w:color w:val="auto"/>
          <w:kern w:val="0"/>
          <w:sz w:val="24"/>
          <w:szCs w:val="24"/>
          <w:lang w:val="en-US" w:eastAsia="zh-CN" w:bidi="ar"/>
        </w:rPr>
        <w:t>拒绝其参与本次比选活动</w:t>
      </w:r>
      <w:r>
        <w:rPr>
          <w:rFonts w:hint="eastAsia" w:ascii="仿宋" w:hAnsi="仿宋" w:eastAsia="仿宋" w:cs="仿宋"/>
          <w:color w:val="auto"/>
          <w:sz w:val="24"/>
          <w:lang w:bidi="zh-CN"/>
        </w:rPr>
        <w:t>。</w:t>
      </w:r>
    </w:p>
    <w:p w14:paraId="6D00C187">
      <w:pPr>
        <w:numPr>
          <w:ilvl w:val="0"/>
          <w:numId w:val="1"/>
        </w:numPr>
        <w:tabs>
          <w:tab w:val="left" w:pos="737"/>
        </w:tabs>
        <w:autoSpaceDE w:val="0"/>
        <w:autoSpaceDN w:val="0"/>
        <w:spacing w:line="460" w:lineRule="exact"/>
        <w:ind w:firstLine="482" w:firstLineChars="200"/>
        <w:jc w:val="left"/>
        <w:outlineLvl w:val="1"/>
        <w:rPr>
          <w:rFonts w:hint="eastAsia" w:ascii="仿宋" w:hAnsi="仿宋" w:eastAsia="仿宋" w:cs="仿宋"/>
          <w:b/>
          <w:bCs/>
          <w:color w:val="auto"/>
          <w:sz w:val="24"/>
          <w:lang w:val="zh-CN" w:bidi="zh-CN"/>
        </w:rPr>
      </w:pPr>
      <w:bookmarkStart w:id="5" w:name="_Toc4315"/>
      <w:r>
        <w:rPr>
          <w:rFonts w:hint="eastAsia" w:ascii="仿宋" w:hAnsi="仿宋" w:eastAsia="仿宋" w:cs="仿宋"/>
          <w:b/>
          <w:bCs/>
          <w:color w:val="auto"/>
          <w:sz w:val="24"/>
          <w:lang w:val="zh-CN" w:bidi="zh-CN"/>
        </w:rPr>
        <w:t>发布公告的媒体</w:t>
      </w:r>
      <w:bookmarkEnd w:id="5"/>
    </w:p>
    <w:p w14:paraId="7F838CEF">
      <w:pPr>
        <w:autoSpaceDE w:val="0"/>
        <w:autoSpaceDN w:val="0"/>
        <w:spacing w:line="460" w:lineRule="exact"/>
        <w:ind w:firstLine="480" w:firstLineChars="200"/>
        <w:jc w:val="left"/>
        <w:rPr>
          <w:rFonts w:hint="eastAsia" w:ascii="仿宋" w:hAnsi="仿宋" w:eastAsia="仿宋" w:cs="仿宋"/>
          <w:color w:val="auto"/>
          <w:sz w:val="24"/>
          <w:lang w:val="zh-CN" w:bidi="zh-CN"/>
        </w:rPr>
      </w:pPr>
      <w:r>
        <w:rPr>
          <w:rFonts w:hint="eastAsia" w:ascii="仿宋" w:hAnsi="仿宋" w:eastAsia="仿宋" w:cs="仿宋"/>
          <w:color w:val="auto"/>
          <w:sz w:val="24"/>
          <w:lang w:val="en-US" w:bidi="zh-CN"/>
        </w:rPr>
        <w:t xml:space="preserve">6.1 </w:t>
      </w:r>
      <w:r>
        <w:rPr>
          <w:rFonts w:hint="eastAsia" w:ascii="仿宋" w:hAnsi="仿宋" w:eastAsia="仿宋" w:cs="仿宋"/>
          <w:color w:val="auto"/>
          <w:sz w:val="24"/>
          <w:lang w:val="zh-CN" w:bidi="zh-CN"/>
        </w:rPr>
        <w:t>本次比选公告在《</w:t>
      </w:r>
      <w:r>
        <w:rPr>
          <w:rFonts w:hint="eastAsia" w:ascii="仿宋" w:hAnsi="仿宋" w:eastAsia="仿宋" w:cs="仿宋"/>
          <w:color w:val="auto"/>
          <w:sz w:val="24"/>
          <w:lang w:val="en-US" w:bidi="zh-CN"/>
        </w:rPr>
        <w:t>中国政府采购网</w:t>
      </w:r>
      <w:r>
        <w:rPr>
          <w:rFonts w:hint="eastAsia" w:ascii="仿宋" w:hAnsi="仿宋" w:eastAsia="仿宋" w:cs="仿宋"/>
          <w:color w:val="auto"/>
          <w:sz w:val="24"/>
          <w:lang w:val="zh-CN" w:bidi="zh-CN"/>
        </w:rPr>
        <w:t>》</w:t>
      </w:r>
      <w:r>
        <w:rPr>
          <w:rFonts w:hint="eastAsia" w:ascii="仿宋" w:hAnsi="仿宋" w:eastAsia="仿宋" w:cs="仿宋"/>
          <w:color w:val="auto"/>
          <w:sz w:val="24"/>
          <w:lang w:bidi="zh-CN"/>
        </w:rPr>
        <w:t>（</w:t>
      </w:r>
      <w:r>
        <w:rPr>
          <w:rFonts w:hint="eastAsia" w:ascii="仿宋" w:hAnsi="仿宋" w:eastAsia="仿宋" w:cs="仿宋"/>
          <w:color w:val="auto"/>
          <w:sz w:val="24"/>
          <w:lang w:val="zh-CN" w:bidi="zh-CN"/>
        </w:rPr>
        <w:t xml:space="preserve">http://www.ccgp.gov.cn/）上发布。   </w:t>
      </w:r>
    </w:p>
    <w:p w14:paraId="413A2957">
      <w:pPr>
        <w:numPr>
          <w:ilvl w:val="0"/>
          <w:numId w:val="1"/>
        </w:numPr>
        <w:tabs>
          <w:tab w:val="left" w:pos="737"/>
        </w:tabs>
        <w:autoSpaceDE w:val="0"/>
        <w:autoSpaceDN w:val="0"/>
        <w:spacing w:line="460" w:lineRule="exact"/>
        <w:ind w:firstLine="482" w:firstLineChars="200"/>
        <w:jc w:val="left"/>
        <w:outlineLvl w:val="1"/>
        <w:rPr>
          <w:rFonts w:hint="eastAsia" w:ascii="仿宋" w:hAnsi="仿宋" w:eastAsia="仿宋" w:cs="仿宋"/>
          <w:b/>
          <w:bCs/>
          <w:color w:val="auto"/>
          <w:sz w:val="24"/>
          <w:lang w:val="zh-CN" w:bidi="zh-CN"/>
        </w:rPr>
      </w:pPr>
      <w:bookmarkStart w:id="6" w:name="_Toc24737"/>
      <w:r>
        <w:rPr>
          <w:rFonts w:hint="eastAsia" w:ascii="仿宋" w:hAnsi="仿宋" w:eastAsia="仿宋" w:cs="仿宋"/>
          <w:b/>
          <w:bCs/>
          <w:color w:val="auto"/>
          <w:sz w:val="24"/>
          <w:lang w:val="zh-CN" w:bidi="zh-CN"/>
        </w:rPr>
        <w:t>联系方式</w:t>
      </w:r>
      <w:bookmarkEnd w:id="6"/>
    </w:p>
    <w:p w14:paraId="2A6C08DC">
      <w:pPr>
        <w:autoSpaceDE w:val="0"/>
        <w:autoSpaceDN w:val="0"/>
        <w:spacing w:line="460" w:lineRule="exact"/>
        <w:ind w:firstLine="480" w:firstLineChars="200"/>
        <w:jc w:val="left"/>
        <w:rPr>
          <w:rFonts w:hint="eastAsia" w:ascii="仿宋" w:hAnsi="仿宋" w:eastAsia="仿宋" w:cs="仿宋"/>
          <w:color w:val="auto"/>
          <w:sz w:val="24"/>
          <w:lang w:val="zh-CN" w:bidi="zh-CN"/>
        </w:rPr>
      </w:pPr>
      <w:r>
        <w:rPr>
          <w:rFonts w:hint="eastAsia" w:ascii="仿宋" w:hAnsi="仿宋" w:eastAsia="仿宋" w:cs="仿宋"/>
          <w:color w:val="auto"/>
          <w:sz w:val="24"/>
          <w:lang w:val="zh-CN" w:bidi="zh-CN"/>
        </w:rPr>
        <w:t>比 选 人：湘西土家族苗族自治州疾病预防控制中心</w:t>
      </w:r>
    </w:p>
    <w:p w14:paraId="73A4930A">
      <w:pPr>
        <w:autoSpaceDE w:val="0"/>
        <w:autoSpaceDN w:val="0"/>
        <w:spacing w:line="460" w:lineRule="exact"/>
        <w:ind w:firstLine="480" w:firstLineChars="200"/>
        <w:jc w:val="left"/>
        <w:rPr>
          <w:rFonts w:hint="eastAsia" w:ascii="仿宋" w:hAnsi="仿宋" w:eastAsia="仿宋" w:cs="仿宋"/>
          <w:color w:val="auto"/>
          <w:sz w:val="24"/>
          <w:lang w:bidi="zh-CN"/>
        </w:rPr>
      </w:pPr>
      <w:r>
        <w:rPr>
          <w:rFonts w:hint="eastAsia" w:ascii="仿宋" w:hAnsi="仿宋" w:eastAsia="仿宋" w:cs="仿宋"/>
          <w:color w:val="auto"/>
          <w:sz w:val="24"/>
          <w:lang w:val="zh-CN" w:bidi="zh-CN"/>
        </w:rPr>
        <w:t>地</w:t>
      </w:r>
      <w:r>
        <w:rPr>
          <w:rFonts w:hint="eastAsia" w:ascii="仿宋" w:hAnsi="仿宋" w:eastAsia="仿宋" w:cs="仿宋"/>
          <w:color w:val="auto"/>
          <w:sz w:val="24"/>
          <w:lang w:bidi="zh-CN"/>
        </w:rPr>
        <w:t xml:space="preserve">    </w:t>
      </w:r>
      <w:r>
        <w:rPr>
          <w:rFonts w:hint="eastAsia" w:ascii="仿宋" w:hAnsi="仿宋" w:eastAsia="仿宋" w:cs="仿宋"/>
          <w:color w:val="auto"/>
          <w:sz w:val="24"/>
          <w:lang w:val="zh-CN" w:bidi="zh-CN"/>
        </w:rPr>
        <w:t>址：</w:t>
      </w:r>
      <w:r>
        <w:rPr>
          <w:rFonts w:hint="eastAsia" w:ascii="仿宋" w:hAnsi="仿宋" w:eastAsia="仿宋" w:cs="仿宋"/>
          <w:color w:val="auto"/>
          <w:kern w:val="0"/>
          <w:sz w:val="24"/>
          <w:szCs w:val="24"/>
          <w:lang w:val="en-US" w:eastAsia="zh-CN" w:bidi="ar"/>
        </w:rPr>
        <w:t>吉首市人民南路37号</w:t>
      </w:r>
    </w:p>
    <w:p w14:paraId="544F0A95">
      <w:pPr>
        <w:autoSpaceDE w:val="0"/>
        <w:autoSpaceDN w:val="0"/>
        <w:spacing w:line="460" w:lineRule="exact"/>
        <w:ind w:firstLine="480" w:firstLineChars="200"/>
        <w:jc w:val="left"/>
        <w:rPr>
          <w:rFonts w:hint="default" w:ascii="仿宋" w:hAnsi="仿宋" w:eastAsia="仿宋" w:cs="仿宋"/>
          <w:color w:val="auto"/>
          <w:sz w:val="24"/>
          <w:lang w:val="en-US" w:bidi="zh-CN"/>
        </w:rPr>
      </w:pPr>
      <w:r>
        <w:rPr>
          <w:rFonts w:hint="eastAsia" w:ascii="仿宋" w:hAnsi="仿宋" w:eastAsia="仿宋" w:cs="仿宋"/>
          <w:color w:val="auto"/>
          <w:sz w:val="24"/>
          <w:lang w:val="zh-CN" w:bidi="zh-CN"/>
        </w:rPr>
        <w:t>联 系 人：</w:t>
      </w:r>
      <w:r>
        <w:rPr>
          <w:rFonts w:hint="eastAsia" w:ascii="仿宋" w:hAnsi="仿宋" w:eastAsia="仿宋" w:cs="仿宋"/>
          <w:color w:val="auto"/>
          <w:sz w:val="24"/>
          <w:lang w:val="en-US" w:bidi="zh-CN"/>
        </w:rPr>
        <w:t>鲁帆</w:t>
      </w:r>
    </w:p>
    <w:p w14:paraId="3DE79ACE">
      <w:pPr>
        <w:autoSpaceDE w:val="0"/>
        <w:autoSpaceDN w:val="0"/>
        <w:spacing w:line="460" w:lineRule="exact"/>
        <w:ind w:firstLine="480" w:firstLineChars="200"/>
        <w:jc w:val="left"/>
        <w:rPr>
          <w:rFonts w:hint="eastAsia" w:ascii="仿宋" w:hAnsi="仿宋" w:eastAsia="仿宋" w:cs="仿宋"/>
          <w:color w:val="auto"/>
          <w:sz w:val="24"/>
          <w:lang w:bidi="zh-CN"/>
        </w:rPr>
      </w:pPr>
      <w:r>
        <w:rPr>
          <w:rFonts w:hint="eastAsia" w:ascii="仿宋" w:hAnsi="仿宋" w:eastAsia="仿宋" w:cs="仿宋"/>
          <w:color w:val="auto"/>
          <w:sz w:val="24"/>
          <w:lang w:val="zh-CN" w:bidi="zh-CN"/>
        </w:rPr>
        <w:t>电</w:t>
      </w:r>
      <w:r>
        <w:rPr>
          <w:rFonts w:hint="eastAsia" w:ascii="仿宋" w:hAnsi="仿宋" w:eastAsia="仿宋" w:cs="仿宋"/>
          <w:color w:val="auto"/>
          <w:sz w:val="24"/>
          <w:lang w:bidi="zh-CN"/>
        </w:rPr>
        <w:t xml:space="preserve">    </w:t>
      </w:r>
      <w:r>
        <w:rPr>
          <w:rFonts w:hint="eastAsia" w:ascii="仿宋" w:hAnsi="仿宋" w:eastAsia="仿宋" w:cs="仿宋"/>
          <w:color w:val="auto"/>
          <w:sz w:val="24"/>
          <w:lang w:val="zh-CN" w:bidi="zh-CN"/>
        </w:rPr>
        <w:t>话：</w:t>
      </w:r>
      <w:r>
        <w:rPr>
          <w:rFonts w:hint="eastAsia" w:ascii="仿宋" w:hAnsi="仿宋" w:eastAsia="仿宋" w:cs="仿宋"/>
          <w:color w:val="auto"/>
          <w:kern w:val="0"/>
          <w:sz w:val="24"/>
          <w:szCs w:val="24"/>
          <w:lang w:val="en-US" w:eastAsia="zh-CN" w:bidi="ar"/>
        </w:rPr>
        <w:t>0743-8221551</w:t>
      </w:r>
    </w:p>
    <w:p w14:paraId="0B9009C2">
      <w:pPr>
        <w:spacing w:line="460" w:lineRule="exact"/>
        <w:rPr>
          <w:color w:val="auto"/>
          <w:lang w:val="zh-CN"/>
        </w:rPr>
      </w:pPr>
    </w:p>
    <w:p w14:paraId="42F2637D">
      <w:pPr>
        <w:autoSpaceDE w:val="0"/>
        <w:autoSpaceDN w:val="0"/>
        <w:spacing w:line="460" w:lineRule="exact"/>
        <w:ind w:firstLine="480" w:firstLineChars="200"/>
        <w:jc w:val="left"/>
        <w:rPr>
          <w:rFonts w:hint="eastAsia" w:ascii="仿宋" w:hAnsi="仿宋" w:eastAsia="仿宋" w:cs="仿宋"/>
          <w:color w:val="auto"/>
          <w:sz w:val="24"/>
          <w:lang w:bidi="zh-CN"/>
        </w:rPr>
      </w:pPr>
      <w:r>
        <w:rPr>
          <w:rFonts w:hint="eastAsia" w:ascii="仿宋" w:hAnsi="仿宋" w:eastAsia="仿宋" w:cs="仿宋"/>
          <w:color w:val="auto"/>
          <w:sz w:val="24"/>
          <w:lang w:val="zh-CN" w:bidi="zh-CN"/>
        </w:rPr>
        <w:t>比选代理机构：</w:t>
      </w:r>
      <w:r>
        <w:rPr>
          <w:rFonts w:hint="eastAsia" w:ascii="仿宋" w:hAnsi="仿宋" w:eastAsia="仿宋" w:cs="仿宋"/>
          <w:color w:val="auto"/>
          <w:sz w:val="24"/>
          <w:lang w:bidi="zh-CN"/>
        </w:rPr>
        <w:t>湖南笃诚项目咨询管理有限公司</w:t>
      </w:r>
    </w:p>
    <w:p w14:paraId="7E15C01D">
      <w:pPr>
        <w:autoSpaceDE w:val="0"/>
        <w:autoSpaceDN w:val="0"/>
        <w:spacing w:line="460" w:lineRule="exact"/>
        <w:ind w:firstLine="480" w:firstLineChars="200"/>
        <w:jc w:val="left"/>
        <w:rPr>
          <w:rFonts w:hint="eastAsia" w:ascii="仿宋" w:hAnsi="仿宋" w:eastAsia="仿宋" w:cs="仿宋"/>
          <w:color w:val="auto"/>
          <w:sz w:val="24"/>
          <w:lang w:val="zh-CN" w:bidi="zh-CN"/>
        </w:rPr>
      </w:pPr>
      <w:r>
        <w:rPr>
          <w:rFonts w:hint="eastAsia" w:ascii="仿宋" w:hAnsi="仿宋" w:eastAsia="仿宋" w:cs="仿宋"/>
          <w:color w:val="auto"/>
          <w:sz w:val="24"/>
          <w:lang w:val="zh-CN" w:bidi="zh-CN"/>
        </w:rPr>
        <w:t>联系地址：湖南省湘西州经开区广州工业园区产业中心五楼A区</w:t>
      </w:r>
    </w:p>
    <w:p w14:paraId="49F1C0DE">
      <w:pPr>
        <w:autoSpaceDE w:val="0"/>
        <w:autoSpaceDN w:val="0"/>
        <w:spacing w:line="460" w:lineRule="exact"/>
        <w:ind w:firstLine="480" w:firstLineChars="200"/>
        <w:jc w:val="left"/>
        <w:rPr>
          <w:rFonts w:hint="eastAsia" w:ascii="仿宋" w:hAnsi="仿宋" w:eastAsia="仿宋" w:cs="仿宋"/>
          <w:color w:val="auto"/>
          <w:sz w:val="24"/>
          <w:lang w:bidi="zh-CN"/>
        </w:rPr>
      </w:pPr>
      <w:r>
        <w:rPr>
          <w:rFonts w:hint="eastAsia" w:ascii="仿宋" w:hAnsi="仿宋" w:eastAsia="仿宋" w:cs="仿宋"/>
          <w:color w:val="auto"/>
          <w:sz w:val="24"/>
          <w:lang w:val="zh-CN" w:bidi="zh-CN"/>
        </w:rPr>
        <w:t>联</w:t>
      </w:r>
      <w:r>
        <w:rPr>
          <w:rFonts w:hint="eastAsia" w:ascii="仿宋" w:hAnsi="仿宋" w:eastAsia="仿宋" w:cs="仿宋"/>
          <w:color w:val="auto"/>
          <w:sz w:val="24"/>
          <w:lang w:bidi="zh-CN"/>
        </w:rPr>
        <w:t xml:space="preserve"> </w:t>
      </w:r>
      <w:r>
        <w:rPr>
          <w:rFonts w:hint="eastAsia" w:ascii="仿宋" w:hAnsi="仿宋" w:eastAsia="仿宋" w:cs="仿宋"/>
          <w:color w:val="auto"/>
          <w:sz w:val="24"/>
          <w:lang w:val="zh-CN" w:bidi="zh-CN"/>
        </w:rPr>
        <w:t>系</w:t>
      </w:r>
      <w:r>
        <w:rPr>
          <w:rFonts w:hint="eastAsia" w:ascii="仿宋" w:hAnsi="仿宋" w:eastAsia="仿宋" w:cs="仿宋"/>
          <w:color w:val="auto"/>
          <w:sz w:val="24"/>
          <w:lang w:bidi="zh-CN"/>
        </w:rPr>
        <w:t xml:space="preserve"> </w:t>
      </w:r>
      <w:r>
        <w:rPr>
          <w:rFonts w:hint="eastAsia" w:ascii="仿宋" w:hAnsi="仿宋" w:eastAsia="仿宋" w:cs="仿宋"/>
          <w:color w:val="auto"/>
          <w:sz w:val="24"/>
          <w:lang w:val="zh-CN" w:bidi="zh-CN"/>
        </w:rPr>
        <w:t>人：</w:t>
      </w:r>
      <w:r>
        <w:rPr>
          <w:rFonts w:hint="eastAsia" w:ascii="仿宋" w:hAnsi="仿宋" w:eastAsia="仿宋" w:cs="仿宋"/>
          <w:color w:val="auto"/>
          <w:sz w:val="24"/>
          <w:shd w:val="clear" w:color="auto" w:fill="FFFFFF"/>
        </w:rPr>
        <w:t>吴学慧/王晓琴</w:t>
      </w:r>
    </w:p>
    <w:p w14:paraId="44481BC9">
      <w:pPr>
        <w:tabs>
          <w:tab w:val="left" w:pos="943"/>
        </w:tabs>
        <w:autoSpaceDE w:val="0"/>
        <w:autoSpaceDN w:val="0"/>
        <w:spacing w:line="460" w:lineRule="exact"/>
        <w:ind w:firstLine="480" w:firstLineChars="200"/>
        <w:jc w:val="left"/>
        <w:rPr>
          <w:rFonts w:hint="eastAsia" w:ascii="仿宋" w:hAnsi="仿宋" w:eastAsia="仿宋" w:cs="仿宋"/>
          <w:color w:val="auto"/>
          <w:sz w:val="24"/>
          <w:lang w:bidi="zh-CN"/>
        </w:rPr>
      </w:pPr>
      <w:r>
        <w:rPr>
          <w:rFonts w:hint="eastAsia" w:ascii="仿宋" w:hAnsi="仿宋" w:eastAsia="仿宋" w:cs="仿宋"/>
          <w:color w:val="auto"/>
          <w:sz w:val="24"/>
          <w:lang w:val="zh-CN" w:bidi="zh-CN"/>
        </w:rPr>
        <w:t>电</w:t>
      </w:r>
      <w:r>
        <w:rPr>
          <w:rFonts w:hint="eastAsia" w:ascii="仿宋" w:hAnsi="仿宋" w:eastAsia="仿宋" w:cs="仿宋"/>
          <w:color w:val="auto"/>
          <w:sz w:val="24"/>
          <w:lang w:bidi="zh-CN"/>
        </w:rPr>
        <w:t xml:space="preserve">    </w:t>
      </w:r>
      <w:r>
        <w:rPr>
          <w:rFonts w:hint="eastAsia" w:ascii="仿宋" w:hAnsi="仿宋" w:eastAsia="仿宋" w:cs="仿宋"/>
          <w:color w:val="auto"/>
          <w:sz w:val="24"/>
          <w:lang w:val="zh-CN" w:bidi="zh-CN"/>
        </w:rPr>
        <w:t>话：</w:t>
      </w:r>
      <w:r>
        <w:rPr>
          <w:rFonts w:hint="eastAsia" w:ascii="仿宋" w:hAnsi="仿宋" w:eastAsia="仿宋" w:cs="仿宋"/>
          <w:color w:val="auto"/>
          <w:sz w:val="24"/>
          <w:shd w:val="clear" w:color="auto" w:fill="FFFFFF"/>
        </w:rPr>
        <w:t>0743-8537588/18074304150</w:t>
      </w:r>
    </w:p>
    <w:p w14:paraId="6FEF4CC3">
      <w:pPr>
        <w:tabs>
          <w:tab w:val="left" w:pos="943"/>
        </w:tabs>
        <w:autoSpaceDE w:val="0"/>
        <w:autoSpaceDN w:val="0"/>
        <w:spacing w:line="400" w:lineRule="exact"/>
        <w:ind w:firstLine="420" w:firstLineChars="200"/>
        <w:jc w:val="left"/>
        <w:rPr>
          <w:rFonts w:hint="eastAsia" w:ascii="仿宋" w:hAnsi="仿宋" w:eastAsia="仿宋" w:cs="仿宋"/>
          <w:color w:val="auto"/>
          <w:szCs w:val="21"/>
          <w:lang w:val="zh-CN" w:bidi="zh-CN"/>
        </w:rPr>
      </w:pPr>
    </w:p>
    <w:p w14:paraId="16875E8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90B33A"/>
    <w:multiLevelType w:val="multilevel"/>
    <w:tmpl w:val="9090B33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zZDFhZTJjMWU2ZjM5NWE3Nzg5NTUxYzJhNTA2OTcifQ=="/>
  </w:docVars>
  <w:rsids>
    <w:rsidRoot w:val="6D7E5A0D"/>
    <w:rsid w:val="1AB43B59"/>
    <w:rsid w:val="326F3E4B"/>
    <w:rsid w:val="6D7E5A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360" w:lineRule="auto"/>
      <w:jc w:val="center"/>
      <w:outlineLvl w:val="0"/>
    </w:pPr>
    <w:rPr>
      <w:rFonts w:ascii="黑体" w:hAnsi="黑体"/>
      <w:b/>
      <w:kern w:val="44"/>
      <w:sz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无间隔1"/>
    <w:qFormat/>
    <w:uiPriority w:val="1"/>
    <w:rPr>
      <w:rFonts w:ascii="Calibri" w:hAnsi="Calibri" w:eastAsia="宋体" w:cs="宋体"/>
      <w:kern w:val="2"/>
      <w:sz w:val="21"/>
      <w:szCs w:val="22"/>
      <w:lang w:val="en-US" w:eastAsia="zh-CN" w:bidi="ar-SA"/>
    </w:rPr>
  </w:style>
  <w:style w:type="paragraph" w:customStyle="1" w:styleId="6">
    <w:name w:val="正文格式"/>
    <w:qFormat/>
    <w:uiPriority w:val="0"/>
    <w:pPr>
      <w:adjustRightInd w:val="0"/>
      <w:snapToGrid w:val="0"/>
      <w:spacing w:line="400" w:lineRule="atLeast"/>
      <w:ind w:firstLine="482"/>
      <w:jc w:val="both"/>
      <w:textAlignment w:val="baseline"/>
    </w:pPr>
    <w:rPr>
      <w:rFonts w:ascii="Calibri" w:hAnsi="Calibri" w:eastAsia="宋体" w:cs="Times New Roman"/>
      <w:sz w:val="24"/>
      <w:szCs w:val="24"/>
      <w:lang w:val="en-US" w:eastAsia="zh-CN" w:bidi="ar-SA"/>
    </w:rPr>
  </w:style>
  <w:style w:type="paragraph" w:styleId="7">
    <w:name w:val="List Paragraph"/>
    <w:qFormat/>
    <w:uiPriority w:val="1"/>
    <w:pPr>
      <w:widowControl w:val="0"/>
      <w:autoSpaceDE w:val="0"/>
      <w:autoSpaceDN w:val="0"/>
      <w:spacing w:before="151"/>
      <w:ind w:left="103" w:firstLine="420"/>
    </w:pPr>
    <w:rPr>
      <w:rFonts w:ascii="宋体" w:hAnsi="宋体" w:eastAsia="宋体" w:cs="宋体"/>
      <w:sz w:val="22"/>
      <w:szCs w:val="22"/>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1198</Words>
  <Characters>1348</Characters>
  <Lines>0</Lines>
  <Paragraphs>0</Paragraphs>
  <TotalTime>3</TotalTime>
  <ScaleCrop>false</ScaleCrop>
  <LinksUpToDate>false</LinksUpToDate>
  <CharactersWithSpaces>1387</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2024-09-02T13:43:00Z</dcterms:created>
  <dc:creator>批注者</dc:creator>
  <cp:lastModifiedBy>批注者</cp:lastModifiedBy>
  <dcterms:modified xsi:type="dcterms:W3CDTF">2024-09-02T13:53:45Z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5F8CD1031EA840BEBED80B75AF9EA965_11</vt:lpwstr>
  </property>
</Properties>
</file>