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版本号：N513432202500008020251112001</w:t>
      </w:r>
    </w:p>
    <w:p>
      <w:pPr>
        <w:pStyle w:val="null3"/>
        <w:jc w:val="left"/>
        <w:outlineLvl w:val="0"/>
      </w:pPr>
      <w:r>
        <w:rPr>
          <w:rFonts w:ascii="仿宋_GB2312" w:hAnsi="仿宋_GB2312" w:cs="仿宋_GB2312" w:eastAsia="仿宋_GB2312"/>
          <w:sz w:val="48"/>
          <w:b/>
        </w:rPr>
        <w:t>询 价 通 知 书</w:t>
      </w:r>
    </w:p>
    <w:p>
      <w:pPr>
        <w:pStyle w:val="null3"/>
        <w:jc w:val="center"/>
        <w:outlineLvl w:val="0"/>
      </w:pPr>
      <w:r>
        <w:rPr>
          <w:rFonts w:ascii="仿宋_GB2312" w:hAnsi="仿宋_GB2312" w:cs="仿宋_GB2312" w:eastAsia="仿宋_GB2312"/>
          <w:sz w:val="48"/>
          <w:b/>
        </w:rPr>
        <w:t>（货物类）</w:t>
      </w:r>
    </w:p>
    <w:p>
      <w:pPr>
        <w:pStyle w:val="null3"/>
        <w:jc w:val="left"/>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公务用车购置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N5134322025000080</w:t>
      </w:r>
    </w:p>
    <w:p>
      <w:pPr>
        <w:pStyle w:val="null3"/>
        <w:jc w:val="left"/>
        <w:outlineLvl w:val="2"/>
      </w:pPr>
      <w:r>
        <w:rPr>
          <w:rFonts w:ascii="仿宋_GB2312" w:hAnsi="仿宋_GB2312" w:cs="仿宋_GB2312" w:eastAsia="仿宋_GB2312"/>
          <w:sz w:val="28"/>
          <w:b/>
        </w:rPr>
        <w:t>喜德县人民政府办公室</w:t>
      </w:r>
    </w:p>
    <w:p>
      <w:pPr>
        <w:pStyle w:val="null3"/>
        <w:jc w:val="center"/>
        <w:outlineLvl w:val="2"/>
      </w:pPr>
      <w:r>
        <w:rPr>
          <w:rFonts w:ascii="仿宋_GB2312" w:hAnsi="仿宋_GB2312" w:cs="仿宋_GB2312" w:eastAsia="仿宋_GB2312"/>
          <w:sz w:val="28"/>
          <w:b/>
        </w:rPr>
        <w:t>喜德县政府采购中心</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2025年11月12日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询价邀请</w:t>
      </w:r>
    </w:p>
    <w:p>
      <w:pPr>
        <w:pStyle w:val="null3"/>
        <w:ind w:firstLine="480"/>
        <w:jc w:val="left"/>
      </w:pPr>
      <w:r>
        <w:rPr>
          <w:rFonts w:ascii="仿宋_GB2312" w:hAnsi="仿宋_GB2312" w:cs="仿宋_GB2312" w:eastAsia="仿宋_GB2312"/>
        </w:rPr>
        <w:t>喜德县政府采购中心</w:t>
      </w:r>
      <w:r>
        <w:rPr>
          <w:rFonts w:ascii="仿宋_GB2312" w:hAnsi="仿宋_GB2312" w:cs="仿宋_GB2312" w:eastAsia="仿宋_GB2312"/>
        </w:rPr>
        <w:t xml:space="preserve"> （以下简称“代理机构”）受 </w:t>
      </w:r>
      <w:r>
        <w:rPr>
          <w:rFonts w:ascii="仿宋_GB2312" w:hAnsi="仿宋_GB2312" w:cs="仿宋_GB2312" w:eastAsia="仿宋_GB2312"/>
        </w:rPr>
        <w:t>喜德县人民政府办公室</w:t>
      </w:r>
      <w:r>
        <w:rPr>
          <w:rFonts w:ascii="仿宋_GB2312" w:hAnsi="仿宋_GB2312" w:cs="仿宋_GB2312" w:eastAsia="仿宋_GB2312"/>
        </w:rPr>
        <w:t xml:space="preserve"> 委托，拟对 </w:t>
      </w:r>
      <w:r>
        <w:rPr>
          <w:rFonts w:ascii="仿宋_GB2312" w:hAnsi="仿宋_GB2312" w:cs="仿宋_GB2312" w:eastAsia="仿宋_GB2312"/>
        </w:rPr>
        <w:t>公务用车购置</w:t>
      </w:r>
      <w:r>
        <w:rPr>
          <w:rFonts w:ascii="仿宋_GB2312" w:hAnsi="仿宋_GB2312" w:cs="仿宋_GB2312" w:eastAsia="仿宋_GB2312"/>
        </w:rPr>
        <w:t xml:space="preserve"> 采用询价方式进行采购，兹邀请符合资格条件的供应商参加询价。本项目为四川省</w:t>
      </w:r>
      <w:r>
        <w:rPr>
          <w:rFonts w:ascii="仿宋_GB2312" w:hAnsi="仿宋_GB2312" w:cs="仿宋_GB2312" w:eastAsia="仿宋_GB2312"/>
        </w:rPr>
        <w:t>凉山彝族自治州喜德县</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w:t>
      </w:r>
      <w:r>
        <w:rPr>
          <w:rFonts w:ascii="仿宋_GB2312" w:hAnsi="仿宋_GB2312" w:cs="仿宋_GB2312" w:eastAsia="仿宋_GB2312"/>
          <w:sz w:val="28"/>
          <w:b/>
        </w:rPr>
        <w:t>N5134322025000080</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w:t>
      </w:r>
      <w:r>
        <w:rPr>
          <w:rFonts w:ascii="仿宋_GB2312" w:hAnsi="仿宋_GB2312" w:cs="仿宋_GB2312" w:eastAsia="仿宋_GB2312"/>
          <w:sz w:val="28"/>
          <w:b/>
        </w:rPr>
        <w:t>公务用车购置</w:t>
      </w:r>
    </w:p>
    <w:p>
      <w:pPr>
        <w:pStyle w:val="null3"/>
        <w:jc w:val="left"/>
        <w:outlineLvl w:val="2"/>
      </w:pPr>
      <w:r>
        <w:rPr>
          <w:rFonts w:ascii="仿宋_GB2312" w:hAnsi="仿宋_GB2312" w:cs="仿宋_GB2312" w:eastAsia="仿宋_GB2312"/>
          <w:sz w:val="28"/>
          <w:b/>
        </w:rPr>
        <w:t>1.3.采购项目简介</w:t>
      </w:r>
    </w:p>
    <w:p>
      <w:pPr>
        <w:pStyle w:val="null3"/>
        <w:ind w:firstLine="480"/>
        <w:jc w:val="left"/>
      </w:pPr>
      <w:r>
        <w:rPr>
          <w:rFonts w:ascii="仿宋_GB2312" w:hAnsi="仿宋_GB2312" w:cs="仿宋_GB2312" w:eastAsia="仿宋_GB2312"/>
        </w:rPr>
        <w:t>公务用车采购。混动，五座五门，国产。2,0t</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本项目以发布公告的方式邀请供应商参加询价。公告在四川政府采购网（www.ccgp-sichuan.gov.cn）发布。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采购包1：无。</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询价通知书，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应当使用纳入全国公共资源交易平台（四川省）数字证书互认范围的数字证书和电子印章，参加本项目电子化采购活动；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1.7.询价通知书获取时间、方式及地址</w:t>
      </w:r>
    </w:p>
    <w:p>
      <w:pPr>
        <w:pStyle w:val="null3"/>
        <w:ind w:firstLine="480"/>
        <w:jc w:val="left"/>
      </w:pPr>
      <w:r>
        <w:rPr>
          <w:rFonts w:ascii="仿宋_GB2312" w:hAnsi="仿宋_GB2312" w:cs="仿宋_GB2312" w:eastAsia="仿宋_GB2312"/>
        </w:rPr>
        <w:t xml:space="preserve">一、询价通知书获取时间：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询价通知书获取时间开始前，将本项目电子询价通知书上传至交易系统，向供应商免费提供，供应商通过交易系统获取询价通知书。供应商成功获取询价通知书后，将收到已获取询价通知书的回执单。未按规定获取询价通知书的供应商，不得参与本次采购活动，不得对询价通知书提起质疑。</w:t>
      </w:r>
    </w:p>
    <w:p>
      <w:pPr>
        <w:pStyle w:val="null3"/>
        <w:ind w:firstLine="480"/>
        <w:jc w:val="left"/>
      </w:pPr>
      <w:r>
        <w:rPr>
          <w:rFonts w:ascii="仿宋_GB2312" w:hAnsi="仿宋_GB2312" w:cs="仿宋_GB2312" w:eastAsia="仿宋_GB2312"/>
        </w:rPr>
        <w:t>注：获取的询价通知书由正文和附件组成，正文部分包括pdf、word两种格式版本，如内容有不一致的，以pdf格式内容为准。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一、响应文件提交截止时间及开启时间：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pPr>
      <w:r>
        <w:rPr>
          <w:rFonts w:ascii="仿宋_GB2312" w:hAnsi="仿宋_GB2312" w:cs="仿宋_GB2312" w:eastAsia="仿宋_GB2312"/>
          <w:b/>
        </w:rPr>
        <w:t>采购人</w:t>
      </w:r>
      <w:r>
        <w:rPr>
          <w:rFonts w:ascii="仿宋_GB2312" w:hAnsi="仿宋_GB2312" w:cs="仿宋_GB2312" w:eastAsia="仿宋_GB2312"/>
          <w:b/>
        </w:rPr>
        <w:t xml:space="preserve">： </w:t>
      </w:r>
      <w:r>
        <w:rPr>
          <w:rFonts w:ascii="仿宋_GB2312" w:hAnsi="仿宋_GB2312" w:cs="仿宋_GB2312" w:eastAsia="仿宋_GB2312"/>
          <w:b/>
        </w:rPr>
        <w:t>喜德县人民政府办公室</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四川省喜德县中心街64号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616750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陈华</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0834-7442808</w:t>
      </w:r>
    </w:p>
    <w:p>
      <w:pPr>
        <w:pStyle w:val="null3"/>
        <w:ind w:firstLine="480"/>
        <w:jc w:val="left"/>
      </w:pPr>
      <w:r>
        <w:rPr>
          <w:rFonts w:ascii="仿宋_GB2312" w:hAnsi="仿宋_GB2312" w:cs="仿宋_GB2312" w:eastAsia="仿宋_GB2312"/>
          <w:b/>
        </w:rPr>
        <w:t>代理机构</w:t>
      </w:r>
      <w:r>
        <w:rPr>
          <w:rFonts w:ascii="仿宋_GB2312" w:hAnsi="仿宋_GB2312" w:cs="仿宋_GB2312" w:eastAsia="仿宋_GB2312"/>
          <w:b/>
        </w:rPr>
        <w:t xml:space="preserve">： </w:t>
      </w:r>
      <w:r>
        <w:rPr>
          <w:rFonts w:ascii="仿宋_GB2312" w:hAnsi="仿宋_GB2312" w:cs="仿宋_GB2312" w:eastAsia="仿宋_GB2312"/>
          <w:b/>
        </w:rPr>
        <w:t>喜德县政府采购中心</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四川省凉山彝族自治州喜德县喜德县光明镇环城东路27号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616750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阿苏老师</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0834-7447346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采购包1：400,000.00元</w:t>
            </w:r>
          </w:p>
          <w:p>
            <w:pPr>
              <w:pStyle w:val="null3"/>
              <w:jc w:val="left"/>
            </w:pPr>
            <w:r>
              <w:rPr>
                <w:rFonts w:ascii="仿宋_GB2312" w:hAnsi="仿宋_GB2312" w:cs="仿宋_GB2312" w:eastAsia="仿宋_GB2312"/>
              </w:rPr>
              <w:t xml:space="preserve"> 供应商报价不得超过询价通知书中规定的预算金额，采购人可以在采购预算内合理设定最高限价，供应商报价不得超过最高限价，最高限价详见第三章。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最低评标价法（具体规则详见第四章）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 xml:space="preserve"> 如接受联合体，需符合以下要求：</w:t>
            </w:r>
          </w:p>
          <w:p>
            <w:pPr>
              <w:pStyle w:val="null3"/>
              <w:jc w:val="left"/>
            </w:pPr>
            <w:r>
              <w:rPr>
                <w:rFonts w:ascii="仿宋_GB2312" w:hAnsi="仿宋_GB2312" w:cs="仿宋_GB2312" w:eastAsia="仿宋_GB2312"/>
              </w:rPr>
              <w:t xml:space="preserve"> 一、 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 xml:space="preserve"> 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 xml:space="preserve"> 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本项目不收取代理服务费</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询价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本询价通知书中“★”要求为实质性要求。供应商应当按照第四章评审程序中的符合性审查规定，在响应文件中进行实质性响应，否则作无效响应处理。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本询价通知书所称的“以上”、“以下”、“内”、“以内”、“不少于”包括本数；所称的“不足”、“低于”、“超过”不包括本数。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一、本询价通知书仅适用于本次询价采购项目。</w:t>
      </w:r>
    </w:p>
    <w:p>
      <w:pPr>
        <w:pStyle w:val="null3"/>
        <w:ind w:firstLine="480"/>
        <w:jc w:val="left"/>
      </w:pPr>
      <w:r>
        <w:rPr>
          <w:rFonts w:ascii="仿宋_GB2312" w:hAnsi="仿宋_GB2312" w:cs="仿宋_GB2312" w:eastAsia="仿宋_GB2312"/>
        </w:rPr>
        <w:t xml:space="preserve">二、本询价通知书由 </w:t>
      </w:r>
      <w:r>
        <w:rPr>
          <w:rFonts w:ascii="仿宋_GB2312" w:hAnsi="仿宋_GB2312" w:cs="仿宋_GB2312" w:eastAsia="仿宋_GB2312"/>
        </w:rPr>
        <w:t>喜德县人民政府办公室</w:t>
      </w:r>
      <w:r>
        <w:rPr>
          <w:rFonts w:ascii="仿宋_GB2312" w:hAnsi="仿宋_GB2312" w:cs="仿宋_GB2312" w:eastAsia="仿宋_GB2312"/>
        </w:rPr>
        <w:t xml:space="preserve"> 和 </w:t>
      </w:r>
      <w:r>
        <w:rPr>
          <w:rFonts w:ascii="仿宋_GB2312" w:hAnsi="仿宋_GB2312" w:cs="仿宋_GB2312" w:eastAsia="仿宋_GB2312"/>
        </w:rPr>
        <w:t>喜德县政府采购中心</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一、 “采购人”是指依法进行政府采购的国家机关、事业单位、团体组织。本次询价采购项目的采购人是 </w:t>
      </w:r>
      <w:r>
        <w:rPr>
          <w:rFonts w:ascii="仿宋_GB2312" w:hAnsi="仿宋_GB2312" w:cs="仿宋_GB2312" w:eastAsia="仿宋_GB2312"/>
        </w:rPr>
        <w:t>喜德县人民政府办公室</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规定获取询价通知书，参加采购活动的法人、其他组织或者自然人。</w:t>
      </w:r>
    </w:p>
    <w:p>
      <w:pPr>
        <w:pStyle w:val="null3"/>
        <w:ind w:firstLine="480"/>
        <w:jc w:val="left"/>
      </w:pPr>
      <w:r>
        <w:rPr>
          <w:rFonts w:ascii="仿宋_GB2312" w:hAnsi="仿宋_GB2312" w:cs="仿宋_GB2312" w:eastAsia="仿宋_GB2312"/>
        </w:rPr>
        <w:t xml:space="preserve">三、 “代理机构”是指集中采购机构和从事采购代理业务的社会中介机构。本项目的代理机构是 </w:t>
      </w:r>
      <w:r>
        <w:rPr>
          <w:rFonts w:ascii="仿宋_GB2312" w:hAnsi="仿宋_GB2312" w:cs="仿宋_GB2312" w:eastAsia="仿宋_GB2312"/>
        </w:rPr>
        <w:t>喜德县政府采购中心</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五、“电子评审”是指询价小组开展资格审查、符合性审查、一次性报价、推荐成交候选供应商、出具询价报告等活动。</w:t>
      </w:r>
    </w:p>
    <w:p>
      <w:pPr>
        <w:pStyle w:val="null3"/>
        <w:jc w:val="left"/>
        <w:outlineLvl w:val="2"/>
      </w:pPr>
      <w:r>
        <w:rPr>
          <w:rFonts w:ascii="仿宋_GB2312" w:hAnsi="仿宋_GB2312" w:cs="仿宋_GB2312" w:eastAsia="仿宋_GB2312"/>
          <w:sz w:val="28"/>
          <w:b/>
        </w:rPr>
        <w:t>2.3.询价通知书</w:t>
      </w:r>
    </w:p>
    <w:p>
      <w:pPr>
        <w:pStyle w:val="null3"/>
        <w:jc w:val="left"/>
        <w:outlineLvl w:val="3"/>
      </w:pPr>
      <w:r>
        <w:rPr>
          <w:rFonts w:ascii="仿宋_GB2312" w:hAnsi="仿宋_GB2312" w:cs="仿宋_GB2312" w:eastAsia="仿宋_GB2312"/>
          <w:sz w:val="24"/>
          <w:b/>
        </w:rPr>
        <w:t>2.3.1.询价通知书的构成</w:t>
      </w:r>
    </w:p>
    <w:p>
      <w:pPr>
        <w:pStyle w:val="null3"/>
        <w:ind w:firstLine="480"/>
        <w:jc w:val="left"/>
      </w:pPr>
      <w:r>
        <w:rPr>
          <w:rFonts w:ascii="仿宋_GB2312" w:hAnsi="仿宋_GB2312" w:cs="仿宋_GB2312" w:eastAsia="仿宋_GB2312"/>
        </w:rPr>
        <w:t>询价通知书由采购人、代理机构通过交易系统编制、确认，是项目采购活动开展的基本依据，主要包括以下内容：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一、询价邀请；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四、评审办法；</w:t>
      </w:r>
    </w:p>
    <w:p>
      <w:pPr>
        <w:pStyle w:val="null3"/>
        <w:ind w:firstLine="480"/>
        <w:jc w:val="left"/>
      </w:pPr>
      <w:r>
        <w:rPr>
          <w:rFonts w:ascii="仿宋_GB2312" w:hAnsi="仿宋_GB2312" w:cs="仿宋_GB2312" w:eastAsia="仿宋_GB2312"/>
        </w:rPr>
        <w:t>五、响应文件格式；</w:t>
      </w:r>
    </w:p>
    <w:p>
      <w:pPr>
        <w:pStyle w:val="null3"/>
        <w:ind w:firstLine="480"/>
        <w:jc w:val="left"/>
      </w:pPr>
      <w:r>
        <w:rPr>
          <w:rFonts w:ascii="仿宋_GB2312" w:hAnsi="仿宋_GB2312" w:cs="仿宋_GB2312" w:eastAsia="仿宋_GB2312"/>
        </w:rPr>
        <w:t>六、拟签订采购合同文本。</w:t>
      </w:r>
    </w:p>
    <w:p>
      <w:pPr>
        <w:pStyle w:val="null3"/>
        <w:jc w:val="left"/>
        <w:outlineLvl w:val="3"/>
      </w:pPr>
      <w:r>
        <w:rPr>
          <w:rFonts w:ascii="仿宋_GB2312" w:hAnsi="仿宋_GB2312" w:cs="仿宋_GB2312" w:eastAsia="仿宋_GB2312"/>
          <w:sz w:val="24"/>
          <w:b/>
        </w:rPr>
        <w:t>2.3.2.询价通知书的澄清和修改</w:t>
      </w:r>
    </w:p>
    <w:p>
      <w:pPr>
        <w:pStyle w:val="null3"/>
        <w:ind w:firstLine="480"/>
        <w:jc w:val="left"/>
      </w:pPr>
      <w:r>
        <w:rPr>
          <w:rFonts w:ascii="仿宋_GB2312" w:hAnsi="仿宋_GB2312" w:cs="仿宋_GB2312" w:eastAsia="仿宋_GB2312"/>
        </w:rPr>
        <w:t>一、提交响应文件截止之日前，采购人或者代理机构可以对已发出的询价通知书进行必要的澄清或者修改。</w:t>
      </w:r>
    </w:p>
    <w:p>
      <w:pPr>
        <w:pStyle w:val="null3"/>
        <w:ind w:firstLine="480"/>
        <w:jc w:val="left"/>
      </w:pPr>
      <w:r>
        <w:rPr>
          <w:rFonts w:ascii="仿宋_GB2312" w:hAnsi="仿宋_GB2312" w:cs="仿宋_GB2312" w:eastAsia="仿宋_GB2312"/>
        </w:rPr>
        <w:t>二、澄清或者修改的内容为询价通知书的组成部分，采购人或者代理机构将更正后的询价通知书上传至交易系统，通过交易系统向已获取询价通知书的供应商发送更正通知，在四川政府采购网发布更正公告。更正内容可能影响响应文件编制的，采购人或者代理机构应当在响应截止之日3个工作日前，通过交易系统向已获取询价通知书的供应商发送更正信息，不足3个工作日的，应当顺延提交响应文件截止之日。</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三、采购人或者代理机构通过交易系统发出更正通知的同时，即为送达供应商。供应商应当及时查看更正公告、更正信息，并根据更正公告、更正信息要求，获取更正后的询价通知书，进行响应文件编制。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询价小组在询价过程中的所有来往书面文件原则上使用中文。响应文件中如附有外文资料，要对应翻译成中文并附在相关外文资料后面，未翻译的外文资料，询价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除询价通知书中另有规定外，本项目均采用国家法定的计量单位。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按照询价通知书第四章评审办法规定进行价格修正的，修正后的报价经供应商加盖电子印章确认后产生约束力。未在规定时间内确认的，视同供应商不确认，作无效响应处理。</w:t>
      </w:r>
    </w:p>
    <w:p>
      <w:pPr>
        <w:pStyle w:val="null3"/>
        <w:ind w:firstLine="480"/>
        <w:jc w:val="left"/>
      </w:pPr>
      <w:r>
        <w:rPr>
          <w:rFonts w:ascii="仿宋_GB2312" w:hAnsi="仿宋_GB2312" w:cs="仿宋_GB2312" w:eastAsia="仿宋_GB2312"/>
        </w:rPr>
        <w:t>供应商报价低于采购预算50% 或者低于其他有效供应商报价算术平均价40%，有可能影响产品质量或者不能诚信履约的，询价小组应当要求其在合理的时间内通过交易系统进行书面说明、提交相关证明材料，并加盖电子印章。供应商拒绝或者变相拒绝提供有效书面说明或者书面说明不能证明其报价合理性的，询价小组应当将其响应文件作为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一、供应商应当按照询价通知书规定编制响应文件，询价通知书第五章对响应文件格式有要求的，按照格式要求编制响应文件，没有格式要求的，由供应商自行编写。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询价通知书要求的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未按询价通知书和采购平台操作规范编制、确认、加密、盖章和提交的响应文件，将被拒绝接收。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pPr>
      <w:r>
        <w:rPr>
          <w:rFonts w:ascii="仿宋_GB2312" w:hAnsi="仿宋_GB2312" w:cs="仿宋_GB2312" w:eastAsia="仿宋_GB2312"/>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pPr>
      <w:r>
        <w:rPr>
          <w:rFonts w:ascii="仿宋_GB2312" w:hAnsi="仿宋_GB2312" w:cs="仿宋_GB2312" w:eastAsia="仿宋_GB2312"/>
          <w:b/>
        </w:rPr>
        <w:t>2.5.1.2.解密响应文件★</w:t>
      </w:r>
    </w:p>
    <w:p>
      <w:pPr>
        <w:pStyle w:val="null3"/>
        <w:ind w:firstLine="480"/>
        <w:jc w:val="left"/>
      </w:pPr>
      <w:r>
        <w:rPr>
          <w:rFonts w:ascii="仿宋_GB2312" w:hAnsi="仿宋_GB2312" w:cs="仿宋_GB2312" w:eastAsia="仿宋_GB2312"/>
        </w:rPr>
        <w:t>提交响应文件截止时间后，成功提交响应文件的供应商符合询价通知书规定数量的，代理机构将启动响应文件解密程序，解密时间为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pPr>
      <w:r>
        <w:rPr>
          <w:rFonts w:ascii="仿宋_GB2312" w:hAnsi="仿宋_GB2312" w:cs="仿宋_GB2312" w:eastAsia="仿宋_GB2312"/>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详见询价通知书第四章。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一、采购人或者询价小组确认成交供应商后，代理机构在四川政府采购网发布成交结果公告、通过交易系统发出成交通知书，成交供应商通过交易系统获取成交通知书。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ind w:firstLine="480"/>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二、采购人和成交供应商签订的书面合同不得对询价通知书确定的事项以及成交供应商的响应文件作实质性修改，采购人不得向成交供应商提出任何不合理的要求作为签订合同的条件。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4"/>
      </w:pPr>
      <w:r>
        <w:rPr>
          <w:rFonts w:ascii="仿宋_GB2312" w:hAnsi="仿宋_GB2312" w:cs="仿宋_GB2312" w:eastAsia="仿宋_GB2312"/>
          <w:sz w:val="20"/>
          <w:b/>
        </w:rPr>
        <w:t>2.6.3.1.合同分包</w:t>
      </w:r>
    </w:p>
    <w:p>
      <w:pPr>
        <w:pStyle w:val="null3"/>
        <w:jc w:val="left"/>
      </w:pPr>
      <w:r>
        <w:rPr>
          <w:rFonts w:ascii="仿宋_GB2312" w:hAnsi="仿宋_GB2312" w:cs="仿宋_GB2312" w:eastAsia="仿宋_GB2312"/>
        </w:rPr>
        <w:t>本项目不允许合同分包。</w:t>
      </w:r>
    </w:p>
    <w:p>
      <w:pPr>
        <w:pStyle w:val="null3"/>
        <w:jc w:val="left"/>
        <w:outlineLvl w:val="4"/>
      </w:pPr>
      <w:r>
        <w:rPr>
          <w:rFonts w:ascii="仿宋_GB2312" w:hAnsi="仿宋_GB2312" w:cs="仿宋_GB2312" w:eastAsia="仿宋_GB2312"/>
          <w:sz w:val="20"/>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按照采购文件的质量要求和技术指标、供应商的响应文件及承诺与合同约定标准进行验收。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按照采购文件商务要求及供应商响应商务要求内容进行验收。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按照《财政部关于进一步加强政府采购需求和履约验收管理的指导意见》(财库(2016) 205号)、《政府采购需求管理办法》(财库(2021) 22号)的要求及国家行业主管部门规定的标准、方法和内容及采购文件的质量要求和技术指标、供应商的响应文件及承诺与合同约定标准进行验收。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采购人、代理机构应当按照《中华人民共和国政府采购法》《政府采购非招标采购方式管理办法》等法律制度的规定组织开展非招标采购活动，并采取必要措施，保证评审在严格保密的情况下进行。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供应商参加询价不得有下列情形：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六、向采购人或者代理机构、询价小组成员行贿或者提供其他不正当利益；</w:t>
      </w:r>
    </w:p>
    <w:p>
      <w:pPr>
        <w:pStyle w:val="null3"/>
        <w:ind w:firstLine="480"/>
        <w:jc w:val="left"/>
      </w:pPr>
      <w:r>
        <w:rPr>
          <w:rFonts w:ascii="仿宋_GB2312" w:hAnsi="仿宋_GB2312" w:cs="仿宋_GB2312" w:eastAsia="仿宋_GB2312"/>
        </w:rPr>
        <w:t>七、在询价过程中与采购人或者代理机构进行协商谈判；</w:t>
      </w:r>
    </w:p>
    <w:p>
      <w:pPr>
        <w:pStyle w:val="null3"/>
        <w:ind w:firstLine="480"/>
        <w:jc w:val="left"/>
      </w:pPr>
      <w:r>
        <w:rPr>
          <w:rFonts w:ascii="仿宋_GB2312" w:hAnsi="仿宋_GB2312" w:cs="仿宋_GB2312" w:eastAsia="仿宋_GB2312"/>
        </w:rPr>
        <w:t>八、成交后无正当理由拒不与采购人签订政府采购合同；</w:t>
      </w:r>
    </w:p>
    <w:p>
      <w:pPr>
        <w:pStyle w:val="null3"/>
        <w:ind w:firstLine="480"/>
        <w:jc w:val="left"/>
      </w:pPr>
      <w:r>
        <w:rPr>
          <w:rFonts w:ascii="仿宋_GB2312" w:hAnsi="仿宋_GB2312" w:cs="仿宋_GB2312" w:eastAsia="仿宋_GB2312"/>
        </w:rPr>
        <w:t>九、未按照询价通知书确定的事项签订政府采购合同；</w:t>
      </w:r>
    </w:p>
    <w:p>
      <w:pPr>
        <w:pStyle w:val="null3"/>
        <w:ind w:firstLine="480"/>
        <w:jc w:val="left"/>
      </w:pPr>
      <w:r>
        <w:rPr>
          <w:rFonts w:ascii="仿宋_GB2312" w:hAnsi="仿宋_GB2312" w:cs="仿宋_GB2312" w:eastAsia="仿宋_GB2312"/>
        </w:rPr>
        <w:t>十、将政府采购合同转包或者违规分包；</w:t>
      </w:r>
    </w:p>
    <w:p>
      <w:pPr>
        <w:pStyle w:val="null3"/>
        <w:ind w:firstLine="480"/>
        <w:jc w:val="left"/>
      </w:pPr>
      <w:r>
        <w:rPr>
          <w:rFonts w:ascii="仿宋_GB2312" w:hAnsi="仿宋_GB2312" w:cs="仿宋_GB2312" w:eastAsia="仿宋_GB2312"/>
        </w:rPr>
        <w:t>十一、提供假冒伪劣产品；</w:t>
      </w:r>
    </w:p>
    <w:p>
      <w:pPr>
        <w:pStyle w:val="null3"/>
        <w:ind w:firstLine="480"/>
        <w:jc w:val="left"/>
      </w:pPr>
      <w:r>
        <w:rPr>
          <w:rFonts w:ascii="仿宋_GB2312" w:hAnsi="仿宋_GB2312" w:cs="仿宋_GB2312" w:eastAsia="仿宋_GB2312"/>
        </w:rPr>
        <w:t>十二、擅自变更、中止或者终止政府采购合同；</w:t>
      </w:r>
    </w:p>
    <w:p>
      <w:pPr>
        <w:pStyle w:val="null3"/>
        <w:ind w:firstLine="480"/>
        <w:jc w:val="left"/>
      </w:pPr>
      <w:r>
        <w:rPr>
          <w:rFonts w:ascii="仿宋_GB2312" w:hAnsi="仿宋_GB2312" w:cs="仿宋_GB2312" w:eastAsia="仿宋_GB2312"/>
        </w:rPr>
        <w:t>十三、拒绝有关部门的监督检查或者向监督检查部门提供虚假情况；</w:t>
      </w:r>
    </w:p>
    <w:p>
      <w:pPr>
        <w:pStyle w:val="null3"/>
        <w:ind w:firstLine="480"/>
        <w:jc w:val="left"/>
      </w:pPr>
      <w:r>
        <w:rPr>
          <w:rFonts w:ascii="仿宋_GB2312" w:hAnsi="仿宋_GB2312" w:cs="仿宋_GB2312" w:eastAsia="仿宋_GB2312"/>
        </w:rPr>
        <w:t>十四、法律法规规定的其他禁止情形。</w:t>
      </w:r>
    </w:p>
    <w:p>
      <w:pPr>
        <w:pStyle w:val="null3"/>
        <w:ind w:firstLine="480"/>
        <w:jc w:val="left"/>
      </w:pPr>
      <w:r>
        <w:rPr>
          <w:rFonts w:ascii="仿宋_GB2312" w:hAnsi="仿宋_GB2312" w:cs="仿宋_GB2312" w:eastAsia="仿宋_GB2312"/>
        </w:rPr>
        <w:t>供应商有前述一至七条情形之一的，作无效响应处理。成交供应商有前述一至七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根据委托代理协议约定，供应商对询价通知书中采购需求的询问、质疑由 </w:t>
      </w:r>
      <w:r>
        <w:rPr>
          <w:rFonts w:ascii="仿宋_GB2312" w:hAnsi="仿宋_GB2312" w:cs="仿宋_GB2312" w:eastAsia="仿宋_GB2312"/>
        </w:rPr>
        <w:t>喜德县人民政府办公室</w:t>
      </w:r>
      <w:r>
        <w:rPr>
          <w:rFonts w:ascii="仿宋_GB2312" w:hAnsi="仿宋_GB2312" w:cs="仿宋_GB2312" w:eastAsia="仿宋_GB2312"/>
        </w:rPr>
        <w:t xml:space="preserve"> 负责答复；供应商对除采购需求外的询价通知书的询问、质疑由 </w:t>
      </w:r>
      <w:r>
        <w:rPr>
          <w:rFonts w:ascii="仿宋_GB2312" w:hAnsi="仿宋_GB2312" w:cs="仿宋_GB2312" w:eastAsia="仿宋_GB2312"/>
        </w:rPr>
        <w:t>喜德县政府采购中心</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喜德县政府采购中心</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ind w:firstLine="480"/>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联系人：陈华</w:t>
      </w:r>
    </w:p>
    <w:p>
      <w:pPr>
        <w:pStyle w:val="null3"/>
        <w:jc w:val="left"/>
      </w:pPr>
      <w:r>
        <w:rPr>
          <w:rFonts w:ascii="仿宋_GB2312" w:hAnsi="仿宋_GB2312" w:cs="仿宋_GB2312" w:eastAsia="仿宋_GB2312"/>
        </w:rPr>
        <w:t>联系电话：0834-7442808</w:t>
      </w:r>
    </w:p>
    <w:p>
      <w:pPr>
        <w:pStyle w:val="null3"/>
        <w:jc w:val="left"/>
      </w:pPr>
      <w:r>
        <w:rPr>
          <w:rFonts w:ascii="仿宋_GB2312" w:hAnsi="仿宋_GB2312" w:cs="仿宋_GB2312" w:eastAsia="仿宋_GB2312"/>
        </w:rPr>
        <w:t>地址：四川省喜德县中心街64号</w:t>
      </w:r>
    </w:p>
    <w:p>
      <w:pPr>
        <w:pStyle w:val="null3"/>
        <w:jc w:val="left"/>
      </w:pPr>
      <w:r>
        <w:rPr>
          <w:rFonts w:ascii="仿宋_GB2312" w:hAnsi="仿宋_GB2312" w:cs="仿宋_GB2312" w:eastAsia="仿宋_GB2312"/>
        </w:rPr>
        <w:t>邮编：616750</w:t>
      </w:r>
    </w:p>
    <w:p>
      <w:pPr>
        <w:pStyle w:val="null3"/>
        <w:jc w:val="left"/>
      </w:pPr>
      <w:r>
        <w:rPr>
          <w:rFonts w:ascii="仿宋_GB2312" w:hAnsi="仿宋_GB2312" w:cs="仿宋_GB2312" w:eastAsia="仿宋_GB2312"/>
        </w:rPr>
        <w:t>答复主体：代理机构</w:t>
      </w:r>
    </w:p>
    <w:p>
      <w:pPr>
        <w:pStyle w:val="null3"/>
        <w:jc w:val="left"/>
      </w:pPr>
      <w:r>
        <w:rPr>
          <w:rFonts w:ascii="仿宋_GB2312" w:hAnsi="仿宋_GB2312" w:cs="仿宋_GB2312" w:eastAsia="仿宋_GB2312"/>
        </w:rPr>
        <w:t>联系人：阿苏老师</w:t>
      </w:r>
    </w:p>
    <w:p>
      <w:pPr>
        <w:pStyle w:val="null3"/>
        <w:jc w:val="left"/>
      </w:pPr>
      <w:r>
        <w:rPr>
          <w:rFonts w:ascii="仿宋_GB2312" w:hAnsi="仿宋_GB2312" w:cs="仿宋_GB2312" w:eastAsia="仿宋_GB2312"/>
        </w:rPr>
        <w:t>联系电话：0834-7447346</w:t>
      </w:r>
    </w:p>
    <w:p>
      <w:pPr>
        <w:pStyle w:val="null3"/>
        <w:jc w:val="left"/>
      </w:pPr>
      <w:r>
        <w:rPr>
          <w:rFonts w:ascii="仿宋_GB2312" w:hAnsi="仿宋_GB2312" w:cs="仿宋_GB2312" w:eastAsia="仿宋_GB2312"/>
        </w:rPr>
        <w:t>地址： 四川省凉山彝族自治州喜德县喜德县光明镇环城东路27号</w:t>
      </w:r>
    </w:p>
    <w:p>
      <w:pPr>
        <w:pStyle w:val="null3"/>
        <w:jc w:val="left"/>
      </w:pPr>
      <w:r>
        <w:rPr>
          <w:rFonts w:ascii="仿宋_GB2312" w:hAnsi="仿宋_GB2312" w:cs="仿宋_GB2312" w:eastAsia="仿宋_GB2312"/>
        </w:rPr>
        <w:t>邮编：616750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询价通知书、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询价通知书提出质疑的，为获取询价通知书之日。对更正后的询价通知书提出质疑的，如质疑内容为更正内容，为发出询价通知书更正通知之日；如质疑内容为原询价通知书内容，为获取原询价通知书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（五）针对质疑事项必要的证明材料（针对询价通知书提出的质疑，需提交从交易系统获取的询价通知书回执单）。</w:t>
      </w:r>
    </w:p>
    <w:p>
      <w:pPr>
        <w:pStyle w:val="null3"/>
        <w:ind w:firstLine="480"/>
        <w:jc w:val="left"/>
      </w:pPr>
      <w:r>
        <w:rPr>
          <w:rFonts w:ascii="仿宋_GB2312" w:hAnsi="仿宋_GB2312" w:cs="仿宋_GB2312" w:eastAsia="仿宋_GB2312"/>
        </w:rPr>
        <w:t>注：根据《中华人民共和国政府采购法》的规定，供应商质疑不得超出询价通知书、采购过程、采购结果的范围。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2.9.1.平台系统故障处理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评审委员会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对经核实排查认定不属于平台系统故障的，采购人、代理机构、供应商、评审委员会应按政府采购法律制度和平台操作要求开展后续操作。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评审委员会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采购人或者代理机构应当在询价通知书中明确线下样品评审规则和方式，不得对供应商实行差别待遇或者歧视性待遇。样品评审应当全过程录音录像，形成书面评审记录上传至交易系统。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（注:本章的技术、服务及其他要求中，带“★”的要求为实质性要求。采购人、代理机构应当根据项目实际要求合理设定，并在第四章符合性审查中明确响应要求。）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400,000.00</w:t>
      </w:r>
    </w:p>
    <w:p>
      <w:pPr>
        <w:pStyle w:val="null3"/>
        <w:jc w:val="left"/>
      </w:pPr>
      <w:r>
        <w:rPr>
          <w:rFonts w:ascii="仿宋_GB2312" w:hAnsi="仿宋_GB2312" w:cs="仿宋_GB2312" w:eastAsia="仿宋_GB2312"/>
        </w:rPr>
        <w:t>采购包最高限价（元）: 400,000.00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A02030502 越野车</w:t>
            </w:r>
          </w:p>
        </w:tc>
        <w:tc>
          <w:tcPr>
            <w:tcW w:type="dxa" w:w="821"/>
          </w:tcPr>
          <w:p>
            <w:pPr>
              <w:pStyle w:val="null3"/>
              <w:jc w:val="left"/>
            </w:pPr>
            <w:r>
              <w:rPr>
                <w:rFonts w:ascii="仿宋_GB2312" w:hAnsi="仿宋_GB2312" w:cs="仿宋_GB2312" w:eastAsia="仿宋_GB2312"/>
              </w:rPr>
              <w:t>越野车</w:t>
            </w:r>
          </w:p>
        </w:tc>
        <w:tc>
          <w:tcPr>
            <w:tcW w:type="dxa" w:w="821"/>
          </w:tcPr>
          <w:p>
            <w:pPr>
              <w:pStyle w:val="null3"/>
              <w:jc w:val="right"/>
            </w:pPr>
            <w:r>
              <w:rPr>
                <w:rFonts w:ascii="仿宋_GB2312" w:hAnsi="仿宋_GB2312" w:cs="仿宋_GB2312" w:eastAsia="仿宋_GB2312"/>
              </w:rPr>
              <w:t>1.00（辆）</w:t>
            </w:r>
          </w:p>
        </w:tc>
        <w:tc>
          <w:tcPr>
            <w:tcW w:type="dxa" w:w="821"/>
          </w:tcPr>
          <w:p>
            <w:pPr>
              <w:pStyle w:val="null3"/>
              <w:jc w:val="right"/>
            </w:pPr>
            <w:r>
              <w:rPr>
                <w:rFonts w:ascii="仿宋_GB2312" w:hAnsi="仿宋_GB2312" w:cs="仿宋_GB2312" w:eastAsia="仿宋_GB2312"/>
              </w:rPr>
              <w:t>400,000.00</w:t>
            </w:r>
          </w:p>
        </w:tc>
        <w:tc>
          <w:tcPr>
            <w:tcW w:type="dxa" w:w="821"/>
          </w:tcPr>
          <w:p>
            <w:pPr>
              <w:pStyle w:val="null3"/>
              <w:jc w:val="left"/>
            </w:pPr>
            <w:r>
              <w:rPr>
                <w:rFonts w:ascii="仿宋_GB2312" w:hAnsi="仿宋_GB2312" w:cs="仿宋_GB2312" w:eastAsia="仿宋_GB2312"/>
              </w:rPr>
              <w:t>工业</w:t>
            </w:r>
          </w:p>
        </w:tc>
        <w:tc>
          <w:tcPr>
            <w:tcW w:type="dxa" w:w="821"/>
          </w:tcPr>
          <w:p>
            <w:pPr>
              <w:pStyle w:val="null3"/>
              <w:jc w:val="left"/>
            </w:pPr>
            <w:r>
              <w:rPr>
                <w:rFonts w:ascii="仿宋_GB2312" w:hAnsi="仿宋_GB2312" w:cs="仿宋_GB2312" w:eastAsia="仿宋_GB2312"/>
              </w:rPr>
              <w:t>是</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越野车</w:t>
            </w:r>
          </w:p>
        </w:tc>
        <w:tc>
          <w:tcPr>
            <w:tcW w:type="dxa" w:w="1138"/>
          </w:tcPr>
          <w:p>
            <w:pPr>
              <w:pStyle w:val="null3"/>
              <w:jc w:val="center"/>
            </w:pPr>
            <w:r>
              <w:rPr>
                <w:rFonts w:ascii="仿宋_GB2312" w:hAnsi="仿宋_GB2312" w:cs="仿宋_GB2312" w:eastAsia="仿宋_GB2312"/>
              </w:rPr>
              <w:t>1.00（辆）</w:t>
            </w:r>
          </w:p>
        </w:tc>
        <w:tc>
          <w:tcPr>
            <w:tcW w:type="dxa" w:w="1365"/>
          </w:tcPr>
          <w:p>
            <w:pPr>
              <w:pStyle w:val="null3"/>
              <w:jc w:val="center"/>
            </w:pPr>
            <w:r>
              <w:rPr>
                <w:rFonts w:ascii="仿宋_GB2312" w:hAnsi="仿宋_GB2312" w:cs="仿宋_GB2312" w:eastAsia="仿宋_GB2312"/>
              </w:rPr>
              <w:t>400,000.00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★注：供应商响应产品应当明确品牌和规格型号并指向唯一产品，不能指向唯一产品的，应通过报价表唯一产品说明栏补充说明。</w:t>
      </w:r>
    </w:p>
    <w:p>
      <w:pPr>
        <w:pStyle w:val="null3"/>
        <w:jc w:val="left"/>
      </w:pPr>
      <w:r>
        <w:rPr>
          <w:rFonts w:ascii="仿宋_GB2312" w:hAnsi="仿宋_GB2312" w:cs="仿宋_GB2312" w:eastAsia="仿宋_GB2312"/>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A02030502 越野车</w:t>
            </w:r>
          </w:p>
        </w:tc>
        <w:tc>
          <w:tcPr>
            <w:tcW w:type="dxa" w:w="2492"/>
          </w:tcPr>
          <w:p>
            <w:pPr>
              <w:pStyle w:val="null3"/>
              <w:jc w:val="left"/>
            </w:pPr>
            <w:r>
              <w:rPr>
                <w:rFonts w:ascii="仿宋_GB2312" w:hAnsi="仿宋_GB2312" w:cs="仿宋_GB2312" w:eastAsia="仿宋_GB2312"/>
              </w:rPr>
              <w:t>越野车</w:t>
            </w:r>
          </w:p>
        </w:tc>
        <w:tc>
          <w:tcPr>
            <w:tcW w:type="dxa" w:w="2492"/>
          </w:tcPr>
          <w:p>
            <w:pPr>
              <w:pStyle w:val="null3"/>
              <w:jc w:val="left"/>
            </w:pPr>
            <w:r>
              <w:rPr>
                <w:rFonts w:ascii="仿宋_GB2312" w:hAnsi="仿宋_GB2312" w:cs="仿宋_GB2312" w:eastAsia="仿宋_GB2312"/>
              </w:rPr>
              <w:t>越野车</w:t>
            </w:r>
          </w:p>
        </w:tc>
      </w:tr>
    </w:tbl>
    <w:p>
      <w:pPr>
        <w:pStyle w:val="null3"/>
        <w:ind w:firstLine="480"/>
        <w:jc w:val="left"/>
      </w:pPr>
      <w:r>
        <w:rPr>
          <w:rFonts w:ascii="仿宋_GB2312" w:hAnsi="仿宋_GB2312" w:cs="仿宋_GB2312" w:eastAsia="仿宋_GB2312"/>
        </w:rPr>
        <w:t>注：涉及核心产品的，具体评审规定见第四章。</w:t>
      </w:r>
    </w:p>
    <w:p>
      <w:pPr>
        <w:pStyle w:val="null3"/>
        <w:jc w:val="left"/>
      </w:pPr>
      <w:r>
        <w:rPr>
          <w:rFonts w:ascii="仿宋_GB2312" w:hAnsi="仿宋_GB2312" w:cs="仿宋_GB2312" w:eastAsia="仿宋_GB2312"/>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pPr>
      <w:r>
        <w:rPr>
          <w:rFonts w:ascii="仿宋_GB2312" w:hAnsi="仿宋_GB2312" w:cs="仿宋_GB2312" w:eastAsia="仿宋_GB2312"/>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四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四章规定。</w:t>
      </w:r>
    </w:p>
    <w:p>
      <w:pPr>
        <w:pStyle w:val="null3"/>
        <w:jc w:val="left"/>
      </w:pPr>
      <w:r>
        <w:rPr>
          <w:rFonts w:ascii="仿宋_GB2312" w:hAnsi="仿宋_GB2312" w:cs="仿宋_GB2312" w:eastAsia="仿宋_GB2312"/>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四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标的名称：越野车</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tc>
        <w:tc>
          <w:tcPr>
            <w:tcW w:type="dxa" w:w="5814"/>
          </w:tcPr>
          <w:tbl>
            <w:tblPr>
              <w:tblBorders>
                <w:top w:val="none" w:color="000000" w:sz="4"/>
                <w:left w:val="none" w:color="000000" w:sz="4"/>
                <w:bottom w:val="none" w:color="000000" w:sz="4"/>
                <w:right w:val="none" w:color="000000" w:sz="4"/>
                <w:insideH w:val="none"/>
                <w:insideV w:val="none"/>
              </w:tblBorders>
            </w:tblPr>
            <w:tblGrid>
              <w:gridCol w:w="474"/>
              <w:gridCol w:w="5124"/>
            </w:tblGrid>
            <w:tr>
              <w:tc>
                <w:tcPr>
                  <w:tcW w:type="dxa" w:w="47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序号</w:t>
                  </w:r>
                </w:p>
              </w:tc>
              <w:tc>
                <w:tcPr>
                  <w:tcW w:type="dxa" w:w="512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车辆参数</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级别：</w:t>
                  </w:r>
                  <w:r>
                    <w:rPr>
                      <w:rFonts w:ascii="仿宋_GB2312" w:hAnsi="仿宋_GB2312" w:cs="仿宋_GB2312" w:eastAsia="仿宋_GB2312"/>
                      <w:sz w:val="24"/>
                    </w:rPr>
                    <w:t>≥5门5座SUV</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能源类型：插电式混合动力</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WLTC纯电续航里程Km：≥200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发动机排量（</w:t>
                  </w:r>
                  <w:r>
                    <w:rPr>
                      <w:rFonts w:ascii="仿宋_GB2312" w:hAnsi="仿宋_GB2312" w:cs="仿宋_GB2312" w:eastAsia="仿宋_GB2312"/>
                      <w:sz w:val="24"/>
                    </w:rPr>
                    <w:t>ml）：≥1950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系统综合最大功率</w:t>
                  </w:r>
                  <w:r>
                    <w:rPr>
                      <w:rFonts w:ascii="仿宋_GB2312" w:hAnsi="仿宋_GB2312" w:cs="仿宋_GB2312" w:eastAsia="仿宋_GB2312"/>
                      <w:sz w:val="24"/>
                    </w:rPr>
                    <w:t>KW:≥630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系统综合最大扭矩</w:t>
                  </w:r>
                  <w:r>
                    <w:rPr>
                      <w:rFonts w:ascii="仿宋_GB2312" w:hAnsi="仿宋_GB2312" w:cs="仿宋_GB2312" w:eastAsia="仿宋_GB2312"/>
                      <w:sz w:val="24"/>
                    </w:rPr>
                    <w:t>NM:≥1100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电动机最大功率</w:t>
                  </w:r>
                  <w:r>
                    <w:rPr>
                      <w:rFonts w:ascii="仿宋_GB2312" w:hAnsi="仿宋_GB2312" w:cs="仿宋_GB2312" w:eastAsia="仿宋_GB2312"/>
                      <w:sz w:val="24"/>
                    </w:rPr>
                    <w:t>KW:≥450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电动机最大扭矩</w:t>
                  </w:r>
                  <w:r>
                    <w:rPr>
                      <w:rFonts w:ascii="仿宋_GB2312" w:hAnsi="仿宋_GB2312" w:cs="仿宋_GB2312" w:eastAsia="仿宋_GB2312"/>
                      <w:sz w:val="24"/>
                    </w:rPr>
                    <w:t>NM：≥800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长宽高</w:t>
                  </w:r>
                  <w:r>
                    <w:rPr>
                      <w:rFonts w:ascii="仿宋_GB2312" w:hAnsi="仿宋_GB2312" w:cs="仿宋_GB2312" w:eastAsia="仿宋_GB2312"/>
                      <w:sz w:val="24"/>
                    </w:rPr>
                    <w:t>:≥5070*1930*1800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轴距：</w:t>
                  </w:r>
                  <w:r>
                    <w:rPr>
                      <w:rFonts w:ascii="仿宋_GB2312" w:hAnsi="仿宋_GB2312" w:cs="仿宋_GB2312" w:eastAsia="仿宋_GB2312"/>
                      <w:sz w:val="24"/>
                    </w:rPr>
                    <w:t>≥2850</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驱动方式：前置四驱</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四驱形式：电动四驱</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前悬架类型：双叉臂式独立悬架或优于</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后悬架类型：多连杆式非独立悬架或优于</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车体结构：承载式或非承载式</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轮胎规格：</w:t>
                  </w:r>
                  <w:r>
                    <w:rPr>
                      <w:rFonts w:ascii="仿宋_GB2312" w:hAnsi="仿宋_GB2312" w:cs="仿宋_GB2312" w:eastAsia="仿宋_GB2312"/>
                      <w:sz w:val="24"/>
                    </w:rPr>
                    <w:t>265/45R19或优于</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主副驾安全气囊：有</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胎压显示：有</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ABS+EBD+EBA+ESP:有</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车道偏离系统：有</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主动刹车：有</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驾驶辅助等级：</w:t>
                  </w:r>
                  <w:r>
                    <w:rPr>
                      <w:rFonts w:ascii="仿宋_GB2312" w:hAnsi="仿宋_GB2312" w:cs="仿宋_GB2312" w:eastAsia="仿宋_GB2312"/>
                      <w:sz w:val="24"/>
                    </w:rPr>
                    <w:t>L2（提供国家认可的检验机构出具的检验报告。签订合同前提供原件供采购人查验，不能提供原件或者原件与响应文件里响应情况不符合的，视作虚假响应，采购人将上报监管部门。）</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驾驶模式切换：有</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360度全景影像：有</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固定脚踏板：有</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远近光灯源：</w:t>
                  </w:r>
                  <w:r>
                    <w:rPr>
                      <w:rFonts w:ascii="仿宋_GB2312" w:hAnsi="仿宋_GB2312" w:cs="仿宋_GB2312" w:eastAsia="仿宋_GB2312"/>
                      <w:sz w:val="24"/>
                    </w:rPr>
                    <w:t>LED</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天窗：有</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中控屏幕尺寸：</w:t>
                  </w:r>
                  <w:r>
                    <w:rPr>
                      <w:rFonts w:ascii="仿宋_GB2312" w:hAnsi="仿宋_GB2312" w:cs="仿宋_GB2312" w:eastAsia="仿宋_GB2312"/>
                      <w:sz w:val="24"/>
                    </w:rPr>
                    <w:t>≥14寸</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主副驾座椅调节：电动</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前排座椅功能：加热通风</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自动空调：有</w:t>
                  </w:r>
                </w:p>
              </w:tc>
            </w:tr>
            <w:tr>
              <w:tc>
                <w:tcPr>
                  <w:tcW w:type="dxa" w:w="47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numPr>
                      <w:ilvl w:val="0"/>
                      <w:numId w:val="1"/>
                    </w:numPr>
                    <w:jc w:val="left"/>
                  </w:pPr>
                </w:p>
              </w:tc>
              <w:tc>
                <w:tcPr>
                  <w:tcW w:type="dxa" w:w="512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报价说明：项目报价是履行合同的最终价格，</w:t>
                  </w:r>
                  <w:r>
                    <w:rPr>
                      <w:rFonts w:ascii="仿宋_GB2312" w:hAnsi="仿宋_GB2312" w:cs="仿宋_GB2312" w:eastAsia="仿宋_GB2312"/>
                      <w:sz w:val="24"/>
                    </w:rPr>
                    <w:t>报价包括裸车价格、检测、调试、安装费用、运输费用、保险（商业险至少包含车损险、三者险不低于</w:t>
                  </w:r>
                  <w:r>
                    <w:rPr>
                      <w:rFonts w:ascii="仿宋_GB2312" w:hAnsi="仿宋_GB2312" w:cs="仿宋_GB2312" w:eastAsia="仿宋_GB2312"/>
                      <w:sz w:val="24"/>
                    </w:rPr>
                    <w:t>300万，每个座位险不低于10万）、购置税、车辆上户、全车隔热膜、360软包脚垫和供应商合理利润，应包括完成本项目所需的一切费用，成交后业主不在支付其他费用，报价估算错误等引起的风险由竞标人自行承担。</w:t>
                  </w:r>
                </w:p>
              </w:tc>
            </w:tr>
          </w:tbl>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交货时间</w:t>
            </w:r>
          </w:p>
        </w:tc>
        <w:tc>
          <w:tcPr>
            <w:tcW w:type="dxa" w:w="5814"/>
          </w:tcPr>
          <w:p>
            <w:pPr>
              <w:pStyle w:val="null3"/>
              <w:jc w:val="left"/>
            </w:pPr>
            <w:r>
              <w:rPr>
                <w:rFonts w:ascii="仿宋_GB2312" w:hAnsi="仿宋_GB2312" w:cs="仿宋_GB2312" w:eastAsia="仿宋_GB2312"/>
              </w:rPr>
              <w:t>30</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交货地点</w:t>
            </w:r>
          </w:p>
        </w:tc>
        <w:tc>
          <w:tcPr>
            <w:tcW w:type="dxa" w:w="5814"/>
          </w:tcPr>
          <w:p>
            <w:pPr>
              <w:pStyle w:val="null3"/>
              <w:jc w:val="left"/>
            </w:pPr>
            <w:r>
              <w:rPr>
                <w:rFonts w:ascii="仿宋_GB2312" w:hAnsi="仿宋_GB2312" w:cs="仿宋_GB2312" w:eastAsia="仿宋_GB2312"/>
              </w:rPr>
              <w:t>采购人指定地点（喜德县人民政府办公室）</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一次付清</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1、合同签订且完成验收后，达到付款条件起15日内，据实情况说明为支付合同金额100%</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按照《财政部关于进一步加强政府采购需求和履约验收管理的指导意见》(财库(2016) 205号)、《政府采购需求管理办法》(财库(2021) 22号)的要求及国家行业主管部门规定的标准、方法和内容及采购文件的质量要求和技术指标、供应商的响应文件及承诺与合同约定标准进行验收。</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质量保修范围和保修期</w:t>
            </w:r>
          </w:p>
        </w:tc>
        <w:tc>
          <w:tcPr>
            <w:tcW w:type="dxa" w:w="5814"/>
          </w:tcPr>
          <w:p>
            <w:pPr>
              <w:pStyle w:val="null3"/>
              <w:jc w:val="left"/>
            </w:pPr>
            <w:r>
              <w:rPr>
                <w:rFonts w:ascii="仿宋_GB2312" w:hAnsi="仿宋_GB2312" w:cs="仿宋_GB2312" w:eastAsia="仿宋_GB2312"/>
              </w:rPr>
              <w:t>（1）质保期：3年或10万公里（整车按随车保修手册及国家三包政策执行，若随车保修手册和国家三包政策不一致时，择优执行）。 （2）保修期内所更换零部件由成交供应商及时提供，费用包含在报价中。 （3）供应商需指派专人负责与采购人联系售后服务事宜。</w:t>
            </w:r>
          </w:p>
        </w:tc>
      </w:tr>
      <w:tr>
        <w:tc>
          <w:tcPr>
            <w:tcW w:type="dxa" w:w="415"/>
          </w:tcPr>
          <w:p>
            <w:pPr>
              <w:pStyle w:val="null3"/>
              <w:jc w:val="center"/>
            </w:pPr>
            <w:r>
              <w:rPr>
                <w:rFonts w:ascii="仿宋_GB2312" w:hAnsi="仿宋_GB2312" w:cs="仿宋_GB2312" w:eastAsia="仿宋_GB2312"/>
              </w:rPr>
              <w:t>7</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（1）甲乙双方必须遵守本合同并执行合同中的各项规定，保证本合同的正常履行。 （2）如因乙方工作人员在履行职务过程中的的疏忽、失职、过错等故意或者过失原因给甲方造成损失或侵害，包括但不限于甲方本身的财产损失、由此而导致的甲方对任何第三方的法律责任等，乙方对此均应承担全部的赔偿责任。 （3）解决合同纠纷的方式：因本合同履行过程中产生的争议，双方应友好协商解决。经协商不能解决的，任何一方均可以向甲方所在地的有管辖权的法院提起诉讼。</w:t>
            </w:r>
          </w:p>
        </w:tc>
      </w:tr>
      <w:tr>
        <w:tc>
          <w:tcPr>
            <w:tcW w:type="dxa" w:w="415"/>
          </w:tcPr>
          <w:p>
            <w:pPr>
              <w:pStyle w:val="null3"/>
              <w:jc w:val="center"/>
            </w:pPr>
            <w:r>
              <w:rPr>
                <w:rFonts w:ascii="仿宋_GB2312" w:hAnsi="仿宋_GB2312" w:cs="仿宋_GB2312" w:eastAsia="仿宋_GB2312"/>
              </w:rPr>
              <w:t>8</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包装方式及运输</w:t>
            </w:r>
          </w:p>
        </w:tc>
        <w:tc>
          <w:tcPr>
            <w:tcW w:type="dxa" w:w="5814"/>
          </w:tcPr>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评审办法</w:t>
      </w:r>
    </w:p>
    <w:p>
      <w:pPr>
        <w:pStyle w:val="null3"/>
        <w:jc w:val="left"/>
        <w:outlineLvl w:val="2"/>
      </w:pPr>
      <w:r>
        <w:rPr>
          <w:rFonts w:ascii="仿宋_GB2312" w:hAnsi="仿宋_GB2312" w:cs="仿宋_GB2312" w:eastAsia="仿宋_GB2312"/>
          <w:sz w:val="28"/>
          <w:b/>
        </w:rPr>
        <w:t>4.1.总则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非招标采购方式管理办法》《四川省政府采购评审工作规程（修订）》等法律制度规定，结合采购项目特点制定本次询价评审办法。</w:t>
      </w:r>
    </w:p>
    <w:p>
      <w:pPr>
        <w:pStyle w:val="null3"/>
        <w:ind w:firstLine="480"/>
        <w:jc w:val="left"/>
      </w:pPr>
      <w:r>
        <w:rPr>
          <w:rFonts w:ascii="仿宋_GB2312" w:hAnsi="仿宋_GB2312" w:cs="仿宋_GB2312" w:eastAsia="仿宋_GB2312"/>
        </w:rPr>
        <w:t>二、评审工作由代理机构组织，具体评审事务由依法组建的询价小组负责，询价小组由采购人代表和评审专家组成。</w:t>
      </w:r>
    </w:p>
    <w:p>
      <w:pPr>
        <w:pStyle w:val="null3"/>
        <w:ind w:firstLine="480"/>
        <w:jc w:val="left"/>
      </w:pPr>
      <w:r>
        <w:rPr>
          <w:rFonts w:ascii="仿宋_GB2312" w:hAnsi="仿宋_GB2312" w:cs="仿宋_GB2312" w:eastAsia="仿宋_GB2312"/>
        </w:rPr>
        <w:t>三、评审工作应遵循客观、公正、审慎的原则，根据询价通知书规定的评审程序、评审方法和评审标准进行独立评审。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四、本项目采取电子评审，通过交易系统完成评审工作。询价小组成员、采购人、代理机构和供应商应当按照本询价通知书规定和交易系统操作要求开展或者参加评审活动。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询价报告为准。评审过程中需要供应商电子签章的，供应商应按规定加盖电子印章。询价小组成员在签署询价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4.2.询价小组</w:t>
      </w:r>
    </w:p>
    <w:p>
      <w:pPr>
        <w:pStyle w:val="null3"/>
        <w:ind w:firstLine="480"/>
        <w:jc w:val="left"/>
      </w:pPr>
      <w:r>
        <w:rPr>
          <w:rFonts w:ascii="仿宋_GB2312" w:hAnsi="仿宋_GB2312" w:cs="仿宋_GB2312" w:eastAsia="仿宋_GB2312"/>
        </w:rPr>
        <w:t>一、本项目询价小组成员人数应为3人以上单数，其中评审专家不得少于成员总数的三分之二。采购预算金额达到公开招标数额标准的货物，询价小组成员人数应为5人以上单数。评审专家由代理机构采取随机方式在采购平台的评审专家库系统（以下简称“专家库系统”）抽取。</w:t>
      </w:r>
    </w:p>
    <w:p>
      <w:pPr>
        <w:pStyle w:val="null3"/>
        <w:ind w:firstLine="480"/>
        <w:jc w:val="left"/>
      </w:pPr>
      <w:r>
        <w:rPr>
          <w:rFonts w:ascii="仿宋_GB2312" w:hAnsi="仿宋_GB2312" w:cs="仿宋_GB2312" w:eastAsia="仿宋_GB2312"/>
        </w:rPr>
        <w:t>二、询价小组成员应当满足并适应电子化采购评审的工作需要，登录交易系统进入项目评审功能模块确认身份、签到、推荐询价小组组长。采购人代表可以使用采购人代表专用签章确认评审意见。</w:t>
      </w:r>
    </w:p>
    <w:p>
      <w:pPr>
        <w:pStyle w:val="null3"/>
        <w:ind w:firstLine="480"/>
        <w:jc w:val="left"/>
      </w:pPr>
      <w:r>
        <w:rPr>
          <w:rFonts w:ascii="仿宋_GB2312" w:hAnsi="仿宋_GB2312" w:cs="仿宋_GB2312" w:eastAsia="仿宋_GB2312"/>
        </w:rPr>
        <w:t>三、询价小组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询价小组，解封响应文件后，开展评审活动。</w:t>
      </w:r>
    </w:p>
    <w:p>
      <w:pPr>
        <w:pStyle w:val="null3"/>
        <w:ind w:firstLine="480"/>
        <w:jc w:val="left"/>
      </w:pPr>
      <w:r>
        <w:rPr>
          <w:rFonts w:ascii="仿宋_GB2312" w:hAnsi="仿宋_GB2312" w:cs="仿宋_GB2312" w:eastAsia="仿宋_GB2312"/>
        </w:rPr>
        <w:t>四、询价小组应当履行下列职责：</w:t>
      </w:r>
    </w:p>
    <w:p>
      <w:pPr>
        <w:pStyle w:val="null3"/>
        <w:ind w:firstLine="480"/>
        <w:jc w:val="left"/>
      </w:pPr>
      <w:r>
        <w:rPr>
          <w:rFonts w:ascii="仿宋_GB2312" w:hAnsi="仿宋_GB2312" w:cs="仿宋_GB2312" w:eastAsia="仿宋_GB2312"/>
        </w:rPr>
        <w:t>（一）熟悉和理解询价通知书；</w:t>
      </w:r>
    </w:p>
    <w:p>
      <w:pPr>
        <w:pStyle w:val="null3"/>
        <w:ind w:firstLine="480"/>
        <w:jc w:val="left"/>
      </w:pPr>
      <w:r>
        <w:rPr>
          <w:rFonts w:ascii="仿宋_GB2312" w:hAnsi="仿宋_GB2312" w:cs="仿宋_GB2312" w:eastAsia="仿宋_GB2312"/>
        </w:rPr>
        <w:t>（二）审查、评价供应商响应文件等是否满足询价通知书要求；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（四）根据需要要求采购人、代理机构对询价通知书作出解释；根据需要要求供应商对响应文件有关事项作出澄清、说明或者更正；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（六）起草资格审查报告、询价报告并进行签署；</w:t>
      </w:r>
    </w:p>
    <w:p>
      <w:pPr>
        <w:pStyle w:val="null3"/>
        <w:ind w:firstLine="480"/>
        <w:jc w:val="left"/>
      </w:pPr>
      <w:r>
        <w:rPr>
          <w:rFonts w:ascii="仿宋_GB2312" w:hAnsi="仿宋_GB2312" w:cs="仿宋_GB2312" w:eastAsia="仿宋_GB2312"/>
        </w:rPr>
        <w:t>（七）向采购人、代理机构或者有关部门报告协商中发现的违法行为；</w:t>
      </w:r>
    </w:p>
    <w:p>
      <w:pPr>
        <w:pStyle w:val="null3"/>
        <w:ind w:firstLine="480"/>
        <w:jc w:val="left"/>
      </w:pPr>
      <w:r>
        <w:rPr>
          <w:rFonts w:ascii="仿宋_GB2312" w:hAnsi="仿宋_GB2312" w:cs="仿宋_GB2312" w:eastAsia="仿宋_GB2312"/>
        </w:rPr>
        <w:t>（八）按规定告知供应商，未实质性响应询价通知书的响应文件按无效响应处理；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4.3.评审程序</w:t>
      </w:r>
    </w:p>
    <w:p>
      <w:pPr>
        <w:pStyle w:val="null3"/>
        <w:jc w:val="left"/>
        <w:outlineLvl w:val="3"/>
      </w:pPr>
      <w:r>
        <w:rPr>
          <w:rFonts w:ascii="仿宋_GB2312" w:hAnsi="仿宋_GB2312" w:cs="仿宋_GB2312" w:eastAsia="仿宋_GB2312"/>
          <w:sz w:val="24"/>
          <w:b/>
        </w:rPr>
        <w:t>4.3.1.熟悉和理解询价通知书</w:t>
      </w:r>
    </w:p>
    <w:p>
      <w:pPr>
        <w:pStyle w:val="null3"/>
        <w:ind w:firstLine="480"/>
        <w:jc w:val="left"/>
      </w:pPr>
      <w:r>
        <w:rPr>
          <w:rFonts w:ascii="仿宋_GB2312" w:hAnsi="仿宋_GB2312" w:cs="仿宋_GB2312" w:eastAsia="仿宋_GB2312"/>
        </w:rPr>
        <w:t>询价小组正式评审前，应当对询价通知书进行熟悉和理解，内容主要包括询价通知书中供应商资格条件要求、采购项目技术、服务和商务要求、评审方法和标准以及政府采购合同的内容等。</w:t>
      </w:r>
    </w:p>
    <w:p>
      <w:pPr>
        <w:pStyle w:val="null3"/>
        <w:jc w:val="left"/>
        <w:outlineLvl w:val="3"/>
      </w:pPr>
      <w:r>
        <w:rPr>
          <w:rFonts w:ascii="仿宋_GB2312" w:hAnsi="仿宋_GB2312" w:cs="仿宋_GB2312" w:eastAsia="仿宋_GB2312"/>
          <w:sz w:val="24"/>
          <w:b/>
        </w:rPr>
        <w:t>4.3.2.停止评审的情形</w:t>
      </w:r>
    </w:p>
    <w:p>
      <w:pPr>
        <w:pStyle w:val="null3"/>
        <w:ind w:firstLine="480"/>
        <w:jc w:val="left"/>
      </w:pPr>
      <w:r>
        <w:rPr>
          <w:rFonts w:ascii="仿宋_GB2312" w:hAnsi="仿宋_GB2312" w:cs="仿宋_GB2312" w:eastAsia="仿宋_GB2312"/>
        </w:rPr>
        <w:t>询价小组熟悉和理解询价通知书以及评审过程中，发现本询价通知书有下列情形之一的，询价小组应当停止评审：</w:t>
      </w:r>
    </w:p>
    <w:p>
      <w:pPr>
        <w:pStyle w:val="null3"/>
        <w:ind w:firstLine="480"/>
        <w:jc w:val="left"/>
      </w:pPr>
      <w:r>
        <w:rPr>
          <w:rFonts w:ascii="仿宋_GB2312" w:hAnsi="仿宋_GB2312" w:cs="仿宋_GB2312" w:eastAsia="仿宋_GB2312"/>
        </w:rPr>
        <w:t>一、询价通知书的规定存在歧义、重大缺陷，导致评审工作无法进行的；</w:t>
      </w:r>
    </w:p>
    <w:p>
      <w:pPr>
        <w:pStyle w:val="null3"/>
        <w:ind w:firstLine="480"/>
        <w:jc w:val="left"/>
      </w:pPr>
      <w:r>
        <w:rPr>
          <w:rFonts w:ascii="仿宋_GB2312" w:hAnsi="仿宋_GB2312" w:cs="仿宋_GB2312" w:eastAsia="仿宋_GB2312"/>
        </w:rPr>
        <w:t>二、询价通知书明显以不合理条件对供应商实行差别待遇或者歧视待遇的；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三、采购项目属于国家规定的优先、强制采购范围，但是询价通知书未依法体现优先、强制采购相关规定的；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四、采购项目属于政府采购促进中小企业发展的范围，但是询价通知书未依法体现促进中小企业发展相关规定的；</w:t>
      </w:r>
    </w:p>
    <w:p>
      <w:pPr>
        <w:pStyle w:val="null3"/>
        <w:ind w:firstLine="480"/>
        <w:jc w:val="left"/>
      </w:pPr>
      <w:r>
        <w:rPr>
          <w:rFonts w:ascii="仿宋_GB2312" w:hAnsi="仿宋_GB2312" w:cs="仿宋_GB2312" w:eastAsia="仿宋_GB2312"/>
        </w:rPr>
        <w:t>五、询价通知书载明的成交原则不合法的；</w:t>
      </w:r>
    </w:p>
    <w:p>
      <w:pPr>
        <w:pStyle w:val="null3"/>
        <w:ind w:firstLine="480"/>
        <w:jc w:val="left"/>
      </w:pPr>
      <w:r>
        <w:rPr>
          <w:rFonts w:ascii="仿宋_GB2312" w:hAnsi="仿宋_GB2312" w:cs="仿宋_GB2312" w:eastAsia="仿宋_GB2312"/>
        </w:rPr>
        <w:t>六、询价通知书有违反国家其他有关强制性规定的情形。</w:t>
      </w:r>
    </w:p>
    <w:p>
      <w:pPr>
        <w:pStyle w:val="null3"/>
        <w:ind w:firstLine="480"/>
        <w:jc w:val="left"/>
      </w:pPr>
      <w:r>
        <w:rPr>
          <w:rFonts w:ascii="仿宋_GB2312" w:hAnsi="仿宋_GB2312" w:cs="仿宋_GB2312" w:eastAsia="仿宋_GB2312"/>
        </w:rPr>
        <w:t>出现上述应当停止评审情形的，询价小组应当通过交易系统向采购组织单位提交相关说明材料，说明停止评审的情形和具体理由。除上述情形外，询价小组不得以任何方式和理由停止评审。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询价小组不应当停止评审的，可以通过交易系统书面报告采购项目同级财政部门依法处理，并提供相关证明材料。</w:t>
      </w:r>
    </w:p>
    <w:p>
      <w:pPr>
        <w:pStyle w:val="null3"/>
        <w:jc w:val="left"/>
        <w:outlineLvl w:val="3"/>
      </w:pPr>
      <w:r>
        <w:rPr>
          <w:rFonts w:ascii="仿宋_GB2312" w:hAnsi="仿宋_GB2312" w:cs="仿宋_GB2312" w:eastAsia="仿宋_GB2312"/>
          <w:sz w:val="24"/>
          <w:b/>
        </w:rPr>
        <w:t>4.3.3.资格审查</w:t>
      </w:r>
    </w:p>
    <w:p>
      <w:pPr>
        <w:pStyle w:val="null3"/>
        <w:ind w:firstLine="480"/>
        <w:jc w:val="left"/>
      </w:pPr>
      <w:r>
        <w:rPr>
          <w:rFonts w:ascii="仿宋_GB2312" w:hAnsi="仿宋_GB2312" w:cs="仿宋_GB2312" w:eastAsia="仿宋_GB2312"/>
        </w:rPr>
        <w:t>网上开启完成后，由询价小组依据法律法规和询价通知书的规定，对成功解密的响应文件中供应商资格证明等进行审查并出具资格审查报告。资格审查标准及要求如下：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4.3.3.1.一般资格审查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一般资格审查内容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提供具有统一社会信用代码的有效营业执照（复印件）；未换证的提供“有效的营业执照、有效的税务登记证、有效的组织机构代码证或有效的三证合一的营业执照”（复印件）按要求填写《投标（响应）函》完成承诺并进行电子签章。</w:t>
            </w:r>
          </w:p>
        </w:tc>
        <w:tc>
          <w:tcPr>
            <w:tcW w:type="dxa" w:w="1910"/>
          </w:tcPr>
          <w:p>
            <w:pPr>
              <w:pStyle w:val="null3"/>
              <w:jc w:val="left"/>
            </w:pPr>
            <w:r>
              <w:rPr>
                <w:rFonts w:ascii="仿宋_GB2312" w:hAnsi="仿宋_GB2312" w:cs="仿宋_GB2312" w:eastAsia="仿宋_GB2312"/>
              </w:rPr>
              <w:t>响应文件封面,供应商应提交的相关证明材料,服务应答表,投标（响应）函</w:t>
            </w:r>
          </w:p>
        </w:tc>
      </w:tr>
      <w:tr>
        <w:tc>
          <w:tcPr>
            <w:tcW w:type="dxa" w:w="581"/>
          </w:tcPr>
          <w:p>
            <w:pPr>
              <w:pStyle w:val="null3"/>
              <w:jc w:val="center"/>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提供截至响应文件提交截止之日前一年内，经审计的财务报告（包含审计报告和审计报告中所涉及的财务报表和报表附注）或者银行出具的资信证明。未经审计的提供财务报告（包括资产负债表、利润表、现金流量表、所有者权益变动表及其附注）。供应商注册时间截至响应文件提交截止之日前不足一年的，也可提供在相关主管部门备案的公司章程等证明材料。供应商需在使用投标(响应)客户端编制响应文件时，按要求上传相应证明材料并进行电子签章。</w:t>
            </w:r>
          </w:p>
        </w:tc>
        <w:tc>
          <w:tcPr>
            <w:tcW w:type="dxa" w:w="1910"/>
          </w:tcPr>
          <w:p>
            <w:pPr>
              <w:pStyle w:val="null3"/>
              <w:jc w:val="left"/>
            </w:pPr>
            <w:r>
              <w:rPr>
                <w:rFonts w:ascii="仿宋_GB2312" w:hAnsi="仿宋_GB2312" w:cs="仿宋_GB2312" w:eastAsia="仿宋_GB2312"/>
              </w:rPr>
              <w:t>供应商应提交的相关证明材料,具有健全财务会计制度的证明材料,投标（响应）函</w:t>
            </w:r>
          </w:p>
        </w:tc>
      </w:tr>
      <w:tr>
        <w:tc>
          <w:tcPr>
            <w:tcW w:type="dxa" w:w="581"/>
          </w:tcPr>
          <w:p>
            <w:pPr>
              <w:pStyle w:val="null3"/>
              <w:jc w:val="center"/>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不存在与单位负责人为同一人或者存在直接控股、管理关系的不同供应商不得参加同一合同项下的政府采购活动的行为。</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r>
        <w:tc>
          <w:tcPr>
            <w:tcW w:type="dxa" w:w="581"/>
          </w:tcPr>
          <w:p>
            <w:pPr>
              <w:pStyle w:val="null3"/>
              <w:jc w:val="center"/>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不属于为本项目提供整体设计、规范编制或者项目管理、监理、检测等服务的供应商。</w:t>
            </w:r>
          </w:p>
        </w:tc>
        <w:tc>
          <w:tcPr>
            <w:tcW w:type="dxa" w:w="3322"/>
          </w:tcPr>
          <w:p>
            <w:pPr>
              <w:pStyle w:val="null3"/>
              <w:jc w:val="left"/>
            </w:pPr>
            <w:r>
              <w:rPr>
                <w:rFonts w:ascii="仿宋_GB2312" w:hAnsi="仿宋_GB2312" w:cs="仿宋_GB2312" w:eastAsia="仿宋_GB2312"/>
              </w:rPr>
              <w:t>供应商需在项目电子化交易系统中按要求填写《投标（响应）函》完成承诺并进行电子签章。</w:t>
            </w:r>
          </w:p>
        </w:tc>
        <w:tc>
          <w:tcPr>
            <w:tcW w:type="dxa" w:w="1910"/>
          </w:tcPr>
          <w:p>
            <w:pPr>
              <w:pStyle w:val="null3"/>
              <w:jc w:val="left"/>
            </w:pPr>
            <w:r>
              <w:rPr>
                <w:rFonts w:ascii="仿宋_GB2312" w:hAnsi="仿宋_GB2312" w:cs="仿宋_GB2312" w:eastAsia="仿宋_GB2312"/>
              </w:rPr>
              <w:t>供应商应提交的相关证明材料,投标（响应）函</w:t>
            </w:r>
          </w:p>
        </w:tc>
      </w:tr>
    </w:tbl>
    <w:p>
      <w:pPr>
        <w:pStyle w:val="null3"/>
        <w:jc w:val="left"/>
        <w:outlineLvl w:val="3"/>
      </w:pPr>
      <w:r>
        <w:rPr>
          <w:rFonts w:ascii="仿宋_GB2312" w:hAnsi="仿宋_GB2312" w:cs="仿宋_GB2312" w:eastAsia="仿宋_GB2312"/>
          <w:sz w:val="24"/>
          <w:b/>
        </w:rPr>
        <w:t>4.3.3.2.落实政府采购政策资格审查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575"/>
        <w:gridCol w:w="3239"/>
        <w:gridCol w:w="1910"/>
      </w:tblGrid>
      <w:tr>
        <w:tc>
          <w:tcPr>
            <w:tcW w:type="dxa" w:w="581"/>
          </w:tcPr>
          <w:p>
            <w:pPr>
              <w:pStyle w:val="null3"/>
              <w:jc w:val="center"/>
            </w:pPr>
            <w:r>
              <w:rPr>
                <w:rFonts w:ascii="仿宋_GB2312" w:hAnsi="仿宋_GB2312" w:cs="仿宋_GB2312" w:eastAsia="仿宋_GB2312"/>
              </w:rPr>
              <w:t xml:space="preserve"> 序号</w:t>
            </w:r>
          </w:p>
        </w:tc>
        <w:tc>
          <w:tcPr>
            <w:tcW w:type="dxa" w:w="2575"/>
          </w:tcPr>
          <w:p>
            <w:pPr>
              <w:pStyle w:val="null3"/>
              <w:jc w:val="center"/>
            </w:pPr>
            <w:r>
              <w:rPr>
                <w:rFonts w:ascii="仿宋_GB2312" w:hAnsi="仿宋_GB2312" w:cs="仿宋_GB2312" w:eastAsia="仿宋_GB2312"/>
              </w:rPr>
              <w:t xml:space="preserve"> 落实政府采购政策资格审查内容</w:t>
            </w:r>
          </w:p>
        </w:tc>
        <w:tc>
          <w:tcPr>
            <w:tcW w:type="dxa" w:w="3239"/>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特定资格审查内容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8305"/>
            <w:gridSpan w:val="4"/>
          </w:tcPr>
          <w:p>
            <w:pPr>
              <w:pStyle w:val="null3"/>
              <w:jc w:val="left"/>
            </w:pPr>
            <w:r>
              <w:rPr>
                <w:rFonts w:ascii="仿宋_GB2312" w:hAnsi="仿宋_GB2312" w:cs="仿宋_GB2312" w:eastAsia="仿宋_GB2312"/>
              </w:rPr>
              <w:t xml:space="preserve"> 无</w:t>
            </w:r>
          </w:p>
        </w:tc>
      </w:tr>
    </w:tbl>
    <w:p>
      <w:pPr>
        <w:pStyle w:val="null3"/>
        <w:jc w:val="left"/>
        <w:outlineLvl w:val="3"/>
      </w:pPr>
      <w:r>
        <w:rPr>
          <w:rFonts w:ascii="仿宋_GB2312" w:hAnsi="仿宋_GB2312" w:cs="仿宋_GB2312" w:eastAsia="仿宋_GB2312"/>
          <w:sz w:val="24"/>
          <w:b/>
        </w:rPr>
        <w:t>4.3.4.符合性审查</w:t>
      </w:r>
    </w:p>
    <w:p>
      <w:pPr>
        <w:pStyle w:val="null3"/>
        <w:ind w:firstLine="480"/>
        <w:jc w:val="left"/>
      </w:pPr>
      <w:r>
        <w:rPr>
          <w:rFonts w:ascii="仿宋_GB2312" w:hAnsi="仿宋_GB2312" w:cs="仿宋_GB2312" w:eastAsia="仿宋_GB2312"/>
        </w:rPr>
        <w:t>询价小组依据本询价通知书的符合性审查要求，对符合资格要求供应商的响应文件有效性、完整性和响应程度进行审查。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在符合性审查过程中，如果出现询价小组成员意见不一致的情况，按照少数服从多数的原则确定，但不得违反政府采购基本原则和询价通知书规定。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2492"/>
        <w:gridCol w:w="3322"/>
        <w:gridCol w:w="1910"/>
      </w:tblGrid>
      <w:tr>
        <w:tc>
          <w:tcPr>
            <w:tcW w:type="dxa" w:w="581"/>
          </w:tcPr>
          <w:p>
            <w:pPr>
              <w:pStyle w:val="null3"/>
              <w:jc w:val="center"/>
            </w:pPr>
            <w:r>
              <w:rPr>
                <w:rFonts w:ascii="仿宋_GB2312" w:hAnsi="仿宋_GB2312" w:cs="仿宋_GB2312" w:eastAsia="仿宋_GB2312"/>
              </w:rPr>
              <w:t xml:space="preserve"> 序号</w:t>
            </w:r>
          </w:p>
        </w:tc>
        <w:tc>
          <w:tcPr>
            <w:tcW w:type="dxa" w:w="2492"/>
          </w:tcPr>
          <w:p>
            <w:pPr>
              <w:pStyle w:val="null3"/>
              <w:jc w:val="center"/>
            </w:pPr>
            <w:r>
              <w:rPr>
                <w:rFonts w:ascii="仿宋_GB2312" w:hAnsi="仿宋_GB2312" w:cs="仿宋_GB2312" w:eastAsia="仿宋_GB2312"/>
              </w:rPr>
              <w:t xml:space="preserve"> 符合性审查内容</w:t>
            </w:r>
          </w:p>
        </w:tc>
        <w:tc>
          <w:tcPr>
            <w:tcW w:type="dxa" w:w="3322"/>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center"/>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910"/>
          </w:tcPr>
          <w:p>
            <w:pPr>
              <w:pStyle w:val="null3"/>
              <w:jc w:val="left"/>
            </w:pPr>
            <w:r>
              <w:rPr>
                <w:rFonts w:ascii="仿宋_GB2312" w:hAnsi="仿宋_GB2312" w:cs="仿宋_GB2312" w:eastAsia="仿宋_GB2312"/>
              </w:rPr>
              <w:t>供应商应提交的相关证明材料,投标（响应）函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评审委员会发现供应商还存在未响应询价通知书实质性要求的，则按无效响应处理，并在询价报告中载明未通过符合性审查的具体原因。</w:t>
      </w:r>
    </w:p>
    <w:p>
      <w:pPr>
        <w:pStyle w:val="null3"/>
        <w:jc w:val="left"/>
        <w:outlineLvl w:val="3"/>
      </w:pPr>
      <w:r>
        <w:rPr>
          <w:rFonts w:ascii="仿宋_GB2312" w:hAnsi="仿宋_GB2312" w:cs="仿宋_GB2312" w:eastAsia="仿宋_GB2312"/>
          <w:sz w:val="24"/>
          <w:b/>
        </w:rPr>
        <w:t>4.3.5.解释、澄清、说明的有关问题</w:t>
      </w:r>
    </w:p>
    <w:p>
      <w:pPr>
        <w:pStyle w:val="null3"/>
        <w:ind w:firstLine="480"/>
        <w:jc w:val="left"/>
      </w:pPr>
      <w:r>
        <w:rPr>
          <w:rFonts w:ascii="仿宋_GB2312" w:hAnsi="仿宋_GB2312" w:cs="仿宋_GB2312" w:eastAsia="仿宋_GB2312"/>
        </w:rPr>
        <w:t>一、评审过程中，询价小组认为询价通知书有关事项表述不明确或需要说明的，可以要求采购人或者代理机构书面解释。采购人或者代理机构的解释不得改变询价通知书的原义或者影响公平、公正。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询价小组应当要求供应商作出必要的澄清、说明或者补正。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询价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三、响应文件报价出现前后不一致的，除询价通知书另有规定外，按照下列规定修正：</w:t>
      </w:r>
    </w:p>
    <w:p>
      <w:pPr>
        <w:pStyle w:val="null3"/>
        <w:ind w:firstLine="480"/>
        <w:jc w:val="left"/>
      </w:pPr>
      <w:r>
        <w:rPr>
          <w:rFonts w:ascii="仿宋_GB2312" w:hAnsi="仿宋_GB2312" w:cs="仿宋_GB2312" w:eastAsia="仿宋_GB2312"/>
        </w:rPr>
        <w:t>（一）响应文件中报价表内容与响应文件中相应内容不一致的，以报价表为准；</w:t>
      </w:r>
    </w:p>
    <w:p>
      <w:pPr>
        <w:pStyle w:val="null3"/>
        <w:ind w:firstLine="480"/>
        <w:jc w:val="left"/>
      </w:pPr>
      <w:r>
        <w:rPr>
          <w:rFonts w:ascii="仿宋_GB2312" w:hAnsi="仿宋_GB2312" w:cs="仿宋_GB2312" w:eastAsia="仿宋_GB2312"/>
        </w:rPr>
        <w:t>（二）大写金额和小写金额不一致的，以大写金额为准；</w:t>
      </w:r>
    </w:p>
    <w:p>
      <w:pPr>
        <w:pStyle w:val="null3"/>
        <w:ind w:firstLine="480"/>
        <w:jc w:val="left"/>
      </w:pPr>
      <w:r>
        <w:rPr>
          <w:rFonts w:ascii="仿宋_GB2312" w:hAnsi="仿宋_GB2312" w:cs="仿宋_GB2312" w:eastAsia="仿宋_GB2312"/>
        </w:rPr>
        <w:t>（三）单价金额小数点或者百分比有明显错位的，以报价表总价为准，并修改单价；</w:t>
      </w:r>
    </w:p>
    <w:p>
      <w:pPr>
        <w:pStyle w:val="null3"/>
        <w:ind w:firstLine="480"/>
        <w:jc w:val="left"/>
      </w:pPr>
      <w:r>
        <w:rPr>
          <w:rFonts w:ascii="仿宋_GB2312" w:hAnsi="仿宋_GB2312" w:cs="仿宋_GB2312" w:eastAsia="仿宋_GB2312"/>
        </w:rPr>
        <w:t>（四）总价金额与按单价汇总金额不一致的，以单价金额计算结果为准。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同时出现两种以上不一致的，按照前款规定的顺序修正。修正后的报价经供应商确认后产生约束力，供应商不确认的，作无效响应处理。</w:t>
      </w:r>
    </w:p>
    <w:p>
      <w:pPr>
        <w:pStyle w:val="null3"/>
        <w:ind w:firstLine="480"/>
        <w:jc w:val="left"/>
      </w:pPr>
      <w:r>
        <w:rPr>
          <w:rFonts w:ascii="仿宋_GB2312" w:hAnsi="仿宋_GB2312" w:cs="仿宋_GB2312" w:eastAsia="仿宋_GB2312"/>
        </w:rPr>
        <w:t>四、代理机构宣布评审结束之前，供应商应通过交易系统随时关注评审消息提示，及时响应询价小组发出的澄清、说明或者更正要求。供应商未能及时响应的，自行承担不利后果。</w:t>
      </w:r>
    </w:p>
    <w:p>
      <w:pPr>
        <w:pStyle w:val="null3"/>
        <w:ind w:firstLine="480"/>
        <w:jc w:val="left"/>
      </w:pPr>
      <w:r>
        <w:rPr>
          <w:rFonts w:ascii="仿宋_GB2312" w:hAnsi="仿宋_GB2312" w:cs="仿宋_GB2312" w:eastAsia="仿宋_GB2312"/>
        </w:rPr>
        <w:t>五、询价小组应当积极履行澄清、说明或者更正的职责，不得滥用权力。供应商的响应文件可以要求澄清、说明或者更正的，不得未经澄清、说明或者更正而直接作无效响应处理。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4.3.6.询价小组复核</w:t>
      </w:r>
    </w:p>
    <w:p>
      <w:pPr>
        <w:pStyle w:val="null3"/>
        <w:ind w:firstLine="480"/>
        <w:jc w:val="left"/>
      </w:pPr>
      <w:r>
        <w:rPr>
          <w:rFonts w:ascii="仿宋_GB2312" w:hAnsi="仿宋_GB2312" w:cs="仿宋_GB2312" w:eastAsia="仿宋_GB2312"/>
        </w:rPr>
        <w:t>评审结束后，询价小组成员复核、确认各自评审意见，汇总形成评审结果，对拟推荐为成交候选供应商的、报价最低的、响应文件被认定为无效的进行重点复核。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4.3.7.代理机构现场复核评审结果</w:t>
      </w:r>
    </w:p>
    <w:p>
      <w:pPr>
        <w:pStyle w:val="null3"/>
        <w:ind w:firstLine="480"/>
        <w:jc w:val="left"/>
      </w:pPr>
      <w:r>
        <w:rPr>
          <w:rFonts w:ascii="仿宋_GB2312" w:hAnsi="仿宋_GB2312" w:cs="仿宋_GB2312" w:eastAsia="仿宋_GB2312"/>
        </w:rPr>
        <w:t>一、询价小组拟出具询价报告前，代理机构应当组织2名以上的本单位工作人员，在采购现场监督人员的监督之下，依据有关的法律制度和询价通知书对评审结果进行复核，出具复核报告。存在资格审查认定错误的，代理机构应当根据情况书面建议询价小组现场修改评审结果或者重新评审，由询价小组自主决定是否采纳代理机构的书面建议，并承担独立评审责任。</w:t>
      </w:r>
    </w:p>
    <w:p>
      <w:pPr>
        <w:pStyle w:val="null3"/>
        <w:ind w:firstLine="480"/>
        <w:jc w:val="left"/>
      </w:pPr>
      <w:r>
        <w:rPr>
          <w:rFonts w:ascii="仿宋_GB2312" w:hAnsi="仿宋_GB2312" w:cs="仿宋_GB2312" w:eastAsia="仿宋_GB2312"/>
        </w:rPr>
        <w:t>二、询价小组采纳代理机构书面建议的，应当按照规定现场通过交易系统修改评审结果或者重新评审，并在询价报告中详细记载有关事宜；不采纳代理机构书面建议的，应当书面说明理由。代理机构书面建议未被询价小组采纳的，应当按照规定程序要求继续组织实施采购活动，不得擅自中止采购活动。代理机构认为询价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三、代理机构复核过程中，询价小组成员不得离开评审现场。</w:t>
      </w:r>
    </w:p>
    <w:p>
      <w:pPr>
        <w:pStyle w:val="null3"/>
        <w:ind w:firstLine="480"/>
        <w:jc w:val="left"/>
      </w:pPr>
      <w:r>
        <w:rPr>
          <w:rFonts w:ascii="仿宋_GB2312" w:hAnsi="仿宋_GB2312" w:cs="仿宋_GB2312" w:eastAsia="仿宋_GB2312"/>
        </w:rPr>
        <w:t>四、除资格审查认定错误和价格计算错误外，采购人或者代理机构不得以任何理由组织重新评审。代理机构发现询价小组未按照询价通知书规定的评定成交的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4.3.8.推荐成交候选供应商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按供应商响应报价从低到高顺序排列，响应文件满足询价通知书全部实质性要求且响应报价最低的供应商为排名第一的成交候选供应商。响应报价相同的，按供应商提供的经评审认定有效的优先采购产品认证证书数量由多到少顺序排列；响应报价且提供的经评审认定有效的优先采购产品认证证书数量相同的并列。供应商响应的产品同时具有节能产品认证证书、环境标志产品认证证书的，按认定有效的节能产品认证证书、环境标志产品认证证书数量累计计算。成交供应商并列的，由询价小组根据询价通知书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对响应报价进行评审前，对提供相同品牌产品的不同供应商参加同一合同项下响应的，以其中通过资格审查、符合性审查且报价最低的供应商参加评审（任意一个核心产品是相同品牌时视为提供相同品牌产品的供应商）；报价相同的，由采购人或者采购人委托询价小组按照随机抽取方式确定一名供应商参加评审，其他作无效响应处理。未被推荐为成交候选供应商的供应商不再递补为成交候选供应商。</w:t>
      </w:r>
    </w:p>
    <w:p>
      <w:pPr>
        <w:pStyle w:val="null3"/>
        <w:jc w:val="left"/>
        <w:outlineLvl w:val="3"/>
      </w:pPr>
      <w:r>
        <w:rPr>
          <w:rFonts w:ascii="仿宋_GB2312" w:hAnsi="仿宋_GB2312" w:cs="仿宋_GB2312" w:eastAsia="仿宋_GB2312"/>
          <w:sz w:val="24"/>
          <w:b/>
        </w:rPr>
        <w:t>4.3.9.出具询价报告</w:t>
      </w:r>
    </w:p>
    <w:p>
      <w:pPr>
        <w:pStyle w:val="null3"/>
        <w:ind w:firstLine="480"/>
        <w:jc w:val="left"/>
      </w:pPr>
      <w:r>
        <w:rPr>
          <w:rFonts w:ascii="仿宋_GB2312" w:hAnsi="仿宋_GB2312" w:cs="仿宋_GB2312" w:eastAsia="仿宋_GB2312"/>
        </w:rPr>
        <w:t>询价小组推荐成交候选供应商后，应向代理机构出具询价报告。询价报告应当包括以下主要内容：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二、响应文件开启日期和地点，询价小组成员名单；</w:t>
      </w:r>
    </w:p>
    <w:p>
      <w:pPr>
        <w:pStyle w:val="null3"/>
        <w:ind w:firstLine="480"/>
        <w:jc w:val="left"/>
      </w:pPr>
      <w:r>
        <w:rPr>
          <w:rFonts w:ascii="仿宋_GB2312" w:hAnsi="仿宋_GB2312" w:cs="仿宋_GB2312" w:eastAsia="仿宋_GB2312"/>
        </w:rPr>
        <w:t>三、提交报价的供应商名单及报价情况，获取询价通知书但未提交报价的供应商名单；</w:t>
      </w:r>
    </w:p>
    <w:p>
      <w:pPr>
        <w:pStyle w:val="null3"/>
        <w:ind w:firstLine="480"/>
        <w:jc w:val="left"/>
      </w:pPr>
      <w:r>
        <w:rPr>
          <w:rFonts w:ascii="仿宋_GB2312" w:hAnsi="仿宋_GB2312" w:cs="仿宋_GB2312" w:eastAsia="仿宋_GB2312"/>
        </w:rPr>
        <w:t>四、评审情况记录和说明，包括对供应商的资格审查情况、供应商响应文件评审情况、询价采购活动情况、报价情况等；</w:t>
      </w:r>
    </w:p>
    <w:p>
      <w:pPr>
        <w:pStyle w:val="null3"/>
        <w:ind w:firstLine="480"/>
        <w:jc w:val="left"/>
      </w:pPr>
      <w:r>
        <w:rPr>
          <w:rFonts w:ascii="仿宋_GB2312" w:hAnsi="仿宋_GB2312" w:cs="仿宋_GB2312" w:eastAsia="仿宋_GB2312"/>
        </w:rPr>
        <w:t>五、推荐的成交候选供应商的排序名单及理由。</w:t>
      </w:r>
    </w:p>
    <w:p>
      <w:pPr>
        <w:pStyle w:val="null3"/>
        <w:ind w:firstLine="480"/>
        <w:jc w:val="left"/>
      </w:pPr>
      <w:r>
        <w:rPr>
          <w:rFonts w:ascii="仿宋_GB2312" w:hAnsi="仿宋_GB2312" w:cs="仿宋_GB2312" w:eastAsia="仿宋_GB2312"/>
        </w:rPr>
        <w:t>评审结果经代理机构核对无误后，询价小组成员应当在询价报告中签字或加盖电子印章确认。询价报告签署前，询价小组成员可以对已评环节的评审意见进行修改调整，并在询价报告中进行记录。询价报告签署后，评审意见生效，除符合政府采购法律制度规定情形外，任何单位和个人不得擅自改变评审结果。询价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4.3.10.询价争议处理规则</w:t>
      </w:r>
    </w:p>
    <w:p>
      <w:pPr>
        <w:pStyle w:val="null3"/>
        <w:ind w:firstLine="480"/>
        <w:jc w:val="left"/>
      </w:pPr>
      <w:r>
        <w:rPr>
          <w:rFonts w:ascii="仿宋_GB2312" w:hAnsi="仿宋_GB2312" w:cs="仿宋_GB2312" w:eastAsia="仿宋_GB2312"/>
        </w:rPr>
        <w:t>询价小组在询价过程中，对于资格审查、符合性审查、对供应商响应文件作无效处理及其他需要共同认定的事项存在争议的，应当以少数服从多数的原则作出结论，但不得违反法律法规和询价通知书规定。持不同意见的询价小组成员应当在询价报告上明确不同意见及理由，否则视同无意见。持不同意见的询价小组成员认为认定过程和结果不符合法律法规或者询价通知书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4.4.评审方法、细则及标准</w:t>
      </w:r>
    </w:p>
    <w:p>
      <w:pPr>
        <w:pStyle w:val="null3"/>
        <w:jc w:val="left"/>
      </w:pPr>
      <w:r>
        <w:rPr>
          <w:rFonts w:ascii="仿宋_GB2312" w:hAnsi="仿宋_GB2312" w:cs="仿宋_GB2312" w:eastAsia="仿宋_GB2312"/>
          <w:b/>
        </w:rPr>
        <w:t>4.4.1.评审方法</w:t>
      </w:r>
    </w:p>
    <w:p>
      <w:pPr>
        <w:pStyle w:val="null3"/>
        <w:ind w:firstLine="480"/>
        <w:jc w:val="left"/>
      </w:pPr>
      <w:r>
        <w:rPr>
          <w:rFonts w:ascii="仿宋_GB2312" w:hAnsi="仿宋_GB2312" w:cs="仿宋_GB2312" w:eastAsia="仿宋_GB2312"/>
        </w:rPr>
        <w:t>最低评标价法，是指响应文件满足询价通知书全部实质性要求且响应报价最低的供应商为成交候选供应商的评审方法。</w:t>
      </w:r>
    </w:p>
    <w:p>
      <w:pPr>
        <w:pStyle w:val="null3"/>
        <w:jc w:val="left"/>
      </w:pPr>
      <w:r>
        <w:rPr>
          <w:rFonts w:ascii="仿宋_GB2312" w:hAnsi="仿宋_GB2312" w:cs="仿宋_GB2312" w:eastAsia="仿宋_GB2312"/>
          <w:b/>
        </w:rPr>
        <w:t>4.4.2.评审细则及标准</w:t>
      </w:r>
    </w:p>
    <w:p>
      <w:pPr>
        <w:pStyle w:val="null3"/>
        <w:jc w:val="left"/>
      </w:pPr>
      <w:r>
        <w:rPr>
          <w:rFonts w:ascii="仿宋_GB2312" w:hAnsi="仿宋_GB2312" w:cs="仿宋_GB2312" w:eastAsia="仿宋_GB2312"/>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扣除比例%（以“C1”表示）</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b/>
              </w:rPr>
              <w:t xml:space="preserve"> 关联响应文件格式文本</w:t>
            </w:r>
          </w:p>
        </w:tc>
      </w:tr>
      <w:tr>
        <w:tc>
          <w:tcPr>
            <w:tcW w:type="dxa" w:w="581"/>
          </w:tcPr>
          <w:p>
            <w:pPr>
              <w:pStyle w:val="null3"/>
              <w:jc w:val="left"/>
            </w:pPr>
            <w:r>
              <w:rPr>
                <w:rFonts w:ascii="仿宋_GB2312" w:hAnsi="仿宋_GB2312" w:cs="仿宋_GB2312" w:eastAsia="仿宋_GB2312"/>
              </w:rPr>
              <w:t>1</w:t>
            </w:r>
          </w:p>
        </w:tc>
        <w:tc>
          <w:tcPr>
            <w:tcW w:type="dxa" w:w="1661"/>
          </w:tcPr>
          <w:p>
            <w:pPr>
              <w:pStyle w:val="null3"/>
              <w:jc w:val="left"/>
            </w:pPr>
            <w:r>
              <w:rPr>
                <w:rFonts w:ascii="仿宋_GB2312" w:hAnsi="仿宋_GB2312" w:cs="仿宋_GB2312" w:eastAsia="仿宋_GB2312"/>
              </w:rPr>
              <w:t>落实支持中小企业发展政策</w:t>
            </w:r>
          </w:p>
        </w:tc>
        <w:tc>
          <w:tcPr>
            <w:tcW w:type="dxa" w:w="1661"/>
          </w:tcPr>
          <w:p>
            <w:pPr>
              <w:pStyle w:val="null3"/>
              <w:jc w:val="left"/>
            </w:pPr>
            <w:r>
              <w:rPr>
                <w:rFonts w:ascii="仿宋_GB2312" w:hAnsi="仿宋_GB2312" w:cs="仿宋_GB2312" w:eastAsia="仿宋_GB2312"/>
              </w:rPr>
              <w:t>符合《政府采购促进中小企业发展管理办法》（财库〔2020〕46号）规定的小微企业报价给予扣除，用扣除后的价格参加评审。</w:t>
            </w:r>
          </w:p>
        </w:tc>
        <w:tc>
          <w:tcPr>
            <w:tcW w:type="dxa" w:w="831"/>
          </w:tcPr>
          <w:p>
            <w:pPr>
              <w:pStyle w:val="null3"/>
              <w:jc w:val="right"/>
            </w:pPr>
            <w:r>
              <w:rPr>
                <w:rFonts w:ascii="仿宋_GB2312" w:hAnsi="仿宋_GB2312" w:cs="仿宋_GB2312" w:eastAsia="仿宋_GB2312"/>
              </w:rPr>
              <w:t>20.00%</w:t>
            </w:r>
          </w:p>
        </w:tc>
        <w:tc>
          <w:tcPr>
            <w:tcW w:type="dxa" w:w="1661"/>
          </w:tcPr>
          <w:p>
            <w:pPr>
              <w:pStyle w:val="null3"/>
              <w:jc w:val="left"/>
            </w:pPr>
            <w:r>
              <w:rPr>
                <w:rFonts w:ascii="仿宋_GB2312" w:hAnsi="仿宋_GB2312" w:cs="仿宋_GB2312" w:eastAsia="仿宋_GB2312"/>
              </w:rPr>
              <w:t>价格扣除计算公式：评标价=投标报价×（1-C1）；监狱企业与残疾人福利性单位视同小型、微型企业，享受同等价格扣除，当企业属性重复时，不重复价格扣除。注：价格扣除比例满足《政府采购促进中小企业发展管理办法》（财库〔2020〕46号）及《关于进一步加大政府采购支持中小企业力度的通知》（财库〔2022〕19号）要求。</w:t>
            </w:r>
          </w:p>
        </w:tc>
        <w:tc>
          <w:tcPr>
            <w:tcW w:type="dxa" w:w="1910"/>
          </w:tcPr>
          <w:p>
            <w:pPr>
              <w:pStyle w:val="null3"/>
              <w:jc w:val="left"/>
            </w:pPr>
            <w:r>
              <w:rPr>
                <w:rFonts w:ascii="仿宋_GB2312" w:hAnsi="仿宋_GB2312" w:cs="仿宋_GB2312" w:eastAsia="仿宋_GB2312"/>
              </w:rPr>
              <w:t>中小企业声明函,残疾人福利性单位声明函,供应商应提交的相关证明材料,监狱企业的证明文件</w:t>
            </w:r>
          </w:p>
        </w:tc>
      </w:tr>
    </w:tbl>
    <w:p>
      <w:pPr>
        <w:pStyle w:val="null3"/>
        <w:jc w:val="left"/>
      </w:pPr>
      <w:r>
        <w:rPr>
          <w:rFonts w:ascii="仿宋_GB2312" w:hAnsi="仿宋_GB2312" w:cs="仿宋_GB2312" w:eastAsia="仿宋_GB2312"/>
          <w:b/>
        </w:rPr>
        <w:t>价格评审</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价格评审条款</w:t>
      </w:r>
    </w:p>
    <w:tbl>
      <w:tblPr>
        <w:tblW w:w="0" w:type="auto"/>
        <w:tblBorders>
          <w:top w:val="single"/>
          <w:left w:val="single"/>
          <w:bottom w:val="single"/>
          <w:right w:val="single"/>
          <w:insideH w:val="single"/>
          <w:insideV w:val="single"/>
        </w:tblBorders>
      </w:tblPr>
      <w:tblGrid>
        <w:gridCol w:w="646"/>
        <w:gridCol w:w="1846"/>
        <w:gridCol w:w="923"/>
        <w:gridCol w:w="2769"/>
        <w:gridCol w:w="2123"/>
      </w:tblGrid>
      <w:tr>
        <w:tc>
          <w:tcPr>
            <w:tcW w:type="dxa" w:w="646"/>
          </w:tcPr>
          <w:p>
            <w:pPr>
              <w:pStyle w:val="null3"/>
              <w:jc w:val="center"/>
            </w:pPr>
            <w:r>
              <w:rPr>
                <w:rFonts w:ascii="仿宋_GB2312" w:hAnsi="仿宋_GB2312" w:cs="仿宋_GB2312" w:eastAsia="仿宋_GB2312"/>
              </w:rPr>
              <w:t xml:space="preserve"> 序号</w:t>
            </w:r>
          </w:p>
        </w:tc>
        <w:tc>
          <w:tcPr>
            <w:tcW w:type="dxa" w:w="1846"/>
          </w:tcPr>
          <w:p>
            <w:pPr>
              <w:pStyle w:val="null3"/>
              <w:jc w:val="center"/>
            </w:pPr>
            <w:r>
              <w:rPr>
                <w:rFonts w:ascii="仿宋_GB2312" w:hAnsi="仿宋_GB2312" w:cs="仿宋_GB2312" w:eastAsia="仿宋_GB2312"/>
              </w:rPr>
              <w:t xml:space="preserve"> 评审因素</w:t>
            </w:r>
          </w:p>
        </w:tc>
        <w:tc>
          <w:tcPr>
            <w:tcW w:type="dxa" w:w="923"/>
          </w:tcPr>
          <w:p>
            <w:pPr>
              <w:pStyle w:val="null3"/>
              <w:jc w:val="center"/>
            </w:pPr>
            <w:r>
              <w:rPr>
                <w:rFonts w:ascii="仿宋_GB2312" w:hAnsi="仿宋_GB2312" w:cs="仿宋_GB2312" w:eastAsia="仿宋_GB2312"/>
              </w:rPr>
              <w:t xml:space="preserve"> 评审价格权重</w:t>
            </w:r>
          </w:p>
        </w:tc>
        <w:tc>
          <w:tcPr>
            <w:tcW w:type="dxa" w:w="2769"/>
          </w:tcPr>
          <w:p>
            <w:pPr>
              <w:pStyle w:val="null3"/>
              <w:jc w:val="center"/>
            </w:pPr>
            <w:r>
              <w:rPr>
                <w:rFonts w:ascii="仿宋_GB2312" w:hAnsi="仿宋_GB2312" w:cs="仿宋_GB2312" w:eastAsia="仿宋_GB2312"/>
              </w:rPr>
              <w:t xml:space="preserve"> 具体标准和要求</w:t>
            </w:r>
          </w:p>
        </w:tc>
        <w:tc>
          <w:tcPr>
            <w:tcW w:type="dxa" w:w="2123"/>
          </w:tcPr>
          <w:p>
            <w:pPr>
              <w:pStyle w:val="null3"/>
              <w:jc w:val="center"/>
            </w:pPr>
            <w:r>
              <w:rPr>
                <w:rFonts w:ascii="仿宋_GB2312" w:hAnsi="仿宋_GB2312" w:cs="仿宋_GB2312" w:eastAsia="仿宋_GB2312"/>
                <w:b/>
              </w:rPr>
              <w:t xml:space="preserve"> 关联响应文件格式文本</w:t>
            </w:r>
          </w:p>
        </w:tc>
      </w:tr>
      <w:tr>
        <w:tc>
          <w:tcPr>
            <w:tcW w:type="dxa" w:w="646"/>
          </w:tcPr>
          <w:p>
            <w:pPr>
              <w:pStyle w:val="null3"/>
              <w:jc w:val="left"/>
            </w:pPr>
            <w:r>
              <w:rPr>
                <w:rFonts w:ascii="仿宋_GB2312" w:hAnsi="仿宋_GB2312" w:cs="仿宋_GB2312" w:eastAsia="仿宋_GB2312"/>
              </w:rPr>
              <w:t>1</w:t>
            </w:r>
          </w:p>
        </w:tc>
        <w:tc>
          <w:tcPr>
            <w:tcW w:type="dxa" w:w="1846"/>
          </w:tcPr>
          <w:p>
            <w:pPr>
              <w:pStyle w:val="null3"/>
              <w:jc w:val="left"/>
            </w:pPr>
            <w:r>
              <w:rPr>
                <w:rFonts w:ascii="仿宋_GB2312" w:hAnsi="仿宋_GB2312" w:cs="仿宋_GB2312" w:eastAsia="仿宋_GB2312"/>
              </w:rPr>
              <w:t>合计</w:t>
            </w:r>
          </w:p>
        </w:tc>
        <w:tc>
          <w:tcPr>
            <w:tcW w:type="dxa" w:w="923"/>
          </w:tcPr>
          <w:p>
            <w:pPr>
              <w:pStyle w:val="null3"/>
              <w:jc w:val="right"/>
            </w:pPr>
            <w:r>
              <w:rPr>
                <w:rFonts w:ascii="仿宋_GB2312" w:hAnsi="仿宋_GB2312" w:cs="仿宋_GB2312" w:eastAsia="仿宋_GB2312"/>
              </w:rPr>
              <w:t>100.00%</w:t>
            </w:r>
          </w:p>
        </w:tc>
        <w:tc>
          <w:tcPr>
            <w:tcW w:type="dxa" w:w="2769"/>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评审系数。评审价格=响应报价。经价格调整后的评审价格=响应报价×（1-价格调整比例）基准价=经价格调整后评审价格的最低值。</w:t>
            </w:r>
          </w:p>
        </w:tc>
        <w:tc>
          <w:tcPr>
            <w:tcW w:type="dxa" w:w="2123"/>
          </w:tcPr>
          <w:p>
            <w:pPr>
              <w:pStyle w:val="null3"/>
              <w:jc w:val="left"/>
            </w:pPr>
            <w:r>
              <w:rPr>
                <w:rFonts w:ascii="仿宋_GB2312" w:hAnsi="仿宋_GB2312" w:cs="仿宋_GB2312" w:eastAsia="仿宋_GB2312"/>
              </w:rPr>
              <w:t>产品技术参数响应表,报价表,服务应答表</w:t>
            </w:r>
          </w:p>
        </w:tc>
      </w:tr>
    </w:tbl>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 xml:space="preserve"> 具体标准和要求</w:t>
            </w:r>
          </w:p>
        </w:tc>
        <w:tc>
          <w:tcPr>
            <w:tcW w:type="dxa" w:w="2955"/>
          </w:tcPr>
          <w:p>
            <w:pPr>
              <w:pStyle w:val="null3"/>
              <w:jc w:val="center"/>
            </w:pPr>
            <w:r>
              <w:rPr>
                <w:rFonts w:ascii="仿宋_GB2312" w:hAnsi="仿宋_GB2312" w:cs="仿宋_GB2312" w:eastAsia="仿宋_GB2312"/>
                <w:b/>
              </w:rPr>
              <w:t xml:space="preserve"> 关联响应文件格式文本</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4.5.终止采购活动</w:t>
      </w:r>
    </w:p>
    <w:p>
      <w:pPr>
        <w:pStyle w:val="null3"/>
        <w:ind w:firstLine="480"/>
        <w:jc w:val="left"/>
      </w:pPr>
      <w:r>
        <w:rPr>
          <w:rFonts w:ascii="仿宋_GB2312" w:hAnsi="仿宋_GB2312" w:cs="仿宋_GB2312" w:eastAsia="仿宋_GB2312"/>
        </w:rPr>
        <w:t>出现下列情形之一的，采购人或者代理机构应当终止询价采购活动，发布项目终止公告并说明原因，重新开展采购活动：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一、因情况变化，不再符合规定的询价采购方式适用情形的；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三、在采购过程中符合竞争要求的供应商或者报价未超过采购预算的供应商不足3家。</w:t>
      </w:r>
    </w:p>
    <w:p>
      <w:pPr>
        <w:pStyle w:val="null3"/>
        <w:jc w:val="left"/>
        <w:outlineLvl w:val="2"/>
      </w:pPr>
      <w:r>
        <w:rPr>
          <w:rFonts w:ascii="仿宋_GB2312" w:hAnsi="仿宋_GB2312" w:cs="仿宋_GB2312" w:eastAsia="仿宋_GB2312"/>
          <w:sz w:val="28"/>
          <w:b/>
        </w:rPr>
        <w:t>4.6.确定成交供应商</w:t>
      </w:r>
    </w:p>
    <w:p>
      <w:pPr>
        <w:pStyle w:val="null3"/>
        <w:ind w:firstLine="480"/>
        <w:jc w:val="left"/>
      </w:pPr>
      <w:r>
        <w:rPr>
          <w:rFonts w:ascii="仿宋_GB2312" w:hAnsi="仿宋_GB2312" w:cs="仿宋_GB2312" w:eastAsia="仿宋_GB2312"/>
        </w:rPr>
        <w:t xml:space="preserve"> 本项目授权询价小组在询价报告确定的成交候选供应商名单中按顺序直接确定1名成交供应商。采购人或者代理机构应当自成交供应商确定之日起2个工作日内，在四川政府采购网公告成交结果，询价通知书应当随成交结果同时公告。</w:t>
      </w:r>
    </w:p>
    <w:p>
      <w:pPr>
        <w:pStyle w:val="null3"/>
        <w:jc w:val="left"/>
        <w:outlineLvl w:val="2"/>
      </w:pPr>
      <w:r>
        <w:rPr>
          <w:rFonts w:ascii="仿宋_GB2312" w:hAnsi="仿宋_GB2312" w:cs="仿宋_GB2312" w:eastAsia="仿宋_GB2312"/>
          <w:sz w:val="28"/>
          <w:b/>
        </w:rPr>
        <w:t>4.7.询价小组义务</w:t>
      </w:r>
    </w:p>
    <w:p>
      <w:pPr>
        <w:pStyle w:val="null3"/>
        <w:ind w:firstLine="480"/>
        <w:jc w:val="left"/>
      </w:pPr>
      <w:r>
        <w:rPr>
          <w:rFonts w:ascii="仿宋_GB2312" w:hAnsi="仿宋_GB2312" w:cs="仿宋_GB2312" w:eastAsia="仿宋_GB2312"/>
        </w:rPr>
        <w:t>询价小组在政府采购活动中应当履行下列义务：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二、按照客观、公正、审慎的原则，根据询价通知书规定的评审程序、评审方法和评审标准进行独立评审；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五、发现询价通知书内容违反国家有关强制性规定或者存在歧义、重大缺陷导致评审工作无法进行时，停止评审并通过交易系统向代理机构书面说明情况，说明停止评审的情形和具体理由；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4.8.询价小组成员工作纪律</w:t>
      </w:r>
    </w:p>
    <w:p>
      <w:pPr>
        <w:pStyle w:val="null3"/>
        <w:ind w:firstLine="480"/>
        <w:jc w:val="left"/>
      </w:pPr>
      <w:r>
        <w:rPr>
          <w:rFonts w:ascii="仿宋_GB2312" w:hAnsi="仿宋_GB2312" w:cs="仿宋_GB2312" w:eastAsia="仿宋_GB2312"/>
        </w:rPr>
        <w:t>询价小组成员在政府采购活动中应当遵守下列工作纪律：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一、严格遵守政府采购法律制度关于询价小组成员回避的规定。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询价通知书确定的评审程序、评审方法、评审因素和评审标准，不得接受供应商主动提出的澄清和解释，不得征询采购人代表的意见，不得违反规定的评审格式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详见附件：产品技术参数响应表</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拟签订的合同文本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 xml:space="preserve"> 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签订时间：</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rPr>
        <w:t xml:space="preserve"> </w:t>
      </w:r>
    </w:p>
    <w:p>
      <w:pPr>
        <w:pStyle w:val="null3"/>
        <w:jc w:val="center"/>
        <w:outlineLvl w:val="1"/>
      </w:pPr>
      <w:r>
        <w:rPr>
          <w:rFonts w:ascii="仿宋_GB2312" w:hAnsi="仿宋_GB2312" w:cs="仿宋_GB2312" w:eastAsia="仿宋_GB2312"/>
          <w:sz w:val="36"/>
          <w:b/>
        </w:rPr>
        <w:t>使用说明</w:t>
      </w:r>
    </w:p>
    <w:p>
      <w:pPr>
        <w:pStyle w:val="null3"/>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1.6.1中标（成交）采购标的制造商是否为中小企业：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1.6.4中标（成交）采购标的制造商是否为残疾人福利性单位：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1.6.5中标（成交）采购标的制造商是否为监狱企业：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p>
      <w:pPr>
        <w:pStyle w:val="null3"/>
        <w:jc w:val="left"/>
      </w:pPr>
      <w:r>
        <w:rPr>
          <w:rFonts w:ascii="仿宋_GB2312" w:hAnsi="仿宋_GB2312" w:cs="仿宋_GB2312" w:eastAsia="仿宋_GB2312"/>
        </w:rPr>
        <w:t>采购标的及数量（台/套/个/架/组等）：</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 xml:space="preserve"> 品牌： </w:t>
      </w:r>
      <w:r>
        <w:rPr>
          <w:rFonts w:ascii="仿宋_GB2312" w:hAnsi="仿宋_GB2312" w:cs="仿宋_GB2312" w:eastAsia="仿宋_GB2312"/>
        </w:rPr>
        <w:t>___________________</w:t>
      </w:r>
      <w:r>
        <w:rPr>
          <w:rFonts w:ascii="仿宋_GB2312" w:hAnsi="仿宋_GB2312" w:cs="仿宋_GB2312" w:eastAsia="仿宋_GB2312"/>
        </w:rPr>
        <w:t xml:space="preserve"> 规格型号：</w:t>
      </w:r>
      <w:r>
        <w:rPr>
          <w:rFonts w:ascii="仿宋_GB2312" w:hAnsi="仿宋_GB2312" w:cs="仿宋_GB2312" w:eastAsia="仿宋_GB2312"/>
        </w:rPr>
        <w:t>___________________</w:t>
      </w:r>
    </w:p>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涉及采购新能源汽车：</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采购品目名称</w:t>
            </w:r>
          </w:p>
        </w:tc>
        <w:tc>
          <w:tcPr>
            <w:tcW w:type="dxa" w:w="2076"/>
          </w:tcPr>
          <w:p>
            <w:pPr>
              <w:pStyle w:val="null3"/>
              <w:jc w:val="left"/>
            </w:pPr>
            <w:r>
              <w:rPr>
                <w:rFonts w:ascii="仿宋_GB2312" w:hAnsi="仿宋_GB2312" w:cs="仿宋_GB2312" w:eastAsia="仿宋_GB2312"/>
              </w:rPr>
              <w:t>数量</w:t>
            </w:r>
          </w:p>
        </w:tc>
        <w:tc>
          <w:tcPr>
            <w:tcW w:type="dxa" w:w="2076"/>
          </w:tcPr>
          <w:p>
            <w:pPr>
              <w:pStyle w:val="null3"/>
              <w:jc w:val="left"/>
            </w:pPr>
            <w:r>
              <w:rPr>
                <w:rFonts w:ascii="仿宋_GB2312" w:hAnsi="仿宋_GB2312" w:cs="仿宋_GB2312" w:eastAsia="仿宋_GB2312"/>
              </w:rPr>
              <w:t>金额</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2076"/>
        <w:gridCol w:w="2076"/>
        <w:gridCol w:w="2076"/>
        <w:gridCol w:w="2076"/>
      </w:tblGrid>
      <w:tr>
        <w:tc>
          <w:tcPr>
            <w:tcW w:type="dxa" w:w="2076"/>
          </w:tcPr>
          <w:p>
            <w:pPr>
              <w:pStyle w:val="null3"/>
              <w:jc w:val="center"/>
            </w:pPr>
            <w:r>
              <w:rPr>
                <w:rFonts w:ascii="仿宋_GB2312" w:hAnsi="仿宋_GB2312" w:cs="仿宋_GB2312" w:eastAsia="仿宋_GB2312"/>
              </w:rPr>
              <w:t>序号</w:t>
            </w:r>
          </w:p>
        </w:tc>
        <w:tc>
          <w:tcPr>
            <w:tcW w:type="dxa" w:w="2076"/>
          </w:tcPr>
          <w:p>
            <w:pPr>
              <w:pStyle w:val="null3"/>
              <w:jc w:val="left"/>
            </w:pPr>
            <w:r>
              <w:rPr>
                <w:rFonts w:ascii="仿宋_GB2312" w:hAnsi="仿宋_GB2312" w:cs="仿宋_GB2312" w:eastAsia="仿宋_GB2312"/>
              </w:rPr>
              <w:t>分包主要内容</w:t>
            </w:r>
          </w:p>
        </w:tc>
        <w:tc>
          <w:tcPr>
            <w:tcW w:type="dxa" w:w="2076"/>
          </w:tcPr>
          <w:p>
            <w:pPr>
              <w:pStyle w:val="null3"/>
              <w:jc w:val="left"/>
            </w:pPr>
            <w:r>
              <w:rPr>
                <w:rFonts w:ascii="仿宋_GB2312" w:hAnsi="仿宋_GB2312" w:cs="仿宋_GB2312" w:eastAsia="仿宋_GB2312"/>
              </w:rPr>
              <w:t>分包供应商/制造商名称</w:t>
            </w:r>
          </w:p>
        </w:tc>
        <w:tc>
          <w:tcPr>
            <w:tcW w:type="dxa" w:w="2076"/>
          </w:tcPr>
          <w:p>
            <w:pPr>
              <w:pStyle w:val="null3"/>
              <w:jc w:val="left"/>
            </w:pPr>
            <w:r>
              <w:rPr>
                <w:rFonts w:ascii="仿宋_GB2312" w:hAnsi="仿宋_GB2312" w:cs="仿宋_GB2312" w:eastAsia="仿宋_GB2312"/>
              </w:rPr>
              <w:t>分包供应商/制造商类型</w:t>
            </w:r>
          </w:p>
        </w:tc>
      </w:tr>
      <w:tr>
        <w:tc>
          <w:tcPr>
            <w:tcW w:type="dxa" w:w="2076"/>
          </w:tcPr>
          <w:p/>
        </w:tc>
        <w:tc>
          <w:tcPr>
            <w:tcW w:type="dxa" w:w="2076"/>
          </w:tcPr>
          <w:p/>
        </w:tc>
        <w:tc>
          <w:tcPr>
            <w:tcW w:type="dxa" w:w="2076"/>
          </w:tcPr>
          <w:p/>
        </w:tc>
        <w:tc>
          <w:tcPr>
            <w:tcW w:type="dxa" w:w="2076"/>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涉及绿色产品：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二、货物要求</w:t>
      </w:r>
    </w:p>
    <w:p>
      <w:pPr>
        <w:pStyle w:val="null3"/>
        <w:jc w:val="left"/>
      </w:pPr>
      <w:r>
        <w:rPr>
          <w:rFonts w:ascii="仿宋_GB2312" w:hAnsi="仿宋_GB2312" w:cs="仿宋_GB2312" w:eastAsia="仿宋_GB2312"/>
        </w:rPr>
        <w:t>2.1.质量要求</w:t>
      </w:r>
    </w:p>
    <w:p>
      <w:pPr>
        <w:pStyle w:val="null3"/>
        <w:jc w:val="left"/>
      </w:pPr>
      <w:r>
        <w:rPr>
          <w:rFonts w:ascii="仿宋_GB2312" w:hAnsi="仿宋_GB2312" w:cs="仿宋_GB2312" w:eastAsia="仿宋_GB2312"/>
        </w:rPr>
        <w:t>2.1.1乙方所提供的货物应符合合同约定的品牌、规格型号、技术性能、配置、质量、数量等要求。质量要求不明确的，按照强制性国家标准履行；没有强制性国家标准的，按照推荐性国家标准履行；没有推荐性国家标准的，按照行业标准履行；没有国家标准、行业标准的，按照通常标准或者符合合同目的的特定标准履行。</w:t>
      </w:r>
    </w:p>
    <w:p>
      <w:pPr>
        <w:pStyle w:val="null3"/>
        <w:jc w:val="left"/>
      </w:pPr>
      <w:r>
        <w:rPr>
          <w:rFonts w:ascii="仿宋_GB2312" w:hAnsi="仿宋_GB2312" w:cs="仿宋_GB2312" w:eastAsia="仿宋_GB2312"/>
        </w:rPr>
        <w:t>2.1.2乙方所提供的所有货物、辅材中属于《国家强制性货物认证目录》范围内货物的，均通过国家强制性货物认证并取得认证证书。</w:t>
      </w:r>
    </w:p>
    <w:p>
      <w:pPr>
        <w:pStyle w:val="null3"/>
        <w:jc w:val="left"/>
      </w:pPr>
      <w:r>
        <w:rPr>
          <w:rFonts w:ascii="仿宋_GB2312" w:hAnsi="仿宋_GB2312" w:cs="仿宋_GB2312" w:eastAsia="仿宋_GB2312"/>
        </w:rPr>
        <w:t>2.1.3乙方所提供的货物应符合国家有关安全、环保、卫生的规定。</w:t>
      </w:r>
    </w:p>
    <w:p>
      <w:pPr>
        <w:pStyle w:val="null3"/>
        <w:jc w:val="left"/>
      </w:pPr>
      <w:r>
        <w:rPr>
          <w:rFonts w:ascii="仿宋_GB2312" w:hAnsi="仿宋_GB2312" w:cs="仿宋_GB2312" w:eastAsia="仿宋_GB2312"/>
        </w:rPr>
        <w:t>2.1.4乙方应向甲方提交所提供货物的技术文件，包括相应的中文技术文件，如：产品目录、图纸、操作手册、使用说明、维护手册或服务指南等。上述文件应包装好随货物一同发运。</w:t>
      </w:r>
    </w:p>
    <w:p>
      <w:pPr>
        <w:pStyle w:val="null3"/>
        <w:jc w:val="left"/>
      </w:pPr>
      <w:r>
        <w:rPr>
          <w:rFonts w:ascii="仿宋_GB2312" w:hAnsi="仿宋_GB2312" w:cs="仿宋_GB2312" w:eastAsia="仿宋_GB2312"/>
        </w:rPr>
        <w:t>2.2.包装方式及运输方式</w:t>
      </w:r>
    </w:p>
    <w:p>
      <w:pPr>
        <w:pStyle w:val="null3"/>
        <w:jc w:val="left"/>
      </w:pPr>
      <w:r>
        <w:rPr>
          <w:rFonts w:ascii="仿宋_GB2312" w:hAnsi="仿宋_GB2312" w:cs="仿宋_GB2312" w:eastAsia="仿宋_GB2312"/>
        </w:rPr>
        <w:t>涉及的商品包装和快递包装，均应符合《商品包装政府采购需求标准（试行）》《快递包装政府采购需求标准（试行）》的要求，包装应适应于远距离运输、防潮、防震、防锈和防野蛮装卸，以确保货物安全无损运抵指定地点。</w:t>
      </w:r>
    </w:p>
    <w:p>
      <w:pPr>
        <w:pStyle w:val="null3"/>
        <w:jc w:val="left"/>
      </w:pPr>
      <w:r>
        <w:rPr>
          <w:rFonts w:ascii="仿宋_GB2312" w:hAnsi="仿宋_GB2312" w:cs="仿宋_GB2312" w:eastAsia="仿宋_GB2312"/>
        </w:rPr>
        <w:t>2.3.质量保修范围和保修期</w:t>
      </w:r>
    </w:p>
    <w:p>
      <w:pPr>
        <w:pStyle w:val="null3"/>
        <w:jc w:val="left"/>
      </w:pPr>
      <w:r>
        <w:rPr>
          <w:rFonts w:ascii="仿宋_GB2312" w:hAnsi="仿宋_GB2312" w:cs="仿宋_GB2312" w:eastAsia="仿宋_GB2312"/>
        </w:rPr>
        <w:t>2.3.1乙方应保证提供的货物完全符合合同规定的质量、规格和性能要求。乙方应保证货物在正确安装、正常使用和保养条件下，在其使用寿命期内具备合同约定的性能。存在保修期的，货物最终交付验收合格后在采购文件规定的保修期或者乙方书面承诺（两者以较长的为准）的保修期内，本保证保持有效。</w:t>
      </w:r>
    </w:p>
    <w:p>
      <w:pPr>
        <w:pStyle w:val="null3"/>
        <w:jc w:val="left"/>
      </w:pPr>
      <w:r>
        <w:rPr>
          <w:rFonts w:ascii="仿宋_GB2312" w:hAnsi="仿宋_GB2312" w:cs="仿宋_GB2312" w:eastAsia="仿宋_GB2312"/>
        </w:rPr>
        <w:t>2.3.2在保修期内所发现的缺陷，甲方应尽快以书面形式通知乙方。</w:t>
      </w:r>
    </w:p>
    <w:p>
      <w:pPr>
        <w:pStyle w:val="null3"/>
        <w:jc w:val="left"/>
      </w:pPr>
      <w:r>
        <w:rPr>
          <w:rFonts w:ascii="仿宋_GB2312" w:hAnsi="仿宋_GB2312" w:cs="仿宋_GB2312" w:eastAsia="仿宋_GB2312"/>
        </w:rPr>
        <w:t>2.3.3乙方收到通知后，应在XX日内以合理的速度免费维修或更换有缺陷的货物或部件。</w:t>
      </w:r>
    </w:p>
    <w:p>
      <w:pPr>
        <w:pStyle w:val="null3"/>
        <w:jc w:val="left"/>
      </w:pPr>
      <w:r>
        <w:rPr>
          <w:rFonts w:ascii="仿宋_GB2312" w:hAnsi="仿宋_GB2312" w:cs="仿宋_GB2312" w:eastAsia="仿宋_GB2312"/>
        </w:rPr>
        <w:t>2.3.4在保修期内，如果货物的质量或规格与合同不符，或证实货物是有缺陷的，包括潜在的缺陷或使用不符合要求的材料等，甲方可以根据本合同第8.1条规定以书面形式追究乙方的违约责任。</w:t>
      </w:r>
    </w:p>
    <w:p>
      <w:pPr>
        <w:pStyle w:val="null3"/>
        <w:jc w:val="left"/>
      </w:pPr>
      <w:r>
        <w:rPr>
          <w:rFonts w:ascii="仿宋_GB2312" w:hAnsi="仿宋_GB2312" w:cs="仿宋_GB2312" w:eastAsia="仿宋_GB2312"/>
        </w:rPr>
        <w:t>2.3.5乙方在约定的时间内未能弥补缺陷，甲方可采取必要的补救措施，但其风险和费用将由乙方承担，甲方根据合同约定对乙方行使的其他权利不受影响。</w:t>
      </w:r>
    </w:p>
    <w:p>
      <w:pPr>
        <w:pStyle w:val="null3"/>
        <w:jc w:val="left"/>
      </w:pPr>
      <w:r>
        <w:rPr>
          <w:rFonts w:ascii="仿宋_GB2312" w:hAnsi="仿宋_GB2312" w:cs="仿宋_GB2312" w:eastAsia="仿宋_GB2312"/>
        </w:rPr>
        <w:t>2.4.其他要求</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元。 ）</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4.1交货时间：</w:t>
      </w:r>
      <w:r>
        <w:rPr>
          <w:rFonts w:ascii="仿宋_GB2312" w:hAnsi="仿宋_GB2312" w:cs="仿宋_GB2312" w:eastAsia="仿宋_GB2312"/>
        </w:rPr>
        <w:t>____________________</w:t>
      </w:r>
      <w:r>
        <w:rPr>
          <w:rFonts w:ascii="仿宋_GB2312" w:hAnsi="仿宋_GB2312" w:cs="仿宋_GB2312" w:eastAsia="仿宋_GB2312"/>
        </w:rPr>
        <w:t>，履约时间：</w:t>
      </w:r>
      <w:r>
        <w:rPr>
          <w:rFonts w:ascii="仿宋_GB2312" w:hAnsi="仿宋_GB2312" w:cs="仿宋_GB2312" w:eastAsia="仿宋_GB2312"/>
        </w:rPr>
        <w:t>-</w:t>
      </w:r>
    </w:p>
    <w:p>
      <w:pPr>
        <w:pStyle w:val="null3"/>
        <w:jc w:val="left"/>
      </w:pPr>
      <w:r>
        <w:rPr>
          <w:rFonts w:ascii="仿宋_GB2312" w:hAnsi="仿宋_GB2312" w:cs="仿宋_GB2312" w:eastAsia="仿宋_GB2312"/>
        </w:rPr>
        <w:t>4.2履约地点：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6.1.甲方有权依据双方签订的合同对乙方提供的货物进行验收。甲方应当配合乙方完成相关项目实施工作。甲方未在约定的期限内对乙方履约提出任何异议或者向乙方作出任何说明的，视为验收通过。</w:t>
      </w:r>
    </w:p>
    <w:p>
      <w:pPr>
        <w:pStyle w:val="null3"/>
        <w:jc w:val="left"/>
      </w:pPr>
      <w:r>
        <w:rPr>
          <w:rFonts w:ascii="仿宋_GB2312" w:hAnsi="仿宋_GB2312" w:cs="仿宋_GB2312" w:eastAsia="仿宋_GB2312"/>
        </w:rPr>
        <w:t>6.2.根据本合同规定，满足约定支付条件的，甲方应当自收到发票后10日内将资金支付到合同约定的供应商账户，不得以机构变动、人员更替、政策调整等为由延迟付款，不得将采购文件和合同中未规定的义务作为向供应商付款的条件。</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7.1.乙方有权根据本合同约定向甲方收取合同价款。</w:t>
      </w:r>
    </w:p>
    <w:p>
      <w:pPr>
        <w:pStyle w:val="null3"/>
        <w:jc w:val="left"/>
      </w:pPr>
      <w:r>
        <w:rPr>
          <w:rFonts w:ascii="仿宋_GB2312" w:hAnsi="仿宋_GB2312" w:cs="仿宋_GB2312" w:eastAsia="仿宋_GB2312"/>
        </w:rPr>
        <w:t>7.2.乙方应按照合同要求履约，充分合理安排，确保提供的货物及相关服务符合合同有关要求。接受项目行业管理部门及政府有关部门的指导，配合甲方的履约检查及验收，并负责项目实施过程中的所有协调工作。</w:t>
      </w:r>
    </w:p>
    <w:p>
      <w:pPr>
        <w:pStyle w:val="null3"/>
        <w:jc w:val="left"/>
      </w:pPr>
      <w:r>
        <w:rPr>
          <w:rFonts w:ascii="仿宋_GB2312" w:hAnsi="仿宋_GB2312" w:cs="仿宋_GB2312" w:eastAsia="仿宋_GB2312"/>
        </w:rPr>
        <w:t>7.3.乙方承诺遵守《中华人民共和国劳动合同法》有关规定和《中华人民共和国妇女权益保障法》中关于“劳动和社会保障权益”的有关要求。</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乙方提供的产品不符合合同约定的质量标准或存在产品质量缺陷，甲方有权要求乙方及时修理、重作、更换，并承担由此给甲方造成的损失。修理、重作、更换的具体要求为：XX。</w:t>
      </w:r>
    </w:p>
    <w:p>
      <w:pPr>
        <w:pStyle w:val="null3"/>
        <w:jc w:val="left"/>
      </w:pPr>
      <w:r>
        <w:rPr>
          <w:rFonts w:ascii="仿宋_GB2312" w:hAnsi="仿宋_GB2312" w:cs="仿宋_GB2312" w:eastAsia="仿宋_GB2312"/>
        </w:rPr>
        <w:t>8.2迟延交货的违约责任</w:t>
      </w:r>
    </w:p>
    <w:p>
      <w:pPr>
        <w:pStyle w:val="null3"/>
        <w:jc w:val="left"/>
      </w:pPr>
      <w:r>
        <w:rPr>
          <w:rFonts w:ascii="仿宋_GB2312" w:hAnsi="仿宋_GB2312" w:cs="仿宋_GB2312" w:eastAsia="仿宋_GB2312"/>
        </w:rPr>
        <w:t>8.2.1乙方应按照本合同规定的时间、地点交货和提供相关服务。在履行合同过程中，如果乙方遇到可能影响按时交货和提供服务的情形时，应及时以书面形式将迟延的事实、可能迟延的期限和理由通知甲方。甲方在收到乙方通知后，应尽快对情况进行评价，并确定是否同意延长交货时间或延期提供服务。</w:t>
      </w:r>
    </w:p>
    <w:p>
      <w:pPr>
        <w:pStyle w:val="null3"/>
        <w:jc w:val="left"/>
      </w:pPr>
      <w:r>
        <w:rPr>
          <w:rFonts w:ascii="仿宋_GB2312" w:hAnsi="仿宋_GB2312" w:cs="仿宋_GB2312" w:eastAsia="仿宋_GB2312"/>
        </w:rPr>
        <w:t>8.2.2如果乙方没有按照合同规定的时间交货和提供相关服务，甲方有权从货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乙方保证对其出售的货物享有合法的权利。乙方保证在交付的货物上不存在抵押权等担保物权。如甲方使用上述货物构成对第三人侵权的，则由乙方承担全部责任。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对其所销售的货物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11.6售后服务</w:t>
      </w:r>
    </w:p>
    <w:p>
      <w:pPr>
        <w:pStyle w:val="null3"/>
        <w:jc w:val="left"/>
      </w:pPr>
      <w:r>
        <w:rPr>
          <w:rFonts w:ascii="仿宋_GB2312" w:hAnsi="仿宋_GB2312" w:cs="仿宋_GB2312" w:eastAsia="仿宋_GB2312"/>
        </w:rPr>
        <w:t>除项目不涉及或采购活动中明确约定无须承担外，乙方还应提供下列服务：</w:t>
      </w:r>
    </w:p>
    <w:p>
      <w:pPr>
        <w:pStyle w:val="null3"/>
        <w:jc w:val="left"/>
      </w:pPr>
      <w:r>
        <w:rPr>
          <w:rFonts w:ascii="仿宋_GB2312" w:hAnsi="仿宋_GB2312" w:cs="仿宋_GB2312" w:eastAsia="仿宋_GB2312"/>
        </w:rPr>
        <w:t>（1）货物的现场移动、安装、调试、启动监督及技术支持；</w:t>
      </w:r>
    </w:p>
    <w:p>
      <w:pPr>
        <w:pStyle w:val="null3"/>
        <w:jc w:val="left"/>
      </w:pPr>
      <w:r>
        <w:rPr>
          <w:rFonts w:ascii="仿宋_GB2312" w:hAnsi="仿宋_GB2312" w:cs="仿宋_GB2312" w:eastAsia="仿宋_GB2312"/>
        </w:rPr>
        <w:t>（2）提供货物组装和维修所需的专用工具和辅助材料；</w:t>
      </w:r>
    </w:p>
    <w:p>
      <w:pPr>
        <w:pStyle w:val="null3"/>
        <w:jc w:val="left"/>
      </w:pPr>
      <w:r>
        <w:rPr>
          <w:rFonts w:ascii="仿宋_GB2312" w:hAnsi="仿宋_GB2312" w:cs="仿宋_GB2312" w:eastAsia="仿宋_GB2312"/>
        </w:rPr>
        <w:t>（3）在XX期限内对所有的货物实施运行监督、维修，但前提条件是该服务并不能免除乙方在质量保证期内所承担的义务；</w:t>
      </w:r>
    </w:p>
    <w:p>
      <w:pPr>
        <w:pStyle w:val="null3"/>
        <w:jc w:val="left"/>
      </w:pPr>
      <w:r>
        <w:rPr>
          <w:rFonts w:ascii="仿宋_GB2312" w:hAnsi="仿宋_GB2312" w:cs="仿宋_GB2312" w:eastAsia="仿宋_GB2312"/>
        </w:rPr>
        <w:t>（4）在制造商所在地或指定现场就货物的安装、启动、运营、维护、废弃处置等对甲方操作人员进行培训；</w:t>
      </w:r>
    </w:p>
    <w:p>
      <w:pPr>
        <w:pStyle w:val="null3"/>
        <w:jc w:val="left"/>
      </w:pPr>
      <w:r>
        <w:rPr>
          <w:rFonts w:ascii="仿宋_GB2312" w:hAnsi="仿宋_GB2312" w:cs="仿宋_GB2312" w:eastAsia="仿宋_GB2312"/>
        </w:rPr>
        <w:t>（5）依照法律、行政法规的规定或者因XX原因，货物在有效使用年限届满后应予回收的，乙方负有自行或者委托第三人对货物予以回收的义务；</w:t>
      </w:r>
    </w:p>
    <w:p>
      <w:pPr>
        <w:pStyle w:val="null3"/>
        <w:jc w:val="left"/>
      </w:pPr>
      <w:r>
        <w:rPr>
          <w:rFonts w:ascii="仿宋_GB2312" w:hAnsi="仿宋_GB2312" w:cs="仿宋_GB2312" w:eastAsia="仿宋_GB2312"/>
        </w:rPr>
        <w:t>乙方提供的售后服务的费用已包含在合同价款中，甲方不再另行支付。</w:t>
      </w:r>
    </w:p>
    <w:p>
      <w:pPr>
        <w:pStyle w:val="null3"/>
        <w:jc w:val="left"/>
      </w:pPr>
      <w:r>
        <w:rPr>
          <w:rFonts w:ascii="仿宋_GB2312" w:hAnsi="仿宋_GB2312" w:cs="仿宋_GB2312" w:eastAsia="仿宋_GB2312"/>
        </w:rPr>
        <w:t>11.7合同变更、中止与终止</w:t>
      </w:r>
    </w:p>
    <w:p>
      <w:pPr>
        <w:pStyle w:val="null3"/>
        <w:jc w:val="left"/>
      </w:pPr>
      <w:r>
        <w:rPr>
          <w:rFonts w:ascii="仿宋_GB2312" w:hAnsi="仿宋_GB2312" w:cs="仿宋_GB2312" w:eastAsia="仿宋_GB2312"/>
        </w:rPr>
        <w:t>11.7.1.合同的变更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政府采购合同履行中，在不改变合同其他条款的前提下，甲方可以在合同价款10%的范围内追加与合同标的相同的货物，并就此与乙方协商一致后签订补充协议。</w:t>
      </w:r>
    </w:p>
    <w:p>
      <w:pPr>
        <w:pStyle w:val="null3"/>
        <w:jc w:val="left"/>
      </w:pPr>
      <w:r>
        <w:rPr>
          <w:rFonts w:ascii="仿宋_GB2312" w:hAnsi="仿宋_GB2312" w:cs="仿宋_GB2312" w:eastAsia="仿宋_GB2312"/>
        </w:rPr>
        <w:t>11.7.2.合同的中止</w:t>
      </w:r>
    </w:p>
    <w:p>
      <w:pPr>
        <w:pStyle w:val="null3"/>
        <w:jc w:val="left"/>
      </w:pPr>
      <w:r>
        <w:rPr>
          <w:rFonts w:ascii="仿宋_GB2312" w:hAnsi="仿宋_GB2312" w:cs="仿宋_GB2312" w:eastAsia="仿宋_GB2312"/>
        </w:rPr>
        <w:t>11.7.2.1合同履行过程中因供应商就采购文件、采购过程或结果提起投诉的，甲方认为有必要的，可以中止合同的履行。</w:t>
      </w:r>
    </w:p>
    <w:p>
      <w:pPr>
        <w:pStyle w:val="null3"/>
        <w:jc w:val="left"/>
      </w:pPr>
      <w:r>
        <w:rPr>
          <w:rFonts w:ascii="仿宋_GB2312" w:hAnsi="仿宋_GB2312" w:cs="仿宋_GB2312" w:eastAsia="仿宋_GB2312"/>
        </w:rPr>
        <w:t>11.7.2.2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11.7.2.3乙方分立、合并或者变更住所的，应当及时以书面形式告知甲方。乙方没有及时告知甲方，致使合同履行发生困难的，甲方可以中止合同履行并要求乙方承担由此给甲方造成的损失。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11.7.2.4甲方不得以行政区划调整、政府换届、机构或者职能调整以及相关责任人更替为由中止合同。</w:t>
      </w:r>
    </w:p>
    <w:p>
      <w:pPr>
        <w:pStyle w:val="null3"/>
        <w:jc w:val="left"/>
      </w:pPr>
      <w:r>
        <w:rPr>
          <w:rFonts w:ascii="仿宋_GB2312" w:hAnsi="仿宋_GB2312" w:cs="仿宋_GB2312" w:eastAsia="仿宋_GB2312"/>
        </w:rPr>
        <w:t>11.7.3.合同的终止</w:t>
      </w:r>
    </w:p>
    <w:p>
      <w:pPr>
        <w:pStyle w:val="null3"/>
        <w:jc w:val="left"/>
      </w:pPr>
      <w:r>
        <w:rPr>
          <w:rFonts w:ascii="仿宋_GB2312" w:hAnsi="仿宋_GB2312" w:cs="仿宋_GB2312" w:eastAsia="仿宋_GB2312"/>
        </w:rPr>
        <w:t>11.7.3.1合同因有效期限届满而终止；</w:t>
      </w:r>
    </w:p>
    <w:p>
      <w:pPr>
        <w:pStyle w:val="null3"/>
        <w:jc w:val="left"/>
      </w:pPr>
      <w:r>
        <w:rPr>
          <w:rFonts w:ascii="仿宋_GB2312" w:hAnsi="仿宋_GB2312" w:cs="仿宋_GB2312" w:eastAsia="仿宋_GB2312"/>
        </w:rPr>
        <w:t>11.7.3.2乙方未按合同约定履行，构成根本性违约的，甲方有权终止合同，并追究乙方的违约责任。</w:t>
      </w:r>
    </w:p>
    <w:p>
      <w:pPr>
        <w:pStyle w:val="null3"/>
        <w:jc w:val="left"/>
      </w:pPr>
      <w:r>
        <w:rPr>
          <w:rFonts w:ascii="仿宋_GB2312" w:hAnsi="仿宋_GB2312" w:cs="仿宋_GB2312" w:eastAsia="仿宋_GB2312"/>
        </w:rPr>
        <w:t>11.7.4.涉及国家利益、社会公共利益的情形</w:t>
      </w:r>
    </w:p>
    <w:p>
      <w:pPr>
        <w:pStyle w:val="null3"/>
        <w:jc w:val="left"/>
      </w:pPr>
      <w:r>
        <w:rPr>
          <w:rFonts w:ascii="仿宋_GB2312" w:hAnsi="仿宋_GB2312" w:cs="仿宋_GB2312" w:eastAsia="仿宋_GB2312"/>
        </w:rPr>
        <w:t>政府采购合同继续履行将损害国家利益和社会公共利益的，双方当事人应当变更、中止或者终止合同。有过错的一方应当承担赔偿责任，双方都有过错的，各自承担相应的责任。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11.8.合同分包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11.9法律适用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货物的，在不改变合同其他条款的前提下，可以与乙方协商签订补充合同，但所有补充合同的采购金额不得超过原合同采购金额的百分之十。补充协议签订后，报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12.3.本合同一式XX份，自双方签章之日起生效。甲方持有XX份，乙方持有XX份，项目同级财政部门备案XX份，均具有同等法律效力。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r>
        <w:tc>
          <w:tcPr>
            <w:tcW w:type="dxa" w:w="8306"/>
          </w:tcPr>
          <w:p>
            <w:pPr>
              <w:pStyle w:val="null3"/>
              <w:jc w:val="center"/>
            </w:pPr>
            <w:r>
              <w:rPr>
                <w:rFonts w:ascii="仿宋_GB2312" w:hAnsi="仿宋_GB2312" w:cs="仿宋_GB2312" w:eastAsia="仿宋_GB2312"/>
              </w:rPr>
              <w:t>签订时间</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r>
        <w:tc>
          <w:tcPr>
            <w:tcW w:type="dxa" w:w="4153"/>
          </w:tcPr>
          <w:p>
            <w:pPr>
              <w:pStyle w:val="null3"/>
              <w:jc w:val="center"/>
            </w:pPr>
            <w:r>
              <w:rPr>
                <w:rFonts w:ascii="仿宋_GB2312" w:hAnsi="仿宋_GB2312" w:cs="仿宋_GB2312" w:eastAsia="仿宋_GB2312"/>
              </w:rPr>
              <w:t>签订时间</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numbering.xml><?xml version="1.0" encoding="utf-8"?>
<w:numbering xmlns:w="http://schemas.openxmlformats.org/wordprocessingml/2006/main">
  <w:abstractNum w:abstractNumId="0">
    <w:multiLevelType w:val="hybridMultilevel"/>
    <w:lvl w:ilvl="0">
      <w:start w:val="1"/>
      <w:numFmt w:val="decimal"/>
      <w:lvlText w:val="%1."/>
      <w:lvlJc w:val="left"/>
      <w:pPr>
        <w:ind w:left="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 Id="rId6" Target="numbering.xml" Type="http://schemas.openxmlformats.org/officeDocument/2006/relationships/numberi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