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445122-2026-01101</w:t>
      </w:r>
    </w:p>
    <w:p>
      <w:pPr>
        <w:pStyle w:val="null3"/>
        <w:jc w:val="center"/>
        <w:outlineLvl w:val="3"/>
      </w:pPr>
      <w:r>
        <w:rPr>
          <w:sz w:val="24"/>
          <w:b/>
        </w:rPr>
        <w:t>采购项目编号：</w:t>
      </w:r>
      <w:r>
        <w:rPr>
          <w:sz w:val="24"/>
          <w:b/>
        </w:rPr>
        <w:t>04-17-04A-2026-D-F-E22500</w:t>
      </w:r>
    </w:p>
    <w:p>
      <w:pPr>
        <w:pStyle w:val="null3"/>
        <w:jc w:val="center"/>
        <w:outlineLvl w:val="3"/>
      </w:pPr>
      <w:r>
        <w:rPr>
          <w:sz w:val="24"/>
          <w:b/>
        </w:rPr>
        <w:t>项目名称：</w:t>
      </w:r>
      <w:r>
        <w:rPr>
          <w:sz w:val="24"/>
          <w:b/>
        </w:rPr>
        <w:t>2026年饶平县健身路径、篮球架及乒乓球台采购项目</w:t>
      </w:r>
    </w:p>
    <w:p>
      <w:pPr>
        <w:pStyle w:val="null3"/>
        <w:jc w:val="center"/>
        <w:outlineLvl w:val="3"/>
      </w:pPr>
      <w:r>
        <w:rPr>
          <w:sz w:val="24"/>
          <w:b/>
        </w:rPr>
        <w:t>采购人：</w:t>
      </w:r>
      <w:r>
        <w:rPr>
          <w:sz w:val="24"/>
          <w:b/>
        </w:rPr>
        <w:t>饶平县体育发展中心</w:t>
      </w:r>
    </w:p>
    <w:p>
      <w:pPr>
        <w:pStyle w:val="null3"/>
        <w:jc w:val="center"/>
        <w:outlineLvl w:val="3"/>
      </w:pPr>
      <w:r>
        <w:rPr>
          <w:sz w:val="24"/>
          <w:b/>
        </w:rPr>
        <w:t>采购代理机构：</w:t>
      </w:r>
      <w:r>
        <w:rPr>
          <w:sz w:val="24"/>
          <w:b/>
        </w:rPr>
        <w:t>公诚管理咨询有限公司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公诚管理咨询有限公司</w:t>
      </w:r>
      <w:r>
        <w:rPr/>
        <w:t>受</w:t>
      </w:r>
      <w:r>
        <w:rPr/>
        <w:t>饶平县体育发展中心</w:t>
      </w:r>
      <w:r>
        <w:rPr/>
        <w:t>的委托，采用</w:t>
      </w:r>
      <w:r>
        <w:rPr/>
        <w:t>公开招标</w:t>
      </w:r>
      <w:r>
        <w:rPr/>
        <w:t>方式组织采购</w:t>
      </w:r>
      <w:r>
        <w:rPr/>
        <w:t>2026年饶平县健身路径、篮球架及乒乓球台采购项目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2026年饶平县健身路径、篮球架及乒乓球台采购项目</w:t>
      </w:r>
    </w:p>
    <w:p>
      <w:pPr>
        <w:pStyle w:val="null3"/>
        <w:ind w:firstLine="480"/>
      </w:pPr>
      <w:r>
        <w:rPr/>
        <w:t>采购计划编号：</w:t>
      </w:r>
      <w:r>
        <w:rPr/>
        <w:t>445122-2026-01101</w:t>
      </w:r>
    </w:p>
    <w:p>
      <w:pPr>
        <w:pStyle w:val="null3"/>
        <w:ind w:firstLine="480"/>
      </w:pPr>
      <w:r>
        <w:rPr/>
        <w:t>采购项目编号：</w:t>
      </w:r>
      <w:r>
        <w:rPr/>
        <w:t>04-17-04A-2026-D-F-E22500</w:t>
      </w:r>
    </w:p>
    <w:p>
      <w:pPr>
        <w:pStyle w:val="null3"/>
        <w:ind w:firstLine="480"/>
      </w:pPr>
      <w:r>
        <w:rPr/>
        <w:t>采购方式：</w:t>
      </w:r>
      <w:r>
        <w:rPr/>
        <w:t>公开招标</w:t>
      </w:r>
    </w:p>
    <w:p>
      <w:pPr>
        <w:pStyle w:val="null3"/>
        <w:ind w:firstLine="480"/>
      </w:pPr>
      <w:r>
        <w:rPr/>
        <w:t>预算金额：</w:t>
      </w:r>
      <w:r>
        <w:rPr/>
        <w:t>1,139,360.00</w:t>
      </w:r>
      <w:r>
        <w:rPr/>
        <w:t>元</w:t>
      </w:r>
    </w:p>
    <w:p>
      <w:pPr>
        <w:pStyle w:val="null3"/>
        <w:outlineLvl w:val="3"/>
      </w:pPr>
      <w:r>
        <w:rPr>
          <w:sz w:val="24"/>
          <w:b/>
        </w:rPr>
        <w:t>2.项目内容及需求情况（采购项目技术规格、参数及要求）</w:t>
      </w:r>
    </w:p>
    <w:p>
      <w:pPr>
        <w:pStyle w:val="null3"/>
      </w:pPr>
      <w:r>
        <w:rPr/>
        <w:t>采购包1(2026年饶平县健身路径、篮球架及乒乓球台采购项目):</w:t>
      </w:r>
    </w:p>
    <w:p>
      <w:pPr>
        <w:pStyle w:val="null3"/>
      </w:pPr>
      <w:r>
        <w:rPr/>
        <w:t>采购包预算金额：1,139,360.00元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其他体育设备设施</w:t>
            </w:r>
          </w:p>
        </w:tc>
        <w:tc>
          <w:tcPr>
            <w:tcW w:type="dxa" w:w="2136"/>
          </w:tcPr>
          <w:p>
            <w:pPr>
              <w:pStyle w:val="null3"/>
            </w:pPr>
            <w:r>
              <w:rPr/>
              <w:t>2026年饶平县健身路径、篮球架及乒乓球台采购项目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合同履行期限：签订合同后一年内供货并安装完毕交付使用。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提供相应证明材料。或按附件格式提供《资格承诺函》。</w:t>
      </w:r>
    </w:p>
    <w:p>
      <w:pPr>
        <w:pStyle w:val="null3"/>
      </w:pPr>
      <w:r>
        <w:rPr/>
        <w:t>3）具有良好的商业信誉和健全的财务会计制度：供应商必须具有良好的商业信誉和健全的财务会计制度（提供2025年度或2026年1月至投标截止时间前（至少一个月份）的财务状况报表（至少包括利润表、资产负债表、现金流量表）或基本开户行出具的资信证明或按附件格式提供《资格承诺函》）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5）参加采购活动前3年内，在经营活动中没有重大违法记录：参照投标（报价）函相关承诺格式内容或按附件格式提供《资格承诺函》。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采购包1（2026年饶平县健身路径、篮球架及乒乓球台采购项目）：</w:t>
      </w:r>
      <w:r>
        <w:rPr/>
        <w:t>参与的供应商（联合体）提供的货物全部由符合政策要求的中小企业制造</w:t>
      </w:r>
    </w:p>
    <w:p>
      <w:pPr>
        <w:pStyle w:val="null3"/>
        <w:outlineLvl w:val="3"/>
      </w:pPr>
      <w:r>
        <w:rPr>
          <w:sz w:val="24"/>
          <w:b/>
        </w:rPr>
        <w:t>3.本项目特定的资格要求：</w:t>
      </w:r>
    </w:p>
    <w:p>
      <w:pPr>
        <w:pStyle w:val="null3"/>
      </w:pPr>
      <w:r>
        <w:rPr/>
        <w:t>采购包1（2026年饶平县健身路径、篮球架及乒乓球台采购项目）：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饶平县体育发展中心</w:t>
      </w:r>
    </w:p>
    <w:p>
      <w:pPr>
        <w:pStyle w:val="null3"/>
        <w:ind w:firstLine="480"/>
      </w:pPr>
      <w:r>
        <w:rPr/>
        <w:t xml:space="preserve"> 地址：</w:t>
      </w:r>
      <w:r>
        <w:rPr/>
        <w:t>饶平县河南大道2号</w:t>
      </w:r>
    </w:p>
    <w:p>
      <w:pPr>
        <w:pStyle w:val="null3"/>
        <w:ind w:firstLine="480"/>
      </w:pPr>
      <w:r>
        <w:rPr/>
        <w:t xml:space="preserve"> 联系方式：</w:t>
      </w:r>
      <w:r>
        <w:rPr/>
        <w:t>0768-7502283</w:t>
      </w:r>
    </w:p>
    <w:p>
      <w:pPr>
        <w:pStyle w:val="null3"/>
        <w:outlineLvl w:val="3"/>
      </w:pPr>
      <w:r>
        <w:rPr>
          <w:sz w:val="24"/>
          <w:b/>
        </w:rPr>
        <w:t xml:space="preserve"> 2.采购代理机构信息</w:t>
      </w:r>
    </w:p>
    <w:p>
      <w:pPr>
        <w:pStyle w:val="null3"/>
        <w:ind w:firstLine="480"/>
      </w:pPr>
      <w:r>
        <w:rPr/>
        <w:t xml:space="preserve"> 名称：</w:t>
      </w:r>
      <w:r>
        <w:rPr/>
        <w:t>公诚管理咨询有限公司</w:t>
      </w:r>
    </w:p>
    <w:p>
      <w:pPr>
        <w:pStyle w:val="null3"/>
        <w:ind w:firstLine="480"/>
      </w:pPr>
      <w:r>
        <w:rPr/>
        <w:t xml:space="preserve"> 地址：</w:t>
      </w:r>
      <w:r>
        <w:rPr/>
        <w:t>广东省潮州市湘桥区潮枫路223号新时空大厦8楼</w:t>
      </w:r>
    </w:p>
    <w:p>
      <w:pPr>
        <w:pStyle w:val="null3"/>
        <w:ind w:firstLine="480"/>
      </w:pPr>
      <w:r>
        <w:rPr/>
        <w:t xml:space="preserve"> 联系方式：</w:t>
      </w:r>
      <w:r>
        <w:rPr/>
        <w:t>07683269996</w:t>
      </w:r>
    </w:p>
    <w:p>
      <w:pPr>
        <w:pStyle w:val="null3"/>
        <w:outlineLvl w:val="3"/>
      </w:pPr>
      <w:r>
        <w:rPr>
          <w:sz w:val="24"/>
          <w:b/>
        </w:rPr>
        <w:t xml:space="preserve"> 3.项目联系方式</w:t>
      </w:r>
    </w:p>
    <w:p>
      <w:pPr>
        <w:pStyle w:val="null3"/>
        <w:ind w:firstLine="480"/>
      </w:pPr>
      <w:r>
        <w:rPr/>
        <w:t xml:space="preserve"> 项目联系人：</w:t>
      </w:r>
      <w:r>
        <w:rPr/>
        <w:t>高丽珍、宗正月、戚琳</w:t>
      </w:r>
    </w:p>
    <w:p>
      <w:pPr>
        <w:pStyle w:val="null3"/>
        <w:ind w:firstLine="480"/>
      </w:pPr>
      <w:r>
        <w:rPr/>
        <w:t xml:space="preserve"> 电话：</w:t>
      </w:r>
      <w:r>
        <w:rPr/>
        <w:t>07683269996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公诚管理咨询有限公司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本项目为</w:t>
      </w:r>
      <w:r>
        <w:rPr>
          <w:sz w:val="21"/>
        </w:rPr>
        <w:t>2026</w:t>
      </w:r>
      <w:r>
        <w:rPr>
          <w:sz w:val="21"/>
        </w:rPr>
        <w:t>年饶平县健身路径、篮球架及乒乓球台采购项目</w:t>
      </w:r>
      <w:r>
        <w:rPr>
          <w:sz w:val="21"/>
        </w:rPr>
        <w:t>。</w:t>
      </w:r>
    </w:p>
    <w:p>
      <w:pPr>
        <w:pStyle w:val="null3"/>
      </w:pPr>
      <w:r>
        <w:rPr/>
        <w:t>采购包1（2026年饶平县健身路径、篮球架及乒乓球台采购项目）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签订合同后一年内供货并安装完毕交付使用。</w:t>
            </w:r>
          </w:p>
        </w:tc>
      </w:tr>
      <w:tr>
        <w:tc>
          <w:tcPr>
            <w:tcW w:type="dxa" w:w="4153"/>
          </w:tcPr>
          <w:p>
            <w:pPr>
              <w:pStyle w:val="null3"/>
            </w:pPr>
            <w:r>
              <w:rPr/>
              <w:t>标的提供的地点</w:t>
            </w:r>
          </w:p>
        </w:tc>
        <w:tc>
          <w:tcPr>
            <w:tcW w:type="dxa" w:w="4153"/>
          </w:tcPr>
          <w:p>
            <w:pPr>
              <w:pStyle w:val="null3"/>
            </w:pPr>
            <w:r>
              <w:rPr/>
              <w:t>饶平县体育发展中心（采购人指定地点）</w:t>
            </w:r>
          </w:p>
        </w:tc>
      </w:tr>
      <w:tr>
        <w:tc>
          <w:tcPr>
            <w:tcW w:type="dxa" w:w="4153"/>
          </w:tcPr>
          <w:p>
            <w:pPr>
              <w:pStyle w:val="null3"/>
            </w:pPr>
            <w:r>
              <w:rPr/>
              <w:t>付款方式</w:t>
            </w:r>
          </w:p>
        </w:tc>
        <w:tc>
          <w:tcPr>
            <w:tcW w:type="dxa" w:w="4153"/>
          </w:tcPr>
          <w:p>
            <w:pPr>
              <w:pStyle w:val="null3"/>
            </w:pPr>
            <w:r>
              <w:rPr/>
              <w:t>1期：支付比例40%,项目签订合同后七个工作日内根据中标人开具的正式发票支付合同总价的40%</w:t>
            </w:r>
          </w:p>
          <w:p>
            <w:pPr>
              <w:pStyle w:val="null3"/>
            </w:pPr>
            <w:r>
              <w:rPr/>
              <w:t>2期：支付比例40%,货物送达后七个工作日内根据中标人开具的正式发票支付40%合同款</w:t>
            </w:r>
          </w:p>
          <w:p>
            <w:pPr>
              <w:pStyle w:val="null3"/>
            </w:pPr>
            <w:r>
              <w:rPr/>
              <w:t>3期：支付比例20%,安装并验收合格后七个工作日内根据中标人开具的正式发票付清合同总价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1期：安装、调试、验收及质量保证 1.设备测试中如发现功能上不符合采购需求和合同要求时，将被看作性能不合格，用户有权拒收并要求赔偿。 2.项目验收要求对各个单项产品的测试和使用，均达到用户需求要求的性能和产品技术规格中的性能。如材料、设备不符合招标要求或达不到投标承诺的，采购人不予验收。 3.交付验收标准依次序对照适用标准为：①符合中华人民共和国国家安全质量标准、环保标准或行业标准；②符合项目采购文件和投标承诺中采购人认可的合理最佳配置、参数及各项要求；③货物通过运动器材国体认证（NSCC）。 4.货物为原厂商未启封全新包装，具有出厂合格证，序列号、包装箱号与出厂批号一致，并可追 索查阅。所有随设备的附件须齐全。 5.中标人应负责在项目验收时将全部有关产品说明书、原厂家安装手册、技术文件、资料、及安装、测试、验收报告等文档汇集成册交付用户方。</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配套设备要求</w:t>
            </w:r>
          </w:p>
        </w:tc>
        <w:tc>
          <w:tcPr>
            <w:tcW w:type="dxa" w:w="2076"/>
          </w:tcPr>
          <w:p>
            <w:pPr>
              <w:pStyle w:val="null3"/>
              <w:jc w:val="left"/>
            </w:pPr>
            <w:r>
              <w:rPr/>
              <w:t>1.1投标人应按采购需求表提供相应的配套设备，并按图纸及采购方要求指定安装，并须是原装、全新的、符合国家及用户提出的有关质量标准的设备。 1.2为了保证货物在长途运输和装卸过程中的安全，货物包装应符合国家或行业标准规定。由于运输及安装过程中造成的损坏，由中标方承担一切责任。</w:t>
            </w:r>
          </w:p>
        </w:tc>
      </w:tr>
      <w:tr>
        <w:tc>
          <w:tcPr>
            <w:tcW w:type="dxa" w:w="2076"/>
          </w:tcPr>
          <w:p/>
        </w:tc>
        <w:tc>
          <w:tcPr>
            <w:tcW w:type="dxa" w:w="2076"/>
          </w:tcPr>
          <w:p>
            <w:pPr>
              <w:pStyle w:val="null3"/>
              <w:jc w:val="center"/>
            </w:pPr>
            <w:r>
              <w:rPr/>
              <w:t>2</w:t>
            </w:r>
          </w:p>
        </w:tc>
        <w:tc>
          <w:tcPr>
            <w:tcW w:type="dxa" w:w="2076"/>
          </w:tcPr>
          <w:p>
            <w:pPr>
              <w:pStyle w:val="null3"/>
              <w:jc w:val="left"/>
            </w:pPr>
            <w:r>
              <w:rPr/>
              <w:t>售后服务及技术培训</w:t>
            </w:r>
          </w:p>
        </w:tc>
        <w:tc>
          <w:tcPr>
            <w:tcW w:type="dxa" w:w="2076"/>
          </w:tcPr>
          <w:p>
            <w:pPr>
              <w:pStyle w:val="null3"/>
              <w:jc w:val="left"/>
            </w:pPr>
            <w:r>
              <w:rPr/>
              <w:t>2.1中标人应有售后维护能力，包括拥有相应的设备和人员，有稳定的售后服务体系，能提供良好的售后服务； 2.2本项目所有产品免费保修期按厂家标准执行，所有设备的包换和包修服务遵从国家三包规定，并提供终身跟踪服务； 2.3保修期内用户所购设备各部件发生非人为故障，中标人应免费上门更换同种品牌规格型号的新部件，设备发生人为故障的，中标人应上门更换同种品牌规格型号的新部件，只收零配件成本，不加收其它任何费用。 2.4中标人提供货物免费安装、调试、培训使用；24小时免费提供技术支持；永久性免费提供电话技术指导和咨询服务；免费保修期内非用户单位的人为原因而出现产品质量及安装问题，由中标人负责包修、包换或包退，并承担因此而产生的一切费用。所有货物保修服务方式均为中标人上门保修，即由中标人派人员到设备使用现场维修，由此产生的一切费用均由中标人承担。 2.5本项目设备有故障通知中标人，中标人须在1小时内响应，在24小时内到达现场，所有故障48小时排除故障，当天无法修复的，需提供同等规格的设备代用。 2.6中标人应安排有经验的专业技术人员负责本项目的安装、调试、维保。</w:t>
            </w:r>
          </w:p>
        </w:tc>
      </w:tr>
      <w:tr>
        <w:tc>
          <w:tcPr>
            <w:tcW w:type="dxa" w:w="2076"/>
          </w:tcPr>
          <w:p/>
        </w:tc>
        <w:tc>
          <w:tcPr>
            <w:tcW w:type="dxa" w:w="2076"/>
          </w:tcPr>
          <w:p>
            <w:pPr>
              <w:pStyle w:val="null3"/>
              <w:jc w:val="center"/>
            </w:pPr>
            <w:r>
              <w:rPr/>
              <w:t>3</w:t>
            </w:r>
          </w:p>
        </w:tc>
        <w:tc>
          <w:tcPr>
            <w:tcW w:type="dxa" w:w="2076"/>
          </w:tcPr>
          <w:p>
            <w:pPr>
              <w:pStyle w:val="null3"/>
              <w:jc w:val="left"/>
            </w:pPr>
            <w:r>
              <w:rPr/>
              <w:t>质量保证</w:t>
            </w:r>
          </w:p>
        </w:tc>
        <w:tc>
          <w:tcPr>
            <w:tcW w:type="dxa" w:w="2076"/>
          </w:tcPr>
          <w:p>
            <w:pPr>
              <w:pStyle w:val="null3"/>
              <w:jc w:val="left"/>
            </w:pPr>
            <w:r>
              <w:rPr/>
              <w:t>3.1本项目器材质量保证期为 8 年，质保期自采购人和中标供应商完成货物安装调试并签署验收合格文件之日起计算；供应商须提供设备终身维修服务。 （1）验收合格后首 1 年为全免费保修期，保修期内因产品自身质量问题产生的全部检修、上门、配件、运输、人工等费用均纳入投标总价，采购人无需另行付费； （2）验收满 1 年至 8 年质保期满前，非采购人人为原因、不可抗力导致的设备故障，供应商执行包修、包换、包退、免费保养，零配件免费供应，仅可收取维修人工成本； （3）8 年质量保证期届满后，中标供应商须提供终身维修服务，设备维修、更换零配件仅收取原厂成本费用，不得加价牟利。 （4）本章节通用售后要求，若 “技术标准与要求” 存在不同约定，以技术标准条款为准。 3.2质保期责任界定：质量保证期内，设备非采购人人为损坏、不可抗力引发的故障，全部维修、更换、退货产生的实际费用由中标供应商承担；因采购人使用不当、人为损毁、自然灾害等造成损坏的，相关维修费用由采购人自行承担。</w:t>
            </w:r>
          </w:p>
        </w:tc>
      </w:tr>
      <w:tr>
        <w:tc>
          <w:tcPr>
            <w:tcW w:type="dxa" w:w="2076"/>
          </w:tcPr>
          <w:p/>
        </w:tc>
        <w:tc>
          <w:tcPr>
            <w:tcW w:type="dxa" w:w="2076"/>
          </w:tcPr>
          <w:p>
            <w:pPr>
              <w:pStyle w:val="null3"/>
              <w:jc w:val="center"/>
            </w:pPr>
            <w:r>
              <w:rPr/>
              <w:t>4</w:t>
            </w:r>
          </w:p>
        </w:tc>
        <w:tc>
          <w:tcPr>
            <w:tcW w:type="dxa" w:w="2076"/>
          </w:tcPr>
          <w:p>
            <w:pPr>
              <w:pStyle w:val="null3"/>
              <w:jc w:val="left"/>
            </w:pPr>
            <w:r>
              <w:rPr/>
              <w:t>包装和运输</w:t>
            </w:r>
          </w:p>
        </w:tc>
        <w:tc>
          <w:tcPr>
            <w:tcW w:type="dxa" w:w="2076"/>
          </w:tcPr>
          <w:p>
            <w:pPr>
              <w:pStyle w:val="null3"/>
              <w:jc w:val="left"/>
            </w:pPr>
            <w:r>
              <w:rPr/>
              <w:t>4.1货物的包装和发运必须符合货物特性要求。 4.2为了保证货物在长途运输和装卸过程中的安全，货物包装应符合国家或行业标准规定。由于包装不善导致货物锈蚀、失缺或损坏，由供货商承担一切责任。 5.供货计划 投标人须结合项目实际情况，安排专门场所存储产品，并配备专业团队跟进本项目产品的配送与实施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其他体育设备设施</w:t>
            </w:r>
          </w:p>
        </w:tc>
        <w:tc>
          <w:tcPr>
            <w:tcW w:type="dxa" w:w="831"/>
          </w:tcPr>
          <w:p>
            <w:pPr>
              <w:pStyle w:val="null3"/>
              <w:jc w:val="left"/>
            </w:pPr>
            <w:r>
              <w:rPr/>
              <w:t>2026年饶平县健身路径、篮球架及乒乓球台采购项目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1,139,360.00</w:t>
            </w:r>
          </w:p>
        </w:tc>
        <w:tc>
          <w:tcPr>
            <w:tcW w:type="dxa" w:w="831"/>
          </w:tcPr>
          <w:p>
            <w:pPr>
              <w:pStyle w:val="null3"/>
              <w:jc w:val="right"/>
            </w:pPr>
            <w:r>
              <w:rPr/>
              <w:t>1,139,360.00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2026年饶平县健身路径、篮球架及乒乓球台采购项目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07"/>
              <w:gridCol w:w="610"/>
              <w:gridCol w:w="407"/>
              <w:gridCol w:w="1675"/>
              <w:gridCol w:w="2500"/>
            </w:tblGrid>
            <w:tr>
              <w:tc>
                <w:tcPr>
                  <w:tcW w:type="dxa" w:w="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1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图片（只供参考）</w:t>
                  </w:r>
                </w:p>
              </w:tc>
              <w:tc>
                <w:tcPr>
                  <w:tcW w:type="dxa" w:w="2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技术参数</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室外乒乓球台</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30台</w:t>
                  </w:r>
                </w:p>
              </w:tc>
              <w:tc>
                <w:tcPr>
                  <w:tcW w:type="dxa" w:w="1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26465" cy="577142"/>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926465" cy="577142"/>
                                </a:xfrm>
                                <a:prstGeom prst="rect">
                                  <a:avLst/>
                                </a:prstGeom>
                              </pic:spPr>
                            </pic:pic>
                          </a:graphicData>
                        </a:graphic>
                      </wp:inline>
                    </w:drawing>
                  </w:r>
                </w:p>
              </w:tc>
              <w:tc>
                <w:tcPr>
                  <w:tcW w:type="dxa" w:w="2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适应范围：学校</w:t>
                  </w:r>
                  <w:r>
                    <w:rPr>
                      <w:sz w:val="20"/>
                      <w:color w:val="000000"/>
                    </w:rPr>
                    <w:t xml:space="preserve">  </w:t>
                  </w:r>
                  <w:r>
                    <w:rPr>
                      <w:sz w:val="20"/>
                      <w:color w:val="000000"/>
                    </w:rPr>
                    <w:t>单位</w:t>
                  </w:r>
                  <w:r>
                    <w:rPr>
                      <w:sz w:val="20"/>
                      <w:color w:val="000000"/>
                    </w:rPr>
                    <w:t xml:space="preserve">  </w:t>
                  </w:r>
                  <w:r>
                    <w:rPr>
                      <w:sz w:val="20"/>
                      <w:color w:val="000000"/>
                    </w:rPr>
                    <w:t>体育馆</w:t>
                  </w:r>
                  <w:r>
                    <w:rPr>
                      <w:sz w:val="20"/>
                      <w:color w:val="000000"/>
                    </w:rPr>
                    <w:t xml:space="preserve">  </w:t>
                  </w:r>
                  <w:r>
                    <w:rPr>
                      <w:sz w:val="20"/>
                      <w:color w:val="000000"/>
                    </w:rPr>
                    <w:t>家庭</w:t>
                  </w:r>
                </w:p>
                <w:p>
                  <w:pPr>
                    <w:pStyle w:val="null3"/>
                    <w:jc w:val="left"/>
                  </w:pPr>
                  <w:r>
                    <w:rPr>
                      <w:sz w:val="20"/>
                      <w:color w:val="000000"/>
                    </w:rPr>
                    <w:t>2.</w:t>
                  </w:r>
                  <w:r>
                    <w:rPr>
                      <w:sz w:val="20"/>
                      <w:color w:val="000000"/>
                    </w:rPr>
                    <w:t>球桌尺寸：长</w:t>
                  </w:r>
                  <w:r>
                    <w:rPr>
                      <w:sz w:val="20"/>
                      <w:color w:val="000000"/>
                    </w:rPr>
                    <w:t>2740mm*宽1525mm*高760mm</w:t>
                  </w:r>
                </w:p>
                <w:p>
                  <w:pPr>
                    <w:pStyle w:val="null3"/>
                    <w:jc w:val="left"/>
                  </w:pPr>
                  <w:r>
                    <w:rPr>
                      <w:sz w:val="20"/>
                      <w:color w:val="000000"/>
                    </w:rPr>
                    <w:t>3.</w:t>
                  </w:r>
                  <w:r>
                    <w:rPr>
                      <w:sz w:val="20"/>
                      <w:color w:val="000000"/>
                    </w:rPr>
                    <w:t>台面材质：</w:t>
                  </w:r>
                  <w:r>
                    <w:rPr>
                      <w:sz w:val="20"/>
                      <w:color w:val="000000"/>
                    </w:rPr>
                    <w:t>smc材质面板防雨防晒抗老化不变形</w:t>
                  </w:r>
                </w:p>
                <w:p>
                  <w:pPr>
                    <w:pStyle w:val="null3"/>
                    <w:jc w:val="left"/>
                  </w:pPr>
                  <w:r>
                    <w:rPr>
                      <w:sz w:val="20"/>
                      <w:color w:val="000000"/>
                    </w:rPr>
                    <w:t>4.</w:t>
                  </w:r>
                  <w:r>
                    <w:rPr>
                      <w:sz w:val="20"/>
                      <w:color w:val="000000"/>
                    </w:rPr>
                    <w:t>面板厚度：</w:t>
                  </w:r>
                  <w:r>
                    <w:rPr>
                      <w:sz w:val="20"/>
                      <w:color w:val="000000"/>
                    </w:rPr>
                    <w:t>1.5厘米</w:t>
                  </w:r>
                </w:p>
                <w:p>
                  <w:pPr>
                    <w:pStyle w:val="null3"/>
                    <w:jc w:val="left"/>
                  </w:pPr>
                  <w:r>
                    <w:rPr>
                      <w:sz w:val="20"/>
                      <w:color w:val="000000"/>
                    </w:rPr>
                    <w:t>桌腿规格：直径</w:t>
                  </w:r>
                  <w:r>
                    <w:rPr>
                      <w:sz w:val="20"/>
                      <w:color w:val="000000"/>
                    </w:rPr>
                    <w:t>60mm钢管</w:t>
                  </w:r>
                </w:p>
                <w:p>
                  <w:pPr>
                    <w:pStyle w:val="null3"/>
                    <w:jc w:val="left"/>
                  </w:pPr>
                  <w:r>
                    <w:rPr>
                      <w:sz w:val="20"/>
                      <w:color w:val="000000"/>
                    </w:rPr>
                    <w:t>5.</w:t>
                  </w:r>
                  <w:r>
                    <w:rPr>
                      <w:sz w:val="20"/>
                      <w:color w:val="000000"/>
                    </w:rPr>
                    <w:t>器材符合</w:t>
                  </w:r>
                  <w:r>
                    <w:rPr>
                      <w:sz w:val="20"/>
                      <w:color w:val="000000"/>
                    </w:rPr>
                    <w:t>GB 19272-2024《室外健身器材的安全通用要求》中的规定要求</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室外篮球架（地埋式）</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20副</w:t>
                  </w:r>
                </w:p>
              </w:tc>
              <w:tc>
                <w:tcPr>
                  <w:tcW w:type="dxa" w:w="1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26465" cy="1199848"/>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926465" cy="1199848"/>
                                </a:xfrm>
                                <a:prstGeom prst="rect">
                                  <a:avLst/>
                                </a:prstGeom>
                              </pic:spPr>
                            </pic:pic>
                          </a:graphicData>
                        </a:graphic>
                      </wp:inline>
                    </w:drawing>
                  </w:r>
                </w:p>
              </w:tc>
              <w:tc>
                <w:tcPr>
                  <w:tcW w:type="dxa" w:w="2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1.壁厚不低于3.0mm</w:t>
                  </w:r>
                </w:p>
                <w:p>
                  <w:pPr>
                    <w:pStyle w:val="null3"/>
                    <w:jc w:val="left"/>
                  </w:pPr>
                  <w:r>
                    <w:rPr>
                      <w:sz w:val="20"/>
                      <w:color w:val="000000"/>
                    </w:rPr>
                    <w:t>2.Q235碳素结构钢，热镀锌/静电喷塑防锈</w:t>
                  </w:r>
                </w:p>
                <w:p>
                  <w:pPr>
                    <w:pStyle w:val="null3"/>
                    <w:jc w:val="left"/>
                  </w:pPr>
                  <w:r>
                    <w:rPr>
                      <w:sz w:val="20"/>
                      <w:color w:val="000000"/>
                    </w:rPr>
                    <w:t>篮筐距地面</w:t>
                  </w:r>
                  <w:r>
                    <w:rPr>
                      <w:sz w:val="20"/>
                      <w:color w:val="000000"/>
                    </w:rPr>
                    <w:t>3.05m</w:t>
                  </w:r>
                </w:p>
                <w:p>
                  <w:pPr>
                    <w:pStyle w:val="null3"/>
                    <w:jc w:val="left"/>
                  </w:pPr>
                  <w:r>
                    <w:rPr>
                      <w:sz w:val="20"/>
                      <w:color w:val="000000"/>
                    </w:rPr>
                    <w:t>3.伸臂1.8m</w:t>
                  </w:r>
                </w:p>
                <w:p>
                  <w:pPr>
                    <w:pStyle w:val="null3"/>
                    <w:jc w:val="left"/>
                  </w:pPr>
                  <w:r>
                    <w:rPr>
                      <w:sz w:val="20"/>
                      <w:color w:val="000000"/>
                    </w:rPr>
                    <w:t>4.地埋深度500~550mm</w:t>
                  </w:r>
                  <w:r>
                    <w:br/>
                  </w:r>
                  <w:r>
                    <w:rPr>
                      <w:sz w:val="20"/>
                      <w:color w:val="000000"/>
                    </w:rPr>
                    <w:t>5.钢材厚度不低于3.0mm.配1.0cm钢化玻璃篮板。篮圈采用18圆钢实心篮圈</w:t>
                  </w:r>
                </w:p>
                <w:p>
                  <w:pPr>
                    <w:pStyle w:val="null3"/>
                    <w:jc w:val="left"/>
                  </w:pPr>
                  <w:r>
                    <w:rPr>
                      <w:sz w:val="20"/>
                      <w:color w:val="000000"/>
                    </w:rPr>
                    <w:t>6.器材符合</w:t>
                  </w:r>
                  <w:r>
                    <w:rPr>
                      <w:sz w:val="20"/>
                      <w:color w:val="000000"/>
                    </w:rPr>
                    <w:t>GB 19272-2024《室外健身器材的安全 通用要求》</w:t>
                  </w:r>
                  <w:r>
                    <w:rPr>
                      <w:sz w:val="20"/>
                      <w:color w:val="000000"/>
                    </w:rPr>
                    <w:t>中的规定要求</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告示牌</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42块</w:t>
                  </w:r>
                </w:p>
              </w:tc>
              <w:tc>
                <w:tcPr>
                  <w:tcW w:type="dxa" w:w="1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26465" cy="698645"/>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7"/>
                                <a:stretch>
                                  <a:fillRect/>
                                </a:stretch>
                              </pic:blipFill>
                              <pic:spPr>
                                <a:xfrm>
                                  <a:off x="0" y="0"/>
                                  <a:ext cx="926465" cy="698645"/>
                                </a:xfrm>
                                <a:prstGeom prst="rect">
                                  <a:avLst/>
                                </a:prstGeom>
                              </pic:spPr>
                            </pic:pic>
                          </a:graphicData>
                        </a:graphic>
                      </wp:inline>
                    </w:drawing>
                  </w:r>
                </w:p>
                <w:p>
                  <w:pPr>
                    <w:pStyle w:val="null3"/>
                    <w:jc w:val="center"/>
                  </w:pPr>
                </w:p>
              </w:tc>
              <w:tc>
                <w:tcPr>
                  <w:tcW w:type="dxa" w:w="2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0"/>
                      <w:color w:val="000000"/>
                    </w:rPr>
                    <w:t>规格</w:t>
                  </w:r>
                  <w:r>
                    <w:rPr>
                      <w:sz w:val="20"/>
                      <w:color w:val="000000"/>
                    </w:rPr>
                    <w:t>800×114×1500mm（长×宽×高）,允许尺寸偏差±5%;</w:t>
                  </w:r>
                  <w:r>
                    <w:br/>
                  </w:r>
                  <w:r>
                    <w:rPr>
                      <w:sz w:val="20"/>
                      <w:color w:val="000000"/>
                    </w:rPr>
                    <w:t>2.主立柱钢管外径≥Φ114mm，壁厚≥3.0mm，主横梁不小于φ32×3mm；</w:t>
                  </w:r>
                  <w:r>
                    <w:br/>
                  </w:r>
                  <w:r>
                    <w:rPr>
                      <w:sz w:val="20"/>
                      <w:color w:val="000000"/>
                    </w:rPr>
                    <w:t>3.表面处理方式：电动抛丸--静电喷塑</w:t>
                  </w:r>
                  <w:r>
                    <w:br/>
                  </w:r>
                  <w:r>
                    <w:rPr>
                      <w:sz w:val="20"/>
                      <w:color w:val="000000"/>
                    </w:rPr>
                    <w:t>4.安装方式：直埋</w:t>
                  </w:r>
                  <w:r>
                    <w:br/>
                  </w:r>
                  <w:r>
                    <w:rPr>
                      <w:sz w:val="20"/>
                      <w:color w:val="000000"/>
                    </w:rPr>
                    <w:t>5.器材符合GB19272-2011《室外健身器材的通用 安全要求》中的规定要求</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腰背按摩器</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42架</w:t>
                  </w:r>
                </w:p>
              </w:tc>
              <w:tc>
                <w:tcPr>
                  <w:tcW w:type="dxa" w:w="1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26465" cy="926465"/>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926465" cy="926465"/>
                                </a:xfrm>
                                <a:prstGeom prst="rect">
                                  <a:avLst/>
                                </a:prstGeom>
                              </pic:spPr>
                            </pic:pic>
                          </a:graphicData>
                        </a:graphic>
                      </wp:inline>
                    </w:drawing>
                  </w:r>
                </w:p>
              </w:tc>
              <w:tc>
                <w:tcPr>
                  <w:tcW w:type="dxa" w:w="2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1.规格1050×850×1550mm（长×宽×高）</w:t>
                  </w:r>
                  <w:r>
                    <w:br/>
                  </w:r>
                  <w:r>
                    <w:rPr>
                      <w:sz w:val="20"/>
                      <w:color w:val="000000"/>
                    </w:rPr>
                    <w:t>2.主立柱为φ114×3mm，主横梁不小于φ42×3mm；</w:t>
                  </w:r>
                  <w:r>
                    <w:br/>
                  </w:r>
                  <w:r>
                    <w:rPr>
                      <w:sz w:val="20"/>
                      <w:color w:val="000000"/>
                    </w:rPr>
                    <w:t>3.表面处理方式：电动抛丸--静电喷塑</w:t>
                  </w:r>
                  <w:r>
                    <w:br/>
                  </w:r>
                  <w:r>
                    <w:rPr>
                      <w:sz w:val="20"/>
                      <w:color w:val="000000"/>
                    </w:rPr>
                    <w:t>4.安装方式：直埋</w:t>
                  </w:r>
                  <w:r>
                    <w:br/>
                  </w:r>
                  <w:r>
                    <w:rPr>
                      <w:sz w:val="20"/>
                      <w:color w:val="000000"/>
                    </w:rPr>
                    <w:t>5.器材符合</w:t>
                  </w:r>
                  <w:r>
                    <w:rPr>
                      <w:sz w:val="20"/>
                      <w:color w:val="000000"/>
                    </w:rPr>
                    <w:t>GB 19272-2024《室外健身器材的安全 通用要求》</w:t>
                  </w:r>
                  <w:r>
                    <w:rPr>
                      <w:sz w:val="20"/>
                      <w:color w:val="000000"/>
                    </w:rPr>
                    <w:t>中的规定要求</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二联单杆</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42架</w:t>
                  </w:r>
                </w:p>
              </w:tc>
              <w:tc>
                <w:tcPr>
                  <w:tcW w:type="dxa" w:w="1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26465" cy="926465"/>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10"/>
                                <a:stretch>
                                  <a:fillRect/>
                                </a:stretch>
                              </pic:blipFill>
                              <pic:spPr>
                                <a:xfrm>
                                  <a:off x="0" y="0"/>
                                  <a:ext cx="926465" cy="926465"/>
                                </a:xfrm>
                                <a:prstGeom prst="rect">
                                  <a:avLst/>
                                </a:prstGeom>
                              </pic:spPr>
                            </pic:pic>
                          </a:graphicData>
                        </a:graphic>
                      </wp:inline>
                    </w:drawing>
                  </w:r>
                </w:p>
              </w:tc>
              <w:tc>
                <w:tcPr>
                  <w:tcW w:type="dxa" w:w="2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1.规格2900×114×2300mm（长×宽×高）</w:t>
                  </w:r>
                  <w:r>
                    <w:br/>
                  </w:r>
                  <w:r>
                    <w:rPr>
                      <w:sz w:val="20"/>
                      <w:color w:val="000000"/>
                    </w:rPr>
                    <w:t>2.主立柱为φ114×3mm，主横梁不小于φ32×3mm；</w:t>
                  </w:r>
                  <w:r>
                    <w:br/>
                  </w:r>
                  <w:r>
                    <w:rPr>
                      <w:sz w:val="20"/>
                      <w:color w:val="000000"/>
                    </w:rPr>
                    <w:t>3.表面处理方式：电动抛丸--静电喷塑</w:t>
                  </w:r>
                  <w:r>
                    <w:br/>
                  </w:r>
                  <w:r>
                    <w:rPr>
                      <w:sz w:val="20"/>
                      <w:color w:val="000000"/>
                    </w:rPr>
                    <w:t>4.安装方式：直埋</w:t>
                  </w:r>
                  <w:r>
                    <w:br/>
                  </w:r>
                  <w:r>
                    <w:rPr>
                      <w:sz w:val="20"/>
                      <w:color w:val="000000"/>
                    </w:rPr>
                    <w:t>5.器材符合</w:t>
                  </w:r>
                  <w:r>
                    <w:rPr>
                      <w:sz w:val="20"/>
                      <w:color w:val="000000"/>
                    </w:rPr>
                    <w:t>GB 19272-2024《室外健身器材的安全 通用要求》</w:t>
                  </w:r>
                  <w:r>
                    <w:rPr>
                      <w:sz w:val="20"/>
                      <w:color w:val="000000"/>
                    </w:rPr>
                    <w:t>中的规定要求</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肋木架</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42架</w:t>
                  </w:r>
                </w:p>
              </w:tc>
              <w:tc>
                <w:tcPr>
                  <w:tcW w:type="dxa" w:w="1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26465" cy="926465"/>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1"/>
                                <a:stretch>
                                  <a:fillRect/>
                                </a:stretch>
                              </pic:blipFill>
                              <pic:spPr>
                                <a:xfrm>
                                  <a:off x="0" y="0"/>
                                  <a:ext cx="926465" cy="926465"/>
                                </a:xfrm>
                                <a:prstGeom prst="rect">
                                  <a:avLst/>
                                </a:prstGeom>
                              </pic:spPr>
                            </pic:pic>
                          </a:graphicData>
                        </a:graphic>
                      </wp:inline>
                    </w:drawing>
                  </w:r>
                </w:p>
              </w:tc>
              <w:tc>
                <w:tcPr>
                  <w:tcW w:type="dxa" w:w="2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1.规格1200×114×2300mm（长×宽×高）</w:t>
                  </w:r>
                  <w:r>
                    <w:br/>
                  </w:r>
                  <w:r>
                    <w:rPr>
                      <w:sz w:val="20"/>
                      <w:color w:val="000000"/>
                    </w:rPr>
                    <w:t>2.主立柱为φ114×3mm，主横梁不小于φ32×3mm；</w:t>
                  </w:r>
                  <w:r>
                    <w:br/>
                  </w:r>
                  <w:r>
                    <w:rPr>
                      <w:sz w:val="20"/>
                      <w:color w:val="000000"/>
                    </w:rPr>
                    <w:t>3.表面处理方式：电动抛丸--静电喷塑</w:t>
                  </w:r>
                  <w:r>
                    <w:br/>
                  </w:r>
                  <w:r>
                    <w:rPr>
                      <w:sz w:val="20"/>
                      <w:color w:val="000000"/>
                    </w:rPr>
                    <w:t>4.安装方式：直埋</w:t>
                  </w:r>
                  <w:r>
                    <w:br/>
                  </w:r>
                  <w:r>
                    <w:rPr>
                      <w:sz w:val="20"/>
                      <w:color w:val="000000"/>
                    </w:rPr>
                    <w:t>5.器材符合</w:t>
                  </w:r>
                  <w:r>
                    <w:rPr>
                      <w:sz w:val="20"/>
                      <w:color w:val="000000"/>
                    </w:rPr>
                    <w:t>GB 19272-2024《室外健身器材的安全 通用要求》</w:t>
                  </w:r>
                  <w:r>
                    <w:rPr>
                      <w:sz w:val="20"/>
                      <w:color w:val="000000"/>
                    </w:rPr>
                    <w:t>中的规定要求</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四联康复器</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42台</w:t>
                  </w:r>
                </w:p>
              </w:tc>
              <w:tc>
                <w:tcPr>
                  <w:tcW w:type="dxa" w:w="1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26465" cy="1222630"/>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12"/>
                                <a:stretch>
                                  <a:fillRect/>
                                </a:stretch>
                              </pic:blipFill>
                              <pic:spPr>
                                <a:xfrm>
                                  <a:off x="0" y="0"/>
                                  <a:ext cx="926465" cy="1222630"/>
                                </a:xfrm>
                                <a:prstGeom prst="rect">
                                  <a:avLst/>
                                </a:prstGeom>
                              </pic:spPr>
                            </pic:pic>
                          </a:graphicData>
                        </a:graphic>
                      </wp:inline>
                    </w:drawing>
                  </w:r>
                </w:p>
              </w:tc>
              <w:tc>
                <w:tcPr>
                  <w:tcW w:type="dxa" w:w="2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1.1350×1300×1700mm四联康复器尺寸</w:t>
                  </w:r>
                </w:p>
                <w:p>
                  <w:pPr>
                    <w:pStyle w:val="null3"/>
                    <w:jc w:val="left"/>
                  </w:pPr>
                  <w:r>
                    <w:rPr>
                      <w:sz w:val="20"/>
                      <w:color w:val="000000"/>
                    </w:rPr>
                    <w:t>表面处理方式：电动抛丸</w:t>
                  </w:r>
                  <w:r>
                    <w:rPr>
                      <w:sz w:val="20"/>
                      <w:color w:val="000000"/>
                    </w:rPr>
                    <w:t>--静电喷塑</w:t>
                  </w:r>
                  <w:r>
                    <w:br/>
                  </w:r>
                  <w:r>
                    <w:rPr>
                      <w:sz w:val="20"/>
                      <w:color w:val="000000"/>
                    </w:rPr>
                    <w:t>2.安装方式：直埋</w:t>
                  </w:r>
                  <w:r>
                    <w:br/>
                  </w:r>
                  <w:r>
                    <w:rPr>
                      <w:sz w:val="20"/>
                      <w:color w:val="000000"/>
                    </w:rPr>
                    <w:t>3.器材符合</w:t>
                  </w:r>
                  <w:r>
                    <w:rPr>
                      <w:sz w:val="20"/>
                      <w:color w:val="000000"/>
                    </w:rPr>
                    <w:t>GB 19272-2024《室外健身器材的安全 通用要求》</w:t>
                  </w:r>
                  <w:r>
                    <w:rPr>
                      <w:sz w:val="20"/>
                      <w:color w:val="000000"/>
                    </w:rPr>
                    <w:t>中的规定要求</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儿童滑梯</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42台</w:t>
                  </w:r>
                </w:p>
              </w:tc>
              <w:tc>
                <w:tcPr>
                  <w:tcW w:type="dxa" w:w="1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26465" cy="926465"/>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13"/>
                                <a:stretch>
                                  <a:fillRect/>
                                </a:stretch>
                              </pic:blipFill>
                              <pic:spPr>
                                <a:xfrm>
                                  <a:off x="0" y="0"/>
                                  <a:ext cx="926465" cy="926465"/>
                                </a:xfrm>
                                <a:prstGeom prst="rect">
                                  <a:avLst/>
                                </a:prstGeom>
                              </pic:spPr>
                            </pic:pic>
                          </a:graphicData>
                        </a:graphic>
                      </wp:inline>
                    </w:drawing>
                  </w:r>
                </w:p>
              </w:tc>
              <w:tc>
                <w:tcPr>
                  <w:tcW w:type="dxa" w:w="2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1.3750*750*2000mm儿童滑梯</w:t>
                  </w:r>
                  <w:r>
                    <w:br/>
                  </w:r>
                  <w:r>
                    <w:rPr>
                      <w:sz w:val="20"/>
                      <w:color w:val="000000"/>
                    </w:rPr>
                    <w:t>2.主立柱90✘3mm，副管不小于20✘3mm</w:t>
                  </w:r>
                </w:p>
                <w:p>
                  <w:pPr>
                    <w:pStyle w:val="null3"/>
                    <w:jc w:val="left"/>
                  </w:pPr>
                  <w:r>
                    <w:rPr>
                      <w:sz w:val="20"/>
                      <w:color w:val="000000"/>
                    </w:rPr>
                    <w:t>表面处理方式：电动抛丸</w:t>
                  </w:r>
                  <w:r>
                    <w:rPr>
                      <w:sz w:val="20"/>
                      <w:color w:val="000000"/>
                    </w:rPr>
                    <w:t>--静电喷塑</w:t>
                  </w:r>
                  <w:r>
                    <w:br/>
                  </w:r>
                  <w:r>
                    <w:rPr>
                      <w:sz w:val="20"/>
                      <w:color w:val="000000"/>
                    </w:rPr>
                    <w:t>3.安装方式：直埋</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儿童滑梯乐园（核心产品）</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4座</w:t>
                  </w:r>
                </w:p>
              </w:tc>
              <w:tc>
                <w:tcPr>
                  <w:tcW w:type="dxa" w:w="1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26465" cy="926465"/>
                        <wp:docPr id="9" name="Drawing 9" descr="img"/>
                        <a:graphic xmlns:a="http://schemas.openxmlformats.org/drawingml/2006/main">
                          <a:graphicData uri="http://schemas.openxmlformats.org/drawingml/2006/picture">
                            <pic:pic xmlns:pic="http://schemas.openxmlformats.org/drawingml/2006/picture">
                              <pic:nvPicPr>
                                <pic:cNvPr id="0" name="Picture 9" descr="img"/>
                                <pic:cNvPicPr>
                                  <a:picLocks noChangeAspect="true"/>
                                </pic:cNvPicPr>
                              </pic:nvPicPr>
                              <pic:blipFill>
                                <a:blip r:embed="rId14"/>
                                <a:stretch>
                                  <a:fillRect/>
                                </a:stretch>
                              </pic:blipFill>
                              <pic:spPr>
                                <a:xfrm>
                                  <a:off x="0" y="0"/>
                                  <a:ext cx="926465" cy="926465"/>
                                </a:xfrm>
                                <a:prstGeom prst="rect">
                                  <a:avLst/>
                                </a:prstGeom>
                              </pic:spPr>
                            </pic:pic>
                          </a:graphicData>
                        </a:graphic>
                      </wp:inline>
                    </w:drawing>
                  </w:r>
                </w:p>
              </w:tc>
              <w:tc>
                <w:tcPr>
                  <w:tcW w:type="dxa" w:w="2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规格尺寸：</w:t>
                  </w:r>
                  <w:r>
                    <w:rPr>
                      <w:sz w:val="20"/>
                      <w:color w:val="000000"/>
                    </w:rPr>
                    <w:t xml:space="preserve"> 0.8×3.2×3.5 米</w:t>
                  </w:r>
                  <w:r>
                    <w:rPr>
                      <w:sz w:val="20"/>
                      <w:color w:val="000000"/>
                    </w:rPr>
                    <w:t>,尺寸允许偏差 ±5%</w:t>
                  </w:r>
                </w:p>
                <w:p>
                  <w:pPr>
                    <w:pStyle w:val="null3"/>
                    <w:jc w:val="left"/>
                  </w:pPr>
                  <w:r>
                    <w:rPr>
                      <w:sz w:val="20"/>
                      <w:color w:val="000000"/>
                    </w:rPr>
                    <w:t>2.</w:t>
                  </w:r>
                  <w:r>
                    <w:rPr>
                      <w:sz w:val="20"/>
                      <w:color w:val="000000"/>
                    </w:rPr>
                    <w:t>主体结构：主立柱钢管外径</w:t>
                  </w:r>
                  <w:r>
                    <w:rPr>
                      <w:sz w:val="20"/>
                      <w:color w:val="000000"/>
                    </w:rPr>
                    <w:t>≥90mm</w:t>
                  </w:r>
                  <w:r>
                    <w:rPr>
                      <w:sz w:val="20"/>
                      <w:color w:val="000000"/>
                    </w:rPr>
                    <w:t>；平台、楼梯采用厚度不低于</w:t>
                  </w:r>
                  <w:r>
                    <w:rPr>
                      <w:sz w:val="20"/>
                      <w:color w:val="000000"/>
                    </w:rPr>
                    <w:t xml:space="preserve"> 1.8mm 优质铁板制作，尺寸 1160×1160mm，允许偏差 ±5%；表面经除锈、除油、磷化、抛丸处理后做冲孔防滑处理，不积水。</w:t>
                  </w:r>
                </w:p>
                <w:p>
                  <w:pPr>
                    <w:pStyle w:val="null3"/>
                    <w:jc w:val="left"/>
                  </w:pPr>
                  <w:r>
                    <w:rPr>
                      <w:sz w:val="20"/>
                      <w:color w:val="000000"/>
                    </w:rPr>
                    <w:t>3.</w:t>
                  </w:r>
                  <w:r>
                    <w:rPr>
                      <w:sz w:val="20"/>
                      <w:color w:val="000000"/>
                    </w:rPr>
                    <w:t>表面处理：</w:t>
                  </w:r>
                  <w:r>
                    <w:rPr>
                      <w:sz w:val="20"/>
                      <w:color w:val="000000"/>
                    </w:rPr>
                    <w:t xml:space="preserve"> </w:t>
                  </w:r>
                  <w:r>
                    <w:rPr>
                      <w:sz w:val="20"/>
                      <w:color w:val="000000"/>
                    </w:rPr>
                    <w:t>钢结构件表面粉体涂装，高温固化，表面光滑、抗紫外线、抗腐蚀、色彩鲜艳、不易脱落。</w:t>
                  </w:r>
                </w:p>
                <w:p>
                  <w:pPr>
                    <w:pStyle w:val="null3"/>
                    <w:jc w:val="left"/>
                  </w:pPr>
                  <w:r>
                    <w:rPr>
                      <w:sz w:val="20"/>
                      <w:color w:val="000000"/>
                    </w:rPr>
                    <w:t>4.</w:t>
                  </w:r>
                  <w:r>
                    <w:rPr>
                      <w:sz w:val="20"/>
                      <w:color w:val="000000"/>
                    </w:rPr>
                    <w:t>塑料部件：</w:t>
                  </w:r>
                  <w:r>
                    <w:rPr>
                      <w:sz w:val="20"/>
                      <w:color w:val="000000"/>
                    </w:rPr>
                    <w:t xml:space="preserve"> </w:t>
                  </w:r>
                  <w:r>
                    <w:rPr>
                      <w:sz w:val="20"/>
                      <w:color w:val="000000"/>
                    </w:rPr>
                    <w:t>采用优质工程塑料原料，添加抗紫外线稳定剂、抗静电剂、抗老化剂，一体成型；抗紫外线、防褪色、抗脆化、防静电性能持久稳定。</w:t>
                  </w:r>
                </w:p>
                <w:p>
                  <w:pPr>
                    <w:pStyle w:val="null3"/>
                    <w:jc w:val="left"/>
                  </w:pPr>
                  <w:r>
                    <w:rPr>
                      <w:sz w:val="20"/>
                      <w:color w:val="000000"/>
                    </w:rPr>
                    <w:t>5.</w:t>
                  </w:r>
                  <w:r>
                    <w:rPr>
                      <w:sz w:val="20"/>
                      <w:color w:val="000000"/>
                    </w:rPr>
                    <w:t>金属扣件：</w:t>
                  </w:r>
                  <w:r>
                    <w:rPr>
                      <w:sz w:val="20"/>
                      <w:color w:val="000000"/>
                    </w:rPr>
                    <w:t xml:space="preserve"> </w:t>
                  </w:r>
                  <w:r>
                    <w:rPr>
                      <w:sz w:val="20"/>
                      <w:color w:val="000000"/>
                    </w:rPr>
                    <w:t>采用高强度金属材质，边角光滑无毛刺；表面喷涂环保聚酯粉末，高温固化，抗紫外线能力强，色彩鲜艳不易脱落。</w:t>
                  </w:r>
                </w:p>
                <w:p>
                  <w:pPr>
                    <w:pStyle w:val="null3"/>
                    <w:jc w:val="left"/>
                  </w:pPr>
                  <w:r>
                    <w:rPr>
                      <w:sz w:val="20"/>
                      <w:color w:val="000000"/>
                    </w:rPr>
                    <w:t>6.</w:t>
                  </w:r>
                  <w:r>
                    <w:rPr>
                      <w:sz w:val="20"/>
                      <w:color w:val="000000"/>
                    </w:rPr>
                    <w:t>紧固件：</w:t>
                  </w:r>
                  <w:r>
                    <w:rPr>
                      <w:sz w:val="20"/>
                      <w:color w:val="000000"/>
                    </w:rPr>
                    <w:t xml:space="preserve"> </w:t>
                  </w:r>
                  <w:r>
                    <w:rPr>
                      <w:sz w:val="20"/>
                      <w:color w:val="000000"/>
                    </w:rPr>
                    <w:t>全部采用不锈钢材质，外露螺丝做安全防护处理。</w:t>
                  </w:r>
                </w:p>
                <w:p>
                  <w:pPr>
                    <w:pStyle w:val="null3"/>
                    <w:jc w:val="left"/>
                  </w:pPr>
                  <w:r>
                    <w:rPr>
                      <w:sz w:val="20"/>
                      <w:color w:val="000000"/>
                    </w:rPr>
                    <w:t>7.</w:t>
                  </w:r>
                  <w:r>
                    <w:rPr>
                      <w:sz w:val="20"/>
                      <w:color w:val="000000"/>
                    </w:rPr>
                    <w:t>安全要求：</w:t>
                  </w:r>
                  <w:r>
                    <w:rPr>
                      <w:sz w:val="20"/>
                      <w:color w:val="000000"/>
                    </w:rPr>
                    <w:t xml:space="preserve"> </w:t>
                  </w:r>
                  <w:r>
                    <w:rPr>
                      <w:sz w:val="20"/>
                      <w:color w:val="000000"/>
                    </w:rPr>
                    <w:t>所有接触面、边角均做倒圆角处理，儿童手可触及的内外表面均无毛刺及尖锐棱角，保障使用者安全。</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室内折叠乒乓球台</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6台</w:t>
                  </w:r>
                </w:p>
              </w:tc>
              <w:tc>
                <w:tcPr>
                  <w:tcW w:type="dxa" w:w="1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26465" cy="698645"/>
                        <wp:docPr id="10" name="Drawing 10" descr="img"/>
                        <a:graphic xmlns:a="http://schemas.openxmlformats.org/drawingml/2006/main">
                          <a:graphicData uri="http://schemas.openxmlformats.org/drawingml/2006/picture">
                            <pic:pic xmlns:pic="http://schemas.openxmlformats.org/drawingml/2006/picture">
                              <pic:nvPicPr>
                                <pic:cNvPr id="0" name="Picture 10" descr="img"/>
                                <pic:cNvPicPr>
                                  <a:picLocks noChangeAspect="true"/>
                                </pic:cNvPicPr>
                              </pic:nvPicPr>
                              <pic:blipFill>
                                <a:blip r:embed="rId15"/>
                                <a:stretch>
                                  <a:fillRect/>
                                </a:stretch>
                              </pic:blipFill>
                              <pic:spPr>
                                <a:xfrm>
                                  <a:off x="0" y="0"/>
                                  <a:ext cx="926465" cy="698645"/>
                                </a:xfrm>
                                <a:prstGeom prst="rect">
                                  <a:avLst/>
                                </a:prstGeom>
                              </pic:spPr>
                            </pic:pic>
                          </a:graphicData>
                        </a:graphic>
                      </wp:inline>
                    </w:drawing>
                  </w:r>
                </w:p>
              </w:tc>
              <w:tc>
                <w:tcPr>
                  <w:tcW w:type="dxa" w:w="2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0"/>
                    </w:rPr>
                    <w:t>台面外形尺寸：</w:t>
                  </w:r>
                  <w:r>
                    <w:rPr>
                      <w:sz w:val="20"/>
                    </w:rPr>
                    <w:t>2740mm×1525mm×760mm，尺寸允许偏差符合 GB/T 32597?2016 标准要求；台面基材采用高密度纤维板，板材厚度、密度满足国标乒乓球台性能要求，台面平整不变形，球台标线清晰、耐久。</w:t>
                  </w:r>
                </w:p>
                <w:p>
                  <w:pPr>
                    <w:pStyle w:val="null3"/>
                    <w:numPr>
                      <w:ilvl w:val="0"/>
                      <w:numId w:val="1"/>
                    </w:numPr>
                    <w:jc w:val="left"/>
                  </w:pPr>
                  <w:r>
                    <w:rPr>
                      <w:sz w:val="20"/>
                    </w:rPr>
                    <w:t>台面漆面为哑光</w:t>
                  </w:r>
                  <w:r>
                    <w:rPr>
                      <w:sz w:val="20"/>
                    </w:rPr>
                    <w:t xml:space="preserve"> UV 漆或聚酯漆，漆膜具备良好耐磨、抗刮性能；台边配置防撞包边，包边可采用 PVC 或铝合金材质，起到防撞防护作用。</w:t>
                  </w:r>
                </w:p>
                <w:p>
                  <w:pPr>
                    <w:pStyle w:val="null3"/>
                    <w:jc w:val="left"/>
                  </w:pPr>
                  <w:r>
                    <w:rPr>
                      <w:sz w:val="20"/>
                    </w:rPr>
                    <w:t>3.台架主体采用 Q235 或 Q355 碳素结构钢方管制作，方管截面不小于 40mm×40mm，壁厚≥2.0mm；钢结构除锈质量等级达到 Sa2.5 级，除锈后静电粉末喷涂、高温固化，涂层具备良好耐腐蚀性能。</w:t>
                  </w:r>
                </w:p>
                <w:p>
                  <w:pPr>
                    <w:pStyle w:val="null3"/>
                    <w:jc w:val="left"/>
                  </w:pPr>
                  <w:r>
                    <w:rPr>
                      <w:sz w:val="20"/>
                    </w:rPr>
                    <w:t>4.</w:t>
                  </w:r>
                  <w:r>
                    <w:rPr>
                      <w:sz w:val="20"/>
                    </w:rPr>
                    <w:t>结构：</w:t>
                  </w:r>
                  <w:r>
                    <w:rPr>
                      <w:sz w:val="20"/>
                    </w:rPr>
                    <w:t>三角稳定支撑、双横梁</w:t>
                  </w:r>
                  <w:r>
                    <w:rPr>
                      <w:sz w:val="20"/>
                    </w:rPr>
                    <w:t>/多横梁</w:t>
                  </w:r>
                </w:p>
                <w:p>
                  <w:pPr>
                    <w:pStyle w:val="null3"/>
                    <w:jc w:val="left"/>
                  </w:pPr>
                  <w:r>
                    <w:rPr>
                      <w:sz w:val="20"/>
                    </w:rPr>
                    <w:t>折叠铰链、磁吸定位（拼接缝</w:t>
                  </w:r>
                  <w:r>
                    <w:rPr>
                      <w:sz w:val="20"/>
                    </w:rPr>
                    <w:t>≤1mm）</w:t>
                  </w:r>
                </w:p>
                <w:p>
                  <w:pPr>
                    <w:pStyle w:val="null3"/>
                    <w:jc w:val="left"/>
                  </w:pPr>
                  <w:r>
                    <w:rPr>
                      <w:sz w:val="20"/>
                    </w:rPr>
                    <w:t>5.移动脚轮：单轮承重≥40kg，轮径≥75mm；脚轮材质为聚氨酯（PU）或橡胶材质。</w:t>
                  </w:r>
                </w:p>
                <w:p>
                  <w:pPr>
                    <w:pStyle w:val="null3"/>
                    <w:jc w:val="left"/>
                  </w:pPr>
                  <w:r>
                    <w:rPr>
                      <w:sz w:val="20"/>
                    </w:rPr>
                    <w:t>6.</w:t>
                  </w:r>
                  <w:r>
                    <w:rPr>
                      <w:sz w:val="20"/>
                    </w:rPr>
                    <w:t>功能：</w:t>
                  </w:r>
                  <w:r>
                    <w:rPr>
                      <w:sz w:val="20"/>
                    </w:rPr>
                    <w:t>360°转向 + 刹车锁定</w:t>
                  </w:r>
                  <w:r>
                    <w:rPr>
                      <w:sz w:val="20"/>
                    </w:rPr>
                    <w:t>，</w:t>
                  </w:r>
                  <w:r>
                    <w:rPr>
                      <w:sz w:val="20"/>
                    </w:rPr>
                    <w:t>静音、不伤地板</w:t>
                  </w:r>
                  <w:r>
                    <w:rPr>
                      <w:sz w:val="20"/>
                    </w:rPr>
                    <w:t>。</w:t>
                  </w:r>
                </w:p>
                <w:p>
                  <w:pPr>
                    <w:pStyle w:val="null3"/>
                    <w:jc w:val="left"/>
                  </w:pPr>
                  <w:r>
                    <w:rPr>
                      <w:sz w:val="20"/>
                    </w:rPr>
                    <w:t>7.器材符合GB/T 32597-2016《乒乓球台的安全、性能要求和试验方法》</w:t>
                  </w:r>
                  <w:r>
                    <w:rPr>
                      <w:sz w:val="20"/>
                    </w:rPr>
                    <w:t>或相关室内器材标准。</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1.采购代理机构：本项目是指公诚管理咨询有限公司，负责整个采购活动的组织，依法负责编制和发布招标文件，对招标文件拥有最终的解释权，不以任何身份出任评标委员会成员。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饶平县体育发展中心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采购机构代理服务收费标准：根据委托代理合同规定收取。如中标总价大于或等于100万，代理服务费=1000000×1.5% + (中标总价−1000000)×1.1%；如中标总价小于100万，代理服务费=1中标总价×1.5%。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公诚管理咨询有限公司</w:t>
      </w:r>
      <w:r>
        <w:rPr/>
        <w:t>代收。具体操作要求详见</w:t>
      </w:r>
      <w:r>
        <w:rPr/>
        <w:t>公诚管理咨询有限公司</w:t>
      </w:r>
      <w:r>
        <w:rPr/>
        <w:t>有关指引，递交事宜请自行咨询</w:t>
      </w:r>
      <w:r>
        <w:rPr/>
        <w:t>公诚管理咨询有限公司</w:t>
      </w:r>
      <w:r>
        <w:rPr/>
        <w:t>；请各投标人在投标文件递交截止时间前按须知前附表规定的金额递交至</w:t>
      </w:r>
      <w:r>
        <w:rPr/>
        <w:t>公诚管理咨询有限公司</w:t>
      </w:r>
      <w:r>
        <w:rPr/>
        <w:t>，到账情况以开标时</w:t>
      </w:r>
      <w:r>
        <w:rPr/>
        <w:t>公诚管理咨询有限公司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陈平平</w:t>
      </w:r>
    </w:p>
    <w:p>
      <w:pPr>
        <w:pStyle w:val="null3"/>
        <w:ind w:firstLine="480"/>
      </w:pPr>
      <w:r>
        <w:rPr/>
        <w:t>电话：</w:t>
      </w:r>
      <w:r>
        <w:rPr/>
        <w:t>0768-3269996</w:t>
      </w:r>
    </w:p>
    <w:p>
      <w:pPr>
        <w:pStyle w:val="null3"/>
        <w:ind w:firstLine="480"/>
      </w:pPr>
      <w:r>
        <w:rPr/>
        <w:t>传真：</w:t>
      </w:r>
      <w:r>
        <w:rPr/>
        <w:t>0768-3269996</w:t>
      </w:r>
    </w:p>
    <w:p>
      <w:pPr>
        <w:pStyle w:val="null3"/>
        <w:ind w:firstLine="480"/>
      </w:pPr>
      <w:r>
        <w:rPr/>
        <w:t>邮箱：</w:t>
      </w:r>
      <w:r>
        <w:rPr/>
        <w:t>gczxzb_cz@163.com</w:t>
      </w:r>
    </w:p>
    <w:p>
      <w:pPr>
        <w:pStyle w:val="null3"/>
        <w:ind w:firstLine="480"/>
      </w:pPr>
      <w:r>
        <w:rPr/>
        <w:t>地址：</w:t>
      </w:r>
      <w:r>
        <w:rPr/>
        <w:t>广东省潮州市湘桥区潮枫路223号新时空大厦8楼</w:t>
      </w:r>
    </w:p>
    <w:p>
      <w:pPr>
        <w:pStyle w:val="null3"/>
        <w:ind w:firstLine="480"/>
      </w:pPr>
      <w:r>
        <w:rPr/>
        <w:t>邮编：</w:t>
      </w:r>
      <w:r>
        <w:rPr/>
        <w:t>521000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政府采购监督管理机构名称：潮州市饶平县财政局政府采购监督管理股</w:t>
      </w:r>
    </w:p>
    <w:p>
      <w:pPr>
        <w:pStyle w:val="null3"/>
      </w:pPr>
      <w:r>
        <w:rPr/>
        <w:t>地 址：潮州市饶平县黄冈镇沿河北路25号饶平县财政局701室</w:t>
      </w:r>
    </w:p>
    <w:p>
      <w:pPr>
        <w:pStyle w:val="null3"/>
      </w:pPr>
      <w:r>
        <w:rPr/>
        <w:t>电 话：0768-8890164</w:t>
      </w:r>
    </w:p>
    <w:p>
      <w:pPr>
        <w:pStyle w:val="null3"/>
      </w:pPr>
      <w:r>
        <w:rPr/>
        <w:t>邮 编：515700</w:t>
      </w:r>
    </w:p>
    <w:p>
      <w:pPr>
        <w:pStyle w:val="null3"/>
      </w:pPr>
      <w:r>
        <w:rPr/>
        <w:t>传 真：0768-8860105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饶平县健身路径、篮球架及乒乓球台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公诚管理咨询有限公司</w:t>
      </w:r>
      <w:r>
        <w:rPr/>
        <w:t>统一对外发布。</w:t>
      </w:r>
    </w:p>
    <w:p>
      <w:pPr>
        <w:pStyle w:val="null3"/>
        <w:ind w:firstLine="480"/>
      </w:pPr>
      <w:r>
        <w:rPr/>
        <w:t>（2）对</w:t>
      </w:r>
      <w:r>
        <w:rPr/>
        <w:t>公诚管理咨询有限公司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采购包1（2026年饶平县健身路径、篮球架及乒乓球台采购项目）：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采购包1（2026年饶平县健身路径、篮球架及乒乓球台采购项目）：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提供相应证明材料。或按附件格式提供《资格承诺函》。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2025年度或2026年1月至投标截止时间前（至少一个月份）的财务状况报表（至少包括利润表、资产负债表、现金流量表）或基本开户行出具的资信证明或按附件格式提供《资格承诺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参照投标（报价）函相关承诺格式内容或按附件格式提供《资格承诺函》。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是否接受联合体</w:t>
            </w:r>
          </w:p>
        </w:tc>
        <w:tc>
          <w:tcPr>
            <w:tcW w:type="dxa" w:w="4238"/>
          </w:tcPr>
          <w:p>
            <w:pPr>
              <w:pStyle w:val="null3"/>
            </w:pPr>
            <w:r>
              <w:rPr/>
              <w:t>本项目不接受联合体。</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参与的供应商（联合体）提供的货物全部由符合政策要求的中小企业制造</w:t>
            </w:r>
          </w:p>
        </w:tc>
      </w:tr>
    </w:tbl>
    <w:p>
      <w:pPr>
        <w:pStyle w:val="null3"/>
        <w:ind w:firstLine="480"/>
      </w:pPr>
      <w:r>
        <w:rPr/>
        <w:t>表二符合性审查表：</w:t>
      </w:r>
    </w:p>
    <w:p>
      <w:pPr>
        <w:pStyle w:val="null3"/>
      </w:pPr>
      <w:r>
        <w:rPr/>
        <w:t>采购包1（2026年饶平县健身路径、篮球架及乒乓球台采购项目）：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投标报价唯一且符合招标文件规定的报价要求。</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法定代表人证明书或授权委托书</w:t>
            </w:r>
          </w:p>
        </w:tc>
        <w:tc>
          <w:tcPr>
            <w:tcW w:type="dxa" w:w="4238"/>
          </w:tcPr>
          <w:p>
            <w:pPr>
              <w:pStyle w:val="null3"/>
            </w:pPr>
            <w:r>
              <w:rPr/>
              <w:t>法定代表人证明书/法定代表人证明书及法定代表人授权书（投标签字代表为授权代表时）有效，按对应格式文件签署、盖章。</w:t>
            </w:r>
          </w:p>
        </w:tc>
      </w:tr>
      <w:tr>
        <w:tc>
          <w:tcPr>
            <w:tcW w:type="dxa" w:w="890"/>
          </w:tcPr>
          <w:p>
            <w:pPr>
              <w:pStyle w:val="null3"/>
            </w:pPr>
            <w:r>
              <w:rPr/>
              <w:t>4</w:t>
            </w:r>
          </w:p>
        </w:tc>
        <w:tc>
          <w:tcPr>
            <w:tcW w:type="dxa" w:w="3178"/>
          </w:tcPr>
          <w:p>
            <w:pPr>
              <w:pStyle w:val="null3"/>
            </w:pPr>
            <w:r>
              <w:rPr/>
              <w:t>签字盖章要求</w:t>
            </w:r>
          </w:p>
        </w:tc>
        <w:tc>
          <w:tcPr>
            <w:tcW w:type="dxa" w:w="4238"/>
          </w:tcPr>
          <w:p>
            <w:pPr>
              <w:pStyle w:val="null3"/>
            </w:pPr>
            <w:r>
              <w:rPr/>
              <w:t>按照招标文件规定要求签署、盖章。</w:t>
            </w:r>
          </w:p>
        </w:tc>
      </w:tr>
      <w:tr>
        <w:tc>
          <w:tcPr>
            <w:tcW w:type="dxa" w:w="890"/>
          </w:tcPr>
          <w:p>
            <w:pPr>
              <w:pStyle w:val="null3"/>
            </w:pPr>
            <w:r>
              <w:rPr/>
              <w:t>5</w:t>
            </w:r>
          </w:p>
        </w:tc>
        <w:tc>
          <w:tcPr>
            <w:tcW w:type="dxa" w:w="3178"/>
          </w:tcPr>
          <w:p>
            <w:pPr>
              <w:pStyle w:val="null3"/>
            </w:pPr>
            <w:r>
              <w:rPr/>
              <w:t>实质性要求</w:t>
            </w:r>
          </w:p>
        </w:tc>
        <w:tc>
          <w:tcPr>
            <w:tcW w:type="dxa" w:w="4238"/>
          </w:tcPr>
          <w:p>
            <w:pPr>
              <w:pStyle w:val="null3"/>
            </w:pPr>
            <w:r>
              <w:rPr/>
              <w:t>符合招标文件中规定的其他实质性要求。</w:t>
            </w:r>
          </w:p>
        </w:tc>
      </w:tr>
      <w:tr>
        <w:tc>
          <w:tcPr>
            <w:tcW w:type="dxa" w:w="890"/>
          </w:tcPr>
          <w:p>
            <w:pPr>
              <w:pStyle w:val="null3"/>
            </w:pPr>
            <w:r>
              <w:rPr/>
              <w:t>6</w:t>
            </w:r>
          </w:p>
        </w:tc>
        <w:tc>
          <w:tcPr>
            <w:tcW w:type="dxa" w:w="3178"/>
          </w:tcPr>
          <w:p>
            <w:pPr>
              <w:pStyle w:val="null3"/>
            </w:pPr>
            <w:r>
              <w:rPr/>
              <w:t>其他要求</w:t>
            </w:r>
          </w:p>
        </w:tc>
        <w:tc>
          <w:tcPr>
            <w:tcW w:type="dxa" w:w="4238"/>
          </w:tcPr>
          <w:p>
            <w:pPr>
              <w:pStyle w:val="null3"/>
            </w:pPr>
            <w:r>
              <w:rPr/>
              <w:t>符合法律、法规规定的其他实质性要求。</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采购包1(2026年饶平县健身路径、篮球架及乒乓球台采购项目):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商务部分18.0分</w:t>
            </w:r>
          </w:p>
          <w:p>
            <w:pPr>
              <w:pStyle w:val="null3"/>
            </w:pPr>
            <w:r>
              <w:rPr/>
              <w:t>技术部分52.0分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技术指标响应情况 (23.0分)</w:t>
            </w:r>
          </w:p>
        </w:tc>
        <w:tc>
          <w:tcPr>
            <w:tcW w:type="dxa" w:w="5076"/>
          </w:tcPr>
          <w:p>
            <w:pPr>
              <w:pStyle w:val="null3"/>
              <w:jc w:val="left"/>
            </w:pPr>
            <w:r>
              <w:rPr/>
              <w:t>根据投标供应商参投产品技术参数的响应程度作为评审依据。技术参数总共46项，每项0.5分，全部满足或优于招标文件要求得23分；有任何一项技术参数不满足招标文件要求的，每项扣0.5分。</w:t>
            </w:r>
          </w:p>
        </w:tc>
      </w:tr>
      <w:tr>
        <w:tc>
          <w:tcPr>
            <w:tcW w:type="dxa" w:w="922"/>
            <w:gridSpan w:val="2"/>
            <w:vMerge/>
          </w:tcPr>
          <w:p/>
        </w:tc>
        <w:tc>
          <w:tcPr>
            <w:tcW w:type="dxa" w:w="2307"/>
          </w:tcPr>
          <w:p>
            <w:pPr>
              <w:pStyle w:val="null3"/>
              <w:jc w:val="left"/>
            </w:pPr>
            <w:r>
              <w:rPr/>
              <w:t>项目实施方案 (11.0分)</w:t>
            </w:r>
          </w:p>
        </w:tc>
        <w:tc>
          <w:tcPr>
            <w:tcW w:type="dxa" w:w="5076"/>
          </w:tcPr>
          <w:p>
            <w:pPr>
              <w:pStyle w:val="null3"/>
              <w:jc w:val="left"/>
            </w:pPr>
            <w:r>
              <w:rPr/>
              <w:t>根据投标人针对本次项目提供的项目实施方案的合理性、可行性、保障性的综合评审。项目实施方案完全满足且优于用户需求，得11分； 项目实施方案完全满足用户需求，得7分； 项目实施方案不能完全满足用户需求，得3分； 未提供方案不得分。</w:t>
            </w:r>
          </w:p>
        </w:tc>
      </w:tr>
      <w:tr>
        <w:tc>
          <w:tcPr>
            <w:tcW w:type="dxa" w:w="922"/>
            <w:gridSpan w:val="2"/>
            <w:vMerge/>
          </w:tcPr>
          <w:p/>
        </w:tc>
        <w:tc>
          <w:tcPr>
            <w:tcW w:type="dxa" w:w="2307"/>
          </w:tcPr>
          <w:p>
            <w:pPr>
              <w:pStyle w:val="null3"/>
              <w:jc w:val="left"/>
            </w:pPr>
            <w:r>
              <w:rPr/>
              <w:t>项目供货计划及保证措施方案 (9.0分)</w:t>
            </w:r>
          </w:p>
        </w:tc>
        <w:tc>
          <w:tcPr>
            <w:tcW w:type="dxa" w:w="5076"/>
          </w:tcPr>
          <w:p>
            <w:pPr>
              <w:pStyle w:val="null3"/>
              <w:jc w:val="left"/>
            </w:pPr>
            <w:r>
              <w:rPr/>
              <w:t>根据投标人提供的项目供货计划及保证措施方案的可行性方案等综合评审。 项目供货计划及保证措施完全满足且优于用户需求，得9分； 项目供货计划及保证措施完全满足用户需求，得5分； 项目供货计划及保证措施不能完全满足用户需求，得1分； 未提供方案不得分。</w:t>
            </w:r>
          </w:p>
        </w:tc>
      </w:tr>
      <w:tr>
        <w:tc>
          <w:tcPr>
            <w:tcW w:type="dxa" w:w="922"/>
            <w:gridSpan w:val="2"/>
            <w:vMerge/>
          </w:tcPr>
          <w:p/>
        </w:tc>
        <w:tc>
          <w:tcPr>
            <w:tcW w:type="dxa" w:w="2307"/>
          </w:tcPr>
          <w:p>
            <w:pPr>
              <w:pStyle w:val="null3"/>
              <w:jc w:val="left"/>
            </w:pPr>
            <w:r>
              <w:rPr/>
              <w:t>售后服务方案 (9.0分)</w:t>
            </w:r>
          </w:p>
        </w:tc>
        <w:tc>
          <w:tcPr>
            <w:tcW w:type="dxa" w:w="5076"/>
          </w:tcPr>
          <w:p>
            <w:pPr>
              <w:pStyle w:val="null3"/>
              <w:jc w:val="left"/>
            </w:pPr>
            <w:r>
              <w:rPr/>
              <w:t>投标人提供针对本项目的售后服务方案：方案贴合实际，针对性和可实施性很强，完全满足且优于用户需求，得9分； 方案完全满足用户需求，得5分； 方案不能完全满足用户需求，得1分； 未提供方案不得分。未提供方案不得分。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类似项目业绩 (12.0分)</w:t>
            </w:r>
          </w:p>
        </w:tc>
        <w:tc>
          <w:tcPr>
            <w:tcW w:type="dxa" w:w="5076"/>
          </w:tcPr>
          <w:p>
            <w:pPr>
              <w:pStyle w:val="null3"/>
              <w:jc w:val="left"/>
            </w:pPr>
            <w:r>
              <w:rPr/>
              <w:t>响应供应商 2023 年 1 月 1 日至今完成同类项目业绩，同类项目指健身路径、篮球架、乒乓球台等体育健身器材采购供货项目，合同含上述任一产品即为同类业绩。每项有效业绩得 4 分，最高 12 分。 注：每项业绩仅需提供项目合同复印件，合同内需清晰体现供货内容、合同签订时间、合同金额，无法体现关键信息的业绩不予计分。</w:t>
            </w:r>
          </w:p>
        </w:tc>
      </w:tr>
      <w:tr>
        <w:tc>
          <w:tcPr>
            <w:tcW w:type="dxa" w:w="922"/>
            <w:gridSpan w:val="2"/>
            <w:vMerge/>
          </w:tcPr>
          <w:p/>
        </w:tc>
        <w:tc>
          <w:tcPr>
            <w:tcW w:type="dxa" w:w="2307"/>
          </w:tcPr>
          <w:p>
            <w:pPr>
              <w:pStyle w:val="null3"/>
              <w:jc w:val="left"/>
            </w:pPr>
            <w:r>
              <w:rPr/>
              <w:t>拟投入团队人员情况 (6.0分)</w:t>
            </w:r>
          </w:p>
        </w:tc>
        <w:tc>
          <w:tcPr>
            <w:tcW w:type="dxa" w:w="5076"/>
          </w:tcPr>
          <w:p>
            <w:pPr>
              <w:pStyle w:val="null3"/>
              <w:jc w:val="left"/>
            </w:pPr>
            <w:r>
              <w:rPr/>
              <w:t>拟投入团队人员完成过类似项目的经验，每提供一人得2分，最高得6分。 注：提供人员参与类似项目的证明文件（项目合同及证明该人员参与过对应项目的文件，加盖公章），本单位为其购买的近3个月内（截止至磋商公告发布之日起的上一个月）任1个月的社保证明复印件（或劳动合同扫描件），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b/>
        </w:rPr>
        <w:t xml:space="preserve"> </w:t>
      </w:r>
    </w:p>
    <w:p>
      <w:pPr>
        <w:pStyle w:val="null3"/>
        <w:jc w:val="center"/>
      </w:pPr>
      <w:r>
        <w:rPr>
          <w:sz w:val="48"/>
          <w:b/>
        </w:rPr>
        <w:t>合　同　书</w:t>
      </w:r>
    </w:p>
    <w:p>
      <w:pPr>
        <w:pStyle w:val="null3"/>
        <w:jc w:val="center"/>
      </w:pPr>
      <w:r>
        <w:br/>
      </w:r>
      <w:r>
        <w:br/>
      </w:r>
      <w:r>
        <w:br/>
      </w:r>
      <w:r>
        <w:br/>
      </w:r>
      <w:r>
        <w:br/>
      </w:r>
      <w:r>
        <w:rPr/>
        <w:t xml:space="preserve">   </w:t>
      </w:r>
    </w:p>
    <w:p>
      <w:pPr>
        <w:pStyle w:val="null3"/>
        <w:jc w:val="center"/>
      </w:pPr>
      <w:r>
        <w:rPr>
          <w:sz w:val="28"/>
          <w:color w:val="222222"/>
        </w:rPr>
        <w:t>采购计划编号：</w:t>
      </w:r>
      <w:r>
        <w:rPr>
          <w:u w:val="single"/>
        </w:rPr>
        <w:t xml:space="preserve">                                                   </w:t>
      </w:r>
    </w:p>
    <w:p>
      <w:pPr>
        <w:pStyle w:val="null3"/>
        <w:jc w:val="both"/>
      </w:pPr>
      <w:r>
        <w:rPr/>
        <w:t xml:space="preserve"> </w:t>
      </w:r>
    </w:p>
    <w:p>
      <w:pPr>
        <w:pStyle w:val="null3"/>
        <w:jc w:val="center"/>
      </w:pPr>
      <w:r>
        <w:rPr>
          <w:sz w:val="28"/>
          <w:color w:val="222222"/>
        </w:rPr>
        <w:t>项目编号：</w:t>
      </w:r>
      <w:r>
        <w:rPr>
          <w:u w:val="single"/>
        </w:rPr>
        <w:t xml:space="preserve">                                                           </w:t>
      </w:r>
    </w:p>
    <w:p>
      <w:pPr>
        <w:pStyle w:val="null3"/>
        <w:jc w:val="both"/>
      </w:pPr>
      <w:r>
        <w:rPr/>
        <w:t xml:space="preserve"> </w:t>
      </w:r>
    </w:p>
    <w:p>
      <w:pPr>
        <w:pStyle w:val="null3"/>
        <w:jc w:val="center"/>
      </w:pPr>
      <w:r>
        <w:rPr>
          <w:sz w:val="28"/>
          <w:color w:val="222222"/>
        </w:rPr>
        <w:t>项目名称：</w:t>
      </w:r>
      <w:r>
        <w:rPr>
          <w:sz w:val="24"/>
          <w:u w:val="single"/>
        </w:rPr>
        <w:t xml:space="preserve"> </w:t>
      </w:r>
      <w:r>
        <w:rPr>
          <w:sz w:val="24"/>
          <w:u w:val="single"/>
        </w:rPr>
        <w:t>20</w:t>
      </w:r>
      <w:r>
        <w:rPr>
          <w:sz w:val="24"/>
          <w:u w:val="single"/>
        </w:rPr>
        <w:t>26</w:t>
      </w:r>
      <w:r>
        <w:rPr>
          <w:sz w:val="24"/>
          <w:u w:val="single"/>
        </w:rPr>
        <w:t>年健身路径、篮球架及乒乓球台采购项目</w:t>
      </w:r>
    </w:p>
    <w:p>
      <w:pPr>
        <w:pStyle w:val="null3"/>
        <w:jc w:val="center"/>
      </w:pPr>
      <w:r>
        <w:rPr>
          <w:sz w:val="20"/>
        </w:rPr>
        <w:t>注：本合同仅为参考文本，合同签订双方可根据项目的具体要求进行修订。最终以合同签订双方共同拟定并协商一致的为准。</w:t>
      </w:r>
    </w:p>
    <w:p>
      <w:pPr>
        <w:pStyle w:val="null3"/>
        <w:jc w:val="both"/>
      </w:pPr>
      <w:r>
        <w:rPr/>
        <w:t xml:space="preserve"> </w:t>
      </w:r>
    </w:p>
    <w:p>
      <w:pPr>
        <w:pStyle w:val="null3"/>
        <w:jc w:val="both"/>
      </w:pPr>
      <w:r>
        <w:rPr>
          <w:sz w:val="20"/>
          <w:b/>
        </w:rPr>
        <w:t>甲　　方：</w:t>
      </w:r>
      <w:r>
        <w:rPr>
          <w:sz w:val="20"/>
          <w:b/>
          <w:u w:val="single"/>
        </w:rPr>
        <w:t>饶平县体育发展中心</w:t>
      </w:r>
    </w:p>
    <w:p>
      <w:pPr>
        <w:pStyle w:val="null3"/>
        <w:jc w:val="both"/>
      </w:pPr>
      <w:r>
        <w:rPr>
          <w:sz w:val="20"/>
        </w:rPr>
        <w:t>电　　话：　　传　　真：　　地　　址：</w:t>
      </w:r>
    </w:p>
    <w:p>
      <w:pPr>
        <w:pStyle w:val="null3"/>
        <w:jc w:val="both"/>
      </w:pPr>
      <w:r>
        <w:rPr>
          <w:sz w:val="20"/>
          <w:b/>
        </w:rPr>
        <w:t>乙　　方：</w:t>
      </w:r>
    </w:p>
    <w:p>
      <w:pPr>
        <w:pStyle w:val="null3"/>
        <w:jc w:val="both"/>
      </w:pPr>
      <w:r>
        <w:rPr>
          <w:sz w:val="20"/>
        </w:rPr>
        <w:t>电　　话：　　传　　真：　　地　　址：</w:t>
      </w:r>
    </w:p>
    <w:p>
      <w:pPr>
        <w:pStyle w:val="null3"/>
        <w:jc w:val="both"/>
      </w:pPr>
      <w:r>
        <w:rPr>
          <w:sz w:val="20"/>
        </w:rPr>
        <w:t>根据</w:t>
      </w:r>
      <w:r>
        <w:rPr>
          <w:sz w:val="20"/>
          <w:u w:val="single"/>
        </w:rPr>
        <w:t xml:space="preserve"> </w:t>
      </w:r>
      <w:r>
        <w:rPr>
          <w:sz w:val="20"/>
          <w:u w:val="single"/>
        </w:rPr>
        <w:t>20</w:t>
      </w:r>
      <w:r>
        <w:rPr>
          <w:sz w:val="20"/>
          <w:u w:val="single"/>
        </w:rPr>
        <w:t>26</w:t>
      </w:r>
      <w:r>
        <w:rPr>
          <w:sz w:val="20"/>
          <w:u w:val="single"/>
        </w:rPr>
        <w:t>年健身路径、篮球架及乒乓球台采购项目</w:t>
      </w:r>
      <w:r>
        <w:rPr>
          <w:sz w:val="20"/>
        </w:rPr>
        <w:t>的采购结果，按照《中华人民共和国政府采购法》、《中华人民共和国民法典</w:t>
      </w:r>
      <w:r>
        <w:rPr>
          <w:sz w:val="20"/>
        </w:rPr>
        <w:t>(</w:t>
      </w:r>
      <w:r>
        <w:rPr>
          <w:sz w:val="20"/>
        </w:rPr>
        <w:t>合同编</w:t>
      </w:r>
      <w:r>
        <w:rPr>
          <w:sz w:val="20"/>
        </w:rPr>
        <w:t>)</w:t>
      </w:r>
      <w:r>
        <w:rPr>
          <w:sz w:val="20"/>
        </w:rPr>
        <w:t>》的规定，经双方协商，本着平等互利和诚实信用的原则，一致同意签订本合同如下。</w:t>
      </w:r>
    </w:p>
    <w:p>
      <w:pPr>
        <w:pStyle w:val="null3"/>
        <w:jc w:val="both"/>
      </w:pPr>
      <w:r>
        <w:rPr>
          <w:sz w:val="20"/>
          <w:b/>
        </w:rPr>
        <w:t>一、</w:t>
      </w:r>
      <w:r>
        <w:rPr/>
        <w:t xml:space="preserve"> </w:t>
      </w:r>
      <w:r>
        <w:rPr>
          <w:sz w:val="20"/>
          <w:b/>
        </w:rPr>
        <w:t>货物内容</w:t>
      </w:r>
    </w:p>
    <w:tbl>
      <w:tblPr>
        <w:tblW w:w="0" w:type="auto"/>
        <w:tblInd w:type="dxa" w:w="60"/>
        <w:tblBorders>
          <w:top w:val="none" w:color="000000" w:sz="4"/>
          <w:left w:val="none" w:color="000000" w:sz="4"/>
          <w:bottom w:val="none" w:color="000000" w:sz="4"/>
          <w:right w:val="none" w:color="000000" w:sz="4"/>
          <w:insideH w:val="none"/>
          <w:insideV w:val="none"/>
        </w:tblBorders>
      </w:tblPr>
      <w:tblGrid>
        <w:gridCol w:w="785"/>
        <w:gridCol w:w="4036"/>
        <w:gridCol w:w="785"/>
        <w:gridCol w:w="537"/>
        <w:gridCol w:w="537"/>
        <w:gridCol w:w="813"/>
        <w:gridCol w:w="813"/>
      </w:tblGrid>
      <w:tr>
        <w:tc>
          <w:tcPr>
            <w:tcW w:type="dxa" w:w="785"/>
            <w:tcBorders>
              <w:top w:val="single" w:color="000000" w:sz="4"/>
              <w:left w:val="single" w:color="000000" w:sz="4"/>
              <w:bottom w:val="single" w:color="000000" w:sz="4"/>
              <w:right w:val="single" w:color="000000" w:sz="4"/>
            </w:tcBorders>
            <w:tcMar>
              <w:top w:type="dxa" w:w="30"/>
              <w:left w:type="dxa" w:w="45"/>
              <w:bottom w:type="dxa" w:w="30"/>
              <w:right w:type="dxa" w:w="45"/>
            </w:tcMar>
            <w:vAlign w:val="top"/>
          </w:tcPr>
          <w:p>
            <w:pPr>
              <w:pStyle w:val="null3"/>
              <w:jc w:val="both"/>
            </w:pPr>
            <w:r>
              <w:rPr>
                <w:sz w:val="20"/>
              </w:rPr>
              <w:t>名称</w:t>
            </w:r>
          </w:p>
        </w:tc>
        <w:tc>
          <w:tcPr>
            <w:tcW w:type="dxa" w:w="4036"/>
            <w:tcBorders>
              <w:top w:val="singl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20"/>
              </w:rPr>
              <w:t>品牌、规格、标准</w:t>
            </w:r>
            <w:r>
              <w:rPr>
                <w:sz w:val="20"/>
              </w:rPr>
              <w:t>/</w:t>
            </w:r>
            <w:r>
              <w:rPr>
                <w:sz w:val="20"/>
              </w:rPr>
              <w:t>主要服务内容</w:t>
            </w:r>
          </w:p>
        </w:tc>
        <w:tc>
          <w:tcPr>
            <w:tcW w:type="dxa" w:w="785"/>
            <w:tcBorders>
              <w:top w:val="singl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both"/>
            </w:pPr>
            <w:r>
              <w:rPr>
                <w:sz w:val="20"/>
              </w:rPr>
              <w:t>产地</w:t>
            </w:r>
          </w:p>
        </w:tc>
        <w:tc>
          <w:tcPr>
            <w:tcW w:type="dxa" w:w="537"/>
            <w:tcBorders>
              <w:top w:val="singl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20"/>
              </w:rPr>
              <w:t>数量</w:t>
            </w:r>
          </w:p>
        </w:tc>
        <w:tc>
          <w:tcPr>
            <w:tcW w:type="dxa" w:w="537"/>
            <w:tcBorders>
              <w:top w:val="singl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20"/>
              </w:rPr>
              <w:t>单位</w:t>
            </w:r>
          </w:p>
        </w:tc>
        <w:tc>
          <w:tcPr>
            <w:tcW w:type="dxa" w:w="813"/>
            <w:tcBorders>
              <w:top w:val="singl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20"/>
              </w:rPr>
              <w:t>单价</w:t>
            </w:r>
          </w:p>
          <w:p>
            <w:pPr>
              <w:pStyle w:val="null3"/>
              <w:jc w:val="center"/>
            </w:pPr>
            <w:r>
              <w:rPr>
                <w:sz w:val="20"/>
              </w:rPr>
              <w:t>（元）</w:t>
            </w:r>
          </w:p>
        </w:tc>
        <w:tc>
          <w:tcPr>
            <w:tcW w:type="dxa" w:w="813"/>
            <w:tcBorders>
              <w:top w:val="singl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20"/>
              </w:rPr>
              <w:t>金额</w:t>
            </w:r>
          </w:p>
          <w:p>
            <w:pPr>
              <w:pStyle w:val="null3"/>
              <w:jc w:val="center"/>
            </w:pPr>
            <w:r>
              <w:rPr>
                <w:sz w:val="20"/>
              </w:rPr>
              <w:t>（元）</w:t>
            </w:r>
          </w:p>
        </w:tc>
      </w:tr>
      <w:tr>
        <w:tc>
          <w:tcPr>
            <w:tcW w:type="dxa" w:w="785"/>
            <w:tcBorders>
              <w:top w:val="none" w:color="000000" w:sz="4"/>
              <w:left w:val="single" w:color="000000" w:sz="4"/>
              <w:bottom w:val="single" w:color="000000" w:sz="4"/>
              <w:right w:val="single" w:color="000000" w:sz="4"/>
            </w:tcBorders>
            <w:tcMar>
              <w:top w:type="dxa" w:w="30"/>
              <w:left w:type="dxa" w:w="45"/>
              <w:bottom w:type="dxa" w:w="30"/>
              <w:right w:type="dxa" w:w="45"/>
            </w:tcMar>
            <w:vAlign w:val="top"/>
          </w:tcPr>
          <w:p>
            <w:pPr>
              <w:pStyle w:val="null3"/>
              <w:jc w:val="center"/>
            </w:pPr>
            <w:r>
              <w:rPr>
                <w:sz w:val="20"/>
              </w:rPr>
              <w:t xml:space="preserve"> </w:t>
            </w:r>
            <w:r>
              <w:rPr>
                <w:sz w:val="20"/>
              </w:rPr>
              <w:t>**</w:t>
            </w:r>
          </w:p>
        </w:tc>
        <w:tc>
          <w:tcPr>
            <w:tcW w:type="dxa" w:w="4036"/>
            <w:tcBorders>
              <w:top w:val="non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20"/>
              </w:rPr>
              <w:t>**</w:t>
            </w:r>
          </w:p>
        </w:tc>
        <w:tc>
          <w:tcPr>
            <w:tcW w:type="dxa" w:w="785"/>
            <w:tcBorders>
              <w:top w:val="non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20"/>
              </w:rPr>
              <w:t>**</w:t>
            </w:r>
          </w:p>
        </w:tc>
        <w:tc>
          <w:tcPr>
            <w:tcW w:type="dxa" w:w="537"/>
            <w:tcBorders>
              <w:top w:val="non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20"/>
              </w:rPr>
              <w:t>**</w:t>
            </w:r>
          </w:p>
        </w:tc>
        <w:tc>
          <w:tcPr>
            <w:tcW w:type="dxa" w:w="537"/>
            <w:tcBorders>
              <w:top w:val="non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20"/>
              </w:rPr>
              <w:t>**</w:t>
            </w:r>
          </w:p>
        </w:tc>
        <w:tc>
          <w:tcPr>
            <w:tcW w:type="dxa" w:w="813"/>
            <w:tcBorders>
              <w:top w:val="non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20"/>
              </w:rPr>
              <w:t xml:space="preserve"> </w:t>
            </w:r>
            <w:r>
              <w:rPr>
                <w:sz w:val="20"/>
              </w:rPr>
              <w:t>**</w:t>
            </w:r>
          </w:p>
        </w:tc>
        <w:tc>
          <w:tcPr>
            <w:tcW w:type="dxa" w:w="813"/>
            <w:tcBorders>
              <w:top w:val="non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20"/>
              </w:rPr>
              <w:t>**</w:t>
            </w:r>
          </w:p>
        </w:tc>
      </w:tr>
      <w:tr>
        <w:tc>
          <w:tcPr>
            <w:tcW w:type="dxa" w:w="785"/>
            <w:tcBorders>
              <w:top w:val="none" w:color="000000" w:sz="4"/>
              <w:left w:val="single" w:color="000000" w:sz="4"/>
              <w:bottom w:val="single" w:color="000000" w:sz="4"/>
              <w:right w:val="single" w:color="000000" w:sz="4"/>
            </w:tcBorders>
            <w:tcMar>
              <w:top w:type="dxa" w:w="30"/>
              <w:left w:type="dxa" w:w="45"/>
              <w:bottom w:type="dxa" w:w="30"/>
              <w:right w:type="dxa" w:w="45"/>
            </w:tcMar>
            <w:vAlign w:val="top"/>
          </w:tcPr>
          <w:p>
            <w:pPr>
              <w:pStyle w:val="null3"/>
              <w:jc w:val="center"/>
            </w:pPr>
            <w:r>
              <w:rPr>
                <w:sz w:val="19"/>
              </w:rPr>
              <w:t xml:space="preserve"> </w:t>
            </w:r>
          </w:p>
        </w:tc>
        <w:tc>
          <w:tcPr>
            <w:tcW w:type="dxa" w:w="4036"/>
            <w:tcBorders>
              <w:top w:val="non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19"/>
              </w:rPr>
              <w:t xml:space="preserve"> </w:t>
            </w:r>
          </w:p>
        </w:tc>
        <w:tc>
          <w:tcPr>
            <w:tcW w:type="dxa" w:w="785"/>
            <w:tcBorders>
              <w:top w:val="non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19"/>
              </w:rPr>
              <w:t xml:space="preserve"> </w:t>
            </w:r>
          </w:p>
        </w:tc>
        <w:tc>
          <w:tcPr>
            <w:tcW w:type="dxa" w:w="537"/>
            <w:tcBorders>
              <w:top w:val="non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19"/>
              </w:rPr>
              <w:t xml:space="preserve"> </w:t>
            </w:r>
          </w:p>
        </w:tc>
        <w:tc>
          <w:tcPr>
            <w:tcW w:type="dxa" w:w="537"/>
            <w:tcBorders>
              <w:top w:val="non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19"/>
              </w:rPr>
              <w:t xml:space="preserve"> </w:t>
            </w:r>
          </w:p>
        </w:tc>
        <w:tc>
          <w:tcPr>
            <w:tcW w:type="dxa" w:w="813"/>
            <w:tcBorders>
              <w:top w:val="non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19"/>
              </w:rPr>
              <w:t xml:space="preserve"> </w:t>
            </w:r>
          </w:p>
        </w:tc>
        <w:tc>
          <w:tcPr>
            <w:tcW w:type="dxa" w:w="813"/>
            <w:tcBorders>
              <w:top w:val="non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19"/>
              </w:rPr>
              <w:t xml:space="preserve"> </w:t>
            </w:r>
          </w:p>
        </w:tc>
      </w:tr>
      <w:tr>
        <w:tc>
          <w:tcPr>
            <w:tcW w:type="dxa" w:w="785"/>
            <w:tcBorders>
              <w:top w:val="none" w:color="000000" w:sz="4"/>
              <w:left w:val="single" w:color="000000" w:sz="4"/>
              <w:bottom w:val="single" w:color="000000" w:sz="4"/>
              <w:right w:val="single" w:color="000000" w:sz="4"/>
            </w:tcBorders>
            <w:tcMar>
              <w:top w:type="dxa" w:w="30"/>
              <w:left w:type="dxa" w:w="45"/>
              <w:bottom w:type="dxa" w:w="30"/>
              <w:right w:type="dxa" w:w="45"/>
            </w:tcMar>
            <w:vAlign w:val="top"/>
          </w:tcPr>
          <w:p>
            <w:pPr>
              <w:pStyle w:val="null3"/>
              <w:jc w:val="center"/>
            </w:pPr>
            <w:r>
              <w:rPr>
                <w:sz w:val="19"/>
              </w:rPr>
              <w:t xml:space="preserve"> </w:t>
            </w:r>
          </w:p>
        </w:tc>
        <w:tc>
          <w:tcPr>
            <w:tcW w:type="dxa" w:w="4036"/>
            <w:tcBorders>
              <w:top w:val="non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19"/>
              </w:rPr>
              <w:t xml:space="preserve"> </w:t>
            </w:r>
          </w:p>
        </w:tc>
        <w:tc>
          <w:tcPr>
            <w:tcW w:type="dxa" w:w="785"/>
            <w:tcBorders>
              <w:top w:val="non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19"/>
              </w:rPr>
              <w:t xml:space="preserve"> </w:t>
            </w:r>
          </w:p>
        </w:tc>
        <w:tc>
          <w:tcPr>
            <w:tcW w:type="dxa" w:w="537"/>
            <w:tcBorders>
              <w:top w:val="non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19"/>
              </w:rPr>
              <w:t xml:space="preserve"> </w:t>
            </w:r>
          </w:p>
        </w:tc>
        <w:tc>
          <w:tcPr>
            <w:tcW w:type="dxa" w:w="537"/>
            <w:tcBorders>
              <w:top w:val="non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19"/>
              </w:rPr>
              <w:t xml:space="preserve"> </w:t>
            </w:r>
          </w:p>
        </w:tc>
        <w:tc>
          <w:tcPr>
            <w:tcW w:type="dxa" w:w="813"/>
            <w:tcBorders>
              <w:top w:val="non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19"/>
              </w:rPr>
              <w:t xml:space="preserve"> </w:t>
            </w:r>
          </w:p>
        </w:tc>
        <w:tc>
          <w:tcPr>
            <w:tcW w:type="dxa" w:w="813"/>
            <w:tcBorders>
              <w:top w:val="non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19"/>
              </w:rPr>
              <w:t xml:space="preserve"> </w:t>
            </w:r>
          </w:p>
        </w:tc>
      </w:tr>
      <w:tr>
        <w:tc>
          <w:tcPr>
            <w:tcW w:type="dxa" w:w="785"/>
            <w:tcBorders>
              <w:top w:val="none" w:color="000000" w:sz="4"/>
              <w:left w:val="single" w:color="000000" w:sz="4"/>
              <w:bottom w:val="single" w:color="000000" w:sz="4"/>
              <w:right w:val="single" w:color="000000" w:sz="4"/>
            </w:tcBorders>
            <w:tcMar>
              <w:top w:type="dxa" w:w="30"/>
              <w:left w:type="dxa" w:w="45"/>
              <w:bottom w:type="dxa" w:w="30"/>
              <w:right w:type="dxa" w:w="45"/>
            </w:tcMar>
            <w:vAlign w:val="top"/>
          </w:tcPr>
          <w:p>
            <w:pPr>
              <w:pStyle w:val="null3"/>
              <w:jc w:val="center"/>
            </w:pPr>
            <w:r>
              <w:rPr>
                <w:sz w:val="19"/>
              </w:rPr>
              <w:t xml:space="preserve"> </w:t>
            </w:r>
          </w:p>
        </w:tc>
        <w:tc>
          <w:tcPr>
            <w:tcW w:type="dxa" w:w="4036"/>
            <w:tcBorders>
              <w:top w:val="non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19"/>
              </w:rPr>
              <w:t xml:space="preserve"> </w:t>
            </w:r>
          </w:p>
        </w:tc>
        <w:tc>
          <w:tcPr>
            <w:tcW w:type="dxa" w:w="785"/>
            <w:tcBorders>
              <w:top w:val="non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19"/>
              </w:rPr>
              <w:t xml:space="preserve"> </w:t>
            </w:r>
          </w:p>
        </w:tc>
        <w:tc>
          <w:tcPr>
            <w:tcW w:type="dxa" w:w="537"/>
            <w:tcBorders>
              <w:top w:val="non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19"/>
              </w:rPr>
              <w:t xml:space="preserve"> </w:t>
            </w:r>
          </w:p>
        </w:tc>
        <w:tc>
          <w:tcPr>
            <w:tcW w:type="dxa" w:w="537"/>
            <w:tcBorders>
              <w:top w:val="non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19"/>
              </w:rPr>
              <w:t xml:space="preserve"> </w:t>
            </w:r>
          </w:p>
        </w:tc>
        <w:tc>
          <w:tcPr>
            <w:tcW w:type="dxa" w:w="813"/>
            <w:tcBorders>
              <w:top w:val="non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19"/>
              </w:rPr>
              <w:t xml:space="preserve"> </w:t>
            </w:r>
          </w:p>
        </w:tc>
        <w:tc>
          <w:tcPr>
            <w:tcW w:type="dxa" w:w="813"/>
            <w:tcBorders>
              <w:top w:val="non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19"/>
              </w:rPr>
              <w:t xml:space="preserve"> </w:t>
            </w:r>
          </w:p>
        </w:tc>
      </w:tr>
      <w:tr>
        <w:tc>
          <w:tcPr>
            <w:tcW w:type="dxa" w:w="785"/>
            <w:tcBorders>
              <w:top w:val="none" w:color="000000" w:sz="4"/>
              <w:left w:val="single" w:color="000000" w:sz="4"/>
              <w:bottom w:val="single" w:color="000000" w:sz="4"/>
              <w:right w:val="single" w:color="000000" w:sz="4"/>
            </w:tcBorders>
            <w:tcMar>
              <w:top w:type="dxa" w:w="30"/>
              <w:left w:type="dxa" w:w="45"/>
              <w:bottom w:type="dxa" w:w="30"/>
              <w:right w:type="dxa" w:w="45"/>
            </w:tcMar>
            <w:vAlign w:val="top"/>
          </w:tcPr>
          <w:p>
            <w:pPr>
              <w:pStyle w:val="null3"/>
              <w:jc w:val="center"/>
            </w:pPr>
            <w:r>
              <w:rPr>
                <w:sz w:val="19"/>
              </w:rPr>
              <w:t xml:space="preserve"> </w:t>
            </w:r>
          </w:p>
        </w:tc>
        <w:tc>
          <w:tcPr>
            <w:tcW w:type="dxa" w:w="4036"/>
            <w:tcBorders>
              <w:top w:val="non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19"/>
              </w:rPr>
              <w:t xml:space="preserve"> </w:t>
            </w:r>
          </w:p>
        </w:tc>
        <w:tc>
          <w:tcPr>
            <w:tcW w:type="dxa" w:w="785"/>
            <w:tcBorders>
              <w:top w:val="non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19"/>
              </w:rPr>
              <w:t xml:space="preserve"> </w:t>
            </w:r>
          </w:p>
        </w:tc>
        <w:tc>
          <w:tcPr>
            <w:tcW w:type="dxa" w:w="537"/>
            <w:tcBorders>
              <w:top w:val="non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19"/>
              </w:rPr>
              <w:t xml:space="preserve"> </w:t>
            </w:r>
          </w:p>
        </w:tc>
        <w:tc>
          <w:tcPr>
            <w:tcW w:type="dxa" w:w="537"/>
            <w:tcBorders>
              <w:top w:val="non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19"/>
              </w:rPr>
              <w:t xml:space="preserve"> </w:t>
            </w:r>
          </w:p>
        </w:tc>
        <w:tc>
          <w:tcPr>
            <w:tcW w:type="dxa" w:w="813"/>
            <w:tcBorders>
              <w:top w:val="non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19"/>
              </w:rPr>
              <w:t xml:space="preserve"> </w:t>
            </w:r>
          </w:p>
        </w:tc>
        <w:tc>
          <w:tcPr>
            <w:tcW w:type="dxa" w:w="813"/>
            <w:tcBorders>
              <w:top w:val="non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19"/>
              </w:rPr>
              <w:t xml:space="preserve"> </w:t>
            </w:r>
          </w:p>
        </w:tc>
      </w:tr>
      <w:tr>
        <w:tc>
          <w:tcPr>
            <w:tcW w:type="dxa" w:w="7493"/>
            <w:gridSpan w:val="6"/>
            <w:tcBorders>
              <w:top w:val="none" w:color="000000" w:sz="4"/>
              <w:left w:val="single" w:color="000000" w:sz="4"/>
              <w:bottom w:val="single" w:color="000000" w:sz="4"/>
              <w:right w:val="single" w:color="000000" w:sz="4"/>
            </w:tcBorders>
            <w:tcMar>
              <w:top w:type="dxa" w:w="30"/>
              <w:left w:type="dxa" w:w="45"/>
              <w:bottom w:type="dxa" w:w="30"/>
              <w:right w:type="dxa" w:w="45"/>
            </w:tcMar>
            <w:vAlign w:val="top"/>
          </w:tcPr>
          <w:p>
            <w:pPr>
              <w:pStyle w:val="null3"/>
              <w:jc w:val="center"/>
            </w:pPr>
            <w:r>
              <w:rPr>
                <w:sz w:val="20"/>
              </w:rPr>
              <w:t>合计：人民币大写：</w:t>
            </w:r>
            <w:r>
              <w:rPr>
                <w:sz w:val="20"/>
              </w:rPr>
              <w:t>**</w:t>
            </w:r>
            <w:r>
              <w:rPr>
                <w:sz w:val="20"/>
              </w:rPr>
              <w:t>元整</w:t>
            </w:r>
          </w:p>
        </w:tc>
        <w:tc>
          <w:tcPr>
            <w:tcW w:type="dxa" w:w="813"/>
            <w:tcBorders>
              <w:top w:val="none" w:color="000000" w:sz="4"/>
              <w:left w:val="none" w:color="000000" w:sz="4"/>
              <w:bottom w:val="single" w:color="000000" w:sz="4"/>
              <w:right w:val="single" w:color="000000" w:sz="4"/>
            </w:tcBorders>
            <w:tcMar>
              <w:top w:type="dxa" w:w="30"/>
              <w:left w:type="dxa" w:w="75"/>
              <w:bottom w:type="dxa" w:w="30"/>
              <w:right w:type="dxa" w:w="45"/>
            </w:tcMar>
            <w:vAlign w:val="top"/>
          </w:tcPr>
          <w:p>
            <w:pPr>
              <w:pStyle w:val="null3"/>
              <w:jc w:val="center"/>
            </w:pPr>
            <w:r>
              <w:rPr>
                <w:sz w:val="20"/>
              </w:rPr>
              <w:t>¥</w:t>
            </w:r>
            <w:r>
              <w:rPr>
                <w:sz w:val="20"/>
              </w:rPr>
              <w:t>：</w:t>
            </w:r>
            <w:r>
              <w:rPr>
                <w:sz w:val="20"/>
              </w:rPr>
              <w:t>**</w:t>
            </w:r>
          </w:p>
        </w:tc>
      </w:tr>
      <w:tr>
        <w:tc>
          <w:tcPr>
            <w:tcW w:type="dxa" w:w="7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0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78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3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3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81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81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jc w:val="both"/>
      </w:pPr>
      <w:r>
        <w:rPr>
          <w:sz w:val="20"/>
        </w:rPr>
        <w:t>合同总额包括产品的购置和安装、运费、装卸、质保期售后服务、全额含税发票、雇员费用及合同实施过程中应预见和不可预见费用等完成本项目的所有费用。</w:t>
      </w:r>
    </w:p>
    <w:p>
      <w:pPr>
        <w:pStyle w:val="null3"/>
        <w:ind w:firstLine="400"/>
        <w:jc w:val="both"/>
      </w:pPr>
      <w:r>
        <w:rPr>
          <w:sz w:val="20"/>
        </w:rPr>
        <w:t>注：货物名称内容必须与响应文件中货物名称内容一致。</w:t>
      </w:r>
    </w:p>
    <w:p>
      <w:pPr>
        <w:pStyle w:val="null3"/>
        <w:jc w:val="both"/>
      </w:pPr>
      <w:r>
        <w:rPr>
          <w:sz w:val="20"/>
          <w:b/>
        </w:rPr>
        <w:t>二、合同金额</w:t>
      </w:r>
    </w:p>
    <w:p>
      <w:pPr>
        <w:pStyle w:val="null3"/>
        <w:ind w:left="405"/>
        <w:jc w:val="both"/>
      </w:pPr>
      <w:r>
        <w:rPr>
          <w:sz w:val="20"/>
        </w:rPr>
        <w:t>合同金额为（大写）：</w:t>
      </w:r>
      <w:r>
        <w:rPr>
          <w:u w:val="single"/>
        </w:rPr>
        <w:t xml:space="preserve">           </w:t>
      </w:r>
      <w:r>
        <w:rPr>
          <w:sz w:val="20"/>
        </w:rPr>
        <w:t>元（</w:t>
      </w:r>
      <w:r>
        <w:rPr>
          <w:sz w:val="20"/>
        </w:rPr>
        <w:t>¥</w:t>
      </w:r>
      <w:r>
        <w:rPr>
          <w:u w:val="single"/>
        </w:rPr>
        <w:t xml:space="preserve">             </w:t>
      </w:r>
      <w:r>
        <w:rPr>
          <w:sz w:val="20"/>
        </w:rPr>
        <w:t>元）人民币。</w:t>
      </w:r>
    </w:p>
    <w:p>
      <w:pPr>
        <w:pStyle w:val="null3"/>
        <w:jc w:val="both"/>
      </w:pPr>
      <w:r>
        <w:rPr>
          <w:sz w:val="20"/>
          <w:b/>
        </w:rPr>
        <w:t>三、配套设备要求</w:t>
      </w:r>
    </w:p>
    <w:p>
      <w:pPr>
        <w:pStyle w:val="null3"/>
        <w:ind w:firstLine="400"/>
        <w:jc w:val="left"/>
      </w:pPr>
      <w:r>
        <w:rPr>
          <w:sz w:val="20"/>
        </w:rPr>
        <w:t>（</w:t>
      </w:r>
      <w:r>
        <w:rPr>
          <w:sz w:val="20"/>
        </w:rPr>
        <w:t>1</w:t>
      </w:r>
      <w:r>
        <w:rPr>
          <w:sz w:val="20"/>
        </w:rPr>
        <w:t>）乙方应按采购文件提供相应的配套设备，并按采购方要求安装，并须是原装、全新的、最近的、符合国家及用户提出的有关质量标准的设备。</w:t>
      </w:r>
    </w:p>
    <w:p>
      <w:pPr>
        <w:pStyle w:val="null3"/>
        <w:ind w:firstLine="400"/>
        <w:jc w:val="both"/>
      </w:pPr>
      <w:r>
        <w:rPr>
          <w:sz w:val="20"/>
        </w:rPr>
        <w:t>（</w:t>
      </w:r>
      <w:r>
        <w:rPr>
          <w:sz w:val="20"/>
        </w:rPr>
        <w:t>2</w:t>
      </w:r>
      <w:r>
        <w:rPr>
          <w:sz w:val="20"/>
        </w:rPr>
        <w:t>）货物为原制造商制造的全新产品，整机无污染，无侵权行为、表面无划损、无任何缺陷隐患，在中国境内可依常规安全合法使用。</w:t>
      </w:r>
    </w:p>
    <w:p>
      <w:pPr>
        <w:pStyle w:val="null3"/>
        <w:jc w:val="both"/>
      </w:pPr>
      <w:r>
        <w:rPr>
          <w:sz w:val="20"/>
          <w:b/>
        </w:rPr>
        <w:t>四、交货期及交货地点</w:t>
      </w:r>
    </w:p>
    <w:p>
      <w:pPr>
        <w:pStyle w:val="null3"/>
        <w:ind w:left="855"/>
        <w:jc w:val="both"/>
      </w:pPr>
      <w:r>
        <w:rPr>
          <w:sz w:val="20"/>
        </w:rPr>
        <w:t xml:space="preserve">       </w:t>
      </w:r>
      <w:r>
        <w:rPr>
          <w:sz w:val="20"/>
        </w:rPr>
        <w:t>1.</w:t>
      </w:r>
      <w:r>
        <w:rPr>
          <w:sz w:val="20"/>
        </w:rPr>
        <w:t>交货期：签订合同后</w:t>
      </w:r>
      <w:r>
        <w:rPr>
          <w:sz w:val="20"/>
        </w:rPr>
        <w:t>1</w:t>
      </w:r>
      <w:r>
        <w:rPr>
          <w:sz w:val="20"/>
        </w:rPr>
        <w:t>年</w:t>
      </w:r>
      <w:r>
        <w:rPr>
          <w:sz w:val="20"/>
        </w:rPr>
        <w:t>内供货并安装完毕。</w:t>
      </w:r>
    </w:p>
    <w:p>
      <w:pPr>
        <w:pStyle w:val="null3"/>
        <w:ind w:left="855"/>
        <w:jc w:val="both"/>
      </w:pPr>
      <w:r>
        <w:rPr>
          <w:sz w:val="20"/>
        </w:rPr>
        <w:t xml:space="preserve">       </w:t>
      </w:r>
      <w:r>
        <w:rPr>
          <w:sz w:val="20"/>
        </w:rPr>
        <w:t>2.</w:t>
      </w:r>
      <w:r>
        <w:rPr>
          <w:sz w:val="20"/>
        </w:rPr>
        <w:t>交货地点： 饶平县体育发展中心</w:t>
      </w:r>
      <w:r>
        <w:rPr>
          <w:sz w:val="20"/>
        </w:rPr>
        <w:t>（</w:t>
      </w:r>
      <w:r>
        <w:rPr>
          <w:sz w:val="20"/>
        </w:rPr>
        <w:t>采购人指定地点</w:t>
      </w:r>
      <w:r>
        <w:rPr>
          <w:sz w:val="20"/>
        </w:rPr>
        <w:t>）</w:t>
      </w:r>
    </w:p>
    <w:p>
      <w:pPr>
        <w:pStyle w:val="null3"/>
        <w:jc w:val="both"/>
      </w:pPr>
      <w:r>
        <w:rPr>
          <w:sz w:val="20"/>
          <w:b/>
        </w:rPr>
        <w:t>五、包装和运输</w:t>
      </w:r>
    </w:p>
    <w:p>
      <w:pPr>
        <w:pStyle w:val="null3"/>
        <w:ind w:firstLine="400"/>
        <w:jc w:val="both"/>
      </w:pPr>
      <w:r>
        <w:rPr>
          <w:sz w:val="20"/>
        </w:rPr>
        <w:t>1.</w:t>
      </w:r>
      <w:r>
        <w:rPr>
          <w:sz w:val="20"/>
        </w:rPr>
        <w:t>货物的包装和发运必须符合货物特性要求。</w:t>
      </w:r>
    </w:p>
    <w:p>
      <w:pPr>
        <w:pStyle w:val="null3"/>
        <w:ind w:firstLine="400"/>
        <w:jc w:val="both"/>
      </w:pPr>
      <w:r>
        <w:rPr>
          <w:sz w:val="20"/>
        </w:rPr>
        <w:t>2.</w:t>
      </w:r>
      <w:r>
        <w:rPr>
          <w:sz w:val="20"/>
        </w:rPr>
        <w:t>为了保证货物在长途运输和装卸过程中的安全，货物包装应符合国家或行业标准规定。由于包装不善导致货物锈蚀、失缺或损坏及运输及安装过程中造成的损坏由供货商承担一切责任。</w:t>
      </w:r>
    </w:p>
    <w:p>
      <w:pPr>
        <w:pStyle w:val="null3"/>
        <w:jc w:val="both"/>
      </w:pPr>
      <w:r>
        <w:rPr>
          <w:sz w:val="20"/>
          <w:b/>
        </w:rPr>
        <w:t>六、</w:t>
      </w:r>
      <w:r>
        <w:rPr/>
        <w:t xml:space="preserve"> </w:t>
      </w:r>
      <w:r>
        <w:rPr>
          <w:sz w:val="20"/>
          <w:b/>
        </w:rPr>
        <w:t>付款方式</w:t>
      </w:r>
    </w:p>
    <w:p>
      <w:pPr>
        <w:pStyle w:val="null3"/>
        <w:ind w:firstLine="400"/>
        <w:jc w:val="both"/>
      </w:pPr>
      <w:r>
        <w:rPr>
          <w:sz w:val="20"/>
        </w:rPr>
        <w:t>由甲方按下列程序进行付款：</w:t>
      </w:r>
    </w:p>
    <w:p>
      <w:pPr>
        <w:pStyle w:val="null3"/>
        <w:ind w:firstLine="400"/>
        <w:jc w:val="both"/>
      </w:pPr>
      <w:r>
        <w:rPr>
          <w:sz w:val="20"/>
        </w:rPr>
        <w:t>1</w:t>
      </w:r>
      <w:r>
        <w:rPr>
          <w:sz w:val="20"/>
        </w:rPr>
        <w:t>期：支付比例</w:t>
      </w:r>
      <w:r>
        <w:rPr>
          <w:sz w:val="20"/>
        </w:rPr>
        <w:t>4</w:t>
      </w:r>
      <w:r>
        <w:rPr>
          <w:sz w:val="20"/>
        </w:rPr>
        <w:t>0%,</w:t>
      </w:r>
      <w:r>
        <w:rPr>
          <w:sz w:val="20"/>
        </w:rPr>
        <w:t>项目签订合同后七日内根据乙方开具的正式发票支付合同总价的</w:t>
      </w:r>
      <w:r>
        <w:rPr>
          <w:sz w:val="20"/>
        </w:rPr>
        <w:t>4</w:t>
      </w:r>
      <w:r>
        <w:rPr>
          <w:sz w:val="20"/>
        </w:rPr>
        <w:t>0%</w:t>
      </w:r>
      <w:r>
        <w:rPr>
          <w:sz w:val="20"/>
        </w:rPr>
        <w:t>；</w:t>
      </w:r>
    </w:p>
    <w:p>
      <w:pPr>
        <w:pStyle w:val="null3"/>
        <w:ind w:firstLine="400"/>
        <w:jc w:val="both"/>
      </w:pPr>
      <w:r>
        <w:rPr>
          <w:sz w:val="20"/>
        </w:rPr>
        <w:t>2</w:t>
      </w:r>
      <w:r>
        <w:rPr>
          <w:sz w:val="20"/>
        </w:rPr>
        <w:t>期：支付比例</w:t>
      </w:r>
      <w:r>
        <w:rPr>
          <w:sz w:val="20"/>
        </w:rPr>
        <w:t>40%,</w:t>
      </w:r>
      <w:r>
        <w:rPr>
          <w:sz w:val="20"/>
        </w:rPr>
        <w:t>货物送达后七个工作日内根据</w:t>
      </w:r>
      <w:r>
        <w:rPr>
          <w:sz w:val="20"/>
        </w:rPr>
        <w:t>乙方</w:t>
      </w:r>
      <w:r>
        <w:rPr>
          <w:sz w:val="20"/>
        </w:rPr>
        <w:t>开具的正式发票支付</w:t>
      </w:r>
      <w:r>
        <w:rPr>
          <w:sz w:val="20"/>
        </w:rPr>
        <w:t>40%</w:t>
      </w:r>
      <w:r>
        <w:rPr>
          <w:sz w:val="20"/>
        </w:rPr>
        <w:t>合同款</w:t>
      </w:r>
      <w:r>
        <w:rPr>
          <w:sz w:val="20"/>
        </w:rPr>
        <w:t>；</w:t>
      </w:r>
    </w:p>
    <w:p>
      <w:pPr>
        <w:pStyle w:val="null3"/>
        <w:ind w:firstLine="400"/>
        <w:jc w:val="both"/>
      </w:pPr>
      <w:r>
        <w:rPr>
          <w:sz w:val="20"/>
        </w:rPr>
        <w:t>3</w:t>
      </w:r>
      <w:r>
        <w:rPr>
          <w:sz w:val="20"/>
        </w:rPr>
        <w:t>期：支付比例</w:t>
      </w:r>
      <w:r>
        <w:rPr>
          <w:sz w:val="20"/>
        </w:rPr>
        <w:t>2</w:t>
      </w:r>
      <w:r>
        <w:rPr>
          <w:sz w:val="20"/>
        </w:rPr>
        <w:t>0%,</w:t>
      </w:r>
      <w:r>
        <w:rPr>
          <w:sz w:val="20"/>
        </w:rPr>
        <w:t>安装并验收合格后七个工作日内根据</w:t>
      </w:r>
      <w:r>
        <w:rPr>
          <w:sz w:val="20"/>
        </w:rPr>
        <w:t>乙方</w:t>
      </w:r>
      <w:r>
        <w:rPr>
          <w:sz w:val="20"/>
        </w:rPr>
        <w:t>开具的正式发票付清合同总价</w:t>
      </w:r>
      <w:r>
        <w:rPr>
          <w:sz w:val="20"/>
        </w:rPr>
        <w:t>。</w:t>
      </w:r>
    </w:p>
    <w:p>
      <w:pPr>
        <w:pStyle w:val="null3"/>
        <w:ind w:left="405"/>
        <w:jc w:val="both"/>
      </w:pPr>
      <w:r>
        <w:rPr>
          <w:sz w:val="20"/>
          <w:b/>
        </w:rPr>
        <w:t>七、质保期及售后服务要求</w:t>
      </w:r>
    </w:p>
    <w:p>
      <w:pPr>
        <w:pStyle w:val="null3"/>
        <w:ind w:firstLine="400"/>
        <w:jc w:val="both"/>
      </w:pPr>
      <w:r>
        <w:rPr>
          <w:sz w:val="20"/>
        </w:rPr>
        <w:t>项目自安装验收完成之日起质保期为八年，免费保修期为一年，器材损坏后要求</w:t>
      </w:r>
      <w:r>
        <w:rPr>
          <w:sz w:val="20"/>
        </w:rPr>
        <w:t>10</w:t>
      </w:r>
      <w:r>
        <w:rPr>
          <w:sz w:val="20"/>
        </w:rPr>
        <w:t>天内上门维修。</w:t>
      </w:r>
    </w:p>
    <w:p>
      <w:pPr>
        <w:pStyle w:val="null3"/>
        <w:ind w:firstLine="400"/>
        <w:jc w:val="both"/>
      </w:pPr>
      <w:r>
        <w:rPr>
          <w:sz w:val="20"/>
        </w:rPr>
        <w:t>售后服务及技术培训：（</w:t>
      </w:r>
      <w:r>
        <w:rPr>
          <w:sz w:val="20"/>
        </w:rPr>
        <w:t>1</w:t>
      </w:r>
      <w:r>
        <w:rPr>
          <w:sz w:val="20"/>
        </w:rPr>
        <w:t>）乙方应有售后维护能力，包括拥有相应的设备和人员，有稳定的售后服务体系，能提供良好的售后服务；（</w:t>
      </w:r>
      <w:r>
        <w:rPr>
          <w:sz w:val="20"/>
        </w:rPr>
        <w:t>2</w:t>
      </w:r>
      <w:r>
        <w:rPr>
          <w:sz w:val="20"/>
        </w:rPr>
        <w:t>）本项目所有产品免费保修期按厂家标准执行，所有设备的包换和包修服务遵从国家三包规定，并提供终身跟踪服务； （</w:t>
      </w:r>
      <w:r>
        <w:rPr>
          <w:sz w:val="20"/>
        </w:rPr>
        <w:t>3</w:t>
      </w:r>
      <w:r>
        <w:rPr>
          <w:sz w:val="20"/>
        </w:rPr>
        <w:t>）保修期内用户所购设备各部件发生非人为故障，乙方应免费上门更换同种品牌规格型号的新部件，设备发生人为故障的，乙方应上门更换同种品牌规格型号的新部件，只收零配件成本，不加收其它任何费用。（</w:t>
      </w:r>
      <w:r>
        <w:rPr>
          <w:sz w:val="20"/>
        </w:rPr>
        <w:t>4</w:t>
      </w:r>
      <w:r>
        <w:rPr>
          <w:sz w:val="20"/>
        </w:rPr>
        <w:t>）乙方提供货物免费安装、调试、培训使用；</w:t>
      </w:r>
      <w:r>
        <w:rPr>
          <w:sz w:val="20"/>
        </w:rPr>
        <w:t>24</w:t>
      </w:r>
      <w:r>
        <w:rPr>
          <w:sz w:val="20"/>
        </w:rPr>
        <w:t>小时免费提供技术支持；永久性免费提供电话技术指导和咨询服务；免费保修期内非用户单位的人为原因而出现产品质量及安装问题，由乙方负责包修、包换或包退，并承担因此而产生的一切费用。所有货物保修服务方式均为乙方上门保修，即由乙方派人员到设备使用现场维修，由此产生的一切费用均由乙方承担。（</w:t>
      </w:r>
      <w:r>
        <w:rPr>
          <w:sz w:val="20"/>
        </w:rPr>
        <w:t>5</w:t>
      </w:r>
      <w:r>
        <w:rPr>
          <w:sz w:val="20"/>
        </w:rPr>
        <w:t>）本项目设备有故障通知乙方，乙方须在</w:t>
      </w:r>
      <w:r>
        <w:rPr>
          <w:sz w:val="20"/>
        </w:rPr>
        <w:t>1</w:t>
      </w:r>
      <w:r>
        <w:rPr>
          <w:sz w:val="20"/>
        </w:rPr>
        <w:t>小时内响应，在</w:t>
      </w:r>
      <w:r>
        <w:rPr>
          <w:sz w:val="20"/>
        </w:rPr>
        <w:t>24</w:t>
      </w:r>
      <w:r>
        <w:rPr>
          <w:sz w:val="20"/>
        </w:rPr>
        <w:t>小时内到达现场，所有故障</w:t>
      </w:r>
      <w:r>
        <w:rPr>
          <w:sz w:val="20"/>
        </w:rPr>
        <w:t>48</w:t>
      </w:r>
      <w:r>
        <w:rPr>
          <w:sz w:val="20"/>
        </w:rPr>
        <w:t>小时排除故障，当天无法修复的，需提供同等规格的设备代用。（</w:t>
      </w:r>
      <w:r>
        <w:rPr>
          <w:sz w:val="20"/>
        </w:rPr>
        <w:t>6</w:t>
      </w:r>
      <w:r>
        <w:rPr>
          <w:sz w:val="20"/>
        </w:rPr>
        <w:t>）乙方应安排有经验的专业技术人员负责本项目的安装、调试、维保。</w:t>
      </w:r>
    </w:p>
    <w:p>
      <w:pPr>
        <w:pStyle w:val="null3"/>
        <w:jc w:val="both"/>
      </w:pPr>
      <w:r>
        <w:rPr>
          <w:sz w:val="20"/>
          <w:b/>
        </w:rPr>
        <w:t>八、</w:t>
      </w:r>
      <w:r>
        <w:rPr/>
        <w:t xml:space="preserve"> </w:t>
      </w:r>
      <w:r>
        <w:rPr>
          <w:sz w:val="20"/>
          <w:b/>
        </w:rPr>
        <w:t>安装与调试</w:t>
      </w:r>
    </w:p>
    <w:p>
      <w:pPr>
        <w:pStyle w:val="null3"/>
        <w:ind w:firstLine="400"/>
        <w:jc w:val="both"/>
      </w:pPr>
      <w:r>
        <w:rPr>
          <w:sz w:val="20"/>
        </w:rPr>
        <w:t>1.</w:t>
      </w:r>
      <w:r>
        <w:rPr>
          <w:sz w:val="20"/>
        </w:rPr>
        <w:t>乙方需根据甲方实际情况对产品进行安装调试，所有费用全部由乙方负责。</w:t>
      </w:r>
      <w:r>
        <w:rPr>
          <w:sz w:val="20"/>
        </w:rPr>
        <w:t>2.</w:t>
      </w:r>
      <w:r>
        <w:rPr>
          <w:sz w:val="20"/>
        </w:rPr>
        <w:t>乙方安装时对各安装场地内的其他设备、设施有良好的保护措施。</w:t>
      </w:r>
      <w:r>
        <w:rPr>
          <w:sz w:val="20"/>
        </w:rPr>
        <w:t>3.</w:t>
      </w:r>
      <w:r>
        <w:rPr>
          <w:sz w:val="20"/>
        </w:rPr>
        <w:t>设备测试中如发现功能上不符合用户需求和合同要求时，将被看作性能不合格，用户有权拒收并要求赔偿。</w:t>
      </w:r>
      <w:r>
        <w:rPr>
          <w:sz w:val="20"/>
        </w:rPr>
        <w:t>4.</w:t>
      </w:r>
      <w:r>
        <w:rPr>
          <w:sz w:val="20"/>
        </w:rPr>
        <w:t>项目验收要求对各个单项产品的测试和使用，均达到用户需求要求的性能和产品技术规格中的性能。如材料、设备不符合采购文件要求或达不到响应承诺的，甲方不予验收。</w:t>
      </w:r>
    </w:p>
    <w:p>
      <w:pPr>
        <w:pStyle w:val="null3"/>
        <w:jc w:val="both"/>
      </w:pPr>
      <w:r>
        <w:rPr>
          <w:sz w:val="20"/>
          <w:b/>
        </w:rPr>
        <w:t>九、验收要求</w:t>
      </w:r>
    </w:p>
    <w:p>
      <w:pPr>
        <w:pStyle w:val="null3"/>
        <w:ind w:firstLine="400"/>
        <w:jc w:val="both"/>
      </w:pPr>
      <w:r>
        <w:rPr>
          <w:sz w:val="20"/>
        </w:rPr>
        <w:t>1.</w:t>
      </w:r>
      <w:r>
        <w:rPr>
          <w:sz w:val="20"/>
        </w:rPr>
        <w:t>甲方收到乙方项目验收建议之日起</w:t>
      </w:r>
      <w:r>
        <w:rPr>
          <w:sz w:val="20"/>
        </w:rPr>
        <w:t>7</w:t>
      </w:r>
      <w:r>
        <w:rPr>
          <w:sz w:val="20"/>
        </w:rPr>
        <w:t xml:space="preserve">日内按照合同的约定对履约情况进行验收，对每一项技术、服务、安全标准的履约情况进行确认。 </w:t>
      </w:r>
      <w:r>
        <w:rPr>
          <w:sz w:val="20"/>
        </w:rPr>
        <w:t>2.</w:t>
      </w:r>
      <w:r>
        <w:rPr>
          <w:sz w:val="20"/>
        </w:rPr>
        <w:t xml:space="preserve">产品（设备）若有国家标准按照国家标准验收，若无国家标准按行业标准验收，为原制造商制造的全新产品，整机无污染，无侵害第三方权利、表面无划损、无任何缺陷隐患，在中国境内可依常规安全合法使用。 </w:t>
      </w:r>
      <w:r>
        <w:rPr>
          <w:sz w:val="20"/>
        </w:rPr>
        <w:t>3.</w:t>
      </w:r>
      <w:r>
        <w:rPr>
          <w:sz w:val="20"/>
        </w:rPr>
        <w:t>货物为原厂商未启封全新包装，具有出厂合格证，序列号、包装箱号与出厂批号一致，并可追索查阅。所有随设备的附件必须齐全。</w:t>
      </w:r>
      <w:r>
        <w:rPr>
          <w:sz w:val="20"/>
        </w:rPr>
        <w:t>4.</w:t>
      </w:r>
      <w:r>
        <w:rPr>
          <w:sz w:val="20"/>
        </w:rPr>
        <w:t>甲方组成验收小组按国家有关规定、规范进行验收，必要时邀请相关的专业人员或机构参与验收。因产品质量问题发生争议时，由本地市场监督管理部门鉴定。产品符合质量技术标准的，鉴定费由甲方承担；否则鉴定费由乙方承担。</w:t>
      </w:r>
      <w:r>
        <w:rPr>
          <w:sz w:val="20"/>
        </w:rPr>
        <w:t>5.</w:t>
      </w:r>
      <w:r>
        <w:rPr>
          <w:sz w:val="20"/>
        </w:rPr>
        <w:t>乙方应在项目验收前将货物的全部有关产品说明书、原厂家安装及使用手册、技术文件、资料、及安装、调试、验收报告等文档汇集成册交付甲方。</w:t>
      </w:r>
      <w:r>
        <w:rPr>
          <w:sz w:val="20"/>
        </w:rPr>
        <w:t>6.</w:t>
      </w:r>
      <w:r>
        <w:rPr>
          <w:sz w:val="20"/>
        </w:rPr>
        <w:t>验收不能通过的，乙方应负责及时整改。若整改后，产品仍未能达标的，甲方有权依本合同约定和法律规定追究其经济及法律责任。</w:t>
      </w:r>
      <w:r>
        <w:rPr>
          <w:sz w:val="20"/>
        </w:rPr>
        <w:t>7.</w:t>
      </w:r>
      <w:r>
        <w:rPr>
          <w:sz w:val="20"/>
        </w:rPr>
        <w:t>乙方保证合同项下提供的产品不侵犯任何第三方的专利、商标或版权。否则，乙方须承担对第三方的专利、商标或版权的侵权责任并承担因此而发生的所有费用。如甲方因此承担相关责任，有权向乙方追偿。</w:t>
      </w:r>
    </w:p>
    <w:p>
      <w:pPr>
        <w:pStyle w:val="null3"/>
        <w:jc w:val="left"/>
      </w:pPr>
      <w:r>
        <w:rPr>
          <w:sz w:val="20"/>
          <w:b/>
        </w:rPr>
        <w:t>十、质量保证</w:t>
      </w:r>
    </w:p>
    <w:p>
      <w:pPr>
        <w:pStyle w:val="null3"/>
        <w:ind w:firstLine="400"/>
        <w:jc w:val="both"/>
      </w:pPr>
      <w:r>
        <w:rPr>
          <w:sz w:val="20"/>
        </w:rPr>
        <w:t>1.</w:t>
      </w:r>
      <w:r>
        <w:rPr>
          <w:sz w:val="20"/>
        </w:rPr>
        <w:t>项目自安装验收完成之日起质保期为八年，免费保修期为一年，器材损坏后要求</w:t>
      </w:r>
      <w:r>
        <w:rPr>
          <w:sz w:val="20"/>
        </w:rPr>
        <w:t>10</w:t>
      </w:r>
      <w:r>
        <w:rPr>
          <w:sz w:val="20"/>
        </w:rPr>
        <w:t>天内上门维修，免费保修期内，所有服务及配件全部包含在报价中。</w:t>
      </w:r>
      <w:r>
        <w:rPr>
          <w:sz w:val="20"/>
        </w:rPr>
        <w:t>2.</w:t>
      </w:r>
      <w:r>
        <w:rPr>
          <w:sz w:val="20"/>
        </w:rPr>
        <w:t>质量保证期自采购人和中标供应商代表在货物安装调试验收后的验收书上签字之日起计算。质量保证期内中标供应商对所供货物实行包修、包换、包退、包维护保养，保修期后设备维修配件更换只收取成本费用。</w:t>
      </w:r>
      <w:r>
        <w:rPr>
          <w:sz w:val="20"/>
        </w:rPr>
        <w:t>3.</w:t>
      </w:r>
      <w:r>
        <w:rPr>
          <w:sz w:val="20"/>
        </w:rPr>
        <w:t>在质量保证期内，如货品非因采购人的人为原因而出现的问题由中标供应商负责保修、包换或包退，并承担修理、调换或退货的实际费用。</w:t>
      </w:r>
    </w:p>
    <w:p>
      <w:pPr>
        <w:pStyle w:val="null3"/>
        <w:jc w:val="both"/>
      </w:pPr>
      <w:r>
        <w:rPr>
          <w:sz w:val="20"/>
          <w:b/>
        </w:rPr>
        <w:t>九、违约责任与赔偿损失</w:t>
      </w:r>
    </w:p>
    <w:p>
      <w:pPr>
        <w:pStyle w:val="null3"/>
        <w:ind w:firstLine="400"/>
        <w:jc w:val="both"/>
      </w:pPr>
      <w:r>
        <w:rPr>
          <w:sz w:val="20"/>
        </w:rPr>
        <w:t>1.</w:t>
      </w:r>
      <w:r>
        <w:rPr>
          <w:sz w:val="20"/>
        </w:rPr>
        <w:t>乙方交付的货物、工程</w:t>
      </w:r>
      <w:r>
        <w:rPr>
          <w:sz w:val="20"/>
        </w:rPr>
        <w:t>/</w:t>
      </w:r>
      <w:r>
        <w:rPr>
          <w:sz w:val="20"/>
        </w:rPr>
        <w:t>提供的服务不符合本合同规定的，甲方有权拒收，并且乙方须向甲方支付本合同总价</w:t>
      </w:r>
      <w:r>
        <w:rPr>
          <w:sz w:val="20"/>
        </w:rPr>
        <w:t>5%</w:t>
      </w:r>
      <w:r>
        <w:rPr>
          <w:sz w:val="20"/>
        </w:rPr>
        <w:t>的违约金。</w:t>
      </w:r>
    </w:p>
    <w:p>
      <w:pPr>
        <w:pStyle w:val="null3"/>
        <w:ind w:firstLine="400"/>
        <w:jc w:val="both"/>
      </w:pPr>
      <w:r>
        <w:rPr>
          <w:sz w:val="20"/>
        </w:rPr>
        <w:t>2.</w:t>
      </w:r>
      <w:r>
        <w:rPr>
          <w:sz w:val="20"/>
        </w:rPr>
        <w:t>乙方未能按本合同规定的交货时间交付货物的</w:t>
      </w:r>
      <w:r>
        <w:rPr>
          <w:sz w:val="20"/>
        </w:rPr>
        <w:t>/</w:t>
      </w:r>
      <w:r>
        <w:rPr>
          <w:sz w:val="20"/>
        </w:rPr>
        <w:t>提供服务，从逾期之日起每日按本合同总价</w:t>
      </w:r>
      <w:r>
        <w:rPr>
          <w:sz w:val="20"/>
        </w:rPr>
        <w:t>3</w:t>
      </w:r>
      <w:r>
        <w:rPr>
          <w:sz w:val="20"/>
        </w:rPr>
        <w:t>‰的数额向甲方支付违约金；逾期半个月以上的，甲方有权终止合同，由此造成的甲方经济损失由乙方承担。</w:t>
      </w:r>
    </w:p>
    <w:p>
      <w:pPr>
        <w:pStyle w:val="null3"/>
        <w:ind w:firstLine="400"/>
        <w:jc w:val="both"/>
      </w:pPr>
      <w:r>
        <w:rPr>
          <w:sz w:val="20"/>
        </w:rPr>
        <w:t>3.</w:t>
      </w:r>
      <w:r>
        <w:rPr>
          <w:sz w:val="20"/>
        </w:rPr>
        <w:t>甲方无正当理由拒收货物</w:t>
      </w:r>
      <w:r>
        <w:rPr>
          <w:sz w:val="20"/>
        </w:rPr>
        <w:t>/</w:t>
      </w:r>
      <w:r>
        <w:rPr>
          <w:sz w:val="20"/>
        </w:rPr>
        <w:t>接受服务，到期拒付货物</w:t>
      </w:r>
      <w:r>
        <w:rPr>
          <w:sz w:val="20"/>
        </w:rPr>
        <w:t>/</w:t>
      </w:r>
      <w:r>
        <w:rPr>
          <w:sz w:val="20"/>
        </w:rPr>
        <w:t>服务款项的，甲方向乙方偿付本合同总的</w:t>
      </w:r>
      <w:r>
        <w:rPr>
          <w:sz w:val="20"/>
        </w:rPr>
        <w:t>5%</w:t>
      </w:r>
      <w:r>
        <w:rPr>
          <w:sz w:val="20"/>
        </w:rPr>
        <w:t>的违约金。甲方人逾期付款，则每日按本合同总价的</w:t>
      </w:r>
      <w:r>
        <w:rPr>
          <w:sz w:val="20"/>
        </w:rPr>
        <w:t>3</w:t>
      </w:r>
      <w:r>
        <w:rPr>
          <w:sz w:val="20"/>
        </w:rPr>
        <w:t>‰向乙方偿付违约金。</w:t>
      </w:r>
    </w:p>
    <w:p>
      <w:pPr>
        <w:pStyle w:val="null3"/>
        <w:ind w:firstLine="400"/>
        <w:jc w:val="both"/>
      </w:pPr>
      <w:r>
        <w:rPr>
          <w:sz w:val="20"/>
        </w:rPr>
        <w:t>4.</w:t>
      </w:r>
      <w:r>
        <w:rPr>
          <w:sz w:val="20"/>
        </w:rPr>
        <w:t>对于因甲方原因导致变更、中止或者终止政府采购合同的，甲方应当依照以下合同约定对供应商受到的损失予以赔偿或者补偿：</w:t>
      </w:r>
    </w:p>
    <w:p>
      <w:pPr>
        <w:pStyle w:val="null3"/>
        <w:ind w:firstLine="400"/>
        <w:jc w:val="both"/>
      </w:pPr>
      <w:r>
        <w:rPr>
          <w:sz w:val="20"/>
        </w:rPr>
        <w:t>5.</w:t>
      </w:r>
      <w:r>
        <w:rPr>
          <w:sz w:val="20"/>
        </w:rPr>
        <w:t>其它违约责任按《中华人民共和国民法典</w:t>
      </w:r>
      <w:r>
        <w:rPr>
          <w:sz w:val="20"/>
        </w:rPr>
        <w:t>(</w:t>
      </w:r>
      <w:r>
        <w:rPr>
          <w:sz w:val="20"/>
        </w:rPr>
        <w:t>合同编</w:t>
      </w:r>
      <w:r>
        <w:rPr>
          <w:sz w:val="20"/>
        </w:rPr>
        <w:t>)</w:t>
      </w:r>
      <w:r>
        <w:rPr>
          <w:sz w:val="20"/>
        </w:rPr>
        <w:t>》处理。</w:t>
      </w:r>
    </w:p>
    <w:p>
      <w:pPr>
        <w:pStyle w:val="null3"/>
        <w:jc w:val="both"/>
      </w:pPr>
      <w:r>
        <w:rPr>
          <w:sz w:val="20"/>
          <w:b/>
        </w:rPr>
        <w:t>十、</w:t>
      </w:r>
      <w:r>
        <w:rPr/>
        <w:t xml:space="preserve"> </w:t>
      </w:r>
      <w:r>
        <w:rPr>
          <w:sz w:val="20"/>
          <w:b/>
        </w:rPr>
        <w:t>争议的解决</w:t>
      </w:r>
    </w:p>
    <w:p>
      <w:pPr>
        <w:pStyle w:val="null3"/>
        <w:jc w:val="left"/>
      </w:pPr>
      <w:r>
        <w:rPr>
          <w:sz w:val="20"/>
        </w:rPr>
        <w:t xml:space="preserve">   </w:t>
      </w:r>
      <w:r>
        <w:rPr>
          <w:sz w:val="20"/>
        </w:rPr>
        <w:t>合同执行过程中发生的任何争议，如双方不能通过友好协商解决，按相关法律法规处理。</w:t>
      </w:r>
    </w:p>
    <w:p>
      <w:pPr>
        <w:pStyle w:val="null3"/>
        <w:jc w:val="both"/>
      </w:pPr>
      <w:r>
        <w:rPr>
          <w:sz w:val="20"/>
          <w:b/>
        </w:rPr>
        <w:t>十一、不可抗力</w:t>
      </w:r>
    </w:p>
    <w:p>
      <w:pPr>
        <w:pStyle w:val="null3"/>
        <w:ind w:firstLine="400"/>
        <w:jc w:val="both"/>
      </w:pPr>
      <w:r>
        <w:rPr>
          <w:sz w:val="20"/>
        </w:rPr>
        <w:t>1.</w:t>
      </w:r>
      <w:r>
        <w:rPr>
          <w:sz w:val="20"/>
        </w:rPr>
        <w:t>任何一方由于不可抗力原因不能履行合同时，应在不可抗力事件结束后</w:t>
      </w:r>
      <w:r>
        <w:rPr>
          <w:sz w:val="20"/>
        </w:rPr>
        <w:t>1</w:t>
      </w:r>
      <w:r>
        <w:rPr>
          <w:sz w:val="20"/>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0"/>
          <w:b/>
        </w:rPr>
        <w:t>十二、税费</w:t>
      </w:r>
    </w:p>
    <w:p>
      <w:pPr>
        <w:pStyle w:val="null3"/>
        <w:ind w:firstLine="400"/>
        <w:jc w:val="both"/>
      </w:pPr>
      <w:r>
        <w:rPr>
          <w:sz w:val="20"/>
        </w:rPr>
        <w:t>在中国境内、外发生的与本合同执行有关的一切税费均由乙方负担。</w:t>
      </w:r>
    </w:p>
    <w:p>
      <w:pPr>
        <w:pStyle w:val="null3"/>
        <w:jc w:val="both"/>
      </w:pPr>
      <w:r>
        <w:rPr>
          <w:sz w:val="20"/>
          <w:b/>
        </w:rPr>
        <w:t>十三、</w:t>
      </w:r>
      <w:r>
        <w:rPr/>
        <w:t xml:space="preserve"> </w:t>
      </w:r>
      <w:r>
        <w:rPr>
          <w:sz w:val="20"/>
          <w:b/>
        </w:rPr>
        <w:t>其它</w:t>
      </w:r>
    </w:p>
    <w:p>
      <w:pPr>
        <w:pStyle w:val="null3"/>
        <w:ind w:firstLine="400"/>
        <w:jc w:val="both"/>
      </w:pPr>
      <w:r>
        <w:rPr>
          <w:sz w:val="20"/>
        </w:rPr>
        <w:t>1.</w:t>
      </w:r>
      <w:r>
        <w:rPr>
          <w:sz w:val="20"/>
        </w:rPr>
        <w:t>本合同所有附件、磋商文件、响应文件、成交通知书均为合同的有效组成部分，与本合同具有同等法律效力。</w:t>
      </w:r>
    </w:p>
    <w:p>
      <w:pPr>
        <w:pStyle w:val="null3"/>
        <w:ind w:firstLine="400"/>
        <w:jc w:val="both"/>
      </w:pPr>
      <w:r>
        <w:rPr>
          <w:sz w:val="20"/>
        </w:rPr>
        <w:t>2.</w:t>
      </w:r>
      <w:r>
        <w:rPr>
          <w:sz w:val="20"/>
        </w:rPr>
        <w:t>在执行本合同的过程中，所有经双方签署确认的文件（包括会议纪要、补充协议、往来信函）即成为本合同的有效组成部分。</w:t>
      </w:r>
    </w:p>
    <w:p>
      <w:pPr>
        <w:pStyle w:val="null3"/>
        <w:ind w:firstLine="400"/>
        <w:jc w:val="both"/>
      </w:pPr>
      <w:r>
        <w:rPr>
          <w:sz w:val="20"/>
        </w:rPr>
        <w:t>3.</w:t>
      </w:r>
      <w:r>
        <w:rPr>
          <w:sz w:val="20"/>
        </w:rPr>
        <w:t>如一方地址、电话、传真号码有变更，应在变更当日内书面通知对方，否则，应承担相应责任。</w:t>
      </w:r>
    </w:p>
    <w:p>
      <w:pPr>
        <w:pStyle w:val="null3"/>
        <w:ind w:firstLine="400"/>
        <w:jc w:val="both"/>
      </w:pPr>
      <w:r>
        <w:rPr>
          <w:sz w:val="20"/>
        </w:rPr>
        <w:t>4.</w:t>
      </w:r>
      <w:r>
        <w:rPr>
          <w:sz w:val="20"/>
        </w:rPr>
        <w:t>除甲方事先书面同意外，乙方不得部分或全部转让其应履行的合同项下的义务。</w:t>
      </w:r>
    </w:p>
    <w:p>
      <w:pPr>
        <w:pStyle w:val="null3"/>
        <w:jc w:val="both"/>
      </w:pPr>
      <w:r>
        <w:rPr>
          <w:sz w:val="20"/>
          <w:b/>
        </w:rPr>
        <w:t>十四、合同生效</w:t>
      </w:r>
    </w:p>
    <w:p>
      <w:pPr>
        <w:pStyle w:val="null3"/>
        <w:ind w:firstLine="400"/>
        <w:jc w:val="both"/>
      </w:pPr>
      <w:r>
        <w:rPr>
          <w:sz w:val="20"/>
        </w:rPr>
        <w:t>1.</w:t>
      </w:r>
      <w:r>
        <w:rPr>
          <w:sz w:val="20"/>
        </w:rPr>
        <w:t>本合同在甲乙双方法人代表或其授权代表签字盖章后生效。</w:t>
      </w:r>
    </w:p>
    <w:p>
      <w:pPr>
        <w:pStyle w:val="null3"/>
        <w:ind w:firstLine="400"/>
        <w:jc w:val="both"/>
      </w:pPr>
      <w:r>
        <w:rPr>
          <w:sz w:val="20"/>
        </w:rPr>
        <w:t>2.</w:t>
      </w:r>
      <w:r>
        <w:rPr>
          <w:sz w:val="20"/>
        </w:rPr>
        <w:t>合同一式</w:t>
      </w:r>
      <w:r>
        <w:rPr>
          <w:u w:val="single"/>
        </w:rPr>
        <w:t xml:space="preserve">    </w:t>
      </w:r>
      <w:r>
        <w:rPr>
          <w:sz w:val="20"/>
        </w:rPr>
        <w:t>份。</w:t>
      </w:r>
    </w:p>
    <w:p>
      <w:pPr>
        <w:pStyle w:val="null3"/>
        <w:jc w:val="both"/>
      </w:pPr>
      <w:r>
        <w:rPr/>
        <w:t xml:space="preserve"> </w:t>
      </w:r>
    </w:p>
    <w:p>
      <w:pPr>
        <w:pStyle w:val="null3"/>
        <w:jc w:val="both"/>
      </w:pPr>
      <w:r>
        <w:rPr>
          <w:sz w:val="20"/>
          <w:b/>
        </w:rPr>
        <w:t>甲方（盖章）：</w:t>
      </w:r>
      <w:r>
        <w:rPr>
          <w:b/>
        </w:rPr>
        <w:t xml:space="preserve">                         </w:t>
      </w:r>
      <w:r>
        <w:rPr>
          <w:sz w:val="20"/>
          <w:b/>
        </w:rPr>
        <w:t>乙方（盖章）：</w:t>
      </w:r>
    </w:p>
    <w:p>
      <w:pPr>
        <w:pStyle w:val="null3"/>
        <w:jc w:val="both"/>
      </w:pPr>
      <w:r>
        <w:rPr>
          <w:sz w:val="20"/>
          <w:b/>
        </w:rPr>
        <w:t>代表：代表：</w:t>
      </w:r>
      <w:r>
        <w:rPr>
          <w:b/>
        </w:rPr>
        <w:t xml:space="preserve">                          </w:t>
      </w:r>
      <w:r>
        <w:rPr>
          <w:sz w:val="20"/>
          <w:b/>
        </w:rPr>
        <w:t>代表：代表：</w:t>
      </w:r>
    </w:p>
    <w:p>
      <w:pPr>
        <w:pStyle w:val="null3"/>
        <w:jc w:val="both"/>
      </w:pPr>
      <w:r>
        <w:rPr>
          <w:sz w:val="20"/>
        </w:rPr>
        <w:t>签订地点：</w:t>
      </w:r>
    </w:p>
    <w:p>
      <w:pPr>
        <w:pStyle w:val="null3"/>
        <w:jc w:val="both"/>
      </w:pPr>
      <w:r>
        <w:rPr>
          <w:sz w:val="20"/>
        </w:rPr>
        <w:t>签订日期：　　　年　　月　　日</w:t>
      </w:r>
      <w:r>
        <w:rPr/>
        <w:t xml:space="preserve">         </w:t>
      </w:r>
      <w:r>
        <w:rPr>
          <w:sz w:val="20"/>
        </w:rPr>
        <w:t>签订日期：　　　年　　月　　日</w:t>
      </w:r>
    </w:p>
    <w:p>
      <w:pPr>
        <w:pStyle w:val="null3"/>
        <w:jc w:val="both"/>
      </w:pPr>
      <w:r>
        <w:rPr>
          <w:sz w:val="20"/>
        </w:rPr>
        <w:t>开户名称：</w:t>
      </w:r>
      <w:r>
        <w:rPr/>
        <w:t xml:space="preserve">                                     </w:t>
      </w:r>
      <w:r>
        <w:rPr>
          <w:sz w:val="20"/>
        </w:rPr>
        <w:t>开户名称：</w:t>
      </w:r>
    </w:p>
    <w:p>
      <w:pPr>
        <w:pStyle w:val="null3"/>
        <w:jc w:val="both"/>
      </w:pPr>
      <w:r>
        <w:rPr>
          <w:sz w:val="20"/>
        </w:rPr>
        <w:t>银行帐号：</w:t>
      </w:r>
      <w:r>
        <w:rPr/>
        <w:t xml:space="preserve">                                     </w:t>
      </w:r>
      <w:r>
        <w:rPr>
          <w:sz w:val="20"/>
        </w:rPr>
        <w:t>银行帐号：</w:t>
      </w:r>
    </w:p>
    <w:p>
      <w:pPr>
        <w:pStyle w:val="null3"/>
        <w:jc w:val="both"/>
      </w:pPr>
      <w:r>
        <w:rPr>
          <w:sz w:val="20"/>
        </w:rPr>
        <w:t>开户行：</w:t>
      </w:r>
      <w:r>
        <w:rPr/>
        <w:t xml:space="preserve">                                               </w:t>
      </w:r>
      <w:r>
        <w:rPr>
          <w:sz w:val="20"/>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445122-2026-01101</w:t>
      </w:r>
    </w:p>
    <w:p>
      <w:pPr>
        <w:pStyle w:val="null3"/>
        <w:jc w:val="center"/>
        <w:outlineLvl w:val="3"/>
      </w:pPr>
      <w:r>
        <w:rPr>
          <w:sz w:val="24"/>
          <w:b/>
        </w:rPr>
        <w:t>采购项目编号：</w:t>
      </w:r>
      <w:r>
        <w:rPr>
          <w:sz w:val="24"/>
          <w:b/>
        </w:rPr>
        <w:t>04-17-04A-2026-D-F-E22500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公诚管理咨询有限公司</w:t>
      </w:r>
    </w:p>
    <w:p>
      <w:pPr>
        <w:pStyle w:val="null3"/>
        <w:ind w:firstLine="480"/>
      </w:pPr>
      <w:r>
        <w:rPr/>
        <w:t xml:space="preserve"> 你方组织的</w:t>
      </w:r>
      <w:r>
        <w:rPr>
          <w:u w:val="single"/>
        </w:rPr>
        <w:t>“</w:t>
      </w:r>
      <w:r>
        <w:rPr>
          <w:u w:val="single"/>
        </w:rPr>
        <w:t>2026年饶平县健身路径、篮球架及乒乓球台采购项目</w:t>
      </w:r>
      <w:r>
        <w:rPr>
          <w:u w:val="single"/>
        </w:rPr>
        <w:t>”</w:t>
      </w:r>
      <w:r>
        <w:rPr/>
        <w:t>项目的招标[采购项目编号为：</w:t>
      </w:r>
      <w:r>
        <w:rPr>
          <w:u w:val="single"/>
        </w:rPr>
        <w:t>04-17-04A-2026-D-F-E22500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2026年饶平县健身路径、篮球架及乒乓球台采购项目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公诚管理咨询有限公司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2026年饶平县健身路径、篮球架及乒乓球台采购项目</w:t>
      </w:r>
      <w:r>
        <w:rPr/>
        <w:t>”项目采购[采购项目编号为</w:t>
      </w:r>
      <w:r>
        <w:rPr/>
        <w:t>04-17-04A-2026-D-F-E22500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饶平县体育发展中心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公诚管理咨询有限公司</w:t>
      </w:r>
    </w:p>
    <w:p>
      <w:pPr>
        <w:pStyle w:val="null3"/>
        <w:ind w:firstLine="480"/>
      </w:pPr>
      <w:r>
        <w:rPr/>
        <w:t xml:space="preserve"> 如果我方在贵采购代理机构组织的</w:t>
      </w:r>
      <w:r>
        <w:rPr/>
        <w:t>2026年饶平县健身路径、篮球架及乒乓球台采购项目</w:t>
      </w:r>
      <w:r>
        <w:rPr/>
        <w:t>招标中获中标（采购项目编号：</w:t>
      </w:r>
      <w:r>
        <w:rPr/>
        <w:t>04-17-04A-2026-D-F-E22500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公诚管理咨询有限公司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公诚管理咨询有限公司</w:t>
      </w:r>
    </w:p>
    <w:p>
      <w:pPr>
        <w:pStyle w:val="null3"/>
        <w:ind w:firstLine="480"/>
      </w:pPr>
      <w:r>
        <w:rPr/>
        <w:t>我单位已登记并准备参与“</w:t>
      </w:r>
      <w:r>
        <w:rPr/>
        <w:t>2026年饶平县健身路径、篮球架及乒乓球台采购项目</w:t>
      </w:r>
      <w:r>
        <w:rPr/>
        <w:t>”项目（采购项目编号：</w:t>
      </w:r>
      <w:r>
        <w:rPr/>
        <w:t>04-17-04A-2026-D-F-E22500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11" Target="media/image6.png" Type="http://schemas.openxmlformats.org/officeDocument/2006/relationships/image"/><Relationship Id="rId12" Target="media/image7.png" Type="http://schemas.openxmlformats.org/officeDocument/2006/relationships/image"/><Relationship Id="rId13" Target="media/image8.png" Type="http://schemas.openxmlformats.org/officeDocument/2006/relationships/image"/><Relationship Id="rId14" Target="media/image9.png" Type="http://schemas.openxmlformats.org/officeDocument/2006/relationships/image"/><Relationship Id="rId15" Target="media/image10.png" Type="http://schemas.openxmlformats.org/officeDocument/2006/relationships/image"/><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 Id="rId7" Target="media/image3.png" Type="http://schemas.openxmlformats.org/officeDocument/2006/relationships/image"/><Relationship Id="rId8" Target="numbering.xml" Type="http://schemas.openxmlformats.org/officeDocument/2006/relationships/numbering"/><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