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BFE2C">
      <w:pPr>
        <w:adjustRightInd w:val="0"/>
        <w:snapToGrid w:val="0"/>
        <w:spacing w:line="360" w:lineRule="auto"/>
        <w:jc w:val="center"/>
        <w:rPr>
          <w:rFonts w:hint="eastAsia" w:ascii="宋体" w:hAnsi="宋体" w:eastAsia="宋体" w:cs="宋体"/>
          <w:b/>
          <w:bCs/>
          <w:color w:val="auto"/>
          <w:kern w:val="0"/>
          <w:sz w:val="52"/>
          <w:szCs w:val="52"/>
          <w:highlight w:val="none"/>
        </w:rPr>
      </w:pPr>
      <w:bookmarkStart w:id="0" w:name="OLE_LINK7"/>
    </w:p>
    <w:p w14:paraId="35D831B9">
      <w:pPr>
        <w:adjustRightInd w:val="0"/>
        <w:snapToGrid w:val="0"/>
        <w:spacing w:line="360" w:lineRule="auto"/>
        <w:jc w:val="center"/>
        <w:rPr>
          <w:rFonts w:hint="eastAsia" w:ascii="宋体" w:hAnsi="宋体" w:eastAsia="宋体" w:cs="宋体"/>
          <w:b/>
          <w:bCs/>
          <w:color w:val="auto"/>
          <w:spacing w:val="10"/>
          <w:kern w:val="0"/>
          <w:sz w:val="56"/>
          <w:szCs w:val="56"/>
          <w:highlight w:val="none"/>
        </w:rPr>
      </w:pPr>
      <w:r>
        <w:rPr>
          <w:rFonts w:hint="eastAsia" w:ascii="宋体" w:hAnsi="宋体" w:eastAsia="宋体" w:cs="宋体"/>
          <w:b/>
          <w:bCs/>
          <w:color w:val="auto"/>
          <w:spacing w:val="10"/>
          <w:kern w:val="0"/>
          <w:sz w:val="56"/>
          <w:szCs w:val="56"/>
          <w:highlight w:val="none"/>
        </w:rPr>
        <w:t>澄江市机关幼儿园食堂食材配送服务采购项目</w:t>
      </w:r>
    </w:p>
    <w:p w14:paraId="76678B81">
      <w:pPr>
        <w:adjustRightInd w:val="0"/>
        <w:snapToGrid w:val="0"/>
        <w:spacing w:line="360" w:lineRule="auto"/>
        <w:jc w:val="center"/>
        <w:rPr>
          <w:rFonts w:hint="eastAsia" w:ascii="宋体" w:hAnsi="宋体" w:eastAsia="宋体" w:cs="宋体"/>
          <w:color w:val="auto"/>
          <w:sz w:val="52"/>
          <w:szCs w:val="52"/>
          <w:highlight w:val="none"/>
        </w:rPr>
      </w:pPr>
    </w:p>
    <w:p w14:paraId="51227CD3">
      <w:pPr>
        <w:adjustRightInd w:val="0"/>
        <w:snapToGrid w:val="0"/>
        <w:spacing w:line="360" w:lineRule="auto"/>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项目编号：ZZGL-2026004F</w:t>
      </w:r>
    </w:p>
    <w:p w14:paraId="18F9B329">
      <w:pPr>
        <w:pStyle w:val="51"/>
        <w:adjustRightInd w:val="0"/>
        <w:snapToGrid w:val="0"/>
        <w:spacing w:before="0" w:after="0" w:line="360" w:lineRule="auto"/>
        <w:rPr>
          <w:rFonts w:hint="eastAsia" w:eastAsia="宋体"/>
          <w:color w:val="auto"/>
          <w:highlight w:val="none"/>
        </w:rPr>
      </w:pPr>
    </w:p>
    <w:p w14:paraId="0C8413CB">
      <w:pPr>
        <w:adjustRightInd w:val="0"/>
        <w:snapToGrid w:val="0"/>
        <w:spacing w:line="360" w:lineRule="auto"/>
        <w:jc w:val="left"/>
        <w:rPr>
          <w:rFonts w:hint="eastAsia" w:ascii="宋体" w:hAnsi="宋体" w:eastAsia="宋体" w:cs="宋体"/>
          <w:b/>
          <w:bCs/>
          <w:color w:val="auto"/>
          <w:kern w:val="0"/>
          <w:szCs w:val="24"/>
          <w:highlight w:val="none"/>
        </w:rPr>
      </w:pPr>
    </w:p>
    <w:p w14:paraId="1CD08204">
      <w:pPr>
        <w:adjustRightInd w:val="0"/>
        <w:snapToGrid w:val="0"/>
        <w:spacing w:line="360" w:lineRule="auto"/>
        <w:jc w:val="center"/>
        <w:rPr>
          <w:rFonts w:hint="eastAsia" w:ascii="宋体" w:hAnsi="宋体" w:eastAsia="宋体" w:cs="宋体"/>
          <w:b/>
          <w:bCs/>
          <w:color w:val="auto"/>
          <w:kern w:val="0"/>
          <w:szCs w:val="24"/>
          <w:highlight w:val="none"/>
        </w:rPr>
      </w:pPr>
      <w:r>
        <w:rPr>
          <w:rFonts w:hint="eastAsia" w:ascii="宋体" w:hAnsi="宋体" w:eastAsia="宋体" w:cs="宋体"/>
          <w:b/>
          <w:bCs/>
          <w:color w:val="auto"/>
          <w:kern w:val="0"/>
          <w:sz w:val="72"/>
          <w:szCs w:val="72"/>
          <w:highlight w:val="none"/>
        </w:rPr>
        <w:t>招 标 文 件</w:t>
      </w:r>
    </w:p>
    <w:p w14:paraId="571A0A10">
      <w:pPr>
        <w:adjustRightInd w:val="0"/>
        <w:snapToGrid w:val="0"/>
        <w:spacing w:line="360" w:lineRule="auto"/>
        <w:jc w:val="left"/>
        <w:rPr>
          <w:rFonts w:hint="eastAsia" w:ascii="宋体" w:hAnsi="宋体" w:eastAsia="宋体" w:cs="宋体"/>
          <w:b/>
          <w:bCs/>
          <w:color w:val="auto"/>
          <w:kern w:val="0"/>
          <w:szCs w:val="24"/>
          <w:highlight w:val="none"/>
        </w:rPr>
      </w:pPr>
    </w:p>
    <w:p w14:paraId="40AF843E">
      <w:pPr>
        <w:adjustRightInd w:val="0"/>
        <w:snapToGrid w:val="0"/>
        <w:spacing w:line="360" w:lineRule="auto"/>
        <w:jc w:val="left"/>
        <w:rPr>
          <w:rFonts w:hint="eastAsia" w:ascii="宋体" w:hAnsi="宋体" w:eastAsia="宋体" w:cs="宋体"/>
          <w:b/>
          <w:bCs/>
          <w:color w:val="auto"/>
          <w:kern w:val="0"/>
          <w:szCs w:val="24"/>
          <w:highlight w:val="none"/>
        </w:rPr>
      </w:pPr>
    </w:p>
    <w:p w14:paraId="30B1049D">
      <w:pPr>
        <w:adjustRightInd w:val="0"/>
        <w:snapToGrid w:val="0"/>
        <w:spacing w:line="360" w:lineRule="auto"/>
        <w:jc w:val="left"/>
        <w:rPr>
          <w:rFonts w:hint="eastAsia" w:ascii="宋体" w:hAnsi="宋体" w:eastAsia="宋体" w:cs="宋体"/>
          <w:b/>
          <w:bCs/>
          <w:color w:val="auto"/>
          <w:kern w:val="0"/>
          <w:szCs w:val="24"/>
          <w:highlight w:val="none"/>
        </w:rPr>
      </w:pPr>
    </w:p>
    <w:p w14:paraId="32F1B681">
      <w:pPr>
        <w:adjustRightInd w:val="0"/>
        <w:snapToGrid w:val="0"/>
        <w:spacing w:line="360" w:lineRule="auto"/>
        <w:jc w:val="left"/>
        <w:rPr>
          <w:rFonts w:hint="eastAsia" w:ascii="宋体" w:hAnsi="宋体" w:eastAsia="宋体" w:cs="宋体"/>
          <w:b/>
          <w:bCs/>
          <w:color w:val="auto"/>
          <w:kern w:val="0"/>
          <w:szCs w:val="24"/>
          <w:highlight w:val="none"/>
        </w:rPr>
      </w:pPr>
    </w:p>
    <w:p w14:paraId="2E786895">
      <w:pPr>
        <w:adjustRightInd w:val="0"/>
        <w:snapToGrid w:val="0"/>
        <w:spacing w:line="360" w:lineRule="auto"/>
        <w:jc w:val="left"/>
        <w:rPr>
          <w:rFonts w:hint="eastAsia" w:ascii="宋体" w:hAnsi="宋体" w:eastAsia="宋体" w:cs="宋体"/>
          <w:b/>
          <w:bCs/>
          <w:color w:val="auto"/>
          <w:kern w:val="0"/>
          <w:szCs w:val="24"/>
          <w:highlight w:val="none"/>
        </w:rPr>
      </w:pPr>
    </w:p>
    <w:p w14:paraId="3535B605">
      <w:pPr>
        <w:adjustRightInd w:val="0"/>
        <w:snapToGrid w:val="0"/>
        <w:spacing w:line="360" w:lineRule="auto"/>
        <w:rPr>
          <w:rFonts w:hint="eastAsia" w:ascii="宋体" w:hAnsi="宋体" w:eastAsia="宋体" w:cs="宋体"/>
          <w:b/>
          <w:bCs/>
          <w:color w:val="auto"/>
          <w:kern w:val="0"/>
          <w:sz w:val="28"/>
          <w:szCs w:val="28"/>
          <w:highlight w:val="none"/>
        </w:rPr>
      </w:pPr>
    </w:p>
    <w:p w14:paraId="10F97040">
      <w:pPr>
        <w:adjustRightInd w:val="0"/>
        <w:snapToGrid w:val="0"/>
        <w:spacing w:line="360" w:lineRule="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采购人：</w:t>
      </w:r>
      <w:r>
        <w:rPr>
          <w:rFonts w:hint="eastAsia" w:ascii="宋体" w:hAnsi="宋体" w:eastAsia="宋体" w:cs="宋体"/>
          <w:b/>
          <w:bCs/>
          <w:color w:val="auto"/>
          <w:kern w:val="0"/>
          <w:sz w:val="28"/>
          <w:szCs w:val="28"/>
          <w:highlight w:val="none"/>
          <w:u w:val="single"/>
        </w:rPr>
        <w:t>澄江市机关幼儿园                                  (盖章)</w:t>
      </w:r>
    </w:p>
    <w:p w14:paraId="09B0F20C">
      <w:pPr>
        <w:adjustRightInd w:val="0"/>
        <w:snapToGrid w:val="0"/>
        <w:spacing w:line="360" w:lineRule="auto"/>
        <w:rPr>
          <w:rFonts w:hint="eastAsia" w:ascii="宋体" w:hAnsi="宋体" w:eastAsia="宋体" w:cs="宋体"/>
          <w:b/>
          <w:bCs/>
          <w:color w:val="auto"/>
          <w:kern w:val="0"/>
          <w:sz w:val="28"/>
          <w:szCs w:val="28"/>
          <w:highlight w:val="none"/>
        </w:rPr>
      </w:pPr>
    </w:p>
    <w:p w14:paraId="6264DD67">
      <w:pPr>
        <w:adjustRightInd w:val="0"/>
        <w:snapToGrid w:val="0"/>
        <w:spacing w:line="360" w:lineRule="auto"/>
        <w:rPr>
          <w:rFonts w:hint="eastAsia" w:ascii="宋体" w:hAnsi="宋体" w:eastAsia="宋体" w:cs="宋体"/>
          <w:b/>
          <w:bCs/>
          <w:color w:val="auto"/>
          <w:kern w:val="0"/>
          <w:sz w:val="28"/>
          <w:szCs w:val="28"/>
          <w:highlight w:val="none"/>
          <w:u w:val="single"/>
        </w:rPr>
      </w:pPr>
      <w:r>
        <w:rPr>
          <w:rFonts w:hint="eastAsia" w:ascii="宋体" w:hAnsi="宋体" w:eastAsia="宋体" w:cs="宋体"/>
          <w:b/>
          <w:bCs/>
          <w:color w:val="auto"/>
          <w:kern w:val="0"/>
          <w:sz w:val="28"/>
          <w:szCs w:val="28"/>
          <w:highlight w:val="none"/>
        </w:rPr>
        <w:t>采购代理机构：</w:t>
      </w:r>
      <w:r>
        <w:rPr>
          <w:rFonts w:hint="eastAsia" w:ascii="宋体" w:hAnsi="宋体" w:eastAsia="宋体" w:cs="宋体"/>
          <w:b/>
          <w:bCs/>
          <w:color w:val="auto"/>
          <w:kern w:val="0"/>
          <w:sz w:val="28"/>
          <w:szCs w:val="28"/>
          <w:highlight w:val="none"/>
          <w:u w:val="single"/>
        </w:rPr>
        <w:t>云南中诏项目管理有限公司                    (盖章)</w:t>
      </w:r>
    </w:p>
    <w:p w14:paraId="07F0B4D2">
      <w:pPr>
        <w:adjustRightInd w:val="0"/>
        <w:snapToGrid w:val="0"/>
        <w:spacing w:line="360" w:lineRule="auto"/>
        <w:jc w:val="left"/>
        <w:rPr>
          <w:rFonts w:hint="eastAsia" w:ascii="宋体" w:hAnsi="宋体" w:eastAsia="宋体" w:cs="宋体"/>
          <w:b/>
          <w:bCs/>
          <w:color w:val="auto"/>
          <w:kern w:val="0"/>
          <w:sz w:val="28"/>
          <w:szCs w:val="28"/>
          <w:highlight w:val="none"/>
        </w:rPr>
      </w:pPr>
    </w:p>
    <w:p w14:paraId="2F131ED0">
      <w:pPr>
        <w:adjustRightInd w:val="0"/>
        <w:snapToGrid w:val="0"/>
        <w:spacing w:line="360" w:lineRule="auto"/>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日期：2026年0</w:t>
      </w:r>
      <w:r>
        <w:rPr>
          <w:rFonts w:hint="eastAsia" w:ascii="宋体" w:hAnsi="宋体" w:eastAsia="宋体" w:cs="宋体"/>
          <w:b/>
          <w:bCs/>
          <w:color w:val="auto"/>
          <w:kern w:val="0"/>
          <w:sz w:val="28"/>
          <w:szCs w:val="28"/>
          <w:highlight w:val="none"/>
          <w:lang w:val="en-US" w:eastAsia="zh-CN"/>
        </w:rPr>
        <w:t>3</w:t>
      </w:r>
      <w:r>
        <w:rPr>
          <w:rFonts w:hint="eastAsia" w:ascii="宋体" w:hAnsi="宋体" w:eastAsia="宋体" w:cs="宋体"/>
          <w:b/>
          <w:bCs/>
          <w:color w:val="auto"/>
          <w:kern w:val="0"/>
          <w:sz w:val="28"/>
          <w:szCs w:val="28"/>
          <w:highlight w:val="none"/>
        </w:rPr>
        <w:t>月</w:t>
      </w:r>
      <w:r>
        <w:rPr>
          <w:rFonts w:hint="eastAsia" w:ascii="宋体" w:hAnsi="宋体" w:eastAsia="宋体" w:cs="宋体"/>
          <w:b/>
          <w:bCs/>
          <w:color w:val="auto"/>
          <w:kern w:val="0"/>
          <w:sz w:val="28"/>
          <w:szCs w:val="28"/>
          <w:highlight w:val="none"/>
          <w:lang w:val="en-US" w:eastAsia="zh-CN"/>
        </w:rPr>
        <w:t>12</w:t>
      </w:r>
      <w:r>
        <w:rPr>
          <w:rFonts w:hint="eastAsia" w:ascii="宋体" w:hAnsi="宋体" w:eastAsia="宋体" w:cs="宋体"/>
          <w:b/>
          <w:bCs/>
          <w:color w:val="auto"/>
          <w:kern w:val="0"/>
          <w:sz w:val="28"/>
          <w:szCs w:val="28"/>
          <w:highlight w:val="none"/>
        </w:rPr>
        <w:t>日</w:t>
      </w:r>
    </w:p>
    <w:p w14:paraId="03CC8289">
      <w:pPr>
        <w:adjustRightInd w:val="0"/>
        <w:snapToGrid w:val="0"/>
        <w:spacing w:line="360" w:lineRule="auto"/>
        <w:jc w:val="left"/>
        <w:rPr>
          <w:rFonts w:hint="eastAsia" w:ascii="宋体" w:hAnsi="宋体" w:eastAsia="宋体" w:cs="宋体"/>
          <w:b/>
          <w:bCs/>
          <w:color w:val="auto"/>
          <w:kern w:val="0"/>
          <w:sz w:val="28"/>
          <w:szCs w:val="28"/>
          <w:highlight w:val="none"/>
        </w:rPr>
        <w:sectPr>
          <w:headerReference r:id="rId3" w:type="even"/>
          <w:footerReference r:id="rId4" w:type="even"/>
          <w:pgSz w:w="11906" w:h="16838"/>
          <w:pgMar w:top="1134" w:right="1247" w:bottom="1134" w:left="1247" w:header="851" w:footer="992" w:gutter="0"/>
          <w:pgNumType w:start="1"/>
          <w:cols w:space="720" w:num="1"/>
          <w:titlePg/>
          <w:docGrid w:linePitch="312" w:charSpace="0"/>
        </w:sectPr>
      </w:pPr>
    </w:p>
    <w:sdt>
      <w:sdtPr>
        <w:rPr>
          <w:color w:val="auto"/>
          <w:highlight w:val="none"/>
          <w:lang w:val="zh-CN"/>
        </w:rPr>
        <w:id w:val="1920603234"/>
        <w:docPartObj>
          <w:docPartGallery w:val="Table of Contents"/>
          <w:docPartUnique/>
        </w:docPartObj>
      </w:sdtPr>
      <w:sdtEndPr>
        <w:rPr>
          <w:rFonts w:asciiTheme="minorHAnsi" w:hAnsiTheme="minorHAnsi" w:eastAsiaTheme="minorEastAsia" w:cstheme="minorBidi"/>
          <w:b/>
          <w:bCs/>
          <w:color w:val="auto"/>
          <w:kern w:val="2"/>
          <w:sz w:val="21"/>
          <w:szCs w:val="22"/>
          <w:highlight w:val="none"/>
          <w:lang w:val="zh-CN"/>
        </w:rPr>
      </w:sdtEndPr>
      <w:sdtContent>
        <w:p w14:paraId="0003F276">
          <w:pPr>
            <w:pStyle w:val="235"/>
            <w:jc w:val="center"/>
            <w:rPr>
              <w:rFonts w:hint="eastAsia" w:ascii="宋体" w:hAnsi="宋体" w:eastAsia="宋体"/>
              <w:color w:val="auto"/>
              <w:highlight w:val="none"/>
            </w:rPr>
          </w:pPr>
          <w:bookmarkStart w:id="1" w:name="_Toc227816953"/>
          <w:bookmarkStart w:id="2" w:name="_Toc234057357"/>
          <w:bookmarkStart w:id="3" w:name="_Toc92960325"/>
          <w:bookmarkStart w:id="4" w:name="_Toc92163733"/>
          <w:bookmarkStart w:id="5" w:name="_Toc97780908"/>
          <w:bookmarkStart w:id="6" w:name="_Toc133549169"/>
          <w:bookmarkStart w:id="7" w:name="_Toc357500905"/>
          <w:bookmarkStart w:id="8" w:name="_Toc202173301"/>
          <w:bookmarkStart w:id="9" w:name="_Toc91471054"/>
          <w:bookmarkStart w:id="10" w:name="_Toc357158876"/>
          <w:bookmarkStart w:id="11" w:name="_Toc87244142"/>
          <w:bookmarkStart w:id="12" w:name="_Toc85459577"/>
          <w:bookmarkStart w:id="13" w:name="_Toc87412170"/>
          <w:bookmarkStart w:id="14" w:name="_Toc263672402"/>
          <w:bookmarkStart w:id="15" w:name="_Toc280658074"/>
          <w:r>
            <w:rPr>
              <w:rFonts w:ascii="宋体" w:hAnsi="宋体" w:eastAsia="宋体"/>
              <w:color w:val="auto"/>
              <w:highlight w:val="none"/>
              <w:lang w:val="zh-CN"/>
            </w:rPr>
            <w:t>目录</w:t>
          </w:r>
        </w:p>
        <w:p w14:paraId="0E099726">
          <w:pPr>
            <w:pStyle w:val="29"/>
            <w:tabs>
              <w:tab w:val="right" w:leader="dot" w:pos="8827"/>
              <w:tab w:val="clear" w:pos="8987"/>
            </w:tabs>
            <w:rPr>
              <w:color w:val="auto"/>
            </w:rPr>
          </w:pPr>
          <w:r>
            <w:rPr>
              <w:color w:val="auto"/>
              <w:highlight w:val="none"/>
            </w:rPr>
            <w:fldChar w:fldCharType="begin"/>
          </w:r>
          <w:r>
            <w:rPr>
              <w:color w:val="auto"/>
              <w:highlight w:val="none"/>
            </w:rPr>
            <w:instrText xml:space="preserve"> TOC \o "1-3" \h \z \u </w:instrText>
          </w:r>
          <w:r>
            <w:rPr>
              <w:rFonts w:hint="eastAsia"/>
              <w:color w:val="auto"/>
              <w:highlight w:val="none"/>
            </w:rPr>
            <w:fldChar w:fldCharType="separate"/>
          </w:r>
          <w:r>
            <w:rPr>
              <w:rFonts w:hint="eastAsia"/>
              <w:color w:val="auto"/>
              <w:highlight w:val="none"/>
            </w:rPr>
            <w:fldChar w:fldCharType="begin"/>
          </w:r>
          <w:r>
            <w:rPr>
              <w:rFonts w:hint="eastAsia"/>
              <w:color w:val="auto"/>
              <w:highlight w:val="none"/>
            </w:rPr>
            <w:instrText xml:space="preserve"> HYPERLINK \l _Toc16093 </w:instrText>
          </w:r>
          <w:r>
            <w:rPr>
              <w:rFonts w:hint="eastAsia"/>
              <w:color w:val="auto"/>
              <w:highlight w:val="none"/>
            </w:rPr>
            <w:fldChar w:fldCharType="separate"/>
          </w:r>
          <w:r>
            <w:rPr>
              <w:rFonts w:hint="eastAsia" w:eastAsia="宋体"/>
              <w:color w:val="auto"/>
              <w:szCs w:val="32"/>
              <w:highlight w:val="none"/>
            </w:rPr>
            <w:t>第一章  招标公告</w:t>
          </w:r>
          <w:r>
            <w:rPr>
              <w:color w:val="auto"/>
            </w:rPr>
            <w:tab/>
          </w:r>
          <w:r>
            <w:rPr>
              <w:color w:val="auto"/>
            </w:rPr>
            <w:fldChar w:fldCharType="begin"/>
          </w:r>
          <w:r>
            <w:rPr>
              <w:color w:val="auto"/>
            </w:rPr>
            <w:instrText xml:space="preserve"> PAGEREF _Toc16093 \h </w:instrText>
          </w:r>
          <w:r>
            <w:rPr>
              <w:color w:val="auto"/>
            </w:rPr>
            <w:fldChar w:fldCharType="separate"/>
          </w:r>
          <w:r>
            <w:rPr>
              <w:color w:val="auto"/>
            </w:rPr>
            <w:t>2</w:t>
          </w:r>
          <w:r>
            <w:rPr>
              <w:color w:val="auto"/>
            </w:rPr>
            <w:fldChar w:fldCharType="end"/>
          </w:r>
          <w:r>
            <w:rPr>
              <w:rFonts w:hint="eastAsia"/>
              <w:color w:val="auto"/>
              <w:highlight w:val="none"/>
            </w:rPr>
            <w:fldChar w:fldCharType="end"/>
          </w:r>
        </w:p>
        <w:p w14:paraId="06088A7A">
          <w:pPr>
            <w:pStyle w:val="29"/>
            <w:tabs>
              <w:tab w:val="right" w:leader="dot" w:pos="8827"/>
              <w:tab w:val="clear" w:pos="8987"/>
            </w:tabs>
            <w:rPr>
              <w:color w:val="auto"/>
            </w:rPr>
          </w:pPr>
          <w:r>
            <w:rPr>
              <w:bCs/>
              <w:color w:val="auto"/>
              <w:highlight w:val="none"/>
              <w:lang w:val="zh-CN"/>
            </w:rPr>
            <w:fldChar w:fldCharType="begin"/>
          </w:r>
          <w:r>
            <w:rPr>
              <w:bCs/>
              <w:color w:val="auto"/>
              <w:highlight w:val="none"/>
              <w:lang w:val="zh-CN"/>
            </w:rPr>
            <w:instrText xml:space="preserve"> HYPERLINK \l _Toc26307 </w:instrText>
          </w:r>
          <w:r>
            <w:rPr>
              <w:bCs/>
              <w:color w:val="auto"/>
              <w:highlight w:val="none"/>
              <w:lang w:val="zh-CN"/>
            </w:rPr>
            <w:fldChar w:fldCharType="separate"/>
          </w:r>
          <w:r>
            <w:rPr>
              <w:rFonts w:hint="eastAsia" w:eastAsia="宋体"/>
              <w:color w:val="auto"/>
              <w:szCs w:val="32"/>
              <w:highlight w:val="none"/>
            </w:rPr>
            <w:t>第二章  投标须知及投标须知前附表</w:t>
          </w:r>
          <w:r>
            <w:rPr>
              <w:color w:val="auto"/>
            </w:rPr>
            <w:tab/>
          </w:r>
          <w:r>
            <w:rPr>
              <w:color w:val="auto"/>
            </w:rPr>
            <w:fldChar w:fldCharType="begin"/>
          </w:r>
          <w:r>
            <w:rPr>
              <w:color w:val="auto"/>
            </w:rPr>
            <w:instrText xml:space="preserve"> PAGEREF _Toc26307 \h </w:instrText>
          </w:r>
          <w:r>
            <w:rPr>
              <w:color w:val="auto"/>
            </w:rPr>
            <w:fldChar w:fldCharType="separate"/>
          </w:r>
          <w:r>
            <w:rPr>
              <w:color w:val="auto"/>
            </w:rPr>
            <w:t>6</w:t>
          </w:r>
          <w:r>
            <w:rPr>
              <w:color w:val="auto"/>
            </w:rPr>
            <w:fldChar w:fldCharType="end"/>
          </w:r>
          <w:r>
            <w:rPr>
              <w:bCs/>
              <w:color w:val="auto"/>
              <w:highlight w:val="none"/>
              <w:lang w:val="zh-CN"/>
            </w:rPr>
            <w:fldChar w:fldCharType="end"/>
          </w:r>
        </w:p>
        <w:p w14:paraId="3ED10BBE">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_Toc5297 </w:instrText>
          </w:r>
          <w:r>
            <w:rPr>
              <w:bCs/>
              <w:color w:val="auto"/>
              <w:highlight w:val="none"/>
              <w:lang w:val="zh-CN"/>
            </w:rPr>
            <w:fldChar w:fldCharType="separate"/>
          </w:r>
          <w:r>
            <w:rPr>
              <w:rFonts w:hint="eastAsia" w:ascii="宋体" w:hAnsi="宋体" w:eastAsia="宋体"/>
              <w:color w:val="auto"/>
              <w:highlight w:val="none"/>
            </w:rPr>
            <w:t>投标须知前附表</w:t>
          </w:r>
          <w:r>
            <w:rPr>
              <w:color w:val="auto"/>
            </w:rPr>
            <w:tab/>
          </w:r>
          <w:r>
            <w:rPr>
              <w:color w:val="auto"/>
            </w:rPr>
            <w:fldChar w:fldCharType="begin"/>
          </w:r>
          <w:r>
            <w:rPr>
              <w:color w:val="auto"/>
            </w:rPr>
            <w:instrText xml:space="preserve"> PAGEREF _Toc5297 \h </w:instrText>
          </w:r>
          <w:r>
            <w:rPr>
              <w:color w:val="auto"/>
            </w:rPr>
            <w:fldChar w:fldCharType="separate"/>
          </w:r>
          <w:r>
            <w:rPr>
              <w:color w:val="auto"/>
            </w:rPr>
            <w:t>6</w:t>
          </w:r>
          <w:r>
            <w:rPr>
              <w:color w:val="auto"/>
            </w:rPr>
            <w:fldChar w:fldCharType="end"/>
          </w:r>
          <w:r>
            <w:rPr>
              <w:bCs/>
              <w:color w:val="auto"/>
              <w:highlight w:val="none"/>
              <w:lang w:val="zh-CN"/>
            </w:rPr>
            <w:fldChar w:fldCharType="end"/>
          </w:r>
        </w:p>
        <w:p w14:paraId="1C8BE47D">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_Toc13366 </w:instrText>
          </w:r>
          <w:r>
            <w:rPr>
              <w:bCs/>
              <w:color w:val="auto"/>
              <w:highlight w:val="none"/>
              <w:lang w:val="zh-CN"/>
            </w:rPr>
            <w:fldChar w:fldCharType="separate"/>
          </w:r>
          <w:r>
            <w:rPr>
              <w:rFonts w:hint="eastAsia" w:ascii="宋体" w:hAnsi="宋体" w:eastAsia="宋体"/>
              <w:color w:val="auto"/>
              <w:szCs w:val="28"/>
              <w:highlight w:val="none"/>
            </w:rPr>
            <w:t>一、总则</w:t>
          </w:r>
          <w:r>
            <w:rPr>
              <w:color w:val="auto"/>
            </w:rPr>
            <w:tab/>
          </w:r>
          <w:r>
            <w:rPr>
              <w:color w:val="auto"/>
            </w:rPr>
            <w:fldChar w:fldCharType="begin"/>
          </w:r>
          <w:r>
            <w:rPr>
              <w:color w:val="auto"/>
            </w:rPr>
            <w:instrText xml:space="preserve"> PAGEREF _Toc13366 \h </w:instrText>
          </w:r>
          <w:r>
            <w:rPr>
              <w:color w:val="auto"/>
            </w:rPr>
            <w:fldChar w:fldCharType="separate"/>
          </w:r>
          <w:r>
            <w:rPr>
              <w:color w:val="auto"/>
            </w:rPr>
            <w:t>11</w:t>
          </w:r>
          <w:r>
            <w:rPr>
              <w:color w:val="auto"/>
            </w:rPr>
            <w:fldChar w:fldCharType="end"/>
          </w:r>
          <w:r>
            <w:rPr>
              <w:bCs/>
              <w:color w:val="auto"/>
              <w:highlight w:val="none"/>
              <w:lang w:val="zh-CN"/>
            </w:rPr>
            <w:fldChar w:fldCharType="end"/>
          </w:r>
        </w:p>
        <w:p w14:paraId="148D9930">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_Toc19245 </w:instrText>
          </w:r>
          <w:r>
            <w:rPr>
              <w:bCs/>
              <w:color w:val="auto"/>
              <w:highlight w:val="none"/>
              <w:lang w:val="zh-CN"/>
            </w:rPr>
            <w:fldChar w:fldCharType="separate"/>
          </w:r>
          <w:r>
            <w:rPr>
              <w:rFonts w:hint="eastAsia" w:ascii="宋体" w:hAnsi="宋体" w:eastAsia="宋体"/>
              <w:color w:val="auto"/>
              <w:szCs w:val="28"/>
              <w:highlight w:val="none"/>
            </w:rPr>
            <w:t>二、招标文件</w:t>
          </w:r>
          <w:r>
            <w:rPr>
              <w:color w:val="auto"/>
            </w:rPr>
            <w:tab/>
          </w:r>
          <w:r>
            <w:rPr>
              <w:color w:val="auto"/>
            </w:rPr>
            <w:fldChar w:fldCharType="begin"/>
          </w:r>
          <w:r>
            <w:rPr>
              <w:color w:val="auto"/>
            </w:rPr>
            <w:instrText xml:space="preserve"> PAGEREF _Toc19245 \h </w:instrText>
          </w:r>
          <w:r>
            <w:rPr>
              <w:color w:val="auto"/>
            </w:rPr>
            <w:fldChar w:fldCharType="separate"/>
          </w:r>
          <w:r>
            <w:rPr>
              <w:color w:val="auto"/>
            </w:rPr>
            <w:t>12</w:t>
          </w:r>
          <w:r>
            <w:rPr>
              <w:color w:val="auto"/>
            </w:rPr>
            <w:fldChar w:fldCharType="end"/>
          </w:r>
          <w:r>
            <w:rPr>
              <w:bCs/>
              <w:color w:val="auto"/>
              <w:highlight w:val="none"/>
              <w:lang w:val="zh-CN"/>
            </w:rPr>
            <w:fldChar w:fldCharType="end"/>
          </w:r>
        </w:p>
        <w:p w14:paraId="7188B4B1">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_Toc4451 </w:instrText>
          </w:r>
          <w:r>
            <w:rPr>
              <w:bCs/>
              <w:color w:val="auto"/>
              <w:highlight w:val="none"/>
              <w:lang w:val="zh-CN"/>
            </w:rPr>
            <w:fldChar w:fldCharType="separate"/>
          </w:r>
          <w:r>
            <w:rPr>
              <w:rFonts w:hint="eastAsia" w:ascii="宋体" w:hAnsi="宋体" w:eastAsia="宋体"/>
              <w:color w:val="auto"/>
              <w:szCs w:val="28"/>
              <w:highlight w:val="none"/>
            </w:rPr>
            <w:t>三、投标文件</w:t>
          </w:r>
          <w:r>
            <w:rPr>
              <w:color w:val="auto"/>
            </w:rPr>
            <w:tab/>
          </w:r>
          <w:r>
            <w:rPr>
              <w:color w:val="auto"/>
            </w:rPr>
            <w:fldChar w:fldCharType="begin"/>
          </w:r>
          <w:r>
            <w:rPr>
              <w:color w:val="auto"/>
            </w:rPr>
            <w:instrText xml:space="preserve"> PAGEREF _Toc4451 \h </w:instrText>
          </w:r>
          <w:r>
            <w:rPr>
              <w:color w:val="auto"/>
            </w:rPr>
            <w:fldChar w:fldCharType="separate"/>
          </w:r>
          <w:r>
            <w:rPr>
              <w:color w:val="auto"/>
            </w:rPr>
            <w:t>12</w:t>
          </w:r>
          <w:r>
            <w:rPr>
              <w:color w:val="auto"/>
            </w:rPr>
            <w:fldChar w:fldCharType="end"/>
          </w:r>
          <w:r>
            <w:rPr>
              <w:bCs/>
              <w:color w:val="auto"/>
              <w:highlight w:val="none"/>
              <w:lang w:val="zh-CN"/>
            </w:rPr>
            <w:fldChar w:fldCharType="end"/>
          </w:r>
        </w:p>
        <w:p w14:paraId="228FF0C2">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_Toc6752 </w:instrText>
          </w:r>
          <w:r>
            <w:rPr>
              <w:bCs/>
              <w:color w:val="auto"/>
              <w:highlight w:val="none"/>
              <w:lang w:val="zh-CN"/>
            </w:rPr>
            <w:fldChar w:fldCharType="separate"/>
          </w:r>
          <w:r>
            <w:rPr>
              <w:rFonts w:hint="eastAsia" w:ascii="宋体" w:hAnsi="宋体" w:eastAsia="宋体"/>
              <w:color w:val="auto"/>
              <w:szCs w:val="28"/>
              <w:highlight w:val="none"/>
            </w:rPr>
            <w:t>四、投标文件的提交</w:t>
          </w:r>
          <w:r>
            <w:rPr>
              <w:color w:val="auto"/>
            </w:rPr>
            <w:tab/>
          </w:r>
          <w:r>
            <w:rPr>
              <w:color w:val="auto"/>
            </w:rPr>
            <w:fldChar w:fldCharType="begin"/>
          </w:r>
          <w:r>
            <w:rPr>
              <w:color w:val="auto"/>
            </w:rPr>
            <w:instrText xml:space="preserve"> PAGEREF _Toc6752 \h </w:instrText>
          </w:r>
          <w:r>
            <w:rPr>
              <w:color w:val="auto"/>
            </w:rPr>
            <w:fldChar w:fldCharType="separate"/>
          </w:r>
          <w:r>
            <w:rPr>
              <w:color w:val="auto"/>
            </w:rPr>
            <w:t>14</w:t>
          </w:r>
          <w:r>
            <w:rPr>
              <w:color w:val="auto"/>
            </w:rPr>
            <w:fldChar w:fldCharType="end"/>
          </w:r>
          <w:r>
            <w:rPr>
              <w:bCs/>
              <w:color w:val="auto"/>
              <w:highlight w:val="none"/>
              <w:lang w:val="zh-CN"/>
            </w:rPr>
            <w:fldChar w:fldCharType="end"/>
          </w:r>
        </w:p>
        <w:p w14:paraId="05367E11">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_Toc13751 </w:instrText>
          </w:r>
          <w:r>
            <w:rPr>
              <w:bCs/>
              <w:color w:val="auto"/>
              <w:highlight w:val="none"/>
              <w:lang w:val="zh-CN"/>
            </w:rPr>
            <w:fldChar w:fldCharType="separate"/>
          </w:r>
          <w:r>
            <w:rPr>
              <w:rFonts w:hint="eastAsia" w:ascii="宋体" w:hAnsi="宋体" w:eastAsia="宋体"/>
              <w:color w:val="auto"/>
              <w:szCs w:val="28"/>
              <w:highlight w:val="none"/>
            </w:rPr>
            <w:t>五、开标</w:t>
          </w:r>
          <w:r>
            <w:rPr>
              <w:color w:val="auto"/>
            </w:rPr>
            <w:tab/>
          </w:r>
          <w:r>
            <w:rPr>
              <w:color w:val="auto"/>
            </w:rPr>
            <w:fldChar w:fldCharType="begin"/>
          </w:r>
          <w:r>
            <w:rPr>
              <w:color w:val="auto"/>
            </w:rPr>
            <w:instrText xml:space="preserve"> PAGEREF _Toc13751 \h </w:instrText>
          </w:r>
          <w:r>
            <w:rPr>
              <w:color w:val="auto"/>
            </w:rPr>
            <w:fldChar w:fldCharType="separate"/>
          </w:r>
          <w:r>
            <w:rPr>
              <w:color w:val="auto"/>
            </w:rPr>
            <w:t>14</w:t>
          </w:r>
          <w:r>
            <w:rPr>
              <w:color w:val="auto"/>
            </w:rPr>
            <w:fldChar w:fldCharType="end"/>
          </w:r>
          <w:r>
            <w:rPr>
              <w:bCs/>
              <w:color w:val="auto"/>
              <w:highlight w:val="none"/>
              <w:lang w:val="zh-CN"/>
            </w:rPr>
            <w:fldChar w:fldCharType="end"/>
          </w:r>
        </w:p>
        <w:p w14:paraId="73D607C7">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_Toc9528 </w:instrText>
          </w:r>
          <w:r>
            <w:rPr>
              <w:bCs/>
              <w:color w:val="auto"/>
              <w:highlight w:val="none"/>
              <w:lang w:val="zh-CN"/>
            </w:rPr>
            <w:fldChar w:fldCharType="separate"/>
          </w:r>
          <w:r>
            <w:rPr>
              <w:rFonts w:hint="eastAsia" w:ascii="宋体" w:hAnsi="宋体" w:eastAsia="宋体"/>
              <w:color w:val="auto"/>
              <w:szCs w:val="28"/>
              <w:highlight w:val="none"/>
            </w:rPr>
            <w:t>六、评标</w:t>
          </w:r>
          <w:r>
            <w:rPr>
              <w:color w:val="auto"/>
            </w:rPr>
            <w:tab/>
          </w:r>
          <w:r>
            <w:rPr>
              <w:color w:val="auto"/>
            </w:rPr>
            <w:fldChar w:fldCharType="begin"/>
          </w:r>
          <w:r>
            <w:rPr>
              <w:color w:val="auto"/>
            </w:rPr>
            <w:instrText xml:space="preserve"> PAGEREF _Toc9528 \h </w:instrText>
          </w:r>
          <w:r>
            <w:rPr>
              <w:color w:val="auto"/>
            </w:rPr>
            <w:fldChar w:fldCharType="separate"/>
          </w:r>
          <w:r>
            <w:rPr>
              <w:color w:val="auto"/>
            </w:rPr>
            <w:t>15</w:t>
          </w:r>
          <w:r>
            <w:rPr>
              <w:color w:val="auto"/>
            </w:rPr>
            <w:fldChar w:fldCharType="end"/>
          </w:r>
          <w:r>
            <w:rPr>
              <w:bCs/>
              <w:color w:val="auto"/>
              <w:highlight w:val="none"/>
              <w:lang w:val="zh-CN"/>
            </w:rPr>
            <w:fldChar w:fldCharType="end"/>
          </w:r>
        </w:p>
        <w:p w14:paraId="27ADE0C6">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_Toc9432 </w:instrText>
          </w:r>
          <w:r>
            <w:rPr>
              <w:bCs/>
              <w:color w:val="auto"/>
              <w:highlight w:val="none"/>
              <w:lang w:val="zh-CN"/>
            </w:rPr>
            <w:fldChar w:fldCharType="separate"/>
          </w:r>
          <w:r>
            <w:rPr>
              <w:rFonts w:hint="eastAsia" w:ascii="宋体" w:hAnsi="宋体" w:eastAsia="宋体"/>
              <w:color w:val="auto"/>
              <w:szCs w:val="28"/>
              <w:highlight w:val="none"/>
            </w:rPr>
            <w:t>七、定标</w:t>
          </w:r>
          <w:r>
            <w:rPr>
              <w:color w:val="auto"/>
            </w:rPr>
            <w:tab/>
          </w:r>
          <w:r>
            <w:rPr>
              <w:color w:val="auto"/>
            </w:rPr>
            <w:fldChar w:fldCharType="begin"/>
          </w:r>
          <w:r>
            <w:rPr>
              <w:color w:val="auto"/>
            </w:rPr>
            <w:instrText xml:space="preserve"> PAGEREF _Toc9432 \h </w:instrText>
          </w:r>
          <w:r>
            <w:rPr>
              <w:color w:val="auto"/>
            </w:rPr>
            <w:fldChar w:fldCharType="separate"/>
          </w:r>
          <w:r>
            <w:rPr>
              <w:color w:val="auto"/>
            </w:rPr>
            <w:t>18</w:t>
          </w:r>
          <w:r>
            <w:rPr>
              <w:color w:val="auto"/>
            </w:rPr>
            <w:fldChar w:fldCharType="end"/>
          </w:r>
          <w:r>
            <w:rPr>
              <w:bCs/>
              <w:color w:val="auto"/>
              <w:highlight w:val="none"/>
              <w:lang w:val="zh-CN"/>
            </w:rPr>
            <w:fldChar w:fldCharType="end"/>
          </w:r>
        </w:p>
        <w:p w14:paraId="72BF0A6C">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_Toc17283 </w:instrText>
          </w:r>
          <w:r>
            <w:rPr>
              <w:bCs/>
              <w:color w:val="auto"/>
              <w:highlight w:val="none"/>
              <w:lang w:val="zh-CN"/>
            </w:rPr>
            <w:fldChar w:fldCharType="separate"/>
          </w:r>
          <w:r>
            <w:rPr>
              <w:rFonts w:hint="eastAsia" w:ascii="宋体" w:hAnsi="宋体" w:eastAsia="宋体"/>
              <w:color w:val="auto"/>
              <w:szCs w:val="28"/>
              <w:highlight w:val="none"/>
            </w:rPr>
            <w:t>八、其他</w:t>
          </w:r>
          <w:r>
            <w:rPr>
              <w:color w:val="auto"/>
            </w:rPr>
            <w:tab/>
          </w:r>
          <w:r>
            <w:rPr>
              <w:color w:val="auto"/>
            </w:rPr>
            <w:fldChar w:fldCharType="begin"/>
          </w:r>
          <w:r>
            <w:rPr>
              <w:color w:val="auto"/>
            </w:rPr>
            <w:instrText xml:space="preserve"> PAGEREF _Toc17283 \h </w:instrText>
          </w:r>
          <w:r>
            <w:rPr>
              <w:color w:val="auto"/>
            </w:rPr>
            <w:fldChar w:fldCharType="separate"/>
          </w:r>
          <w:r>
            <w:rPr>
              <w:color w:val="auto"/>
            </w:rPr>
            <w:t>20</w:t>
          </w:r>
          <w:r>
            <w:rPr>
              <w:color w:val="auto"/>
            </w:rPr>
            <w:fldChar w:fldCharType="end"/>
          </w:r>
          <w:r>
            <w:rPr>
              <w:bCs/>
              <w:color w:val="auto"/>
              <w:highlight w:val="none"/>
              <w:lang w:val="zh-CN"/>
            </w:rPr>
            <w:fldChar w:fldCharType="end"/>
          </w:r>
        </w:p>
        <w:p w14:paraId="5DF8386C">
          <w:pPr>
            <w:pStyle w:val="29"/>
            <w:tabs>
              <w:tab w:val="right" w:leader="dot" w:pos="8827"/>
              <w:tab w:val="clear" w:pos="8987"/>
            </w:tabs>
            <w:rPr>
              <w:color w:val="auto"/>
            </w:rPr>
          </w:pPr>
          <w:r>
            <w:rPr>
              <w:bCs/>
              <w:color w:val="auto"/>
              <w:highlight w:val="none"/>
              <w:lang w:val="zh-CN"/>
            </w:rPr>
            <w:fldChar w:fldCharType="begin"/>
          </w:r>
          <w:r>
            <w:rPr>
              <w:bCs/>
              <w:color w:val="auto"/>
              <w:highlight w:val="none"/>
              <w:lang w:val="zh-CN"/>
            </w:rPr>
            <w:instrText xml:space="preserve"> HYPERLINK \l _Toc14094 </w:instrText>
          </w:r>
          <w:r>
            <w:rPr>
              <w:bCs/>
              <w:color w:val="auto"/>
              <w:highlight w:val="none"/>
              <w:lang w:val="zh-CN"/>
            </w:rPr>
            <w:fldChar w:fldCharType="separate"/>
          </w:r>
          <w:r>
            <w:rPr>
              <w:rFonts w:hint="eastAsia" w:ascii="宋体" w:hAnsi="宋体" w:eastAsia="宋体" w:cs="宋体"/>
              <w:bCs/>
              <w:color w:val="auto"/>
              <w:szCs w:val="32"/>
              <w:highlight w:val="none"/>
            </w:rPr>
            <w:t>第三章  评标方法和标准</w:t>
          </w:r>
          <w:r>
            <w:rPr>
              <w:color w:val="auto"/>
            </w:rPr>
            <w:tab/>
          </w:r>
          <w:r>
            <w:rPr>
              <w:color w:val="auto"/>
            </w:rPr>
            <w:fldChar w:fldCharType="begin"/>
          </w:r>
          <w:r>
            <w:rPr>
              <w:color w:val="auto"/>
            </w:rPr>
            <w:instrText xml:space="preserve"> PAGEREF _Toc14094 \h </w:instrText>
          </w:r>
          <w:r>
            <w:rPr>
              <w:color w:val="auto"/>
            </w:rPr>
            <w:fldChar w:fldCharType="separate"/>
          </w:r>
          <w:r>
            <w:rPr>
              <w:color w:val="auto"/>
            </w:rPr>
            <w:t>23</w:t>
          </w:r>
          <w:r>
            <w:rPr>
              <w:color w:val="auto"/>
            </w:rPr>
            <w:fldChar w:fldCharType="end"/>
          </w:r>
          <w:r>
            <w:rPr>
              <w:bCs/>
              <w:color w:val="auto"/>
              <w:highlight w:val="none"/>
              <w:lang w:val="zh-CN"/>
            </w:rPr>
            <w:fldChar w:fldCharType="end"/>
          </w:r>
        </w:p>
        <w:p w14:paraId="66F41C42">
          <w:pPr>
            <w:pStyle w:val="29"/>
            <w:tabs>
              <w:tab w:val="right" w:leader="dot" w:pos="8827"/>
              <w:tab w:val="clear" w:pos="8987"/>
            </w:tabs>
            <w:rPr>
              <w:color w:val="auto"/>
            </w:rPr>
          </w:pPr>
          <w:r>
            <w:rPr>
              <w:bCs/>
              <w:color w:val="auto"/>
              <w:highlight w:val="none"/>
              <w:lang w:val="zh-CN"/>
            </w:rPr>
            <w:fldChar w:fldCharType="begin"/>
          </w:r>
          <w:r>
            <w:rPr>
              <w:bCs/>
              <w:color w:val="auto"/>
              <w:highlight w:val="none"/>
              <w:lang w:val="zh-CN"/>
            </w:rPr>
            <w:instrText xml:space="preserve"> HYPERLINK \l _Toc13628 </w:instrText>
          </w:r>
          <w:r>
            <w:rPr>
              <w:bCs/>
              <w:color w:val="auto"/>
              <w:highlight w:val="none"/>
              <w:lang w:val="zh-CN"/>
            </w:rPr>
            <w:fldChar w:fldCharType="separate"/>
          </w:r>
          <w:r>
            <w:rPr>
              <w:rFonts w:hint="eastAsia" w:eastAsia="宋体"/>
              <w:color w:val="auto"/>
              <w:szCs w:val="32"/>
              <w:highlight w:val="none"/>
            </w:rPr>
            <w:t>第四章  采购需求</w:t>
          </w:r>
          <w:r>
            <w:rPr>
              <w:color w:val="auto"/>
            </w:rPr>
            <w:tab/>
          </w:r>
          <w:r>
            <w:rPr>
              <w:color w:val="auto"/>
            </w:rPr>
            <w:fldChar w:fldCharType="begin"/>
          </w:r>
          <w:r>
            <w:rPr>
              <w:color w:val="auto"/>
            </w:rPr>
            <w:instrText xml:space="preserve"> PAGEREF _Toc13628 \h </w:instrText>
          </w:r>
          <w:r>
            <w:rPr>
              <w:color w:val="auto"/>
            </w:rPr>
            <w:fldChar w:fldCharType="separate"/>
          </w:r>
          <w:r>
            <w:rPr>
              <w:color w:val="auto"/>
            </w:rPr>
            <w:t>30</w:t>
          </w:r>
          <w:r>
            <w:rPr>
              <w:color w:val="auto"/>
            </w:rPr>
            <w:fldChar w:fldCharType="end"/>
          </w:r>
          <w:r>
            <w:rPr>
              <w:bCs/>
              <w:color w:val="auto"/>
              <w:highlight w:val="none"/>
              <w:lang w:val="zh-CN"/>
            </w:rPr>
            <w:fldChar w:fldCharType="end"/>
          </w:r>
        </w:p>
        <w:p w14:paraId="5FC8B1F8">
          <w:pPr>
            <w:pStyle w:val="29"/>
            <w:tabs>
              <w:tab w:val="right" w:leader="dot" w:pos="8827"/>
              <w:tab w:val="clear" w:pos="8987"/>
            </w:tabs>
            <w:rPr>
              <w:color w:val="auto"/>
            </w:rPr>
          </w:pPr>
          <w:r>
            <w:rPr>
              <w:bCs/>
              <w:color w:val="auto"/>
              <w:highlight w:val="none"/>
              <w:lang w:val="zh-CN"/>
            </w:rPr>
            <w:fldChar w:fldCharType="begin"/>
          </w:r>
          <w:r>
            <w:rPr>
              <w:bCs/>
              <w:color w:val="auto"/>
              <w:highlight w:val="none"/>
              <w:lang w:val="zh-CN"/>
            </w:rPr>
            <w:instrText xml:space="preserve"> HYPERLINK \l _Toc6644 </w:instrText>
          </w:r>
          <w:r>
            <w:rPr>
              <w:bCs/>
              <w:color w:val="auto"/>
              <w:highlight w:val="none"/>
              <w:lang w:val="zh-CN"/>
            </w:rPr>
            <w:fldChar w:fldCharType="separate"/>
          </w:r>
          <w:r>
            <w:rPr>
              <w:rFonts w:hint="eastAsia" w:eastAsia="宋体"/>
              <w:color w:val="auto"/>
              <w:szCs w:val="32"/>
              <w:highlight w:val="none"/>
            </w:rPr>
            <w:t>第五章  合同书样式及主要条款</w:t>
          </w:r>
          <w:r>
            <w:rPr>
              <w:color w:val="auto"/>
            </w:rPr>
            <w:tab/>
          </w:r>
          <w:r>
            <w:rPr>
              <w:color w:val="auto"/>
            </w:rPr>
            <w:fldChar w:fldCharType="begin"/>
          </w:r>
          <w:r>
            <w:rPr>
              <w:color w:val="auto"/>
            </w:rPr>
            <w:instrText xml:space="preserve"> PAGEREF _Toc6644 \h </w:instrText>
          </w:r>
          <w:r>
            <w:rPr>
              <w:color w:val="auto"/>
            </w:rPr>
            <w:fldChar w:fldCharType="separate"/>
          </w:r>
          <w:r>
            <w:rPr>
              <w:color w:val="auto"/>
            </w:rPr>
            <w:t>44</w:t>
          </w:r>
          <w:r>
            <w:rPr>
              <w:color w:val="auto"/>
            </w:rPr>
            <w:fldChar w:fldCharType="end"/>
          </w:r>
          <w:r>
            <w:rPr>
              <w:bCs/>
              <w:color w:val="auto"/>
              <w:highlight w:val="none"/>
              <w:lang w:val="zh-CN"/>
            </w:rPr>
            <w:fldChar w:fldCharType="end"/>
          </w:r>
        </w:p>
        <w:p w14:paraId="0869EF23">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_Toc20720 </w:instrText>
          </w:r>
          <w:r>
            <w:rPr>
              <w:bCs/>
              <w:color w:val="auto"/>
              <w:highlight w:val="none"/>
              <w:lang w:val="zh-CN"/>
            </w:rPr>
            <w:fldChar w:fldCharType="separate"/>
          </w:r>
          <w:r>
            <w:rPr>
              <w:rFonts w:hint="eastAsia" w:ascii="宋体" w:hAnsi="宋体" w:eastAsia="宋体" w:cs="宋体"/>
              <w:color w:val="auto"/>
              <w:spacing w:val="-2"/>
              <w:szCs w:val="24"/>
              <w:highlight w:val="none"/>
            </w:rPr>
            <w:t>一、合同文件构成</w:t>
          </w:r>
          <w:r>
            <w:rPr>
              <w:color w:val="auto"/>
            </w:rPr>
            <w:tab/>
          </w:r>
          <w:r>
            <w:rPr>
              <w:color w:val="auto"/>
            </w:rPr>
            <w:fldChar w:fldCharType="begin"/>
          </w:r>
          <w:r>
            <w:rPr>
              <w:color w:val="auto"/>
            </w:rPr>
            <w:instrText xml:space="preserve"> PAGEREF _Toc20720 \h </w:instrText>
          </w:r>
          <w:r>
            <w:rPr>
              <w:color w:val="auto"/>
            </w:rPr>
            <w:fldChar w:fldCharType="separate"/>
          </w:r>
          <w:r>
            <w:rPr>
              <w:color w:val="auto"/>
            </w:rPr>
            <w:t>46</w:t>
          </w:r>
          <w:r>
            <w:rPr>
              <w:color w:val="auto"/>
            </w:rPr>
            <w:fldChar w:fldCharType="end"/>
          </w:r>
          <w:r>
            <w:rPr>
              <w:bCs/>
              <w:color w:val="auto"/>
              <w:highlight w:val="none"/>
              <w:lang w:val="zh-CN"/>
            </w:rPr>
            <w:fldChar w:fldCharType="end"/>
          </w:r>
        </w:p>
        <w:p w14:paraId="07CAE7F2">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_Toc13248 </w:instrText>
          </w:r>
          <w:r>
            <w:rPr>
              <w:bCs/>
              <w:color w:val="auto"/>
              <w:highlight w:val="none"/>
              <w:lang w:val="zh-CN"/>
            </w:rPr>
            <w:fldChar w:fldCharType="separate"/>
          </w:r>
          <w:r>
            <w:rPr>
              <w:rFonts w:hint="eastAsia" w:ascii="宋体" w:hAnsi="宋体" w:eastAsia="宋体" w:cs="宋体"/>
              <w:color w:val="auto"/>
              <w:spacing w:val="-2"/>
              <w:szCs w:val="24"/>
              <w:highlight w:val="none"/>
            </w:rPr>
            <w:t>二、</w:t>
          </w:r>
          <w:r>
            <w:rPr>
              <w:rFonts w:hint="eastAsia" w:ascii="宋体" w:hAnsi="宋体" w:eastAsia="宋体" w:cs="宋体"/>
              <w:color w:val="auto"/>
              <w:kern w:val="0"/>
              <w:szCs w:val="24"/>
              <w:highlight w:val="none"/>
            </w:rPr>
            <w:t>合同履行期限及履约保证金</w:t>
          </w:r>
          <w:r>
            <w:rPr>
              <w:color w:val="auto"/>
            </w:rPr>
            <w:tab/>
          </w:r>
          <w:r>
            <w:rPr>
              <w:color w:val="auto"/>
            </w:rPr>
            <w:fldChar w:fldCharType="begin"/>
          </w:r>
          <w:r>
            <w:rPr>
              <w:color w:val="auto"/>
            </w:rPr>
            <w:instrText xml:space="preserve"> PAGEREF _Toc13248 \h </w:instrText>
          </w:r>
          <w:r>
            <w:rPr>
              <w:color w:val="auto"/>
            </w:rPr>
            <w:fldChar w:fldCharType="separate"/>
          </w:r>
          <w:r>
            <w:rPr>
              <w:color w:val="auto"/>
            </w:rPr>
            <w:t>46</w:t>
          </w:r>
          <w:r>
            <w:rPr>
              <w:color w:val="auto"/>
            </w:rPr>
            <w:fldChar w:fldCharType="end"/>
          </w:r>
          <w:r>
            <w:rPr>
              <w:bCs/>
              <w:color w:val="auto"/>
              <w:highlight w:val="none"/>
              <w:lang w:val="zh-CN"/>
            </w:rPr>
            <w:fldChar w:fldCharType="end"/>
          </w:r>
        </w:p>
        <w:p w14:paraId="73D5CCEE">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_Toc3701 </w:instrText>
          </w:r>
          <w:r>
            <w:rPr>
              <w:bCs/>
              <w:color w:val="auto"/>
              <w:highlight w:val="none"/>
              <w:lang w:val="zh-CN"/>
            </w:rPr>
            <w:fldChar w:fldCharType="separate"/>
          </w:r>
          <w:r>
            <w:rPr>
              <w:rFonts w:hint="eastAsia" w:ascii="宋体" w:hAnsi="宋体" w:eastAsia="宋体" w:cs="宋体"/>
              <w:color w:val="auto"/>
              <w:spacing w:val="-1"/>
              <w:szCs w:val="24"/>
              <w:highlight w:val="none"/>
            </w:rPr>
            <w:t>三、合同金额、食材供应的品种及单价</w:t>
          </w:r>
          <w:r>
            <w:rPr>
              <w:color w:val="auto"/>
            </w:rPr>
            <w:tab/>
          </w:r>
          <w:r>
            <w:rPr>
              <w:color w:val="auto"/>
            </w:rPr>
            <w:fldChar w:fldCharType="begin"/>
          </w:r>
          <w:r>
            <w:rPr>
              <w:color w:val="auto"/>
            </w:rPr>
            <w:instrText xml:space="preserve"> PAGEREF _Toc3701 \h </w:instrText>
          </w:r>
          <w:r>
            <w:rPr>
              <w:color w:val="auto"/>
            </w:rPr>
            <w:fldChar w:fldCharType="separate"/>
          </w:r>
          <w:r>
            <w:rPr>
              <w:color w:val="auto"/>
            </w:rPr>
            <w:t>46</w:t>
          </w:r>
          <w:r>
            <w:rPr>
              <w:color w:val="auto"/>
            </w:rPr>
            <w:fldChar w:fldCharType="end"/>
          </w:r>
          <w:r>
            <w:rPr>
              <w:bCs/>
              <w:color w:val="auto"/>
              <w:highlight w:val="none"/>
              <w:lang w:val="zh-CN"/>
            </w:rPr>
            <w:fldChar w:fldCharType="end"/>
          </w:r>
        </w:p>
        <w:p w14:paraId="3F30EC52">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_Toc26009 </w:instrText>
          </w:r>
          <w:r>
            <w:rPr>
              <w:bCs/>
              <w:color w:val="auto"/>
              <w:highlight w:val="none"/>
              <w:lang w:val="zh-CN"/>
            </w:rPr>
            <w:fldChar w:fldCharType="separate"/>
          </w:r>
          <w:r>
            <w:rPr>
              <w:rFonts w:hint="eastAsia" w:ascii="宋体" w:hAnsi="宋体" w:eastAsia="宋体" w:cs="宋体"/>
              <w:color w:val="auto"/>
              <w:spacing w:val="-2"/>
              <w:szCs w:val="24"/>
              <w:highlight w:val="none"/>
            </w:rPr>
            <w:t>四、资质及票证索取要求</w:t>
          </w:r>
          <w:r>
            <w:rPr>
              <w:color w:val="auto"/>
            </w:rPr>
            <w:tab/>
          </w:r>
          <w:r>
            <w:rPr>
              <w:color w:val="auto"/>
            </w:rPr>
            <w:fldChar w:fldCharType="begin"/>
          </w:r>
          <w:r>
            <w:rPr>
              <w:color w:val="auto"/>
            </w:rPr>
            <w:instrText xml:space="preserve"> PAGEREF _Toc26009 \h </w:instrText>
          </w:r>
          <w:r>
            <w:rPr>
              <w:color w:val="auto"/>
            </w:rPr>
            <w:fldChar w:fldCharType="separate"/>
          </w:r>
          <w:r>
            <w:rPr>
              <w:color w:val="auto"/>
            </w:rPr>
            <w:t>47</w:t>
          </w:r>
          <w:r>
            <w:rPr>
              <w:color w:val="auto"/>
            </w:rPr>
            <w:fldChar w:fldCharType="end"/>
          </w:r>
          <w:r>
            <w:rPr>
              <w:bCs/>
              <w:color w:val="auto"/>
              <w:highlight w:val="none"/>
              <w:lang w:val="zh-CN"/>
            </w:rPr>
            <w:fldChar w:fldCharType="end"/>
          </w:r>
        </w:p>
        <w:p w14:paraId="4DC0955A">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_Toc6230 </w:instrText>
          </w:r>
          <w:r>
            <w:rPr>
              <w:bCs/>
              <w:color w:val="auto"/>
              <w:highlight w:val="none"/>
              <w:lang w:val="zh-CN"/>
            </w:rPr>
            <w:fldChar w:fldCharType="separate"/>
          </w:r>
          <w:r>
            <w:rPr>
              <w:rFonts w:hint="eastAsia" w:ascii="宋体" w:hAnsi="宋体" w:eastAsia="宋体" w:cs="宋体"/>
              <w:color w:val="auto"/>
              <w:spacing w:val="-2"/>
              <w:szCs w:val="24"/>
              <w:highlight w:val="none"/>
            </w:rPr>
            <w:t>五、食材质量要求</w:t>
          </w:r>
          <w:r>
            <w:rPr>
              <w:color w:val="auto"/>
            </w:rPr>
            <w:tab/>
          </w:r>
          <w:r>
            <w:rPr>
              <w:color w:val="auto"/>
            </w:rPr>
            <w:fldChar w:fldCharType="begin"/>
          </w:r>
          <w:r>
            <w:rPr>
              <w:color w:val="auto"/>
            </w:rPr>
            <w:instrText xml:space="preserve"> PAGEREF _Toc6230 \h </w:instrText>
          </w:r>
          <w:r>
            <w:rPr>
              <w:color w:val="auto"/>
            </w:rPr>
            <w:fldChar w:fldCharType="separate"/>
          </w:r>
          <w:r>
            <w:rPr>
              <w:color w:val="auto"/>
            </w:rPr>
            <w:t>47</w:t>
          </w:r>
          <w:r>
            <w:rPr>
              <w:color w:val="auto"/>
            </w:rPr>
            <w:fldChar w:fldCharType="end"/>
          </w:r>
          <w:r>
            <w:rPr>
              <w:bCs/>
              <w:color w:val="auto"/>
              <w:highlight w:val="none"/>
              <w:lang w:val="zh-CN"/>
            </w:rPr>
            <w:fldChar w:fldCharType="end"/>
          </w:r>
        </w:p>
        <w:p w14:paraId="378D8A22">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_Toc19926 </w:instrText>
          </w:r>
          <w:r>
            <w:rPr>
              <w:bCs/>
              <w:color w:val="auto"/>
              <w:highlight w:val="none"/>
              <w:lang w:val="zh-CN"/>
            </w:rPr>
            <w:fldChar w:fldCharType="separate"/>
          </w:r>
          <w:r>
            <w:rPr>
              <w:rFonts w:hint="eastAsia" w:ascii="宋体" w:hAnsi="宋体" w:eastAsia="宋体" w:cs="宋体"/>
              <w:color w:val="auto"/>
              <w:spacing w:val="-1"/>
              <w:szCs w:val="24"/>
              <w:highlight w:val="none"/>
            </w:rPr>
            <w:t>六、交货地点、时间、数量及验收</w:t>
          </w:r>
          <w:r>
            <w:rPr>
              <w:rFonts w:hint="eastAsia" w:ascii="宋体" w:hAnsi="宋体" w:eastAsia="宋体" w:cs="宋体"/>
              <w:color w:val="auto"/>
              <w:spacing w:val="-1"/>
              <w:szCs w:val="24"/>
              <w:highlight w:val="none"/>
              <w:lang w:val="en-US" w:eastAsia="zh-CN"/>
            </w:rPr>
            <w:t>要求</w:t>
          </w:r>
          <w:r>
            <w:rPr>
              <w:color w:val="auto"/>
            </w:rPr>
            <w:tab/>
          </w:r>
          <w:r>
            <w:rPr>
              <w:color w:val="auto"/>
            </w:rPr>
            <w:fldChar w:fldCharType="begin"/>
          </w:r>
          <w:r>
            <w:rPr>
              <w:color w:val="auto"/>
            </w:rPr>
            <w:instrText xml:space="preserve"> PAGEREF _Toc19926 \h </w:instrText>
          </w:r>
          <w:r>
            <w:rPr>
              <w:color w:val="auto"/>
            </w:rPr>
            <w:fldChar w:fldCharType="separate"/>
          </w:r>
          <w:r>
            <w:rPr>
              <w:color w:val="auto"/>
            </w:rPr>
            <w:t>50</w:t>
          </w:r>
          <w:r>
            <w:rPr>
              <w:color w:val="auto"/>
            </w:rPr>
            <w:fldChar w:fldCharType="end"/>
          </w:r>
          <w:r>
            <w:rPr>
              <w:bCs/>
              <w:color w:val="auto"/>
              <w:highlight w:val="none"/>
              <w:lang w:val="zh-CN"/>
            </w:rPr>
            <w:fldChar w:fldCharType="end"/>
          </w:r>
        </w:p>
        <w:p w14:paraId="063FCC03">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_Toc8604 </w:instrText>
          </w:r>
          <w:r>
            <w:rPr>
              <w:bCs/>
              <w:color w:val="auto"/>
              <w:highlight w:val="none"/>
              <w:lang w:val="zh-CN"/>
            </w:rPr>
            <w:fldChar w:fldCharType="separate"/>
          </w:r>
          <w:r>
            <w:rPr>
              <w:rFonts w:hint="eastAsia" w:ascii="宋体" w:hAnsi="宋体" w:eastAsia="宋体" w:cs="宋体"/>
              <w:color w:val="auto"/>
              <w:spacing w:val="-1"/>
              <w:szCs w:val="24"/>
              <w:highlight w:val="none"/>
            </w:rPr>
            <w:t>七、结算及付款方式</w:t>
          </w:r>
          <w:r>
            <w:rPr>
              <w:color w:val="auto"/>
            </w:rPr>
            <w:tab/>
          </w:r>
          <w:r>
            <w:rPr>
              <w:color w:val="auto"/>
            </w:rPr>
            <w:fldChar w:fldCharType="begin"/>
          </w:r>
          <w:r>
            <w:rPr>
              <w:color w:val="auto"/>
            </w:rPr>
            <w:instrText xml:space="preserve"> PAGEREF _Toc8604 \h </w:instrText>
          </w:r>
          <w:r>
            <w:rPr>
              <w:color w:val="auto"/>
            </w:rPr>
            <w:fldChar w:fldCharType="separate"/>
          </w:r>
          <w:r>
            <w:rPr>
              <w:color w:val="auto"/>
            </w:rPr>
            <w:t>52</w:t>
          </w:r>
          <w:r>
            <w:rPr>
              <w:color w:val="auto"/>
            </w:rPr>
            <w:fldChar w:fldCharType="end"/>
          </w:r>
          <w:r>
            <w:rPr>
              <w:bCs/>
              <w:color w:val="auto"/>
              <w:highlight w:val="none"/>
              <w:lang w:val="zh-CN"/>
            </w:rPr>
            <w:fldChar w:fldCharType="end"/>
          </w:r>
        </w:p>
        <w:p w14:paraId="256D7F29">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_Toc28968 </w:instrText>
          </w:r>
          <w:r>
            <w:rPr>
              <w:bCs/>
              <w:color w:val="auto"/>
              <w:highlight w:val="none"/>
              <w:lang w:val="zh-CN"/>
            </w:rPr>
            <w:fldChar w:fldCharType="separate"/>
          </w:r>
          <w:r>
            <w:rPr>
              <w:rFonts w:hint="eastAsia" w:ascii="宋体" w:hAnsi="宋体" w:eastAsia="宋体" w:cs="宋体"/>
              <w:color w:val="auto"/>
              <w:spacing w:val="-1"/>
              <w:szCs w:val="24"/>
              <w:highlight w:val="none"/>
            </w:rPr>
            <w:t>八、双方权利义务</w:t>
          </w:r>
          <w:r>
            <w:rPr>
              <w:color w:val="auto"/>
            </w:rPr>
            <w:tab/>
          </w:r>
          <w:r>
            <w:rPr>
              <w:color w:val="auto"/>
            </w:rPr>
            <w:fldChar w:fldCharType="begin"/>
          </w:r>
          <w:r>
            <w:rPr>
              <w:color w:val="auto"/>
            </w:rPr>
            <w:instrText xml:space="preserve"> PAGEREF _Toc28968 \h </w:instrText>
          </w:r>
          <w:r>
            <w:rPr>
              <w:color w:val="auto"/>
            </w:rPr>
            <w:fldChar w:fldCharType="separate"/>
          </w:r>
          <w:r>
            <w:rPr>
              <w:color w:val="auto"/>
            </w:rPr>
            <w:t>52</w:t>
          </w:r>
          <w:r>
            <w:rPr>
              <w:color w:val="auto"/>
            </w:rPr>
            <w:fldChar w:fldCharType="end"/>
          </w:r>
          <w:r>
            <w:rPr>
              <w:bCs/>
              <w:color w:val="auto"/>
              <w:highlight w:val="none"/>
              <w:lang w:val="zh-CN"/>
            </w:rPr>
            <w:fldChar w:fldCharType="end"/>
          </w:r>
        </w:p>
        <w:p w14:paraId="62C07896">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_Toc27355 </w:instrText>
          </w:r>
          <w:r>
            <w:rPr>
              <w:bCs/>
              <w:color w:val="auto"/>
              <w:highlight w:val="none"/>
              <w:lang w:val="zh-CN"/>
            </w:rPr>
            <w:fldChar w:fldCharType="separate"/>
          </w:r>
          <w:r>
            <w:rPr>
              <w:rFonts w:hint="eastAsia" w:ascii="宋体" w:hAnsi="宋体" w:eastAsia="宋体" w:cs="宋体"/>
              <w:color w:val="auto"/>
              <w:spacing w:val="-2"/>
              <w:szCs w:val="24"/>
              <w:highlight w:val="none"/>
            </w:rPr>
            <w:t>九、违约责任及合同解除</w:t>
          </w:r>
          <w:r>
            <w:rPr>
              <w:color w:val="auto"/>
            </w:rPr>
            <w:tab/>
          </w:r>
          <w:r>
            <w:rPr>
              <w:color w:val="auto"/>
            </w:rPr>
            <w:fldChar w:fldCharType="begin"/>
          </w:r>
          <w:r>
            <w:rPr>
              <w:color w:val="auto"/>
            </w:rPr>
            <w:instrText xml:space="preserve"> PAGEREF _Toc27355 \h </w:instrText>
          </w:r>
          <w:r>
            <w:rPr>
              <w:color w:val="auto"/>
            </w:rPr>
            <w:fldChar w:fldCharType="separate"/>
          </w:r>
          <w:r>
            <w:rPr>
              <w:color w:val="auto"/>
            </w:rPr>
            <w:t>53</w:t>
          </w:r>
          <w:r>
            <w:rPr>
              <w:color w:val="auto"/>
            </w:rPr>
            <w:fldChar w:fldCharType="end"/>
          </w:r>
          <w:r>
            <w:rPr>
              <w:bCs/>
              <w:color w:val="auto"/>
              <w:highlight w:val="none"/>
              <w:lang w:val="zh-CN"/>
            </w:rPr>
            <w:fldChar w:fldCharType="end"/>
          </w:r>
        </w:p>
        <w:p w14:paraId="3DD43904">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_Toc10732 </w:instrText>
          </w:r>
          <w:r>
            <w:rPr>
              <w:bCs/>
              <w:color w:val="auto"/>
              <w:highlight w:val="none"/>
              <w:lang w:val="zh-CN"/>
            </w:rPr>
            <w:fldChar w:fldCharType="separate"/>
          </w:r>
          <w:r>
            <w:rPr>
              <w:rFonts w:hint="eastAsia" w:ascii="宋体" w:hAnsi="宋体" w:eastAsia="宋体" w:cs="宋体"/>
              <w:color w:val="auto"/>
              <w:spacing w:val="-2"/>
              <w:szCs w:val="24"/>
              <w:highlight w:val="none"/>
            </w:rPr>
            <w:t>十</w:t>
          </w:r>
          <w:r>
            <w:rPr>
              <w:rFonts w:hint="eastAsia" w:ascii="宋体" w:hAnsi="宋体" w:eastAsia="宋体" w:cs="宋体"/>
              <w:color w:val="auto"/>
              <w:spacing w:val="-2"/>
              <w:szCs w:val="24"/>
              <w:highlight w:val="none"/>
              <w:lang w:val="en-US" w:eastAsia="zh-CN"/>
            </w:rPr>
            <w:t>二</w:t>
          </w:r>
          <w:r>
            <w:rPr>
              <w:rFonts w:hint="eastAsia" w:ascii="宋体" w:hAnsi="宋体" w:eastAsia="宋体" w:cs="宋体"/>
              <w:color w:val="auto"/>
              <w:spacing w:val="-2"/>
              <w:szCs w:val="24"/>
              <w:highlight w:val="none"/>
            </w:rPr>
            <w:t>、不可抗力</w:t>
          </w:r>
          <w:r>
            <w:rPr>
              <w:color w:val="auto"/>
            </w:rPr>
            <w:tab/>
          </w:r>
          <w:r>
            <w:rPr>
              <w:color w:val="auto"/>
            </w:rPr>
            <w:fldChar w:fldCharType="begin"/>
          </w:r>
          <w:r>
            <w:rPr>
              <w:color w:val="auto"/>
            </w:rPr>
            <w:instrText xml:space="preserve"> PAGEREF _Toc10732 \h </w:instrText>
          </w:r>
          <w:r>
            <w:rPr>
              <w:color w:val="auto"/>
            </w:rPr>
            <w:fldChar w:fldCharType="separate"/>
          </w:r>
          <w:r>
            <w:rPr>
              <w:color w:val="auto"/>
            </w:rPr>
            <w:t>57</w:t>
          </w:r>
          <w:r>
            <w:rPr>
              <w:color w:val="auto"/>
            </w:rPr>
            <w:fldChar w:fldCharType="end"/>
          </w:r>
          <w:r>
            <w:rPr>
              <w:bCs/>
              <w:color w:val="auto"/>
              <w:highlight w:val="none"/>
              <w:lang w:val="zh-CN"/>
            </w:rPr>
            <w:fldChar w:fldCharType="end"/>
          </w:r>
        </w:p>
        <w:p w14:paraId="6ED64340">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_Toc30894 </w:instrText>
          </w:r>
          <w:r>
            <w:rPr>
              <w:bCs/>
              <w:color w:val="auto"/>
              <w:highlight w:val="none"/>
              <w:lang w:val="zh-CN"/>
            </w:rPr>
            <w:fldChar w:fldCharType="separate"/>
          </w:r>
          <w:r>
            <w:rPr>
              <w:rFonts w:hint="eastAsia" w:ascii="宋体" w:hAnsi="宋体" w:eastAsia="宋体" w:cs="宋体"/>
              <w:color w:val="auto"/>
              <w:spacing w:val="-3"/>
              <w:szCs w:val="24"/>
              <w:highlight w:val="none"/>
            </w:rPr>
            <w:t>十</w:t>
          </w:r>
          <w:r>
            <w:rPr>
              <w:rFonts w:hint="eastAsia" w:ascii="宋体" w:hAnsi="宋体" w:eastAsia="宋体" w:cs="宋体"/>
              <w:color w:val="auto"/>
              <w:spacing w:val="-3"/>
              <w:szCs w:val="24"/>
              <w:highlight w:val="none"/>
              <w:lang w:val="en-US" w:eastAsia="zh-CN"/>
            </w:rPr>
            <w:t>三</w:t>
          </w:r>
          <w:r>
            <w:rPr>
              <w:rFonts w:hint="eastAsia" w:ascii="宋体" w:hAnsi="宋体" w:eastAsia="宋体" w:cs="宋体"/>
              <w:color w:val="auto"/>
              <w:spacing w:val="-3"/>
              <w:szCs w:val="24"/>
              <w:highlight w:val="none"/>
            </w:rPr>
            <w:t>、争议解决</w:t>
          </w:r>
          <w:r>
            <w:rPr>
              <w:color w:val="auto"/>
            </w:rPr>
            <w:tab/>
          </w:r>
          <w:r>
            <w:rPr>
              <w:color w:val="auto"/>
            </w:rPr>
            <w:fldChar w:fldCharType="begin"/>
          </w:r>
          <w:r>
            <w:rPr>
              <w:color w:val="auto"/>
            </w:rPr>
            <w:instrText xml:space="preserve"> PAGEREF _Toc30894 \h </w:instrText>
          </w:r>
          <w:r>
            <w:rPr>
              <w:color w:val="auto"/>
            </w:rPr>
            <w:fldChar w:fldCharType="separate"/>
          </w:r>
          <w:r>
            <w:rPr>
              <w:color w:val="auto"/>
            </w:rPr>
            <w:t>57</w:t>
          </w:r>
          <w:r>
            <w:rPr>
              <w:color w:val="auto"/>
            </w:rPr>
            <w:fldChar w:fldCharType="end"/>
          </w:r>
          <w:r>
            <w:rPr>
              <w:bCs/>
              <w:color w:val="auto"/>
              <w:highlight w:val="none"/>
              <w:lang w:val="zh-CN"/>
            </w:rPr>
            <w:fldChar w:fldCharType="end"/>
          </w:r>
        </w:p>
        <w:p w14:paraId="419B5657">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_Toc30524 </w:instrText>
          </w:r>
          <w:r>
            <w:rPr>
              <w:bCs/>
              <w:color w:val="auto"/>
              <w:highlight w:val="none"/>
              <w:lang w:val="zh-CN"/>
            </w:rPr>
            <w:fldChar w:fldCharType="separate"/>
          </w:r>
          <w:r>
            <w:rPr>
              <w:rFonts w:hint="eastAsia" w:ascii="宋体" w:hAnsi="宋体" w:eastAsia="宋体" w:cs="宋体"/>
              <w:color w:val="auto"/>
              <w:spacing w:val="-2"/>
              <w:szCs w:val="24"/>
            </w:rPr>
            <w:t xml:space="preserve">十四、 </w:t>
          </w:r>
          <w:r>
            <w:rPr>
              <w:rFonts w:hint="eastAsia" w:ascii="宋体" w:hAnsi="宋体" w:eastAsia="宋体" w:cs="宋体"/>
              <w:color w:val="auto"/>
              <w:spacing w:val="-2"/>
              <w:szCs w:val="24"/>
              <w:highlight w:val="none"/>
            </w:rPr>
            <w:t>合同生效方式</w:t>
          </w:r>
          <w:r>
            <w:rPr>
              <w:color w:val="auto"/>
            </w:rPr>
            <w:tab/>
          </w:r>
          <w:r>
            <w:rPr>
              <w:color w:val="auto"/>
            </w:rPr>
            <w:fldChar w:fldCharType="begin"/>
          </w:r>
          <w:r>
            <w:rPr>
              <w:color w:val="auto"/>
            </w:rPr>
            <w:instrText xml:space="preserve"> PAGEREF _Toc30524 \h </w:instrText>
          </w:r>
          <w:r>
            <w:rPr>
              <w:color w:val="auto"/>
            </w:rPr>
            <w:fldChar w:fldCharType="separate"/>
          </w:r>
          <w:r>
            <w:rPr>
              <w:color w:val="auto"/>
            </w:rPr>
            <w:t>57</w:t>
          </w:r>
          <w:r>
            <w:rPr>
              <w:color w:val="auto"/>
            </w:rPr>
            <w:fldChar w:fldCharType="end"/>
          </w:r>
          <w:r>
            <w:rPr>
              <w:bCs/>
              <w:color w:val="auto"/>
              <w:highlight w:val="none"/>
              <w:lang w:val="zh-CN"/>
            </w:rPr>
            <w:fldChar w:fldCharType="end"/>
          </w:r>
        </w:p>
        <w:p w14:paraId="4D5BBEF5">
          <w:pPr>
            <w:pStyle w:val="29"/>
            <w:tabs>
              <w:tab w:val="right" w:leader="dot" w:pos="8827"/>
              <w:tab w:val="clear" w:pos="8987"/>
            </w:tabs>
            <w:rPr>
              <w:color w:val="auto"/>
            </w:rPr>
          </w:pPr>
          <w:r>
            <w:rPr>
              <w:bCs/>
              <w:color w:val="auto"/>
              <w:highlight w:val="none"/>
              <w:lang w:val="zh-CN"/>
            </w:rPr>
            <w:fldChar w:fldCharType="begin"/>
          </w:r>
          <w:r>
            <w:rPr>
              <w:bCs/>
              <w:color w:val="auto"/>
              <w:highlight w:val="none"/>
              <w:lang w:val="zh-CN"/>
            </w:rPr>
            <w:instrText xml:space="preserve"> HYPERLINK \l _Toc20227 </w:instrText>
          </w:r>
          <w:r>
            <w:rPr>
              <w:bCs/>
              <w:color w:val="auto"/>
              <w:highlight w:val="none"/>
              <w:lang w:val="zh-CN"/>
            </w:rPr>
            <w:fldChar w:fldCharType="separate"/>
          </w:r>
          <w:r>
            <w:rPr>
              <w:rFonts w:hint="eastAsia" w:eastAsia="宋体"/>
              <w:color w:val="auto"/>
              <w:szCs w:val="32"/>
              <w:highlight w:val="none"/>
            </w:rPr>
            <w:t>第六章  投标文件格式</w:t>
          </w:r>
          <w:r>
            <w:rPr>
              <w:color w:val="auto"/>
            </w:rPr>
            <w:tab/>
          </w:r>
          <w:r>
            <w:rPr>
              <w:color w:val="auto"/>
            </w:rPr>
            <w:fldChar w:fldCharType="begin"/>
          </w:r>
          <w:r>
            <w:rPr>
              <w:color w:val="auto"/>
            </w:rPr>
            <w:instrText xml:space="preserve"> PAGEREF _Toc20227 \h </w:instrText>
          </w:r>
          <w:r>
            <w:rPr>
              <w:color w:val="auto"/>
            </w:rPr>
            <w:fldChar w:fldCharType="separate"/>
          </w:r>
          <w:r>
            <w:rPr>
              <w:color w:val="auto"/>
            </w:rPr>
            <w:t>66</w:t>
          </w:r>
          <w:r>
            <w:rPr>
              <w:color w:val="auto"/>
            </w:rPr>
            <w:fldChar w:fldCharType="end"/>
          </w:r>
          <w:r>
            <w:rPr>
              <w:bCs/>
              <w:color w:val="auto"/>
              <w:highlight w:val="none"/>
              <w:lang w:val="zh-CN"/>
            </w:rPr>
            <w:fldChar w:fldCharType="end"/>
          </w:r>
        </w:p>
        <w:p w14:paraId="51C0D824">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_Toc20869 </w:instrText>
          </w:r>
          <w:r>
            <w:rPr>
              <w:bCs/>
              <w:color w:val="auto"/>
              <w:highlight w:val="none"/>
              <w:lang w:val="zh-CN"/>
            </w:rPr>
            <w:fldChar w:fldCharType="separate"/>
          </w:r>
          <w:r>
            <w:rPr>
              <w:rFonts w:hint="eastAsia" w:ascii="宋体" w:hAnsi="宋体" w:eastAsia="宋体"/>
              <w:bCs w:val="0"/>
              <w:color w:val="auto"/>
              <w:szCs w:val="28"/>
              <w:highlight w:val="none"/>
            </w:rPr>
            <w:t>一、资格审查部分</w:t>
          </w:r>
          <w:r>
            <w:rPr>
              <w:color w:val="auto"/>
            </w:rPr>
            <w:tab/>
          </w:r>
          <w:r>
            <w:rPr>
              <w:color w:val="auto"/>
            </w:rPr>
            <w:fldChar w:fldCharType="begin"/>
          </w:r>
          <w:r>
            <w:rPr>
              <w:color w:val="auto"/>
            </w:rPr>
            <w:instrText xml:space="preserve"> PAGEREF _Toc20869 \h </w:instrText>
          </w:r>
          <w:r>
            <w:rPr>
              <w:color w:val="auto"/>
            </w:rPr>
            <w:fldChar w:fldCharType="separate"/>
          </w:r>
          <w:r>
            <w:rPr>
              <w:color w:val="auto"/>
            </w:rPr>
            <w:t>68</w:t>
          </w:r>
          <w:r>
            <w:rPr>
              <w:color w:val="auto"/>
            </w:rPr>
            <w:fldChar w:fldCharType="end"/>
          </w:r>
          <w:r>
            <w:rPr>
              <w:bCs/>
              <w:color w:val="auto"/>
              <w:highlight w:val="none"/>
              <w:lang w:val="zh-CN"/>
            </w:rPr>
            <w:fldChar w:fldCharType="end"/>
          </w:r>
        </w:p>
        <w:p w14:paraId="2A9883A9">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_Toc24558 </w:instrText>
          </w:r>
          <w:r>
            <w:rPr>
              <w:bCs/>
              <w:color w:val="auto"/>
              <w:highlight w:val="none"/>
              <w:lang w:val="zh-CN"/>
            </w:rPr>
            <w:fldChar w:fldCharType="separate"/>
          </w:r>
          <w:r>
            <w:rPr>
              <w:rFonts w:hint="eastAsia" w:ascii="宋体" w:hAnsi="宋体" w:eastAsia="宋体"/>
              <w:bCs w:val="0"/>
              <w:color w:val="auto"/>
              <w:szCs w:val="28"/>
              <w:highlight w:val="none"/>
            </w:rPr>
            <w:t>二、投标函及商务部分</w:t>
          </w:r>
          <w:r>
            <w:rPr>
              <w:color w:val="auto"/>
            </w:rPr>
            <w:tab/>
          </w:r>
          <w:r>
            <w:rPr>
              <w:color w:val="auto"/>
            </w:rPr>
            <w:fldChar w:fldCharType="begin"/>
          </w:r>
          <w:r>
            <w:rPr>
              <w:color w:val="auto"/>
            </w:rPr>
            <w:instrText xml:space="preserve"> PAGEREF _Toc24558 \h </w:instrText>
          </w:r>
          <w:r>
            <w:rPr>
              <w:color w:val="auto"/>
            </w:rPr>
            <w:fldChar w:fldCharType="separate"/>
          </w:r>
          <w:r>
            <w:rPr>
              <w:color w:val="auto"/>
            </w:rPr>
            <w:t>73</w:t>
          </w:r>
          <w:r>
            <w:rPr>
              <w:color w:val="auto"/>
            </w:rPr>
            <w:fldChar w:fldCharType="end"/>
          </w:r>
          <w:r>
            <w:rPr>
              <w:bCs/>
              <w:color w:val="auto"/>
              <w:highlight w:val="none"/>
              <w:lang w:val="zh-CN"/>
            </w:rPr>
            <w:fldChar w:fldCharType="end"/>
          </w:r>
        </w:p>
        <w:p w14:paraId="65AACD35">
          <w:pPr>
            <w:pStyle w:val="33"/>
            <w:tabs>
              <w:tab w:val="right" w:leader="dot" w:pos="8827"/>
              <w:tab w:val="clear" w:pos="9628"/>
            </w:tabs>
            <w:rPr>
              <w:color w:val="auto"/>
            </w:rPr>
          </w:pPr>
          <w:r>
            <w:rPr>
              <w:bCs/>
              <w:color w:val="auto"/>
              <w:highlight w:val="none"/>
              <w:lang w:val="zh-CN"/>
            </w:rPr>
            <w:fldChar w:fldCharType="begin"/>
          </w:r>
          <w:r>
            <w:rPr>
              <w:bCs/>
              <w:color w:val="auto"/>
              <w:highlight w:val="none"/>
              <w:lang w:val="zh-CN"/>
            </w:rPr>
            <w:instrText xml:space="preserve"> HYPERLINK \l _Toc6297 </w:instrText>
          </w:r>
          <w:r>
            <w:rPr>
              <w:bCs/>
              <w:color w:val="auto"/>
              <w:highlight w:val="none"/>
              <w:lang w:val="zh-CN"/>
            </w:rPr>
            <w:fldChar w:fldCharType="separate"/>
          </w:r>
          <w:r>
            <w:rPr>
              <w:rFonts w:hint="eastAsia" w:ascii="宋体" w:hAnsi="宋体" w:eastAsia="宋体"/>
              <w:bCs w:val="0"/>
              <w:color w:val="auto"/>
              <w:szCs w:val="28"/>
              <w:highlight w:val="none"/>
            </w:rPr>
            <w:t>三、投标文件技术部分（技术部分应包括但不限于以下内容）</w:t>
          </w:r>
          <w:r>
            <w:rPr>
              <w:color w:val="auto"/>
            </w:rPr>
            <w:tab/>
          </w:r>
          <w:r>
            <w:rPr>
              <w:color w:val="auto"/>
            </w:rPr>
            <w:fldChar w:fldCharType="begin"/>
          </w:r>
          <w:r>
            <w:rPr>
              <w:color w:val="auto"/>
            </w:rPr>
            <w:instrText xml:space="preserve"> PAGEREF _Toc6297 \h </w:instrText>
          </w:r>
          <w:r>
            <w:rPr>
              <w:color w:val="auto"/>
            </w:rPr>
            <w:fldChar w:fldCharType="separate"/>
          </w:r>
          <w:r>
            <w:rPr>
              <w:color w:val="auto"/>
            </w:rPr>
            <w:t>80</w:t>
          </w:r>
          <w:r>
            <w:rPr>
              <w:color w:val="auto"/>
            </w:rPr>
            <w:fldChar w:fldCharType="end"/>
          </w:r>
          <w:r>
            <w:rPr>
              <w:bCs/>
              <w:color w:val="auto"/>
              <w:highlight w:val="none"/>
              <w:lang w:val="zh-CN"/>
            </w:rPr>
            <w:fldChar w:fldCharType="end"/>
          </w:r>
        </w:p>
        <w:p w14:paraId="6CD082B0">
          <w:pPr>
            <w:keepNext w:val="0"/>
            <w:keepLines w:val="0"/>
            <w:pageBreakBefore w:val="0"/>
            <w:widowControl w:val="0"/>
            <w:tabs>
              <w:tab w:val="right" w:leader="dot" w:pos="8987"/>
            </w:tabs>
            <w:kinsoku/>
            <w:wordWrap/>
            <w:overflowPunct/>
            <w:topLinePunct w:val="0"/>
            <w:autoSpaceDE/>
            <w:autoSpaceDN/>
            <w:bidi w:val="0"/>
            <w:adjustRightInd/>
            <w:snapToGrid/>
            <w:textAlignment w:val="auto"/>
            <w:rPr>
              <w:rFonts w:hint="eastAsia"/>
              <w:color w:val="auto"/>
              <w:highlight w:val="none"/>
            </w:rPr>
          </w:pPr>
          <w:r>
            <w:rPr>
              <w:bCs/>
              <w:color w:val="auto"/>
              <w:highlight w:val="none"/>
              <w:lang w:val="zh-CN"/>
            </w:rPr>
            <w:fldChar w:fldCharType="end"/>
          </w:r>
        </w:p>
      </w:sdtContent>
    </w:sdt>
    <w:p w14:paraId="1A58C5D8">
      <w:pPr>
        <w:adjustRightInd w:val="0"/>
        <w:snapToGrid w:val="0"/>
        <w:spacing w:line="360" w:lineRule="auto"/>
        <w:rPr>
          <w:rFonts w:hint="eastAsia" w:ascii="宋体" w:hAnsi="宋体" w:eastAsia="宋体" w:cs="宋体"/>
          <w:b/>
          <w:bCs/>
          <w:color w:val="auto"/>
          <w:sz w:val="22"/>
          <w:highlight w:val="none"/>
        </w:rPr>
      </w:pPr>
    </w:p>
    <w:p w14:paraId="2B324E9F">
      <w:pPr>
        <w:pStyle w:val="16"/>
        <w:adjustRightInd w:val="0"/>
        <w:snapToGrid w:val="0"/>
        <w:spacing w:after="0" w:line="360" w:lineRule="auto"/>
        <w:rPr>
          <w:rFonts w:hint="eastAsia" w:eastAsia="宋体"/>
          <w:color w:val="auto"/>
          <w:highlight w:val="none"/>
        </w:rPr>
      </w:pPr>
    </w:p>
    <w:p w14:paraId="4A9F2915">
      <w:pPr>
        <w:adjustRightInd w:val="0"/>
        <w:snapToGrid w:val="0"/>
        <w:spacing w:line="360" w:lineRule="auto"/>
        <w:rPr>
          <w:rFonts w:hint="eastAsia" w:ascii="宋体" w:hAnsi="宋体" w:eastAsia="宋体" w:cs="宋体"/>
          <w:color w:val="auto"/>
          <w:highlight w:val="none"/>
        </w:rPr>
      </w:pPr>
    </w:p>
    <w:p w14:paraId="1A597BE0">
      <w:pPr>
        <w:adjustRightInd w:val="0"/>
        <w:snapToGrid w:val="0"/>
        <w:spacing w:line="360" w:lineRule="auto"/>
        <w:rPr>
          <w:rFonts w:hint="eastAsia" w:ascii="宋体" w:hAnsi="宋体" w:eastAsia="宋体" w:cs="宋体"/>
          <w:color w:val="auto"/>
          <w:highlight w:val="none"/>
        </w:rPr>
        <w:sectPr>
          <w:footerReference r:id="rId5" w:type="default"/>
          <w:pgSz w:w="11905" w:h="16840"/>
          <w:pgMar w:top="1431" w:right="1785" w:bottom="1694" w:left="1293" w:header="0" w:footer="1424" w:gutter="0"/>
          <w:pgNumType w:start="1"/>
          <w:cols w:space="720" w:num="1"/>
        </w:sectPr>
      </w:pPr>
    </w:p>
    <w:p w14:paraId="42A2B4BA">
      <w:pPr>
        <w:adjustRightInd w:val="0"/>
        <w:snapToGrid w:val="0"/>
        <w:spacing w:line="360" w:lineRule="auto"/>
        <w:rPr>
          <w:rFonts w:hint="eastAsia" w:ascii="宋体" w:hAnsi="宋体" w:eastAsia="宋体" w:cs="宋体"/>
          <w:color w:val="auto"/>
          <w:highlight w:val="none"/>
        </w:rPr>
      </w:pPr>
    </w:p>
    <w:p w14:paraId="3933CE35">
      <w:pPr>
        <w:pStyle w:val="2"/>
        <w:adjustRightInd w:val="0"/>
        <w:snapToGrid w:val="0"/>
        <w:spacing w:before="0" w:after="0" w:line="360" w:lineRule="auto"/>
        <w:contextualSpacing/>
        <w:jc w:val="center"/>
        <w:rPr>
          <w:rFonts w:hint="eastAsia" w:eastAsia="宋体"/>
          <w:color w:val="auto"/>
          <w:sz w:val="32"/>
          <w:szCs w:val="32"/>
          <w:highlight w:val="none"/>
        </w:rPr>
      </w:pPr>
      <w:bookmarkStart w:id="16" w:name="_Toc16093"/>
      <w:r>
        <w:rPr>
          <w:rFonts w:hint="eastAsia" w:eastAsia="宋体"/>
          <w:color w:val="auto"/>
          <w:sz w:val="32"/>
          <w:szCs w:val="32"/>
          <w:highlight w:val="none"/>
        </w:rPr>
        <w:t xml:space="preserve">第一章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7" w:name="_Hlk43277422"/>
      <w:bookmarkStart w:id="18" w:name="_Hlk62036019"/>
      <w:bookmarkStart w:id="19" w:name="_Toc357158877"/>
      <w:bookmarkStart w:id="20" w:name="_Toc357500949"/>
      <w:bookmarkStart w:id="21" w:name="_Toc351117878"/>
      <w:bookmarkStart w:id="22" w:name="_Toc350330495"/>
      <w:bookmarkStart w:id="23" w:name="_Toc350930209"/>
      <w:bookmarkStart w:id="24" w:name="_Toc350930443"/>
      <w:bookmarkStart w:id="25" w:name="_Toc350929994"/>
      <w:r>
        <w:rPr>
          <w:rFonts w:hint="eastAsia" w:eastAsia="宋体"/>
          <w:color w:val="auto"/>
          <w:sz w:val="32"/>
          <w:szCs w:val="32"/>
          <w:highlight w:val="none"/>
        </w:rPr>
        <w:t>招标公告</w:t>
      </w:r>
      <w:bookmarkEnd w:id="16"/>
    </w:p>
    <w:tbl>
      <w:tblPr>
        <w:tblStyle w:val="43"/>
        <w:tblW w:w="961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7"/>
      </w:tblGrid>
      <w:tr w14:paraId="704E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trPr>
        <w:tc>
          <w:tcPr>
            <w:tcW w:w="9617" w:type="dxa"/>
          </w:tcPr>
          <w:p w14:paraId="0A333B23">
            <w:pPr>
              <w:pStyle w:val="4"/>
              <w:adjustRightInd w:val="0"/>
              <w:snapToGrid w:val="0"/>
              <w:spacing w:line="360" w:lineRule="auto"/>
              <w:ind w:firstLine="482" w:firstLineChars="200"/>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项目概况</w:t>
            </w:r>
          </w:p>
          <w:p w14:paraId="10FE45E5">
            <w:pPr>
              <w:pStyle w:val="4"/>
              <w:adjustRightInd w:val="0"/>
              <w:snapToGrid w:val="0"/>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澄江市机关幼儿园食堂食材配送服务采购项目的潜在投标人应登录政采云平台（https://www.zcygov.cn/）获取招标文件,并于</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04</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02</w:t>
            </w:r>
            <w:r>
              <w:rPr>
                <w:rFonts w:hint="eastAsia" w:ascii="宋体" w:hAnsi="宋体" w:eastAsia="宋体" w:cs="宋体"/>
                <w:b/>
                <w:bCs/>
                <w:color w:val="auto"/>
                <w:sz w:val="24"/>
                <w:szCs w:val="24"/>
                <w:highlight w:val="none"/>
              </w:rPr>
              <w:t>日09:00时</w:t>
            </w:r>
            <w:r>
              <w:rPr>
                <w:rFonts w:hint="eastAsia" w:ascii="宋体" w:hAnsi="宋体" w:eastAsia="宋体" w:cs="宋体"/>
                <w:color w:val="auto"/>
                <w:sz w:val="24"/>
                <w:szCs w:val="24"/>
                <w:highlight w:val="none"/>
              </w:rPr>
              <w:t>（北京时间）前在政采云平台（https://www.zcygov.cn/）递交投标文件。</w:t>
            </w:r>
          </w:p>
        </w:tc>
      </w:tr>
    </w:tbl>
    <w:p w14:paraId="2CFA648D">
      <w:pPr>
        <w:adjustRightInd w:val="0"/>
        <w:snapToGrid w:val="0"/>
        <w:spacing w:line="360" w:lineRule="auto"/>
        <w:ind w:firstLine="482" w:firstLineChars="200"/>
        <w:rPr>
          <w:rFonts w:hint="eastAsia" w:ascii="宋体" w:hAnsi="宋体" w:eastAsia="宋体" w:cs="宋体"/>
          <w:color w:val="auto"/>
          <w:sz w:val="24"/>
          <w:szCs w:val="24"/>
          <w:highlight w:val="none"/>
        </w:rPr>
      </w:pPr>
      <w:bookmarkStart w:id="26" w:name="_Hlk10624400"/>
      <w:r>
        <w:rPr>
          <w:rFonts w:hint="eastAsia" w:ascii="宋体" w:hAnsi="宋体" w:eastAsia="宋体" w:cs="宋体"/>
          <w:b/>
          <w:color w:val="auto"/>
          <w:sz w:val="24"/>
          <w:szCs w:val="24"/>
          <w:highlight w:val="none"/>
        </w:rPr>
        <w:t>一、项目基本情况</w:t>
      </w:r>
      <w:bookmarkStart w:id="27" w:name="_Toc357500908"/>
    </w:p>
    <w:p w14:paraId="73692A9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w:t>
      </w:r>
      <w:bookmarkEnd w:id="27"/>
      <w:r>
        <w:rPr>
          <w:rFonts w:hint="eastAsia" w:ascii="宋体" w:hAnsi="宋体" w:eastAsia="宋体" w:cs="宋体"/>
          <w:color w:val="auto"/>
          <w:sz w:val="24"/>
          <w:szCs w:val="24"/>
          <w:highlight w:val="none"/>
        </w:rPr>
        <w:t>ZZGL-2026004F；</w:t>
      </w:r>
      <w:bookmarkStart w:id="28" w:name="_Toc357500909"/>
    </w:p>
    <w:p w14:paraId="1E8B96B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bookmarkEnd w:id="28"/>
      <w:bookmarkStart w:id="29" w:name="_Toc357500910"/>
      <w:r>
        <w:rPr>
          <w:rFonts w:hint="eastAsia" w:ascii="宋体" w:hAnsi="宋体" w:eastAsia="宋体" w:cs="宋体"/>
          <w:color w:val="auto"/>
          <w:sz w:val="24"/>
          <w:szCs w:val="24"/>
          <w:highlight w:val="none"/>
        </w:rPr>
        <w:t>：澄江市机关幼儿园食堂食材配送服务采购项目；</w:t>
      </w:r>
    </w:p>
    <w:bookmarkEnd w:id="29"/>
    <w:p w14:paraId="124173D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3.采购方式及资格审查方式：公开招标、资格后审；</w:t>
      </w:r>
    </w:p>
    <w:p w14:paraId="2E05D2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4.采购预算：¥</w:t>
      </w:r>
      <w:r>
        <w:rPr>
          <w:rFonts w:hint="eastAsia" w:ascii="宋体" w:hAnsi="宋体" w:eastAsia="宋体" w:cs="宋体"/>
          <w:color w:val="auto"/>
          <w:sz w:val="24"/>
          <w:szCs w:val="24"/>
          <w:highlight w:val="none"/>
          <w:lang w:val="en-US" w:eastAsia="zh-CN"/>
        </w:rPr>
        <w:t>419.3</w:t>
      </w:r>
      <w:r>
        <w:rPr>
          <w:rFonts w:hint="eastAsia" w:ascii="宋体" w:hAnsi="宋体" w:eastAsia="宋体" w:cs="宋体"/>
          <w:color w:val="auto"/>
          <w:sz w:val="24"/>
          <w:szCs w:val="24"/>
          <w:highlight w:val="none"/>
        </w:rPr>
        <w:t>万元；</w:t>
      </w:r>
    </w:p>
    <w:p w14:paraId="4060353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采购需求：澄江市机关幼儿园食堂食材配送服务采购项目，共分为两个片区，第一片区：澄江市机关幼儿园、澄江市机关幼儿园（立昌园区）、澄江市九村中心幼儿园。第二片区：澄江市凤麓中心幼儿园、澄江市右所中心幼儿园、澄江市海口中心幼儿园、玉溪市江川区路居镇中心幼儿园的食品、食材供应配送，供货数量根据采购人实际需求供货。</w:t>
      </w:r>
      <w:r>
        <w:rPr>
          <w:rFonts w:hint="eastAsia" w:ascii="宋体" w:hAnsi="宋体" w:eastAsia="宋体" w:cs="宋体"/>
          <w:color w:val="auto"/>
          <w:kern w:val="0"/>
          <w:sz w:val="24"/>
          <w:szCs w:val="24"/>
          <w:highlight w:val="none"/>
        </w:rPr>
        <w:t>分标段分包及具体种类如下：</w:t>
      </w:r>
    </w:p>
    <w:tbl>
      <w:tblPr>
        <w:tblStyle w:val="43"/>
        <w:tblW w:w="95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9"/>
        <w:gridCol w:w="1010"/>
        <w:gridCol w:w="3650"/>
        <w:gridCol w:w="1529"/>
        <w:gridCol w:w="1628"/>
        <w:gridCol w:w="870"/>
      </w:tblGrid>
      <w:tr w14:paraId="70A32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869" w:type="dxa"/>
            <w:tcBorders>
              <w:bottom w:val="single" w:color="000000" w:sz="4" w:space="0"/>
              <w:right w:val="single" w:color="000000" w:sz="4" w:space="0"/>
            </w:tcBorders>
            <w:vAlign w:val="center"/>
          </w:tcPr>
          <w:p w14:paraId="1A4C3369">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片区</w:t>
            </w:r>
          </w:p>
        </w:tc>
        <w:tc>
          <w:tcPr>
            <w:tcW w:w="1010" w:type="dxa"/>
            <w:tcBorders>
              <w:left w:val="single" w:color="000000" w:sz="4" w:space="0"/>
              <w:bottom w:val="single" w:color="000000" w:sz="4" w:space="0"/>
              <w:right w:val="single" w:color="000000" w:sz="4" w:space="0"/>
            </w:tcBorders>
            <w:vAlign w:val="center"/>
          </w:tcPr>
          <w:p w14:paraId="120176CF">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标包</w:t>
            </w:r>
          </w:p>
        </w:tc>
        <w:tc>
          <w:tcPr>
            <w:tcW w:w="3650" w:type="dxa"/>
            <w:tcBorders>
              <w:left w:val="single" w:color="000000" w:sz="4" w:space="0"/>
              <w:bottom w:val="single" w:color="000000" w:sz="4" w:space="0"/>
              <w:right w:val="single" w:color="000000" w:sz="4" w:space="0"/>
            </w:tcBorders>
            <w:vAlign w:val="center"/>
          </w:tcPr>
          <w:p w14:paraId="3CFC0897">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具体种类</w:t>
            </w:r>
          </w:p>
        </w:tc>
        <w:tc>
          <w:tcPr>
            <w:tcW w:w="1529" w:type="dxa"/>
            <w:tcBorders>
              <w:left w:val="single" w:color="000000" w:sz="4" w:space="0"/>
              <w:bottom w:val="single" w:color="000000" w:sz="4" w:space="0"/>
              <w:right w:val="single" w:color="000000" w:sz="4" w:space="0"/>
            </w:tcBorders>
            <w:vAlign w:val="center"/>
          </w:tcPr>
          <w:p w14:paraId="08B11FEC">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预算金额</w:t>
            </w:r>
          </w:p>
          <w:p w14:paraId="493106FB">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（万元/年）</w:t>
            </w:r>
          </w:p>
        </w:tc>
        <w:tc>
          <w:tcPr>
            <w:tcW w:w="1628" w:type="dxa"/>
            <w:tcBorders>
              <w:left w:val="single" w:color="000000" w:sz="4" w:space="0"/>
              <w:bottom w:val="single" w:color="000000" w:sz="4" w:space="0"/>
              <w:right w:val="single" w:color="000000" w:sz="4" w:space="0"/>
            </w:tcBorders>
            <w:vAlign w:val="center"/>
          </w:tcPr>
          <w:p w14:paraId="46575A97">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配送范围</w:t>
            </w:r>
          </w:p>
        </w:tc>
        <w:tc>
          <w:tcPr>
            <w:tcW w:w="870" w:type="dxa"/>
            <w:tcBorders>
              <w:left w:val="single" w:color="000000" w:sz="4" w:space="0"/>
              <w:bottom w:val="single" w:color="000000" w:sz="4" w:space="0"/>
              <w:right w:val="single" w:color="000000" w:sz="4" w:space="0"/>
            </w:tcBorders>
            <w:vAlign w:val="center"/>
          </w:tcPr>
          <w:p w14:paraId="025228A7">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r>
      <w:tr w14:paraId="1843B7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11" w:hRule="atLeast"/>
          <w:jc w:val="center"/>
        </w:trPr>
        <w:tc>
          <w:tcPr>
            <w:tcW w:w="869" w:type="dxa"/>
            <w:vMerge w:val="restart"/>
            <w:tcBorders>
              <w:top w:val="single" w:color="000000" w:sz="4" w:space="0"/>
              <w:right w:val="single" w:color="000000" w:sz="4" w:space="0"/>
            </w:tcBorders>
            <w:vAlign w:val="center"/>
          </w:tcPr>
          <w:p w14:paraId="2FF89766">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第一片区</w:t>
            </w:r>
          </w:p>
        </w:tc>
        <w:tc>
          <w:tcPr>
            <w:tcW w:w="1010" w:type="dxa"/>
            <w:tcBorders>
              <w:top w:val="single" w:color="000000" w:sz="4" w:space="0"/>
              <w:left w:val="single" w:color="000000" w:sz="4" w:space="0"/>
              <w:bottom w:val="single" w:color="000000" w:sz="4" w:space="0"/>
              <w:right w:val="single" w:color="000000" w:sz="4" w:space="0"/>
            </w:tcBorders>
            <w:vAlign w:val="center"/>
          </w:tcPr>
          <w:p w14:paraId="0E881962">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4135642D">
            <w:pPr>
              <w:widowControl/>
              <w:adjustRightInd w:val="0"/>
              <w:snapToGrid w:val="0"/>
              <w:spacing w:line="400" w:lineRule="exact"/>
              <w:jc w:val="left"/>
              <w:textAlignment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687C0C6A">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143.9</w:t>
            </w:r>
          </w:p>
        </w:tc>
        <w:tc>
          <w:tcPr>
            <w:tcW w:w="1628" w:type="dxa"/>
            <w:vMerge w:val="restart"/>
            <w:tcBorders>
              <w:top w:val="single" w:color="000000" w:sz="4" w:space="0"/>
              <w:left w:val="single" w:color="000000" w:sz="4" w:space="0"/>
              <w:right w:val="single" w:color="000000" w:sz="4" w:space="0"/>
            </w:tcBorders>
            <w:vAlign w:val="center"/>
          </w:tcPr>
          <w:p w14:paraId="5D6A6EA8">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澄江市机关幼儿园、澄江市机关幼儿园（立昌园区）、澄江市九村中心幼儿园</w:t>
            </w:r>
          </w:p>
        </w:tc>
        <w:tc>
          <w:tcPr>
            <w:tcW w:w="870" w:type="dxa"/>
            <w:vMerge w:val="restart"/>
            <w:tcBorders>
              <w:top w:val="single" w:color="000000" w:sz="4" w:space="0"/>
              <w:left w:val="single" w:color="000000" w:sz="4" w:space="0"/>
              <w:bottom w:val="single" w:color="000000" w:sz="4" w:space="0"/>
              <w:right w:val="single" w:color="000000" w:sz="4" w:space="0"/>
            </w:tcBorders>
            <w:vAlign w:val="center"/>
          </w:tcPr>
          <w:p w14:paraId="39263B23">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按采购人实际需求提供</w:t>
            </w:r>
          </w:p>
        </w:tc>
      </w:tr>
      <w:tr w14:paraId="447BBD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869" w:type="dxa"/>
            <w:vMerge w:val="continue"/>
            <w:tcBorders>
              <w:bottom w:val="single" w:color="000000" w:sz="4" w:space="0"/>
              <w:right w:val="single" w:color="000000" w:sz="4" w:space="0"/>
            </w:tcBorders>
            <w:vAlign w:val="center"/>
          </w:tcPr>
          <w:p w14:paraId="52BBB1AC">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010" w:type="dxa"/>
            <w:tcBorders>
              <w:top w:val="single" w:color="000000" w:sz="4" w:space="0"/>
              <w:left w:val="single" w:color="000000" w:sz="4" w:space="0"/>
              <w:bottom w:val="single" w:color="000000" w:sz="4" w:space="0"/>
              <w:right w:val="single" w:color="000000" w:sz="4" w:space="0"/>
            </w:tcBorders>
            <w:vAlign w:val="center"/>
          </w:tcPr>
          <w:p w14:paraId="22CA1E8B">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0786321F">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水果类、乳制品类、烘焙糕点类及其它食品食材等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1516538A">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86.00</w:t>
            </w:r>
          </w:p>
        </w:tc>
        <w:tc>
          <w:tcPr>
            <w:tcW w:w="1628" w:type="dxa"/>
            <w:vMerge w:val="continue"/>
            <w:tcBorders>
              <w:left w:val="single" w:color="000000" w:sz="4" w:space="0"/>
              <w:right w:val="single" w:color="000000" w:sz="4" w:space="0"/>
            </w:tcBorders>
            <w:vAlign w:val="center"/>
          </w:tcPr>
          <w:p w14:paraId="02864E82">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870" w:type="dxa"/>
            <w:vMerge w:val="continue"/>
            <w:tcBorders>
              <w:left w:val="single" w:color="000000" w:sz="4" w:space="0"/>
              <w:right w:val="single" w:color="000000" w:sz="4" w:space="0"/>
            </w:tcBorders>
            <w:vAlign w:val="center"/>
          </w:tcPr>
          <w:p w14:paraId="27AA203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r>
      <w:tr w14:paraId="42A87A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869" w:type="dxa"/>
            <w:vMerge w:val="restart"/>
            <w:tcBorders>
              <w:top w:val="single" w:color="000000" w:sz="4" w:space="0"/>
              <w:right w:val="single" w:color="000000" w:sz="4" w:space="0"/>
            </w:tcBorders>
            <w:vAlign w:val="center"/>
          </w:tcPr>
          <w:p w14:paraId="090D8B5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第二片区</w:t>
            </w:r>
          </w:p>
        </w:tc>
        <w:tc>
          <w:tcPr>
            <w:tcW w:w="1010" w:type="dxa"/>
            <w:tcBorders>
              <w:top w:val="single" w:color="000000" w:sz="4" w:space="0"/>
              <w:left w:val="single" w:color="000000" w:sz="4" w:space="0"/>
              <w:bottom w:val="single" w:color="000000" w:sz="4" w:space="0"/>
              <w:right w:val="single" w:color="000000" w:sz="4" w:space="0"/>
            </w:tcBorders>
            <w:vAlign w:val="center"/>
          </w:tcPr>
          <w:p w14:paraId="260ADDF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15680FD7">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7C109827">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115.4</w:t>
            </w:r>
          </w:p>
        </w:tc>
        <w:tc>
          <w:tcPr>
            <w:tcW w:w="1628" w:type="dxa"/>
            <w:vMerge w:val="restart"/>
            <w:tcBorders>
              <w:top w:val="single" w:color="000000" w:sz="4" w:space="0"/>
              <w:left w:val="single" w:color="000000" w:sz="4" w:space="0"/>
              <w:right w:val="single" w:color="000000" w:sz="4" w:space="0"/>
            </w:tcBorders>
            <w:vAlign w:val="center"/>
          </w:tcPr>
          <w:p w14:paraId="46E83B90">
            <w:pPr>
              <w:adjustRightInd w:val="0"/>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澄江市凤麓中心幼儿园、澄江市右所中心幼儿园、澄江市海口中心幼儿园、玉溪市江川区路居镇中心幼儿园</w:t>
            </w:r>
          </w:p>
        </w:tc>
        <w:tc>
          <w:tcPr>
            <w:tcW w:w="870" w:type="dxa"/>
            <w:vMerge w:val="continue"/>
            <w:tcBorders>
              <w:top w:val="single" w:color="000000" w:sz="4" w:space="0"/>
              <w:left w:val="single" w:color="000000" w:sz="4" w:space="0"/>
              <w:bottom w:val="single" w:color="000000" w:sz="4" w:space="0"/>
              <w:right w:val="single" w:color="000000" w:sz="4" w:space="0"/>
            </w:tcBorders>
            <w:vAlign w:val="center"/>
          </w:tcPr>
          <w:p w14:paraId="60F18A34">
            <w:pPr>
              <w:adjustRightInd w:val="0"/>
              <w:snapToGrid w:val="0"/>
              <w:spacing w:line="400" w:lineRule="exact"/>
              <w:jc w:val="center"/>
              <w:rPr>
                <w:rFonts w:hint="eastAsia" w:ascii="宋体" w:hAnsi="宋体" w:eastAsia="宋体" w:cs="宋体"/>
                <w:color w:val="auto"/>
                <w:sz w:val="24"/>
                <w:szCs w:val="24"/>
                <w:highlight w:val="none"/>
              </w:rPr>
            </w:pPr>
          </w:p>
        </w:tc>
      </w:tr>
      <w:tr w14:paraId="7F4FD9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jc w:val="center"/>
        </w:trPr>
        <w:tc>
          <w:tcPr>
            <w:tcW w:w="869" w:type="dxa"/>
            <w:vMerge w:val="continue"/>
            <w:tcBorders>
              <w:right w:val="single" w:color="000000" w:sz="4" w:space="0"/>
            </w:tcBorders>
            <w:vAlign w:val="center"/>
          </w:tcPr>
          <w:p w14:paraId="0A789F3D">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010" w:type="dxa"/>
            <w:tcBorders>
              <w:top w:val="single" w:color="000000" w:sz="4" w:space="0"/>
              <w:left w:val="single" w:color="000000" w:sz="4" w:space="0"/>
              <w:right w:val="single" w:color="000000" w:sz="4" w:space="0"/>
            </w:tcBorders>
            <w:vAlign w:val="center"/>
          </w:tcPr>
          <w:p w14:paraId="6A2A7DC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包</w:t>
            </w:r>
          </w:p>
        </w:tc>
        <w:tc>
          <w:tcPr>
            <w:tcW w:w="3650" w:type="dxa"/>
            <w:tcBorders>
              <w:top w:val="single" w:color="000000" w:sz="4" w:space="0"/>
              <w:left w:val="single" w:color="000000" w:sz="4" w:space="0"/>
              <w:right w:val="single" w:color="000000" w:sz="4" w:space="0"/>
            </w:tcBorders>
            <w:vAlign w:val="center"/>
          </w:tcPr>
          <w:p w14:paraId="45B119F0">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水果类、乳制品类、烘焙糕点类及其它食品食材等</w:t>
            </w:r>
          </w:p>
        </w:tc>
        <w:tc>
          <w:tcPr>
            <w:tcW w:w="1529" w:type="dxa"/>
            <w:tcBorders>
              <w:top w:val="single" w:color="000000" w:sz="4" w:space="0"/>
              <w:left w:val="single" w:color="000000" w:sz="4" w:space="0"/>
              <w:right w:val="single" w:color="000000" w:sz="4" w:space="0"/>
            </w:tcBorders>
            <w:vAlign w:val="center"/>
          </w:tcPr>
          <w:p w14:paraId="17249D8C">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74.00</w:t>
            </w:r>
          </w:p>
        </w:tc>
        <w:tc>
          <w:tcPr>
            <w:tcW w:w="1628" w:type="dxa"/>
            <w:vMerge w:val="continue"/>
            <w:tcBorders>
              <w:left w:val="single" w:color="000000" w:sz="4" w:space="0"/>
              <w:right w:val="single" w:color="000000" w:sz="4" w:space="0"/>
            </w:tcBorders>
            <w:vAlign w:val="center"/>
          </w:tcPr>
          <w:p w14:paraId="4E21921A">
            <w:pPr>
              <w:adjustRightInd w:val="0"/>
              <w:snapToGrid w:val="0"/>
              <w:spacing w:line="400" w:lineRule="exact"/>
              <w:jc w:val="center"/>
              <w:rPr>
                <w:rFonts w:hint="eastAsia" w:ascii="宋体" w:hAnsi="宋体" w:eastAsia="宋体" w:cs="宋体"/>
                <w:color w:val="auto"/>
                <w:sz w:val="24"/>
                <w:szCs w:val="24"/>
                <w:highlight w:val="none"/>
              </w:rPr>
            </w:pPr>
          </w:p>
        </w:tc>
        <w:tc>
          <w:tcPr>
            <w:tcW w:w="870" w:type="dxa"/>
            <w:vMerge w:val="continue"/>
            <w:tcBorders>
              <w:top w:val="single" w:color="000000" w:sz="4" w:space="0"/>
              <w:left w:val="single" w:color="000000" w:sz="4" w:space="0"/>
              <w:right w:val="single" w:color="000000" w:sz="4" w:space="0"/>
            </w:tcBorders>
            <w:vAlign w:val="center"/>
          </w:tcPr>
          <w:p w14:paraId="49D1145D">
            <w:pPr>
              <w:adjustRightInd w:val="0"/>
              <w:snapToGrid w:val="0"/>
              <w:spacing w:line="400" w:lineRule="exact"/>
              <w:jc w:val="center"/>
              <w:rPr>
                <w:rFonts w:hint="eastAsia" w:ascii="宋体" w:hAnsi="宋体" w:eastAsia="宋体" w:cs="宋体"/>
                <w:color w:val="auto"/>
                <w:sz w:val="24"/>
                <w:szCs w:val="24"/>
                <w:highlight w:val="none"/>
              </w:rPr>
            </w:pPr>
          </w:p>
        </w:tc>
      </w:tr>
    </w:tbl>
    <w:p w14:paraId="47E7B329">
      <w:pPr>
        <w:adjustRightInd w:val="0"/>
        <w:snapToGrid w:val="0"/>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注：本项目共分4个标包，投标人可对本项目任意1个或多个标包进行投标，投标文件应按所投标包分别制作及投递。</w:t>
      </w:r>
      <w:r>
        <w:rPr>
          <w:rFonts w:hint="eastAsia" w:ascii="宋体" w:hAnsi="宋体" w:eastAsia="宋体" w:cs="宋体"/>
          <w:b/>
          <w:bCs/>
          <w:color w:val="auto"/>
          <w:sz w:val="24"/>
          <w:szCs w:val="24"/>
          <w:highlight w:val="none"/>
          <w:lang w:eastAsia="zh-CN"/>
        </w:rPr>
        <w:t>本项目执行“兼投不兼中”的成交原则</w:t>
      </w:r>
      <w:r>
        <w:rPr>
          <w:rFonts w:hint="eastAsia" w:ascii="宋体" w:hAnsi="宋体" w:eastAsia="宋体" w:cs="宋体"/>
          <w:b/>
          <w:bCs/>
          <w:color w:val="auto"/>
          <w:sz w:val="24"/>
          <w:szCs w:val="24"/>
          <w:highlight w:val="none"/>
        </w:rPr>
        <w:t>，同一投标人仅可中标一个标包。</w:t>
      </w:r>
    </w:p>
    <w:p w14:paraId="5C5DEE6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Start w:id="30" w:name="_Hlk139827592"/>
      <w:r>
        <w:rPr>
          <w:rFonts w:hint="eastAsia" w:ascii="宋体" w:hAnsi="宋体" w:eastAsia="宋体" w:cs="宋体"/>
          <w:color w:val="auto"/>
          <w:sz w:val="24"/>
          <w:szCs w:val="24"/>
          <w:highlight w:val="none"/>
        </w:rPr>
        <w:t>合同履行期限：</w:t>
      </w:r>
      <w:bookmarkEnd w:id="30"/>
      <w:r>
        <w:rPr>
          <w:rFonts w:hint="eastAsia" w:ascii="宋体" w:hAnsi="宋体" w:eastAsia="宋体" w:cs="宋体"/>
          <w:color w:val="auto"/>
          <w:sz w:val="24"/>
          <w:szCs w:val="24"/>
          <w:highlight w:val="none"/>
        </w:rPr>
        <w:t>三年，合同一年一签。按《云南省财政厅关于政府采购服务项目合同履行期限相关事宜的通知》（云财采〔2015〕16号）和《云南省财政厅关于合同履行期限不超过三年政府采购服务项目相关事宜的补充通知》（云财采〔2016〕22号）有关规定，经考核合格，在保证服务质量，且年度预算能够保障的前提下，可续签第二、三年合同。</w:t>
      </w:r>
    </w:p>
    <w:p w14:paraId="2E106B6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7.质量标准：食品、食材质量合格，符合《中华人民共和国产品质量法》《中华人民共和国食品安全法》《中华人民共和国消费者权益保护法》《中华人民共和国计量法》等相关法律法规的要求。</w:t>
      </w:r>
    </w:p>
    <w:p w14:paraId="736C13EB">
      <w:pPr>
        <w:adjustRightInd w:val="0"/>
        <w:snapToGrid w:val="0"/>
        <w:spacing w:line="360" w:lineRule="auto"/>
        <w:ind w:firstLine="482" w:firstLineChars="200"/>
        <w:rPr>
          <w:rFonts w:hint="eastAsia" w:ascii="宋体" w:hAnsi="宋体" w:eastAsia="宋体" w:cs="宋体"/>
          <w:b/>
          <w:color w:val="auto"/>
          <w:sz w:val="24"/>
          <w:szCs w:val="24"/>
          <w:highlight w:val="none"/>
        </w:rPr>
      </w:pPr>
      <w:bookmarkStart w:id="31" w:name="_Toc357500914"/>
      <w:r>
        <w:rPr>
          <w:rFonts w:hint="eastAsia" w:ascii="宋体" w:hAnsi="宋体" w:eastAsia="宋体" w:cs="宋体"/>
          <w:b/>
          <w:color w:val="auto"/>
          <w:sz w:val="24"/>
          <w:szCs w:val="24"/>
          <w:highlight w:val="none"/>
        </w:rPr>
        <w:t>二、</w:t>
      </w:r>
      <w:bookmarkEnd w:id="31"/>
      <w:r>
        <w:rPr>
          <w:rFonts w:hint="eastAsia" w:ascii="宋体" w:hAnsi="宋体" w:eastAsia="宋体" w:cs="宋体"/>
          <w:b/>
          <w:color w:val="auto"/>
          <w:sz w:val="24"/>
          <w:szCs w:val="24"/>
          <w:highlight w:val="none"/>
        </w:rPr>
        <w:t>申请人的资格要求</w:t>
      </w:r>
    </w:p>
    <w:p w14:paraId="1AB8FB67">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32" w:name="_Toc357500925"/>
      <w:r>
        <w:rPr>
          <w:rFonts w:hint="eastAsia" w:ascii="宋体" w:hAnsi="宋体" w:eastAsia="宋体" w:cs="宋体"/>
          <w:color w:val="auto"/>
          <w:sz w:val="24"/>
          <w:szCs w:val="24"/>
          <w:highlight w:val="none"/>
        </w:rPr>
        <w:t>1.具备《中华人民共和国政府采购法》第二十二条规定的条件：</w:t>
      </w:r>
    </w:p>
    <w:p w14:paraId="5E15BCB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1.1投标人须具有独立承担民事责任的能力：投标人须在中华人民共和国境内注册，具备有效的营业执照或其他等效证明材料；</w:t>
      </w:r>
    </w:p>
    <w:p w14:paraId="2E9E6774">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1.2投标人自行承诺符合《中华人民共和国政府采购法》第二十二条规定及《中华人民共和国政府采购法实施条例》第十七条的相关要求（加盖公章）</w:t>
      </w:r>
      <w:r>
        <w:rPr>
          <w:rFonts w:hint="eastAsia" w:ascii="宋体" w:hAnsi="宋体" w:eastAsia="宋体" w:cs="宋体"/>
          <w:color w:val="auto"/>
          <w:sz w:val="24"/>
          <w:szCs w:val="24"/>
          <w:highlight w:val="none"/>
          <w:lang w:eastAsia="zh-CN"/>
        </w:rPr>
        <w:t>；</w:t>
      </w:r>
    </w:p>
    <w:p w14:paraId="746ABBE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参加政府采购活动前三年内，在经营活动中没有重大违法记录（重大违法记录，是指投标人因违法经营受到刑事处罚或者责令停产停业、吊销许可证或者执照、较大数额罚款等行政处罚）的书面声明（加盖公章）；</w:t>
      </w:r>
    </w:p>
    <w:p w14:paraId="2F05340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2.投标人自行承诺在“信用中国”网站(www.creditchina.gov.cn) 中未被列入：失信被执行人、重大税收违法失信主体名单、严重失信主体名单查询；在“中国政府采购网”(www.ccgp.gov.cn) 中未被列入：政府采购严重违法失信行为记录名单（加盖公章）。</w:t>
      </w:r>
    </w:p>
    <w:p w14:paraId="0FC1152F">
      <w:pPr>
        <w:adjustRightInd w:val="0"/>
        <w:snapToGrid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3.特定资格要求：投标人应具备有效的《食品生产许可证》或《食品经营许可证》。</w:t>
      </w:r>
    </w:p>
    <w:p w14:paraId="198ECA8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4"/>
          <w:highlight w:val="none"/>
        </w:rPr>
        <w:t>本项目不接受联合体投标。</w:t>
      </w:r>
    </w:p>
    <w:bookmarkEnd w:id="32"/>
    <w:p w14:paraId="45857AFE">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165D08D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bookmarkStart w:id="33" w:name="_Hlk167123831"/>
      <w:r>
        <w:rPr>
          <w:rFonts w:hint="eastAsia" w:ascii="宋体" w:hAnsi="宋体" w:eastAsia="宋体" w:cs="宋体"/>
          <w:b/>
          <w:color w:val="auto"/>
          <w:sz w:val="24"/>
          <w:szCs w:val="24"/>
          <w:highlight w:val="none"/>
        </w:rPr>
        <w:t>2026年</w:t>
      </w:r>
      <w:r>
        <w:rPr>
          <w:rFonts w:hint="eastAsia" w:ascii="宋体" w:hAnsi="宋体" w:eastAsia="宋体" w:cs="宋体"/>
          <w:b/>
          <w:color w:val="auto"/>
          <w:sz w:val="24"/>
          <w:szCs w:val="24"/>
          <w:highlight w:val="none"/>
          <w:lang w:eastAsia="zh-CN"/>
        </w:rPr>
        <w:t>03月</w:t>
      </w: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rPr>
        <w:t>日至2026年</w:t>
      </w:r>
      <w:r>
        <w:rPr>
          <w:rFonts w:hint="eastAsia" w:ascii="宋体" w:hAnsi="宋体" w:eastAsia="宋体" w:cs="宋体"/>
          <w:b/>
          <w:color w:val="auto"/>
          <w:sz w:val="24"/>
          <w:szCs w:val="24"/>
          <w:highlight w:val="none"/>
          <w:lang w:eastAsia="zh-CN"/>
        </w:rPr>
        <w:t>03月</w:t>
      </w:r>
      <w:r>
        <w:rPr>
          <w:rFonts w:hint="eastAsia" w:ascii="宋体" w:hAnsi="宋体" w:eastAsia="宋体" w:cs="宋体"/>
          <w:b/>
          <w:color w:val="auto"/>
          <w:sz w:val="24"/>
          <w:szCs w:val="24"/>
          <w:highlight w:val="none"/>
          <w:lang w:val="en-US" w:eastAsia="zh-CN"/>
        </w:rPr>
        <w:t>19</w:t>
      </w:r>
      <w:r>
        <w:rPr>
          <w:rFonts w:hint="eastAsia" w:ascii="宋体" w:hAnsi="宋体" w:eastAsia="宋体" w:cs="宋体"/>
          <w:b/>
          <w:color w:val="auto"/>
          <w:sz w:val="24"/>
          <w:szCs w:val="24"/>
          <w:highlight w:val="none"/>
        </w:rPr>
        <w:t>日23:59时</w:t>
      </w:r>
      <w:bookmarkEnd w:id="33"/>
      <w:r>
        <w:rPr>
          <w:rFonts w:hint="eastAsia" w:ascii="宋体" w:hAnsi="宋体" w:eastAsia="宋体" w:cs="宋体"/>
          <w:color w:val="auto"/>
          <w:sz w:val="24"/>
          <w:szCs w:val="24"/>
          <w:highlight w:val="none"/>
        </w:rPr>
        <w:t>。</w:t>
      </w:r>
    </w:p>
    <w:p w14:paraId="3DD3200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2.地点：政采云平台（https://www.zcygov.cn/）。</w:t>
      </w:r>
    </w:p>
    <w:p w14:paraId="79C83CA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3.方式：凡有意参加投标者，须在政采云平台办理数字证书（CA)，CA申领链接http://yzt.ynsmartcert.cn/cms/yztynzz.html，数字证书（CA）办理完成后需在政采云平台绑定数字证书(CA)并在平台获取采购文件及其它采购资料。</w:t>
      </w:r>
    </w:p>
    <w:p w14:paraId="1B0F0F0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各投标人应在开标前确保成为政采云平台投标人，并完成CA数字证书申领。因未注册入库，未办理CA数字证书等原因造成无法投标或投标失败等由投标人自行承担,有意参加投标的投标人，须在政采云平办理数字证书(CA)，CA申领链接:http://yzt.ynsmartcert.cn/cms/yztynzz.html。</w:t>
      </w:r>
    </w:p>
    <w:p w14:paraId="1EFB7A4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如有问题可拨打政采云客户服务热线95763进一步咨询，数字证书问题可咨询云南壹证通CA：400-004-0628（紧急可拨19988166369）。</w:t>
      </w:r>
    </w:p>
    <w:p w14:paraId="234E18EB">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4.招标文件售价：免费</w:t>
      </w:r>
      <w:r>
        <w:rPr>
          <w:rFonts w:hint="eastAsia" w:ascii="宋体" w:hAnsi="宋体" w:eastAsia="宋体" w:cs="宋体"/>
          <w:color w:val="auto"/>
          <w:sz w:val="24"/>
          <w:szCs w:val="24"/>
          <w:highlight w:val="none"/>
        </w:rPr>
        <w:t>。</w:t>
      </w:r>
    </w:p>
    <w:p w14:paraId="2BE24CDA">
      <w:pPr>
        <w:adjustRightInd w:val="0"/>
        <w:snapToGrid w:val="0"/>
        <w:spacing w:line="360" w:lineRule="auto"/>
        <w:ind w:firstLine="482" w:firstLineChars="200"/>
        <w:rPr>
          <w:rFonts w:hint="eastAsia" w:ascii="宋体" w:hAnsi="宋体" w:eastAsia="宋体" w:cs="宋体"/>
          <w:b/>
          <w:color w:val="auto"/>
          <w:sz w:val="24"/>
          <w:szCs w:val="24"/>
          <w:highlight w:val="none"/>
        </w:rPr>
      </w:pPr>
      <w:bookmarkStart w:id="34" w:name="_Toc357500934"/>
      <w:r>
        <w:rPr>
          <w:rFonts w:hint="eastAsia" w:ascii="宋体" w:hAnsi="宋体" w:eastAsia="宋体" w:cs="宋体"/>
          <w:b/>
          <w:color w:val="auto"/>
          <w:sz w:val="24"/>
          <w:szCs w:val="24"/>
          <w:highlight w:val="none"/>
        </w:rPr>
        <w:t>四、</w:t>
      </w:r>
      <w:bookmarkEnd w:id="34"/>
      <w:r>
        <w:rPr>
          <w:rFonts w:hint="eastAsia" w:ascii="宋体" w:hAnsi="宋体" w:eastAsia="宋体" w:cs="宋体"/>
          <w:b/>
          <w:color w:val="auto"/>
          <w:sz w:val="24"/>
          <w:szCs w:val="24"/>
          <w:highlight w:val="none"/>
        </w:rPr>
        <w:t>提交投标文件截止时间、开标时间和地点</w:t>
      </w:r>
    </w:p>
    <w:p w14:paraId="43D9673A">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35" w:name="_Hlk9279800"/>
      <w:r>
        <w:rPr>
          <w:rFonts w:hint="eastAsia" w:ascii="宋体" w:hAnsi="宋体" w:eastAsia="宋体" w:cs="宋体"/>
          <w:color w:val="auto"/>
          <w:sz w:val="24"/>
          <w:szCs w:val="24"/>
          <w:highlight w:val="none"/>
        </w:rPr>
        <w:t>1.投标文件递交截止时间：</w:t>
      </w:r>
      <w:bookmarkEnd w:id="35"/>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04</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02</w:t>
      </w:r>
      <w:r>
        <w:rPr>
          <w:rFonts w:hint="eastAsia" w:ascii="宋体" w:hAnsi="宋体" w:eastAsia="宋体" w:cs="宋体"/>
          <w:b/>
          <w:bCs/>
          <w:color w:val="auto"/>
          <w:sz w:val="24"/>
          <w:szCs w:val="24"/>
          <w:highlight w:val="none"/>
        </w:rPr>
        <w:t>日09:00时</w:t>
      </w:r>
      <w:r>
        <w:rPr>
          <w:rFonts w:hint="eastAsia" w:ascii="宋体" w:hAnsi="宋体" w:eastAsia="宋体" w:cs="宋体"/>
          <w:color w:val="auto"/>
          <w:sz w:val="24"/>
          <w:szCs w:val="24"/>
          <w:highlight w:val="none"/>
        </w:rPr>
        <w:t>（北京时间）</w:t>
      </w:r>
    </w:p>
    <w:p w14:paraId="3EDE95EC">
      <w:pPr>
        <w:adjustRightInd w:val="0"/>
        <w:snapToGrid w:val="0"/>
        <w:spacing w:line="360" w:lineRule="auto"/>
        <w:ind w:firstLine="480" w:firstLineChars="200"/>
        <w:rPr>
          <w:rFonts w:hint="eastAsia" w:ascii="宋体" w:hAnsi="宋体" w:eastAsia="宋体" w:cs="宋体"/>
          <w:bCs/>
          <w:color w:val="auto"/>
          <w:sz w:val="24"/>
          <w:szCs w:val="24"/>
          <w:highlight w:val="none"/>
        </w:rPr>
      </w:pPr>
      <w:bookmarkStart w:id="36" w:name="_Toc357500942"/>
      <w:r>
        <w:rPr>
          <w:rFonts w:hint="eastAsia" w:ascii="宋体" w:hAnsi="宋体" w:eastAsia="宋体" w:cs="宋体"/>
          <w:bCs/>
          <w:color w:val="auto"/>
          <w:sz w:val="24"/>
          <w:szCs w:val="24"/>
          <w:highlight w:val="none"/>
        </w:rPr>
        <w:t>2.投标文件递交网址为：</w:t>
      </w:r>
      <w:bookmarkStart w:id="37" w:name="_Hlk160697840"/>
      <w:r>
        <w:rPr>
          <w:rFonts w:hint="eastAsia" w:ascii="宋体" w:hAnsi="宋体" w:eastAsia="宋体" w:cs="宋体"/>
          <w:bCs/>
          <w:color w:val="auto"/>
          <w:sz w:val="24"/>
          <w:szCs w:val="24"/>
          <w:highlight w:val="none"/>
        </w:rPr>
        <w:t>政采云平台（http：//www.zcygov.cn）</w:t>
      </w:r>
      <w:bookmarkEnd w:id="37"/>
      <w:r>
        <w:rPr>
          <w:rFonts w:hint="eastAsia" w:ascii="宋体" w:hAnsi="宋体" w:eastAsia="宋体" w:cs="宋体"/>
          <w:bCs/>
          <w:color w:val="auto"/>
          <w:sz w:val="24"/>
          <w:szCs w:val="24"/>
          <w:highlight w:val="none"/>
        </w:rPr>
        <w:t>；</w:t>
      </w:r>
    </w:p>
    <w:bookmarkEnd w:id="36"/>
    <w:p w14:paraId="51D8A2CA">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五、发布媒介及公告期限</w:t>
      </w:r>
    </w:p>
    <w:p w14:paraId="09E7D228">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38" w:name="_Toc357500943"/>
      <w:r>
        <w:rPr>
          <w:rFonts w:hint="eastAsia" w:ascii="宋体" w:hAnsi="宋体" w:eastAsia="宋体" w:cs="宋体"/>
          <w:color w:val="auto"/>
          <w:sz w:val="24"/>
          <w:szCs w:val="24"/>
          <w:highlight w:val="none"/>
        </w:rPr>
        <w:t>1.本项目招标公告在云南省政府采购网（http://www.yngp.com/）发布，采购人及采购代理机构对其它网站或媒体转载的公告及公告内容不承担任何责任。</w:t>
      </w:r>
      <w:bookmarkEnd w:id="38"/>
    </w:p>
    <w:p w14:paraId="6B1AE86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2.本公告期限自本公告发布之日起5个工作日。</w:t>
      </w:r>
    </w:p>
    <w:p w14:paraId="1DA1CEDC">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7C2A4CA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1.投标文件上传</w:t>
      </w:r>
    </w:p>
    <w:p w14:paraId="22EBDBB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按照本项目采购文件和"政采云"平台的要求编制、加密后在投标文件提交截止时间前将投标文件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完成投标文件解密，则视为无效投标，不再进入评标阶段，解密时长为30分钟；投标人在"政采云"平台提交电子版投标文件时，请填写参加远程采购活动经办人联系方式。</w:t>
      </w:r>
    </w:p>
    <w:p w14:paraId="74EC5DF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注：任何因忽视或误解而导致投标文件未上传或已上传但未按规定的操作流程及时间要求进行解密的，由投标人自行负责。</w:t>
      </w:r>
    </w:p>
    <w:p w14:paraId="0CDBDBF4">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2.需要落实的政府采购政策</w:t>
      </w:r>
    </w:p>
    <w:p w14:paraId="61C4D06B">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的项目或者采购包，不再执行价格评审优惠的扶持政策。中标（成交）单位的中小企业声明函将随中标（成交）结果同时公告，接受社会监督。投标人提供的声明函内容不实的，属于提供虚假材料谋取中标、成交的，依照《中华人民共和国政府采购法》等国家有关规定追究相应责任。</w:t>
      </w:r>
    </w:p>
    <w:p w14:paraId="6FD8CF7C">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七、凡对本次采购提出询问，请按以下方式联系</w:t>
      </w:r>
    </w:p>
    <w:bookmarkEnd w:id="26"/>
    <w:p w14:paraId="3107375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2A41B8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称：澄江市机关幼儿园</w:t>
      </w:r>
    </w:p>
    <w:p w14:paraId="7BEDFB7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址：澄江市右所镇小西城338号</w:t>
      </w:r>
    </w:p>
    <w:p w14:paraId="4FA3C6A5">
      <w:pPr>
        <w:pStyle w:val="16"/>
        <w:adjustRightInd w:val="0"/>
        <w:snapToGrid w:val="0"/>
        <w:spacing w:after="0" w:line="360" w:lineRule="auto"/>
        <w:ind w:firstLine="480" w:firstLineChars="200"/>
        <w:rPr>
          <w:rFonts w:hint="eastAsia" w:eastAsia="宋体"/>
          <w:color w:val="auto"/>
          <w:highlight w:val="none"/>
        </w:rPr>
      </w:pPr>
      <w:r>
        <w:rPr>
          <w:rFonts w:hint="eastAsia" w:eastAsia="宋体"/>
          <w:color w:val="auto"/>
          <w:sz w:val="24"/>
          <w:szCs w:val="24"/>
          <w:highlight w:val="none"/>
        </w:rPr>
        <w:t>联系人：马斌、王清清、马艳坤、陈冬</w:t>
      </w:r>
    </w:p>
    <w:p w14:paraId="36D7B95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联系方式：0877-6911158</w:t>
      </w:r>
    </w:p>
    <w:p w14:paraId="0226C1F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4DA75D6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称：云南中诏项目管理有限公司</w:t>
      </w:r>
    </w:p>
    <w:p w14:paraId="5C8F5BF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地址：云南省玉溪市红塔区东风中路100号景明上居四楼（方源中医馆旁外部电梯四楼）</w:t>
      </w:r>
      <w:bookmarkStart w:id="182" w:name="_GoBack"/>
      <w:bookmarkEnd w:id="182"/>
    </w:p>
    <w:p w14:paraId="1B153B6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联系方式：0877-6168806/13608772096</w:t>
      </w:r>
    </w:p>
    <w:p w14:paraId="728DFBC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18E364E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项目联系人：王海涛、夏苋春、</w:t>
      </w:r>
      <w:r>
        <w:rPr>
          <w:rFonts w:hint="eastAsia" w:ascii="宋体" w:hAnsi="宋体" w:eastAsia="宋体" w:cs="宋体"/>
          <w:color w:val="auto"/>
          <w:sz w:val="24"/>
          <w:szCs w:val="24"/>
          <w:highlight w:val="none"/>
          <w:lang w:val="en-US" w:eastAsia="zh-CN"/>
        </w:rPr>
        <w:t>李悦、</w:t>
      </w:r>
      <w:r>
        <w:rPr>
          <w:rFonts w:hint="eastAsia" w:ascii="宋体" w:hAnsi="宋体" w:eastAsia="宋体" w:cs="宋体"/>
          <w:color w:val="auto"/>
          <w:sz w:val="24"/>
          <w:szCs w:val="24"/>
          <w:highlight w:val="none"/>
        </w:rPr>
        <w:t>张瑜、李艳菠、解瑾屹</w:t>
      </w:r>
    </w:p>
    <w:p w14:paraId="0639E04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电 话：0877-6168806/13608772096</w:t>
      </w:r>
    </w:p>
    <w:p w14:paraId="23EB278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eastAsia="zh-CN"/>
        </w:rPr>
        <w:t>03月</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日</w:t>
      </w:r>
      <w:bookmarkEnd w:id="17"/>
      <w:bookmarkEnd w:id="18"/>
    </w:p>
    <w:p w14:paraId="412AB078">
      <w:pPr>
        <w:widowControl/>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E95B283">
      <w:pPr>
        <w:pStyle w:val="2"/>
        <w:adjustRightInd w:val="0"/>
        <w:snapToGrid w:val="0"/>
        <w:spacing w:before="0" w:after="0" w:line="360" w:lineRule="auto"/>
        <w:jc w:val="center"/>
        <w:rPr>
          <w:rFonts w:hint="eastAsia" w:eastAsia="宋体"/>
          <w:color w:val="auto"/>
          <w:sz w:val="32"/>
          <w:szCs w:val="32"/>
          <w:highlight w:val="none"/>
        </w:rPr>
      </w:pPr>
      <w:bookmarkStart w:id="39" w:name="_Toc26307"/>
      <w:r>
        <w:rPr>
          <w:rFonts w:hint="eastAsia" w:eastAsia="宋体"/>
          <w:color w:val="auto"/>
          <w:sz w:val="32"/>
          <w:szCs w:val="32"/>
          <w:highlight w:val="none"/>
        </w:rPr>
        <w:t>第二章  投标须知及投标须知前附表</w:t>
      </w:r>
      <w:bookmarkEnd w:id="19"/>
      <w:bookmarkEnd w:id="20"/>
      <w:bookmarkEnd w:id="39"/>
    </w:p>
    <w:p w14:paraId="5A420C56">
      <w:pPr>
        <w:pStyle w:val="3"/>
        <w:keepNext w:val="0"/>
        <w:keepLines w:val="0"/>
        <w:adjustRightInd w:val="0"/>
        <w:snapToGrid w:val="0"/>
        <w:spacing w:before="0" w:after="0" w:line="360" w:lineRule="auto"/>
        <w:rPr>
          <w:rFonts w:hint="eastAsia" w:ascii="宋体" w:hAnsi="宋体" w:eastAsia="宋体"/>
          <w:color w:val="auto"/>
          <w:highlight w:val="none"/>
        </w:rPr>
      </w:pPr>
      <w:bookmarkStart w:id="40" w:name="_Toc218692266"/>
      <w:bookmarkStart w:id="41" w:name="_Toc5297"/>
      <w:r>
        <w:rPr>
          <w:rFonts w:hint="eastAsia" w:ascii="宋体" w:hAnsi="宋体" w:eastAsia="宋体"/>
          <w:color w:val="auto"/>
          <w:highlight w:val="none"/>
        </w:rPr>
        <w:t>投标须知前附表</w:t>
      </w:r>
      <w:bookmarkEnd w:id="40"/>
      <w:bookmarkEnd w:id="41"/>
    </w:p>
    <w:bookmarkEnd w:id="21"/>
    <w:bookmarkEnd w:id="22"/>
    <w:bookmarkEnd w:id="23"/>
    <w:bookmarkEnd w:id="24"/>
    <w:bookmarkEnd w:id="25"/>
    <w:tbl>
      <w:tblPr>
        <w:tblStyle w:val="43"/>
        <w:tblW w:w="97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3"/>
        <w:gridCol w:w="1503"/>
        <w:gridCol w:w="7566"/>
      </w:tblGrid>
      <w:tr w14:paraId="7778E0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blHeader/>
          <w:jc w:val="center"/>
        </w:trPr>
        <w:tc>
          <w:tcPr>
            <w:tcW w:w="653" w:type="dxa"/>
            <w:tcBorders>
              <w:top w:val="single" w:color="auto" w:sz="4" w:space="0"/>
              <w:left w:val="single" w:color="auto" w:sz="4" w:space="0"/>
              <w:bottom w:val="single" w:color="auto" w:sz="4" w:space="0"/>
              <w:right w:val="single" w:color="auto" w:sz="4" w:space="0"/>
            </w:tcBorders>
            <w:vAlign w:val="center"/>
          </w:tcPr>
          <w:p w14:paraId="74135A1F">
            <w:pPr>
              <w:adjustRightInd w:val="0"/>
              <w:snapToGrid w:val="0"/>
              <w:spacing w:before="120"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503" w:type="dxa"/>
            <w:tcBorders>
              <w:top w:val="single" w:color="auto" w:sz="4" w:space="0"/>
              <w:left w:val="single" w:color="auto" w:sz="4" w:space="0"/>
              <w:bottom w:val="single" w:color="auto" w:sz="4" w:space="0"/>
              <w:right w:val="single" w:color="auto" w:sz="4" w:space="0"/>
            </w:tcBorders>
            <w:vAlign w:val="center"/>
          </w:tcPr>
          <w:p w14:paraId="3134A2A5">
            <w:pPr>
              <w:adjustRightInd w:val="0"/>
              <w:snapToGrid w:val="0"/>
              <w:spacing w:before="120" w:beforeLines="5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    容</w:t>
            </w:r>
          </w:p>
        </w:tc>
        <w:tc>
          <w:tcPr>
            <w:tcW w:w="7566" w:type="dxa"/>
            <w:tcBorders>
              <w:top w:val="single" w:color="auto" w:sz="4" w:space="0"/>
              <w:left w:val="single" w:color="auto" w:sz="4" w:space="0"/>
              <w:bottom w:val="single" w:color="auto" w:sz="4" w:space="0"/>
              <w:right w:val="single" w:color="auto" w:sz="4" w:space="0"/>
            </w:tcBorders>
            <w:vAlign w:val="center"/>
          </w:tcPr>
          <w:p w14:paraId="6BBFDC0C">
            <w:pPr>
              <w:tabs>
                <w:tab w:val="left" w:pos="1180"/>
              </w:tabs>
              <w:adjustRightInd w:val="0"/>
              <w:snapToGrid w:val="0"/>
              <w:spacing w:before="120"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说明与要求</w:t>
            </w:r>
          </w:p>
        </w:tc>
      </w:tr>
      <w:tr w14:paraId="315779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445AE2B6">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p>
        </w:tc>
        <w:tc>
          <w:tcPr>
            <w:tcW w:w="1503" w:type="dxa"/>
            <w:tcBorders>
              <w:top w:val="single" w:color="auto" w:sz="4" w:space="0"/>
              <w:left w:val="single" w:color="auto" w:sz="4" w:space="0"/>
              <w:bottom w:val="single" w:color="auto" w:sz="4" w:space="0"/>
              <w:right w:val="single" w:color="auto" w:sz="4" w:space="0"/>
            </w:tcBorders>
            <w:vAlign w:val="center"/>
          </w:tcPr>
          <w:p w14:paraId="4631D41C">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项目名称</w:t>
            </w:r>
          </w:p>
        </w:tc>
        <w:tc>
          <w:tcPr>
            <w:tcW w:w="7566" w:type="dxa"/>
            <w:tcBorders>
              <w:top w:val="single" w:color="auto" w:sz="4" w:space="0"/>
              <w:left w:val="single" w:color="auto" w:sz="4" w:space="0"/>
              <w:bottom w:val="single" w:color="auto" w:sz="4" w:space="0"/>
              <w:right w:val="single" w:color="auto" w:sz="4" w:space="0"/>
            </w:tcBorders>
            <w:vAlign w:val="center"/>
          </w:tcPr>
          <w:p w14:paraId="44937E58">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澄江市机关幼儿园食堂食材配送服务采购项目</w:t>
            </w:r>
          </w:p>
        </w:tc>
      </w:tr>
      <w:tr w14:paraId="2DC05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15C34B2E">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p>
        </w:tc>
        <w:tc>
          <w:tcPr>
            <w:tcW w:w="1503" w:type="dxa"/>
            <w:tcBorders>
              <w:top w:val="single" w:color="auto" w:sz="4" w:space="0"/>
              <w:left w:val="single" w:color="auto" w:sz="4" w:space="0"/>
              <w:bottom w:val="single" w:color="auto" w:sz="4" w:space="0"/>
              <w:right w:val="single" w:color="auto" w:sz="4" w:space="0"/>
            </w:tcBorders>
            <w:vAlign w:val="center"/>
          </w:tcPr>
          <w:p w14:paraId="60FF2152">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采购人及采购代理机构</w:t>
            </w:r>
          </w:p>
        </w:tc>
        <w:tc>
          <w:tcPr>
            <w:tcW w:w="7566" w:type="dxa"/>
            <w:tcBorders>
              <w:top w:val="single" w:color="auto" w:sz="4" w:space="0"/>
              <w:left w:val="single" w:color="auto" w:sz="4" w:space="0"/>
              <w:bottom w:val="single" w:color="auto" w:sz="4" w:space="0"/>
              <w:right w:val="single" w:color="auto" w:sz="4" w:space="0"/>
            </w:tcBorders>
            <w:vAlign w:val="center"/>
          </w:tcPr>
          <w:p w14:paraId="26E1304E">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采购人：澄江市机关幼儿园</w:t>
            </w:r>
          </w:p>
          <w:p w14:paraId="64A7A428">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采购代理机构：云南中诏项目管理有限公司</w:t>
            </w:r>
          </w:p>
        </w:tc>
      </w:tr>
      <w:tr w14:paraId="0EDCF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F608696">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p>
        </w:tc>
        <w:tc>
          <w:tcPr>
            <w:tcW w:w="1503" w:type="dxa"/>
            <w:tcBorders>
              <w:top w:val="single" w:color="auto" w:sz="4" w:space="0"/>
              <w:left w:val="single" w:color="auto" w:sz="4" w:space="0"/>
              <w:bottom w:val="single" w:color="auto" w:sz="4" w:space="0"/>
              <w:right w:val="single" w:color="auto" w:sz="4" w:space="0"/>
            </w:tcBorders>
            <w:vAlign w:val="center"/>
          </w:tcPr>
          <w:p w14:paraId="16903587">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采购需求</w:t>
            </w:r>
          </w:p>
        </w:tc>
        <w:tc>
          <w:tcPr>
            <w:tcW w:w="7566" w:type="dxa"/>
            <w:tcBorders>
              <w:top w:val="single" w:color="auto" w:sz="4" w:space="0"/>
              <w:left w:val="single" w:color="auto" w:sz="4" w:space="0"/>
              <w:bottom w:val="single" w:color="auto" w:sz="4" w:space="0"/>
              <w:right w:val="single" w:color="auto" w:sz="4" w:space="0"/>
            </w:tcBorders>
            <w:vAlign w:val="center"/>
          </w:tcPr>
          <w:p w14:paraId="02D3B7B0">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澄江市机关幼儿园食堂食材配送服务采购项目，共分为两个片区，第一片区：澄江市机关幼儿园、澄江市机关幼儿园（立昌园区）、澄江市九村中心幼儿园。第二片区：澄江市凤麓中心幼儿园、澄江市右所中心幼儿园、澄江市海口中心幼儿园、玉溪市江川区路居镇中心幼儿园的食品、食材供应配送，供货数量根据采购人实际需求供货。</w:t>
            </w:r>
          </w:p>
        </w:tc>
      </w:tr>
      <w:tr w14:paraId="279E5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EA23077">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p>
        </w:tc>
        <w:tc>
          <w:tcPr>
            <w:tcW w:w="1503" w:type="dxa"/>
            <w:tcBorders>
              <w:top w:val="single" w:color="auto" w:sz="4" w:space="0"/>
              <w:left w:val="single" w:color="auto" w:sz="4" w:space="0"/>
              <w:bottom w:val="single" w:color="auto" w:sz="4" w:space="0"/>
              <w:right w:val="single" w:color="auto" w:sz="4" w:space="0"/>
            </w:tcBorders>
            <w:vAlign w:val="center"/>
          </w:tcPr>
          <w:p w14:paraId="7451ACA5">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是否允许进口产品投标</w:t>
            </w:r>
          </w:p>
        </w:tc>
        <w:tc>
          <w:tcPr>
            <w:tcW w:w="7566" w:type="dxa"/>
            <w:tcBorders>
              <w:top w:val="single" w:color="auto" w:sz="4" w:space="0"/>
              <w:left w:val="single" w:color="auto" w:sz="4" w:space="0"/>
              <w:bottom w:val="single" w:color="auto" w:sz="4" w:space="0"/>
              <w:right w:val="single" w:color="auto" w:sz="4" w:space="0"/>
            </w:tcBorders>
            <w:vAlign w:val="center"/>
          </w:tcPr>
          <w:p w14:paraId="5E02A42D">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□是，</w:t>
            </w:r>
            <w:r>
              <w:rPr>
                <w:rFonts w:hint="eastAsia" w:ascii="宋体" w:hAnsi="宋体" w:eastAsia="宋体"/>
                <w:b/>
                <w:bCs/>
                <w:color w:val="auto"/>
                <w:sz w:val="21"/>
                <w:szCs w:val="21"/>
                <w:highlight w:val="none"/>
              </w:rPr>
              <w:sym w:font="Wingdings 2" w:char="F052"/>
            </w:r>
            <w:r>
              <w:rPr>
                <w:rFonts w:hint="eastAsia" w:ascii="宋体" w:hAnsi="宋体" w:eastAsia="宋体"/>
                <w:b/>
                <w:bCs/>
                <w:color w:val="auto"/>
                <w:sz w:val="21"/>
                <w:szCs w:val="21"/>
                <w:highlight w:val="none"/>
              </w:rPr>
              <w:t>否</w:t>
            </w:r>
          </w:p>
        </w:tc>
      </w:tr>
      <w:tr w14:paraId="1683B0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04558AC0">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w:t>
            </w:r>
          </w:p>
        </w:tc>
        <w:tc>
          <w:tcPr>
            <w:tcW w:w="1503" w:type="dxa"/>
            <w:tcBorders>
              <w:top w:val="single" w:color="auto" w:sz="4" w:space="0"/>
              <w:left w:val="single" w:color="auto" w:sz="4" w:space="0"/>
              <w:bottom w:val="single" w:color="auto" w:sz="4" w:space="0"/>
              <w:right w:val="single" w:color="auto" w:sz="4" w:space="0"/>
            </w:tcBorders>
            <w:vAlign w:val="center"/>
          </w:tcPr>
          <w:p w14:paraId="515F3042">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合同履行期限</w:t>
            </w:r>
          </w:p>
        </w:tc>
        <w:tc>
          <w:tcPr>
            <w:tcW w:w="7566" w:type="dxa"/>
            <w:tcBorders>
              <w:top w:val="single" w:color="auto" w:sz="4" w:space="0"/>
              <w:left w:val="single" w:color="auto" w:sz="4" w:space="0"/>
              <w:bottom w:val="single" w:color="auto" w:sz="4" w:space="0"/>
              <w:right w:val="single" w:color="auto" w:sz="4" w:space="0"/>
            </w:tcBorders>
            <w:vAlign w:val="center"/>
          </w:tcPr>
          <w:p w14:paraId="475113A5">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三年，合同一年一签。按《云南省财政厅关于政府采购服务项目合同履行期限相关事宜的通知》（云财采〔2015〕16号）和《云南省财政厅关于合同履行期限不超过三年政府采购服务项目相关事宜的补充通知》（云财采〔2016〕22号）有关规定，经考核合格，在保证服务质量，且年度预算能够保障的前提下，可续签第二、三年合同。</w:t>
            </w:r>
          </w:p>
        </w:tc>
      </w:tr>
      <w:tr w14:paraId="0B277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20E4F08">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w:t>
            </w:r>
          </w:p>
        </w:tc>
        <w:tc>
          <w:tcPr>
            <w:tcW w:w="1503" w:type="dxa"/>
            <w:tcBorders>
              <w:top w:val="single" w:color="auto" w:sz="4" w:space="0"/>
              <w:left w:val="single" w:color="auto" w:sz="4" w:space="0"/>
              <w:bottom w:val="single" w:color="auto" w:sz="4" w:space="0"/>
              <w:right w:val="single" w:color="auto" w:sz="4" w:space="0"/>
            </w:tcBorders>
            <w:vAlign w:val="center"/>
          </w:tcPr>
          <w:p w14:paraId="0191D3D2">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项目实施地点</w:t>
            </w:r>
          </w:p>
        </w:tc>
        <w:tc>
          <w:tcPr>
            <w:tcW w:w="7566" w:type="dxa"/>
            <w:tcBorders>
              <w:top w:val="single" w:color="auto" w:sz="4" w:space="0"/>
              <w:left w:val="single" w:color="auto" w:sz="4" w:space="0"/>
              <w:bottom w:val="single" w:color="auto" w:sz="4" w:space="0"/>
              <w:right w:val="single" w:color="auto" w:sz="4" w:space="0"/>
            </w:tcBorders>
            <w:vAlign w:val="center"/>
          </w:tcPr>
          <w:p w14:paraId="2F997244">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采购人指定地点</w:t>
            </w:r>
          </w:p>
        </w:tc>
      </w:tr>
      <w:tr w14:paraId="2F018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1864620E">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bookmarkStart w:id="42" w:name="_Hlk139827613"/>
            <w:r>
              <w:rPr>
                <w:rFonts w:hint="eastAsia" w:ascii="宋体" w:hAnsi="宋体" w:eastAsia="宋体"/>
                <w:color w:val="auto"/>
                <w:sz w:val="21"/>
                <w:szCs w:val="21"/>
                <w:highlight w:val="none"/>
              </w:rPr>
              <w:t>7</w:t>
            </w:r>
          </w:p>
        </w:tc>
        <w:tc>
          <w:tcPr>
            <w:tcW w:w="1503" w:type="dxa"/>
            <w:tcBorders>
              <w:top w:val="single" w:color="auto" w:sz="4" w:space="0"/>
              <w:left w:val="single" w:color="auto" w:sz="4" w:space="0"/>
              <w:bottom w:val="single" w:color="auto" w:sz="4" w:space="0"/>
              <w:right w:val="single" w:color="auto" w:sz="4" w:space="0"/>
            </w:tcBorders>
            <w:vAlign w:val="center"/>
          </w:tcPr>
          <w:p w14:paraId="47B7CD3E">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质量标准</w:t>
            </w:r>
          </w:p>
        </w:tc>
        <w:tc>
          <w:tcPr>
            <w:tcW w:w="7566" w:type="dxa"/>
            <w:tcBorders>
              <w:top w:val="single" w:color="auto" w:sz="4" w:space="0"/>
              <w:left w:val="single" w:color="auto" w:sz="4" w:space="0"/>
              <w:bottom w:val="single" w:color="auto" w:sz="4" w:space="0"/>
              <w:right w:val="single" w:color="auto" w:sz="4" w:space="0"/>
            </w:tcBorders>
            <w:vAlign w:val="center"/>
          </w:tcPr>
          <w:p w14:paraId="11261BC2">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食品、食材质量合格，符合《中华人民共和国产品质量法》《中华人民共和国食品安全法》《中华人民共和国消费者权益保护法》《中华人民共和国计量法》等相关法律法规的要求。</w:t>
            </w:r>
          </w:p>
        </w:tc>
      </w:tr>
      <w:bookmarkEnd w:id="42"/>
      <w:tr w14:paraId="2AA0B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89C0FE8">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w:t>
            </w:r>
          </w:p>
        </w:tc>
        <w:tc>
          <w:tcPr>
            <w:tcW w:w="1503" w:type="dxa"/>
            <w:tcBorders>
              <w:top w:val="single" w:color="auto" w:sz="4" w:space="0"/>
              <w:left w:val="single" w:color="auto" w:sz="4" w:space="0"/>
              <w:bottom w:val="single" w:color="auto" w:sz="4" w:space="0"/>
              <w:right w:val="single" w:color="auto" w:sz="4" w:space="0"/>
            </w:tcBorders>
            <w:vAlign w:val="center"/>
          </w:tcPr>
          <w:p w14:paraId="6BABF99B">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报价方式</w:t>
            </w:r>
          </w:p>
        </w:tc>
        <w:tc>
          <w:tcPr>
            <w:tcW w:w="7566" w:type="dxa"/>
            <w:tcBorders>
              <w:top w:val="single" w:color="auto" w:sz="4" w:space="0"/>
              <w:left w:val="single" w:color="auto" w:sz="4" w:space="0"/>
              <w:bottom w:val="single" w:color="auto" w:sz="4" w:space="0"/>
              <w:right w:val="single" w:color="auto" w:sz="4" w:space="0"/>
            </w:tcBorders>
            <w:vAlign w:val="center"/>
          </w:tcPr>
          <w:p w14:paraId="21A0DB62">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①报价采用按实际市场平均价优惠下浮报价，所有食品、食材报价的下浮比例只允许唯一报价；参与投标的企业须在标书中明确</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供给学校的各种食品食材价格的优惠下浮比例。</w:t>
            </w:r>
          </w:p>
          <w:p w14:paraId="2103DF7E">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②实际市场平均价：</w:t>
            </w:r>
            <w:r>
              <w:rPr>
                <w:rFonts w:hint="eastAsia" w:ascii="宋体" w:hAnsi="宋体" w:eastAsia="宋体"/>
                <w:b/>
                <w:bCs/>
                <w:color w:val="auto"/>
                <w:sz w:val="21"/>
                <w:szCs w:val="21"/>
                <w:highlight w:val="none"/>
                <w:lang w:eastAsia="zh-CN"/>
              </w:rPr>
              <w:t>大米、食用油、面粉、面条、奶制品、米线（含卷粉、饵丝等）、烘焙糕点、干菜调料、干果、糖果类、预包装食品等价格波动不大的食材一学年询价一次，肉类（含猪、牛、羊、禽、水产品等）、蔬菜（含豆制品类）、水果等价格波动大的食材每月询价一次。</w:t>
            </w:r>
            <w:r>
              <w:rPr>
                <w:rFonts w:hint="eastAsia" w:ascii="宋体" w:hAnsi="宋体" w:eastAsia="宋体"/>
                <w:b/>
                <w:bCs/>
                <w:color w:val="auto"/>
                <w:sz w:val="21"/>
                <w:szCs w:val="21"/>
                <w:highlight w:val="none"/>
              </w:rPr>
              <w:t>由学校、膳食监督委员会家委</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lang w:val="en-US" w:eastAsia="zh-CN"/>
              </w:rPr>
              <w:t>中标供应商</w:t>
            </w:r>
            <w:r>
              <w:rPr>
                <w:rFonts w:hint="eastAsia" w:ascii="宋体" w:hAnsi="宋体" w:eastAsia="宋体"/>
                <w:b/>
                <w:bCs/>
                <w:color w:val="auto"/>
                <w:sz w:val="21"/>
                <w:szCs w:val="21"/>
                <w:highlight w:val="none"/>
              </w:rPr>
              <w:t>等相关部门组成询价小组每月到澄江市辖区内市场或商铺不少于三家的均值及市场询价后定价。</w:t>
            </w:r>
          </w:p>
        </w:tc>
      </w:tr>
      <w:tr w14:paraId="7C806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186C722F">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w:t>
            </w:r>
          </w:p>
        </w:tc>
        <w:tc>
          <w:tcPr>
            <w:tcW w:w="1503" w:type="dxa"/>
            <w:tcBorders>
              <w:top w:val="single" w:color="auto" w:sz="4" w:space="0"/>
              <w:left w:val="single" w:color="auto" w:sz="4" w:space="0"/>
              <w:bottom w:val="single" w:color="auto" w:sz="4" w:space="0"/>
              <w:right w:val="single" w:color="auto" w:sz="4" w:space="0"/>
            </w:tcBorders>
            <w:vAlign w:val="center"/>
          </w:tcPr>
          <w:p w14:paraId="584C50B5">
            <w:pPr>
              <w:pStyle w:val="117"/>
              <w:adjustRightInd w:val="0"/>
              <w:spacing w:before="120" w:beforeLines="50" w:afterLines="0" w:line="360" w:lineRule="auto"/>
              <w:ind w:firstLine="0" w:firstLineChars="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结算方式</w:t>
            </w:r>
          </w:p>
        </w:tc>
        <w:tc>
          <w:tcPr>
            <w:tcW w:w="7566" w:type="dxa"/>
            <w:tcBorders>
              <w:top w:val="single" w:color="auto" w:sz="4" w:space="0"/>
              <w:left w:val="single" w:color="auto" w:sz="4" w:space="0"/>
              <w:bottom w:val="single" w:color="auto" w:sz="4" w:space="0"/>
              <w:right w:val="single" w:color="auto" w:sz="4" w:space="0"/>
            </w:tcBorders>
            <w:vAlign w:val="center"/>
          </w:tcPr>
          <w:p w14:paraId="21CEAABD">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①结算方式：</w:t>
            </w:r>
          </w:p>
          <w:p w14:paraId="5393730C">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结算金额=配送价*实际采购数量；</w:t>
            </w:r>
          </w:p>
          <w:p w14:paraId="45F1CAB8">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②按实际供应数量按月结算。投标人须按要求提供税务发票，费用包含税费、运输等费用已包含在报价中，采购人不再另行支付。</w:t>
            </w:r>
          </w:p>
          <w:p w14:paraId="195B1E2A">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③若双方合作过程中，投标人有违约行为，采购人有权直接从其结算款中扣除违约金和赔偿金。</w:t>
            </w:r>
          </w:p>
          <w:p w14:paraId="2DA47134">
            <w:pPr>
              <w:pStyle w:val="117"/>
              <w:adjustRightInd w:val="0"/>
              <w:spacing w:before="120" w:beforeLines="50" w:afterLines="0" w:line="360" w:lineRule="auto"/>
              <w:ind w:firstLine="0" w:firstLineChars="0"/>
              <w:jc w:val="lef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④甲乙双方需在每月25日前完成本月配送数量及金额的核对工作。</w:t>
            </w:r>
          </w:p>
          <w:p w14:paraId="04E8196C">
            <w:pPr>
              <w:pStyle w:val="117"/>
              <w:adjustRightInd w:val="0"/>
              <w:spacing w:before="120" w:beforeLines="50" w:afterLines="0" w:line="360" w:lineRule="auto"/>
              <w:ind w:firstLine="0" w:firstLineChars="0"/>
              <w:jc w:val="left"/>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⑤乙方需在每月28日开具符合甲方财务要求的增值税发票，甲方自收到发票之日起3个工作日内支付当月货款。</w:t>
            </w:r>
          </w:p>
        </w:tc>
      </w:tr>
      <w:tr w14:paraId="621749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29BD115">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w:t>
            </w:r>
          </w:p>
        </w:tc>
        <w:tc>
          <w:tcPr>
            <w:tcW w:w="1503" w:type="dxa"/>
            <w:tcBorders>
              <w:top w:val="single" w:color="auto" w:sz="4" w:space="0"/>
              <w:left w:val="single" w:color="auto" w:sz="4" w:space="0"/>
              <w:bottom w:val="single" w:color="auto" w:sz="4" w:space="0"/>
              <w:right w:val="single" w:color="auto" w:sz="4" w:space="0"/>
            </w:tcBorders>
            <w:vAlign w:val="center"/>
          </w:tcPr>
          <w:p w14:paraId="2613308F">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资金情况</w:t>
            </w:r>
          </w:p>
        </w:tc>
        <w:tc>
          <w:tcPr>
            <w:tcW w:w="7566" w:type="dxa"/>
            <w:tcBorders>
              <w:top w:val="single" w:color="auto" w:sz="4" w:space="0"/>
              <w:left w:val="single" w:color="auto" w:sz="4" w:space="0"/>
              <w:bottom w:val="single" w:color="auto" w:sz="4" w:space="0"/>
              <w:right w:val="single" w:color="auto" w:sz="4" w:space="0"/>
            </w:tcBorders>
            <w:vAlign w:val="center"/>
          </w:tcPr>
          <w:p w14:paraId="78E117AB">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已落实</w:t>
            </w:r>
          </w:p>
        </w:tc>
      </w:tr>
      <w:tr w14:paraId="2F5927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3249B50F">
            <w:pPr>
              <w:pStyle w:val="117"/>
              <w:adjustRightInd w:val="0"/>
              <w:spacing w:before="120" w:beforeLines="50" w:afterLines="0"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w:t>
            </w:r>
          </w:p>
        </w:tc>
        <w:tc>
          <w:tcPr>
            <w:tcW w:w="1503" w:type="dxa"/>
            <w:tcBorders>
              <w:top w:val="single" w:color="auto" w:sz="4" w:space="0"/>
              <w:left w:val="single" w:color="auto" w:sz="4" w:space="0"/>
              <w:bottom w:val="single" w:color="auto" w:sz="4" w:space="0"/>
              <w:right w:val="single" w:color="auto" w:sz="4" w:space="0"/>
            </w:tcBorders>
            <w:vAlign w:val="center"/>
          </w:tcPr>
          <w:p w14:paraId="01FF51A0">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申请人的资格要求</w:t>
            </w:r>
          </w:p>
        </w:tc>
        <w:tc>
          <w:tcPr>
            <w:tcW w:w="7566" w:type="dxa"/>
            <w:tcBorders>
              <w:top w:val="single" w:color="auto" w:sz="4" w:space="0"/>
              <w:left w:val="single" w:color="auto" w:sz="4" w:space="0"/>
              <w:bottom w:val="single" w:color="auto" w:sz="4" w:space="0"/>
              <w:right w:val="single" w:color="auto" w:sz="4" w:space="0"/>
            </w:tcBorders>
            <w:vAlign w:val="center"/>
          </w:tcPr>
          <w:p w14:paraId="66B4E2FA">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1.具备《中华人民共和国政府采购法》第二十二条规定的条件：</w:t>
            </w:r>
          </w:p>
          <w:p w14:paraId="1A6F1AD6">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1.1投标人须具有独立承担民事责任的能力：投标人须在中华人民共和国境内注册，具备有效的营业执照或其他等效证明材料；</w:t>
            </w:r>
          </w:p>
          <w:p w14:paraId="75039553">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1.2投标人自行承诺符合《中华人民共和国政府采购法》第二十二条规定及《中华人民共和国政府采购法实施条例》第十七条的相关要求（加盖公章）</w:t>
            </w:r>
          </w:p>
          <w:p w14:paraId="0CB1B333">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投标人参加政府采购活动前三年内，在经营活动中没有重大违法记录（重大违法记录，是指投标人因违法经营受到刑事处罚或者责令停产停业、吊销许可证或者执照、较大数额罚款等行政处罚）的书面声明（加盖公章）；</w:t>
            </w:r>
          </w:p>
          <w:p w14:paraId="2FD78525">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2.投标人自行承诺在“信用中国”网站(www.creditchina.gov.cn) 中未被列入：失信被执行人、重大税收违法失信主体名单、严重失信主体名单查询；在“中国政府采购网”(www.ccgp.gov.cn) 中未被列入：政府采购严重违法失信行为记录名单（加盖公章）。</w:t>
            </w:r>
          </w:p>
          <w:p w14:paraId="56F67520">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3.特定资格要求：投标人应具备有效的《食品生产许可证》或《食品经营许可证》。</w:t>
            </w:r>
          </w:p>
          <w:p w14:paraId="2F0AA534">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4.本项目不接受联合体投标。</w:t>
            </w:r>
          </w:p>
        </w:tc>
      </w:tr>
      <w:tr w14:paraId="7BF647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6EC7B79B">
            <w:pPr>
              <w:adjustRightInd w:val="0"/>
              <w:snapToGrid w:val="0"/>
              <w:spacing w:before="120" w:beforeLines="50" w:line="360" w:lineRule="auto"/>
              <w:jc w:val="left"/>
              <w:rPr>
                <w:rFonts w:hint="eastAsia" w:ascii="宋体" w:hAnsi="宋体" w:eastAsia="宋体" w:cs="宋体"/>
                <w:color w:val="auto"/>
                <w:szCs w:val="21"/>
                <w:highlight w:val="none"/>
              </w:rPr>
            </w:pPr>
            <w:bookmarkStart w:id="43" w:name="_Toc357158879"/>
            <w:bookmarkStart w:id="44" w:name="_Toc357500951"/>
            <w:bookmarkStart w:id="45" w:name="_Toc217728571"/>
            <w:bookmarkStart w:id="46" w:name="_Toc234057359"/>
            <w:r>
              <w:rPr>
                <w:rFonts w:hint="eastAsia" w:ascii="宋体" w:hAnsi="宋体" w:eastAsia="宋体" w:cs="宋体"/>
                <w:color w:val="auto"/>
                <w:szCs w:val="21"/>
                <w:highlight w:val="none"/>
              </w:rPr>
              <w:t>12</w:t>
            </w:r>
          </w:p>
        </w:tc>
        <w:tc>
          <w:tcPr>
            <w:tcW w:w="1503" w:type="dxa"/>
            <w:tcBorders>
              <w:top w:val="single" w:color="auto" w:sz="4" w:space="0"/>
              <w:left w:val="single" w:color="auto" w:sz="4" w:space="0"/>
              <w:bottom w:val="single" w:color="auto" w:sz="4" w:space="0"/>
              <w:right w:val="single" w:color="auto" w:sz="4" w:space="0"/>
            </w:tcBorders>
            <w:vAlign w:val="center"/>
          </w:tcPr>
          <w:p w14:paraId="7AB3D223">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资格审查方式</w:t>
            </w:r>
          </w:p>
        </w:tc>
        <w:tc>
          <w:tcPr>
            <w:tcW w:w="7566" w:type="dxa"/>
            <w:tcBorders>
              <w:top w:val="single" w:color="auto" w:sz="4" w:space="0"/>
              <w:left w:val="single" w:color="auto" w:sz="4" w:space="0"/>
              <w:bottom w:val="single" w:color="auto" w:sz="4" w:space="0"/>
              <w:right w:val="single" w:color="auto" w:sz="4" w:space="0"/>
            </w:tcBorders>
            <w:vAlign w:val="center"/>
          </w:tcPr>
          <w:p w14:paraId="3DD5110C">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资格后审</w:t>
            </w:r>
          </w:p>
        </w:tc>
      </w:tr>
      <w:tr w14:paraId="43C56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0EA8DBA7">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503" w:type="dxa"/>
            <w:tcBorders>
              <w:top w:val="single" w:color="auto" w:sz="4" w:space="0"/>
              <w:left w:val="single" w:color="auto" w:sz="4" w:space="0"/>
              <w:bottom w:val="single" w:color="auto" w:sz="4" w:space="0"/>
              <w:right w:val="single" w:color="auto" w:sz="4" w:space="0"/>
            </w:tcBorders>
            <w:vAlign w:val="center"/>
          </w:tcPr>
          <w:p w14:paraId="6D6E30F3">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对招标文件提出疑问或异议的截止时间及方式</w:t>
            </w:r>
          </w:p>
        </w:tc>
        <w:tc>
          <w:tcPr>
            <w:tcW w:w="7566" w:type="dxa"/>
            <w:tcBorders>
              <w:top w:val="single" w:color="auto" w:sz="4" w:space="0"/>
              <w:left w:val="single" w:color="auto" w:sz="4" w:space="0"/>
              <w:bottom w:val="single" w:color="auto" w:sz="4" w:space="0"/>
              <w:right w:val="single" w:color="auto" w:sz="4" w:space="0"/>
            </w:tcBorders>
            <w:vAlign w:val="center"/>
          </w:tcPr>
          <w:p w14:paraId="2CFB0513">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对招标文件提出疑问或异议的截止时间：</w:t>
            </w:r>
          </w:p>
          <w:p w14:paraId="45AA8B85">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对招标文件有疑问的，应当在投标截止时间15日前提出。</w:t>
            </w:r>
          </w:p>
          <w:p w14:paraId="3BEDC88A">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对招标文件有异议的，应当在投标截止时间10日前提出。</w:t>
            </w:r>
          </w:p>
          <w:p w14:paraId="74ADABA4">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方式：投标人对招标文件提出疑问或异议须通过书面方式或在政采云平台“询问列表”提出。</w:t>
            </w:r>
          </w:p>
        </w:tc>
      </w:tr>
      <w:tr w14:paraId="193EB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66A0B05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503" w:type="dxa"/>
            <w:tcBorders>
              <w:top w:val="single" w:color="auto" w:sz="4" w:space="0"/>
              <w:left w:val="single" w:color="auto" w:sz="4" w:space="0"/>
              <w:bottom w:val="single" w:color="auto" w:sz="4" w:space="0"/>
              <w:right w:val="single" w:color="auto" w:sz="4" w:space="0"/>
            </w:tcBorders>
            <w:vAlign w:val="center"/>
          </w:tcPr>
          <w:p w14:paraId="5CA63C84">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投标文件的</w:t>
            </w:r>
          </w:p>
          <w:p w14:paraId="20F10712">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提交</w:t>
            </w:r>
          </w:p>
        </w:tc>
        <w:tc>
          <w:tcPr>
            <w:tcW w:w="7566" w:type="dxa"/>
            <w:tcBorders>
              <w:top w:val="single" w:color="auto" w:sz="4" w:space="0"/>
              <w:left w:val="single" w:color="auto" w:sz="4" w:space="0"/>
              <w:bottom w:val="single" w:color="auto" w:sz="4" w:space="0"/>
              <w:right w:val="single" w:color="auto" w:sz="4" w:space="0"/>
            </w:tcBorders>
            <w:vAlign w:val="center"/>
          </w:tcPr>
          <w:p w14:paraId="1B04058F">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递交网址为：http：//www.zcygov.cn（政采云平台），投标人须在投标截止时间前完成所有电子投标文件的上传，使用政采云投标客户端制作并进行电子签章或电子签名及加密。投标截止时间前未完成投标文件传输的，视为撤回投标文件。在递交投标文件截止前，投标人可以修改或撤回已在网上递交的投标文件，无须书面形式通知采购人。</w:t>
            </w:r>
          </w:p>
        </w:tc>
      </w:tr>
      <w:tr w14:paraId="4FFBF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317C8E2">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503" w:type="dxa"/>
            <w:tcBorders>
              <w:top w:val="single" w:color="auto" w:sz="4" w:space="0"/>
              <w:left w:val="single" w:color="auto" w:sz="4" w:space="0"/>
              <w:bottom w:val="single" w:color="auto" w:sz="4" w:space="0"/>
              <w:right w:val="single" w:color="auto" w:sz="4" w:space="0"/>
            </w:tcBorders>
            <w:vAlign w:val="center"/>
          </w:tcPr>
          <w:p w14:paraId="1AF9207A">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网上远程解密</w:t>
            </w:r>
          </w:p>
        </w:tc>
        <w:tc>
          <w:tcPr>
            <w:tcW w:w="7566" w:type="dxa"/>
            <w:tcBorders>
              <w:top w:val="single" w:color="auto" w:sz="4" w:space="0"/>
              <w:left w:val="single" w:color="auto" w:sz="4" w:space="0"/>
              <w:bottom w:val="single" w:color="auto" w:sz="4" w:space="0"/>
              <w:right w:val="single" w:color="auto" w:sz="4" w:space="0"/>
            </w:tcBorders>
            <w:vAlign w:val="center"/>
          </w:tcPr>
          <w:p w14:paraId="0555A547">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登录政采云平台（https://www.zcygov.cn/），按照《投标人操作指南》（https://edu.zcygov.cn/luban/yunnan-dzjy-gys?utm=a0017.b3687.48.18.4b09ec80cbc911edb8a97356c5970511）完成远程投标文件解密等相关操作。本项目解密时间为30分钟，若投标人未在规定时间完成以上解密，则视为撤销其投标文件，不再进入评标（审）阶段。开标过程中如有问题，可以在线提出异议，由采购代理机构给予对应的回复。在规定的统一提出异议时间内不提出异议的、签名确认时间内不进行签字确认的，则视为对开标结果无异议。在规定解密截止时间后已解密的投标人不足三家的，按规定重新组织采购。</w:t>
            </w:r>
          </w:p>
          <w:p w14:paraId="4276467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2.电子招投标技术支持</w:t>
            </w:r>
          </w:p>
          <w:p w14:paraId="34C3E7CD">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（1）系统操作问题：请致电政采云，4008817190（客服热线）；</w:t>
            </w:r>
          </w:p>
          <w:p w14:paraId="51F58886">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（2）数字证书（CA）问题可咨询24小时技术支持热线400-004-0628，紧急办理可拨：19988166369。</w:t>
            </w:r>
          </w:p>
        </w:tc>
      </w:tr>
      <w:tr w14:paraId="1AAF0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74EE2BCF">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503" w:type="dxa"/>
            <w:tcBorders>
              <w:top w:val="single" w:color="auto" w:sz="4" w:space="0"/>
              <w:left w:val="single" w:color="auto" w:sz="4" w:space="0"/>
              <w:bottom w:val="single" w:color="auto" w:sz="4" w:space="0"/>
              <w:right w:val="single" w:color="auto" w:sz="4" w:space="0"/>
            </w:tcBorders>
            <w:vAlign w:val="center"/>
          </w:tcPr>
          <w:p w14:paraId="7DDD6F8D">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投标保证金</w:t>
            </w:r>
          </w:p>
        </w:tc>
        <w:tc>
          <w:tcPr>
            <w:tcW w:w="7566" w:type="dxa"/>
            <w:tcBorders>
              <w:top w:val="single" w:color="auto" w:sz="4" w:space="0"/>
              <w:left w:val="single" w:color="auto" w:sz="4" w:space="0"/>
              <w:bottom w:val="single" w:color="auto" w:sz="4" w:space="0"/>
              <w:right w:val="single" w:color="auto" w:sz="4" w:space="0"/>
            </w:tcBorders>
            <w:vAlign w:val="center"/>
          </w:tcPr>
          <w:p w14:paraId="17EFE8CF">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提交方式：电汇、网银、支票、汇票、本票、保函等非现金形式缴纳或提交至项目专项账户。</w:t>
            </w:r>
          </w:p>
          <w:p w14:paraId="43E59125">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保证金金额：</w:t>
            </w:r>
            <w:r>
              <w:rPr>
                <w:rFonts w:hint="eastAsia" w:ascii="宋体" w:hAnsi="宋体" w:eastAsia="宋体"/>
                <w:b/>
                <w:bCs/>
                <w:color w:val="auto"/>
                <w:sz w:val="21"/>
                <w:szCs w:val="21"/>
                <w:highlight w:val="none"/>
              </w:rPr>
              <w:t>第一片区</w:t>
            </w:r>
            <w:r>
              <w:rPr>
                <w:rFonts w:hint="eastAsia" w:ascii="宋体" w:hAnsi="宋体" w:eastAsia="宋体"/>
                <w:b/>
                <w:bCs/>
                <w:color w:val="auto"/>
                <w:sz w:val="21"/>
                <w:szCs w:val="21"/>
                <w:highlight w:val="none"/>
                <w:lang w:val="en-US" w:eastAsia="zh-CN"/>
              </w:rPr>
              <w:t>1包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10</w:t>
            </w:r>
            <w:r>
              <w:rPr>
                <w:rFonts w:hint="eastAsia" w:ascii="宋体" w:hAnsi="宋体" w:eastAsia="宋体" w:cs="宋体"/>
                <w:b/>
                <w:bCs/>
                <w:color w:val="auto"/>
                <w:szCs w:val="21"/>
                <w:highlight w:val="none"/>
              </w:rPr>
              <w:t>000</w:t>
            </w:r>
            <w:r>
              <w:rPr>
                <w:rFonts w:hint="eastAsia" w:ascii="宋体" w:hAnsi="宋体" w:eastAsia="宋体" w:cs="宋体"/>
                <w:b/>
                <w:bCs/>
                <w:color w:val="auto"/>
                <w:szCs w:val="21"/>
                <w:highlight w:val="none"/>
                <w:lang w:val="en-US" w:eastAsia="zh-CN"/>
              </w:rPr>
              <w:t>.00</w:t>
            </w:r>
            <w:r>
              <w:rPr>
                <w:rFonts w:hint="eastAsia" w:ascii="宋体" w:hAnsi="宋体" w:eastAsia="宋体" w:cs="宋体"/>
                <w:b/>
                <w:bCs/>
                <w:color w:val="auto"/>
                <w:szCs w:val="21"/>
                <w:highlight w:val="none"/>
              </w:rPr>
              <w:t>元；</w:t>
            </w:r>
          </w:p>
          <w:p w14:paraId="30981598">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保证金金额：</w:t>
            </w:r>
            <w:r>
              <w:rPr>
                <w:rFonts w:hint="eastAsia" w:ascii="宋体" w:hAnsi="宋体" w:eastAsia="宋体"/>
                <w:b/>
                <w:bCs/>
                <w:color w:val="auto"/>
                <w:sz w:val="21"/>
                <w:szCs w:val="21"/>
                <w:highlight w:val="none"/>
              </w:rPr>
              <w:t>第一片区</w:t>
            </w:r>
            <w:r>
              <w:rPr>
                <w:rFonts w:hint="eastAsia" w:ascii="宋体" w:hAnsi="宋体" w:eastAsia="宋体"/>
                <w:b/>
                <w:bCs/>
                <w:color w:val="auto"/>
                <w:sz w:val="21"/>
                <w:szCs w:val="21"/>
                <w:highlight w:val="none"/>
                <w:lang w:val="en-US" w:eastAsia="zh-CN"/>
              </w:rPr>
              <w:t>2包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60</w:t>
            </w:r>
            <w:r>
              <w:rPr>
                <w:rFonts w:hint="eastAsia" w:ascii="宋体" w:hAnsi="宋体" w:eastAsia="宋体" w:cs="宋体"/>
                <w:b/>
                <w:bCs/>
                <w:color w:val="auto"/>
                <w:szCs w:val="21"/>
                <w:highlight w:val="none"/>
              </w:rPr>
              <w:t>00元；</w:t>
            </w:r>
          </w:p>
          <w:p w14:paraId="108D43E0">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保证金金额：</w:t>
            </w:r>
            <w:r>
              <w:rPr>
                <w:rFonts w:hint="eastAsia" w:ascii="宋体" w:hAnsi="宋体" w:eastAsia="宋体"/>
                <w:b/>
                <w:bCs/>
                <w:color w:val="auto"/>
                <w:sz w:val="21"/>
                <w:szCs w:val="21"/>
                <w:highlight w:val="none"/>
              </w:rPr>
              <w:t>第</w:t>
            </w:r>
            <w:r>
              <w:rPr>
                <w:rFonts w:hint="eastAsia" w:ascii="宋体" w:hAnsi="宋体" w:eastAsia="宋体"/>
                <w:b/>
                <w:bCs/>
                <w:color w:val="auto"/>
                <w:sz w:val="21"/>
                <w:szCs w:val="21"/>
                <w:highlight w:val="none"/>
                <w:lang w:val="en-US" w:eastAsia="zh-CN"/>
              </w:rPr>
              <w:t>二</w:t>
            </w:r>
            <w:r>
              <w:rPr>
                <w:rFonts w:hint="eastAsia" w:ascii="宋体" w:hAnsi="宋体" w:eastAsia="宋体"/>
                <w:b/>
                <w:bCs/>
                <w:color w:val="auto"/>
                <w:sz w:val="21"/>
                <w:szCs w:val="21"/>
                <w:highlight w:val="none"/>
              </w:rPr>
              <w:t>片区</w:t>
            </w:r>
            <w:r>
              <w:rPr>
                <w:rFonts w:hint="eastAsia" w:ascii="宋体" w:hAnsi="宋体" w:eastAsia="宋体"/>
                <w:b/>
                <w:bCs/>
                <w:color w:val="auto"/>
                <w:sz w:val="21"/>
                <w:szCs w:val="21"/>
                <w:highlight w:val="none"/>
                <w:lang w:val="en-US" w:eastAsia="zh-CN"/>
              </w:rPr>
              <w:t>1包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80</w:t>
            </w:r>
            <w:r>
              <w:rPr>
                <w:rFonts w:hint="eastAsia" w:ascii="宋体" w:hAnsi="宋体" w:eastAsia="宋体" w:cs="宋体"/>
                <w:b/>
                <w:bCs/>
                <w:color w:val="auto"/>
                <w:szCs w:val="21"/>
                <w:highlight w:val="none"/>
              </w:rPr>
              <w:t>00元；</w:t>
            </w:r>
          </w:p>
          <w:p w14:paraId="6A432018">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保证金金额：</w:t>
            </w:r>
            <w:r>
              <w:rPr>
                <w:rFonts w:hint="eastAsia" w:ascii="宋体" w:hAnsi="宋体" w:eastAsia="宋体"/>
                <w:b/>
                <w:bCs/>
                <w:color w:val="auto"/>
                <w:sz w:val="21"/>
                <w:szCs w:val="21"/>
                <w:highlight w:val="none"/>
              </w:rPr>
              <w:t>第</w:t>
            </w:r>
            <w:r>
              <w:rPr>
                <w:rFonts w:hint="eastAsia" w:ascii="宋体" w:hAnsi="宋体" w:eastAsia="宋体"/>
                <w:b/>
                <w:bCs/>
                <w:color w:val="auto"/>
                <w:sz w:val="21"/>
                <w:szCs w:val="21"/>
                <w:highlight w:val="none"/>
                <w:lang w:val="en-US" w:eastAsia="zh-CN"/>
              </w:rPr>
              <w:t>二</w:t>
            </w:r>
            <w:r>
              <w:rPr>
                <w:rFonts w:hint="eastAsia" w:ascii="宋体" w:hAnsi="宋体" w:eastAsia="宋体"/>
                <w:b/>
                <w:bCs/>
                <w:color w:val="auto"/>
                <w:sz w:val="21"/>
                <w:szCs w:val="21"/>
                <w:highlight w:val="none"/>
              </w:rPr>
              <w:t>片区</w:t>
            </w:r>
            <w:r>
              <w:rPr>
                <w:rFonts w:hint="eastAsia" w:ascii="宋体" w:hAnsi="宋体" w:eastAsia="宋体"/>
                <w:b/>
                <w:bCs/>
                <w:color w:val="auto"/>
                <w:sz w:val="21"/>
                <w:szCs w:val="21"/>
                <w:highlight w:val="none"/>
                <w:lang w:val="en-US" w:eastAsia="zh-CN"/>
              </w:rPr>
              <w:t>2包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50</w:t>
            </w:r>
            <w:r>
              <w:rPr>
                <w:rFonts w:hint="eastAsia" w:ascii="宋体" w:hAnsi="宋体" w:eastAsia="宋体" w:cs="宋体"/>
                <w:b/>
                <w:bCs/>
                <w:color w:val="auto"/>
                <w:szCs w:val="21"/>
                <w:highlight w:val="none"/>
              </w:rPr>
              <w:t>00元；</w:t>
            </w:r>
          </w:p>
          <w:p w14:paraId="510BC24E">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提交时间：以专项账户实际到账时间为准，到账截止时间为投标文件递交截止时间前，未按时到账的保证金视为未提交。</w:t>
            </w:r>
          </w:p>
          <w:p w14:paraId="600DA75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保证金转账方式：按以下账户从投标人的基本账号转账或电汇交纳。</w:t>
            </w:r>
          </w:p>
          <w:p w14:paraId="43D08679">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保证金账号：</w:t>
            </w:r>
          </w:p>
          <w:p w14:paraId="4A820B9E">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账户名称:云南中诏项目管理有限公司</w:t>
            </w:r>
          </w:p>
          <w:p w14:paraId="6F14E2B3">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账号:3201620000000098</w:t>
            </w:r>
          </w:p>
          <w:p w14:paraId="654D0D3E">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开户行:云南红塔银行股份有限公司兰溪支行</w:t>
            </w:r>
          </w:p>
          <w:p w14:paraId="34E1C480">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联系电话：13187714881</w:t>
            </w:r>
          </w:p>
          <w:p w14:paraId="794CEE5B">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汇款备注：项目简称+标段+包号保证金字样；</w:t>
            </w:r>
          </w:p>
          <w:p w14:paraId="244C72D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（2）保函方式：由金融机构或担保机构出具针对本项目的保函。保函扫描件装订在投标文件内。</w:t>
            </w:r>
          </w:p>
          <w:p w14:paraId="2608E60D">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退还要求：保证金退还时，不退现金。以网上银行的方式将保证金退还至投标人原提交账户，未中标人的投标保证金在中标通知书发出之日起5个工作日内退还，中标人的投标保证金在合同签订之日起5个工作日内退还。请投标人准确提供公司账户信息。</w:t>
            </w:r>
          </w:p>
        </w:tc>
      </w:tr>
      <w:tr w14:paraId="72A6CA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1DEB473C">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503" w:type="dxa"/>
            <w:tcBorders>
              <w:top w:val="single" w:color="auto" w:sz="4" w:space="0"/>
              <w:left w:val="single" w:color="auto" w:sz="4" w:space="0"/>
              <w:bottom w:val="single" w:color="auto" w:sz="4" w:space="0"/>
              <w:right w:val="single" w:color="auto" w:sz="4" w:space="0"/>
            </w:tcBorders>
            <w:vAlign w:val="center"/>
          </w:tcPr>
          <w:p w14:paraId="5A068880">
            <w:pPr>
              <w:adjustRightInd w:val="0"/>
              <w:snapToGrid w:val="0"/>
              <w:spacing w:before="120"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7566" w:type="dxa"/>
            <w:tcBorders>
              <w:top w:val="single" w:color="auto" w:sz="4" w:space="0"/>
              <w:left w:val="single" w:color="auto" w:sz="4" w:space="0"/>
              <w:bottom w:val="single" w:color="auto" w:sz="4" w:space="0"/>
              <w:right w:val="single" w:color="auto" w:sz="4" w:space="0"/>
            </w:tcBorders>
            <w:vAlign w:val="center"/>
          </w:tcPr>
          <w:p w14:paraId="371932FD">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90日历天，从投标截止之日算起。</w:t>
            </w:r>
          </w:p>
        </w:tc>
      </w:tr>
      <w:tr w14:paraId="69846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61"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6EC54C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503" w:type="dxa"/>
            <w:tcBorders>
              <w:top w:val="single" w:color="auto" w:sz="4" w:space="0"/>
              <w:left w:val="single" w:color="auto" w:sz="4" w:space="0"/>
              <w:bottom w:val="single" w:color="auto" w:sz="4" w:space="0"/>
              <w:right w:val="single" w:color="auto" w:sz="4" w:space="0"/>
            </w:tcBorders>
            <w:vAlign w:val="center"/>
          </w:tcPr>
          <w:p w14:paraId="5F50CCB8">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履约保证金</w:t>
            </w:r>
          </w:p>
        </w:tc>
        <w:tc>
          <w:tcPr>
            <w:tcW w:w="7566" w:type="dxa"/>
            <w:tcBorders>
              <w:top w:val="single" w:color="auto" w:sz="4" w:space="0"/>
              <w:left w:val="single" w:color="auto" w:sz="4" w:space="0"/>
              <w:bottom w:val="single" w:color="auto" w:sz="4" w:space="0"/>
              <w:right w:val="single" w:color="auto" w:sz="4" w:space="0"/>
            </w:tcBorders>
            <w:vAlign w:val="center"/>
          </w:tcPr>
          <w:p w14:paraId="1FA23BB1">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履约担保的形式：支票、汇票、本票或者金融机构、担保机构出具的保函、银行转账等非现金的其他法定形式提交；</w:t>
            </w:r>
          </w:p>
          <w:p w14:paraId="6CC2F322">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履约担保的金额：预算金额的3%。</w:t>
            </w:r>
          </w:p>
          <w:p w14:paraId="7EDF84EA">
            <w:pPr>
              <w:adjustRightInd w:val="0"/>
              <w:snapToGrid w:val="0"/>
              <w:spacing w:line="360"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账户名称：</w:t>
            </w:r>
            <w:r>
              <w:rPr>
                <w:rFonts w:hint="eastAsia" w:ascii="宋体" w:hAnsi="宋体" w:eastAsia="宋体" w:cs="宋体"/>
                <w:b/>
                <w:bCs/>
                <w:color w:val="auto"/>
                <w:szCs w:val="21"/>
                <w:highlight w:val="none"/>
                <w:lang w:eastAsia="zh-CN"/>
              </w:rPr>
              <w:t>澄江市机关幼儿园伙食户</w:t>
            </w:r>
          </w:p>
          <w:p w14:paraId="3D5301F5">
            <w:pPr>
              <w:adjustRightInd w:val="0"/>
              <w:snapToGrid w:val="0"/>
              <w:spacing w:line="360" w:lineRule="auto"/>
              <w:jc w:val="lef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账号：</w:t>
            </w:r>
            <w:r>
              <w:rPr>
                <w:rFonts w:hint="eastAsia" w:ascii="宋体" w:hAnsi="宋体" w:eastAsia="宋体" w:cs="宋体"/>
                <w:b/>
                <w:bCs/>
                <w:color w:val="auto"/>
                <w:szCs w:val="21"/>
                <w:highlight w:val="none"/>
                <w:lang w:val="en-US" w:eastAsia="zh-CN"/>
              </w:rPr>
              <w:t>135611769565</w:t>
            </w:r>
          </w:p>
          <w:p w14:paraId="3ACCC407">
            <w:pPr>
              <w:adjustRightInd w:val="0"/>
              <w:snapToGrid w:val="0"/>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开户行：</w:t>
            </w:r>
            <w:r>
              <w:rPr>
                <w:rFonts w:hint="eastAsia" w:ascii="宋体" w:hAnsi="宋体" w:eastAsia="宋体" w:cs="宋体"/>
                <w:b/>
                <w:bCs/>
                <w:color w:val="auto"/>
                <w:szCs w:val="21"/>
                <w:highlight w:val="none"/>
                <w:lang w:eastAsia="zh-CN"/>
              </w:rPr>
              <w:t>中国银行澄江支行</w:t>
            </w:r>
          </w:p>
        </w:tc>
      </w:tr>
      <w:tr w14:paraId="716A1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0C8885A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503" w:type="dxa"/>
            <w:tcBorders>
              <w:top w:val="single" w:color="auto" w:sz="4" w:space="0"/>
              <w:left w:val="single" w:color="auto" w:sz="4" w:space="0"/>
              <w:bottom w:val="single" w:color="auto" w:sz="4" w:space="0"/>
              <w:right w:val="single" w:color="auto" w:sz="4" w:space="0"/>
            </w:tcBorders>
            <w:vAlign w:val="center"/>
          </w:tcPr>
          <w:p w14:paraId="5B599945">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投标文件的</w:t>
            </w:r>
          </w:p>
          <w:p w14:paraId="58D661D7">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签署</w:t>
            </w:r>
          </w:p>
        </w:tc>
        <w:tc>
          <w:tcPr>
            <w:tcW w:w="7566" w:type="dxa"/>
            <w:tcBorders>
              <w:top w:val="single" w:color="auto" w:sz="4" w:space="0"/>
              <w:left w:val="single" w:color="auto" w:sz="4" w:space="0"/>
              <w:bottom w:val="single" w:color="auto" w:sz="4" w:space="0"/>
              <w:right w:val="single" w:color="auto" w:sz="4" w:space="0"/>
            </w:tcBorders>
            <w:vAlign w:val="center"/>
          </w:tcPr>
          <w:p w14:paraId="79106C6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按照投标文件格式，使用企业和法定代表人数字证书电子签章及电子签名。</w:t>
            </w:r>
          </w:p>
          <w:p w14:paraId="74C2F88C">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注：在需要电子签章的地方进行电子签章，无需逐页电子签章。</w:t>
            </w:r>
          </w:p>
        </w:tc>
      </w:tr>
      <w:tr w14:paraId="5CA480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8C2992C">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503" w:type="dxa"/>
            <w:tcBorders>
              <w:top w:val="single" w:color="auto" w:sz="4" w:space="0"/>
              <w:left w:val="single" w:color="auto" w:sz="4" w:space="0"/>
              <w:bottom w:val="single" w:color="auto" w:sz="4" w:space="0"/>
              <w:right w:val="single" w:color="auto" w:sz="4" w:space="0"/>
            </w:tcBorders>
            <w:vAlign w:val="center"/>
          </w:tcPr>
          <w:p w14:paraId="3C150166">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现场开标现场解密方式</w:t>
            </w:r>
          </w:p>
        </w:tc>
        <w:tc>
          <w:tcPr>
            <w:tcW w:w="7566" w:type="dxa"/>
            <w:tcBorders>
              <w:top w:val="single" w:color="auto" w:sz="4" w:space="0"/>
              <w:left w:val="single" w:color="auto" w:sz="4" w:space="0"/>
              <w:bottom w:val="single" w:color="auto" w:sz="4" w:space="0"/>
              <w:right w:val="single" w:color="auto" w:sz="4" w:space="0"/>
            </w:tcBorders>
            <w:vAlign w:val="center"/>
          </w:tcPr>
          <w:p w14:paraId="218A04A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投标人无须到现场开标现场解密。到规定解密截止时间后已解密的投标人不足三家的，按规定重新招标。</w:t>
            </w:r>
          </w:p>
        </w:tc>
      </w:tr>
      <w:tr w14:paraId="0E61BD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34743464">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1503" w:type="dxa"/>
            <w:tcBorders>
              <w:top w:val="single" w:color="auto" w:sz="4" w:space="0"/>
              <w:left w:val="single" w:color="auto" w:sz="4" w:space="0"/>
              <w:bottom w:val="single" w:color="auto" w:sz="4" w:space="0"/>
              <w:right w:val="single" w:color="auto" w:sz="4" w:space="0"/>
            </w:tcBorders>
            <w:vAlign w:val="center"/>
          </w:tcPr>
          <w:p w14:paraId="60C9FDF7">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网上递交电子投标文件</w:t>
            </w:r>
          </w:p>
        </w:tc>
        <w:tc>
          <w:tcPr>
            <w:tcW w:w="7566" w:type="dxa"/>
            <w:tcBorders>
              <w:top w:val="single" w:color="auto" w:sz="4" w:space="0"/>
              <w:left w:val="single" w:color="auto" w:sz="4" w:space="0"/>
              <w:bottom w:val="single" w:color="auto" w:sz="4" w:space="0"/>
              <w:right w:val="single" w:color="auto" w:sz="4" w:space="0"/>
            </w:tcBorders>
            <w:vAlign w:val="center"/>
          </w:tcPr>
          <w:p w14:paraId="43C2DE90">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19.1网上递交投标文件截止时间：2026年04月02日</w:t>
            </w:r>
            <w:r>
              <w:rPr>
                <w:rFonts w:hint="eastAsia" w:ascii="宋体" w:hAnsi="宋体" w:eastAsia="宋体" w:cs="宋体"/>
                <w:b/>
                <w:bCs/>
                <w:color w:val="auto"/>
                <w:szCs w:val="21"/>
                <w:highlight w:val="none"/>
              </w:rPr>
              <w:t>09时00分前</w:t>
            </w:r>
            <w:r>
              <w:rPr>
                <w:rFonts w:hint="eastAsia" w:ascii="宋体" w:hAnsi="宋体" w:eastAsia="宋体" w:cs="宋体"/>
                <w:color w:val="auto"/>
                <w:szCs w:val="21"/>
                <w:highlight w:val="none"/>
              </w:rPr>
              <w:t>（北京时间，下同）；</w:t>
            </w:r>
          </w:p>
          <w:p w14:paraId="2815A32F">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投标文件递交网址为：政采云平台（http：//www.zcygov.cn），投标人须在投标截止时间前完成所有电子投标文件的上传，网上确认电子签章或电子签名。投标截止时间前未完成投标文件传输的，视为撤回投标文件。在递交投标文件截止前，投标人可以修改或撤回已在网上递交的投标文件，无须书面形式通知采购人。</w:t>
            </w:r>
          </w:p>
        </w:tc>
      </w:tr>
      <w:tr w14:paraId="51A63C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7B86A5B">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503" w:type="dxa"/>
            <w:tcBorders>
              <w:top w:val="single" w:color="auto" w:sz="4" w:space="0"/>
              <w:left w:val="single" w:color="auto" w:sz="4" w:space="0"/>
              <w:bottom w:val="single" w:color="auto" w:sz="4" w:space="0"/>
              <w:right w:val="single" w:color="auto" w:sz="4" w:space="0"/>
            </w:tcBorders>
            <w:vAlign w:val="center"/>
          </w:tcPr>
          <w:p w14:paraId="2745AEE2">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开标时间和地点</w:t>
            </w:r>
          </w:p>
        </w:tc>
        <w:tc>
          <w:tcPr>
            <w:tcW w:w="7566" w:type="dxa"/>
            <w:tcBorders>
              <w:top w:val="single" w:color="auto" w:sz="4" w:space="0"/>
              <w:left w:val="single" w:color="auto" w:sz="4" w:space="0"/>
              <w:bottom w:val="single" w:color="auto" w:sz="4" w:space="0"/>
              <w:right w:val="single" w:color="auto" w:sz="4" w:space="0"/>
            </w:tcBorders>
            <w:vAlign w:val="center"/>
          </w:tcPr>
          <w:p w14:paraId="1F805F9A">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开标时间：2026年04月02日</w:t>
            </w:r>
            <w:r>
              <w:rPr>
                <w:rFonts w:hint="eastAsia" w:ascii="宋体" w:hAnsi="宋体" w:eastAsia="宋体" w:cs="宋体"/>
                <w:b/>
                <w:bCs/>
                <w:color w:val="auto"/>
                <w:szCs w:val="21"/>
                <w:highlight w:val="none"/>
              </w:rPr>
              <w:t>09时00分</w:t>
            </w:r>
            <w:r>
              <w:rPr>
                <w:rFonts w:hint="eastAsia" w:ascii="宋体" w:hAnsi="宋体" w:eastAsia="宋体" w:cs="宋体"/>
                <w:color w:val="auto"/>
                <w:szCs w:val="21"/>
                <w:highlight w:val="none"/>
              </w:rPr>
              <w:t>（北京时间）</w:t>
            </w:r>
          </w:p>
          <w:p w14:paraId="08265E7E">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地点：政采云平台（http：//www.zcygov.cn）</w:t>
            </w:r>
          </w:p>
        </w:tc>
      </w:tr>
      <w:tr w14:paraId="4659F9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079A5A2">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503" w:type="dxa"/>
            <w:tcBorders>
              <w:top w:val="single" w:color="auto" w:sz="4" w:space="0"/>
              <w:left w:val="single" w:color="auto" w:sz="4" w:space="0"/>
              <w:bottom w:val="single" w:color="auto" w:sz="4" w:space="0"/>
              <w:right w:val="single" w:color="auto" w:sz="4" w:space="0"/>
            </w:tcBorders>
            <w:vAlign w:val="center"/>
          </w:tcPr>
          <w:p w14:paraId="3450098B">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评标委员会的</w:t>
            </w:r>
          </w:p>
          <w:p w14:paraId="0A801645">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组建</w:t>
            </w:r>
          </w:p>
        </w:tc>
        <w:tc>
          <w:tcPr>
            <w:tcW w:w="7566" w:type="dxa"/>
            <w:tcBorders>
              <w:top w:val="single" w:color="auto" w:sz="4" w:space="0"/>
              <w:left w:val="single" w:color="auto" w:sz="4" w:space="0"/>
              <w:bottom w:val="single" w:color="auto" w:sz="4" w:space="0"/>
              <w:right w:val="single" w:color="auto" w:sz="4" w:space="0"/>
            </w:tcBorders>
            <w:vAlign w:val="center"/>
          </w:tcPr>
          <w:p w14:paraId="0644C044">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评标由采购人依法组建的评标委员会负责。评标委员会由采购人代表和评审专家组成，成员人数应当为5人以上单数，其中评审专家不得少于成员总数的三分之二。</w:t>
            </w:r>
          </w:p>
        </w:tc>
      </w:tr>
      <w:tr w14:paraId="364ED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5AF8BF9B">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503" w:type="dxa"/>
            <w:tcBorders>
              <w:top w:val="single" w:color="auto" w:sz="4" w:space="0"/>
              <w:left w:val="single" w:color="auto" w:sz="4" w:space="0"/>
              <w:bottom w:val="single" w:color="auto" w:sz="4" w:space="0"/>
              <w:right w:val="single" w:color="auto" w:sz="4" w:space="0"/>
            </w:tcBorders>
            <w:vAlign w:val="center"/>
          </w:tcPr>
          <w:p w14:paraId="0E924B08">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评标方法及标准</w:t>
            </w:r>
          </w:p>
        </w:tc>
        <w:tc>
          <w:tcPr>
            <w:tcW w:w="7566" w:type="dxa"/>
            <w:tcBorders>
              <w:top w:val="single" w:color="auto" w:sz="4" w:space="0"/>
              <w:left w:val="single" w:color="auto" w:sz="4" w:space="0"/>
              <w:bottom w:val="single" w:color="auto" w:sz="4" w:space="0"/>
              <w:right w:val="single" w:color="auto" w:sz="4" w:space="0"/>
            </w:tcBorders>
            <w:vAlign w:val="center"/>
          </w:tcPr>
          <w:p w14:paraId="3ECC35E6">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详见招标文件第三章</w:t>
            </w:r>
          </w:p>
        </w:tc>
      </w:tr>
      <w:tr w14:paraId="39E2F4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3338072D">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1503" w:type="dxa"/>
            <w:tcBorders>
              <w:top w:val="single" w:color="auto" w:sz="4" w:space="0"/>
              <w:left w:val="single" w:color="auto" w:sz="4" w:space="0"/>
              <w:bottom w:val="single" w:color="auto" w:sz="4" w:space="0"/>
              <w:right w:val="single" w:color="auto" w:sz="4" w:space="0"/>
            </w:tcBorders>
            <w:vAlign w:val="center"/>
          </w:tcPr>
          <w:p w14:paraId="51AF5E26">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是否授权评标委员会确定中标人</w:t>
            </w:r>
          </w:p>
        </w:tc>
        <w:tc>
          <w:tcPr>
            <w:tcW w:w="7566" w:type="dxa"/>
            <w:tcBorders>
              <w:top w:val="single" w:color="auto" w:sz="4" w:space="0"/>
              <w:left w:val="single" w:color="auto" w:sz="4" w:space="0"/>
              <w:bottom w:val="single" w:color="auto" w:sz="4" w:space="0"/>
              <w:right w:val="single" w:color="auto" w:sz="4" w:space="0"/>
            </w:tcBorders>
            <w:vAlign w:val="center"/>
          </w:tcPr>
          <w:p w14:paraId="3364B79C">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是</w:t>
            </w:r>
          </w:p>
          <w:p w14:paraId="3076911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否，推荐中标候选人，推荐人数：3人。</w:t>
            </w:r>
          </w:p>
        </w:tc>
      </w:tr>
      <w:tr w14:paraId="47943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ECAF03F">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1503" w:type="dxa"/>
            <w:tcBorders>
              <w:top w:val="single" w:color="auto" w:sz="4" w:space="0"/>
              <w:left w:val="single" w:color="auto" w:sz="4" w:space="0"/>
              <w:bottom w:val="single" w:color="auto" w:sz="4" w:space="0"/>
              <w:right w:val="single" w:color="auto" w:sz="4" w:space="0"/>
            </w:tcBorders>
            <w:vAlign w:val="center"/>
          </w:tcPr>
          <w:p w14:paraId="02756E34">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招标代理服务费及其他费用</w:t>
            </w:r>
          </w:p>
        </w:tc>
        <w:tc>
          <w:tcPr>
            <w:tcW w:w="7566" w:type="dxa"/>
            <w:tcBorders>
              <w:top w:val="single" w:color="auto" w:sz="4" w:space="0"/>
              <w:left w:val="single" w:color="auto" w:sz="4" w:space="0"/>
              <w:bottom w:val="single" w:color="auto" w:sz="4" w:space="0"/>
              <w:right w:val="single" w:color="auto" w:sz="4" w:space="0"/>
            </w:tcBorders>
            <w:vAlign w:val="center"/>
          </w:tcPr>
          <w:p w14:paraId="0A05CAAC">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1.本项目代理服务费：根据关于印发《云南省建设工程招标代理服务收费参考意见》的通知（云建招协[2024]58号）收费标准，优惠下浮55.00%后收取，由中标单位在领取中标通知书前一次性支付。</w:t>
            </w:r>
          </w:p>
          <w:p w14:paraId="543115DB">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2.不论投标结果如何，投标人均应自行承担所有与编写和提交投标文件有关的全部费用。</w:t>
            </w:r>
          </w:p>
        </w:tc>
      </w:tr>
      <w:tr w14:paraId="023761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29796927">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1503" w:type="dxa"/>
            <w:tcBorders>
              <w:top w:val="single" w:color="auto" w:sz="4" w:space="0"/>
              <w:left w:val="single" w:color="auto" w:sz="4" w:space="0"/>
              <w:bottom w:val="single" w:color="auto" w:sz="4" w:space="0"/>
              <w:right w:val="single" w:color="auto" w:sz="4" w:space="0"/>
            </w:tcBorders>
            <w:vAlign w:val="center"/>
          </w:tcPr>
          <w:p w14:paraId="1A287DAF">
            <w:pPr>
              <w:pStyle w:val="117"/>
              <w:adjustRightInd w:val="0"/>
              <w:spacing w:before="120" w:beforeLines="50" w:afterLines="0" w:line="36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备选方案</w:t>
            </w:r>
          </w:p>
        </w:tc>
        <w:tc>
          <w:tcPr>
            <w:tcW w:w="7566" w:type="dxa"/>
            <w:tcBorders>
              <w:top w:val="single" w:color="auto" w:sz="4" w:space="0"/>
              <w:left w:val="single" w:color="auto" w:sz="4" w:space="0"/>
              <w:bottom w:val="single" w:color="auto" w:sz="4" w:space="0"/>
              <w:right w:val="single" w:color="auto" w:sz="4" w:space="0"/>
            </w:tcBorders>
            <w:vAlign w:val="center"/>
          </w:tcPr>
          <w:p w14:paraId="7418E0C8">
            <w:pPr>
              <w:adjustRightInd w:val="0"/>
              <w:snapToGrid w:val="0"/>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33729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auto"/>
            <w:vAlign w:val="center"/>
          </w:tcPr>
          <w:p w14:paraId="20E5C3E5">
            <w:pPr>
              <w:adjustRightInd w:val="0"/>
              <w:snapToGrid w:val="0"/>
              <w:spacing w:before="120" w:beforeLines="50" w:line="360" w:lineRule="auto"/>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rPr>
              <w:t>27</w:t>
            </w:r>
          </w:p>
        </w:tc>
        <w:tc>
          <w:tcPr>
            <w:tcW w:w="9069" w:type="dxa"/>
            <w:gridSpan w:val="2"/>
            <w:tcBorders>
              <w:top w:val="single" w:color="auto" w:sz="4" w:space="0"/>
              <w:left w:val="single" w:color="auto" w:sz="4" w:space="0"/>
              <w:bottom w:val="single" w:color="auto" w:sz="4" w:space="0"/>
              <w:right w:val="single" w:color="auto" w:sz="4" w:space="0"/>
            </w:tcBorders>
            <w:vAlign w:val="center"/>
          </w:tcPr>
          <w:p w14:paraId="10DA460E">
            <w:pPr>
              <w:adjustRightInd w:val="0"/>
              <w:snapToGrid w:val="0"/>
              <w:spacing w:before="120" w:beforeLines="50"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本项目共分4个标包，投标人可对本项目任意1个或多个标包进行投标，投标文件应按所投标包分别制作及投递。本项目执行“兼投不兼中”的成交原则，同一投标人仅可中标一个标包。（2）评审将依标包顺序（第一片区1包、第一片区2包、第二片区1包、第二片区2包）逐包进行。投标人若在某标包被推荐为第一中标候选人，其投标文件仍参与后续标包的评审，但在后续标包中不得再被推荐为中标候选人。</w:t>
            </w:r>
          </w:p>
        </w:tc>
      </w:tr>
      <w:tr w14:paraId="24E533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auto"/>
            <w:vAlign w:val="center"/>
          </w:tcPr>
          <w:p w14:paraId="4C64CE1D">
            <w:pPr>
              <w:adjustRightInd w:val="0"/>
              <w:snapToGrid w:val="0"/>
              <w:spacing w:before="120" w:beforeLines="50"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28</w:t>
            </w:r>
          </w:p>
        </w:tc>
        <w:tc>
          <w:tcPr>
            <w:tcW w:w="9069" w:type="dxa"/>
            <w:gridSpan w:val="2"/>
            <w:tcBorders>
              <w:top w:val="single" w:color="auto" w:sz="4" w:space="0"/>
              <w:left w:val="single" w:color="auto" w:sz="4" w:space="0"/>
              <w:bottom w:val="single" w:color="auto" w:sz="4" w:space="0"/>
              <w:right w:val="single" w:color="auto" w:sz="4" w:space="0"/>
            </w:tcBorders>
            <w:vAlign w:val="center"/>
          </w:tcPr>
          <w:p w14:paraId="10FC85BC">
            <w:pPr>
              <w:adjustRightInd w:val="0"/>
              <w:snapToGrid w:val="0"/>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投标人必须保证在投标文件中所提供的商务文件及资格证明文件的有关材料及自身所做出的相关承诺的真实性，不得弄虚作假，若所供材料有弄虚作假，故意欺骗的情况，一经发现，则取消该投标人的投标资格。</w:t>
            </w:r>
          </w:p>
        </w:tc>
      </w:tr>
      <w:tr w14:paraId="31007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auto"/>
            <w:vAlign w:val="center"/>
          </w:tcPr>
          <w:p w14:paraId="0A7C92BE">
            <w:pPr>
              <w:adjustRightInd w:val="0"/>
              <w:snapToGrid w:val="0"/>
              <w:spacing w:before="120" w:beforeLines="50"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29</w:t>
            </w:r>
          </w:p>
        </w:tc>
        <w:tc>
          <w:tcPr>
            <w:tcW w:w="9069" w:type="dxa"/>
            <w:gridSpan w:val="2"/>
            <w:tcBorders>
              <w:top w:val="single" w:color="auto" w:sz="4" w:space="0"/>
              <w:left w:val="single" w:color="auto" w:sz="4" w:space="0"/>
              <w:bottom w:val="single" w:color="auto" w:sz="4" w:space="0"/>
              <w:right w:val="single" w:color="auto" w:sz="4" w:space="0"/>
            </w:tcBorders>
            <w:vAlign w:val="center"/>
          </w:tcPr>
          <w:p w14:paraId="40F9AF44">
            <w:pPr>
              <w:adjustRightInd w:val="0"/>
              <w:snapToGrid w:val="0"/>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因政策调整或其他不可抗力等特殊情况，导致合同无法继续履行的，采购人将不承担任何责任，投标人须自行承担风险。</w:t>
            </w:r>
          </w:p>
        </w:tc>
      </w:tr>
      <w:tr w14:paraId="7145E0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53" w:type="dxa"/>
            <w:tcBorders>
              <w:top w:val="single" w:color="auto" w:sz="4" w:space="0"/>
              <w:left w:val="single" w:color="auto" w:sz="4" w:space="0"/>
              <w:bottom w:val="single" w:color="auto" w:sz="4" w:space="0"/>
              <w:right w:val="single" w:color="auto" w:sz="4" w:space="0"/>
            </w:tcBorders>
            <w:vAlign w:val="center"/>
          </w:tcPr>
          <w:p w14:paraId="71D30216">
            <w:pPr>
              <w:adjustRightInd w:val="0"/>
              <w:snapToGrid w:val="0"/>
              <w:spacing w:before="120" w:beforeLines="50" w:line="360"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30</w:t>
            </w:r>
          </w:p>
        </w:tc>
        <w:tc>
          <w:tcPr>
            <w:tcW w:w="9069" w:type="dxa"/>
            <w:gridSpan w:val="2"/>
            <w:tcBorders>
              <w:top w:val="single" w:color="auto" w:sz="4" w:space="0"/>
              <w:left w:val="single" w:color="auto" w:sz="4" w:space="0"/>
              <w:bottom w:val="single" w:color="auto" w:sz="4" w:space="0"/>
              <w:right w:val="single" w:color="auto" w:sz="4" w:space="0"/>
            </w:tcBorders>
            <w:vAlign w:val="center"/>
          </w:tcPr>
          <w:p w14:paraId="341415BC">
            <w:pPr>
              <w:adjustRightInd w:val="0"/>
              <w:snapToGrid w:val="0"/>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面向中小企业预留项目：☑是 □否</w:t>
            </w:r>
          </w:p>
          <w:p w14:paraId="2B02DA85">
            <w:pPr>
              <w:adjustRightInd w:val="0"/>
              <w:snapToGrid w:val="0"/>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为专门面向中小企业采购的项目或者采购包，不再执行价格评审优惠的扶持政策。中标（成交）单位的中小企业声明函将随中标（成交）结果同时公告，接受社会监督。投标人提供的声明函内容不实的，属于提供虚假材料谋取中标、成交的，依照《中华人民共和国政府采购法》等国家有关规定追究相应责任。</w:t>
            </w:r>
          </w:p>
          <w:p w14:paraId="58822EA9">
            <w:pPr>
              <w:adjustRightInd w:val="0"/>
              <w:snapToGrid w:val="0"/>
              <w:spacing w:before="120"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根据《工业和信息化部 国家统计局 国家发展和改革委员会 财政部关于印发中小企业划型标准规定的通知》（工信部联企业[2011]300号）规定的标准划分，</w:t>
            </w:r>
            <w:r>
              <w:rPr>
                <w:rFonts w:hint="eastAsia" w:ascii="宋体" w:hAnsi="宋体" w:eastAsia="宋体" w:cs="宋体"/>
                <w:b/>
                <w:bCs/>
                <w:color w:val="auto"/>
                <w:szCs w:val="21"/>
                <w:highlight w:val="none"/>
              </w:rPr>
              <w:t>本项目所属行业：</w:t>
            </w:r>
            <w:r>
              <w:rPr>
                <w:rFonts w:hint="eastAsia" w:ascii="宋体" w:hAnsi="宋体" w:eastAsia="宋体" w:cs="宋体"/>
                <w:b/>
                <w:bCs/>
                <w:color w:val="auto"/>
                <w:szCs w:val="21"/>
                <w:highlight w:val="none"/>
                <w:u w:val="single"/>
              </w:rPr>
              <w:t>农、林、牧、渔业。</w:t>
            </w:r>
            <w:r>
              <w:rPr>
                <w:rFonts w:hint="eastAsia" w:ascii="宋体" w:hAnsi="宋体" w:eastAsia="宋体" w:cs="宋体"/>
                <w:b/>
                <w:bCs/>
                <w:color w:val="auto"/>
                <w:szCs w:val="21"/>
                <w:highlight w:val="none"/>
              </w:rPr>
              <w:t>营业收入20000万元以下的为中小微型企业。其中，营业收入500万元及以上的为中型企业，营业收入50万元及以上的为小型企业，营业收入50万元以下的为微型企业。</w:t>
            </w:r>
          </w:p>
        </w:tc>
      </w:tr>
    </w:tbl>
    <w:p w14:paraId="007E2E1D">
      <w:pPr>
        <w:adjustRightInd w:val="0"/>
        <w:snapToGrid w:val="0"/>
        <w:spacing w:line="360" w:lineRule="auto"/>
        <w:rPr>
          <w:rFonts w:hint="eastAsia" w:ascii="宋体" w:hAnsi="宋体" w:eastAsia="宋体" w:cs="宋体"/>
          <w:color w:val="auto"/>
          <w:szCs w:val="21"/>
          <w:highlight w:val="none"/>
        </w:rPr>
      </w:pPr>
    </w:p>
    <w:p w14:paraId="4588538D">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47" w:name="_Toc218692267"/>
      <w:bookmarkStart w:id="48" w:name="_Toc13366"/>
      <w:r>
        <w:rPr>
          <w:rFonts w:hint="eastAsia" w:ascii="宋体" w:hAnsi="宋体" w:eastAsia="宋体"/>
          <w:color w:val="auto"/>
          <w:sz w:val="28"/>
          <w:szCs w:val="28"/>
          <w:highlight w:val="none"/>
        </w:rPr>
        <w:t>一、总则</w:t>
      </w:r>
      <w:bookmarkEnd w:id="43"/>
      <w:bookmarkEnd w:id="44"/>
      <w:bookmarkEnd w:id="47"/>
      <w:bookmarkEnd w:id="48"/>
    </w:p>
    <w:p w14:paraId="3BB80160">
      <w:pPr>
        <w:pStyle w:val="22"/>
        <w:ind w:firstLineChars="200"/>
        <w:rPr>
          <w:rFonts w:hint="eastAsia" w:eastAsia="宋体" w:cs="宋体"/>
          <w:b/>
          <w:color w:val="auto"/>
          <w:highlight w:val="none"/>
        </w:rPr>
      </w:pPr>
      <w:r>
        <w:rPr>
          <w:rFonts w:hint="eastAsia" w:eastAsia="宋体" w:cs="宋体"/>
          <w:b/>
          <w:color w:val="auto"/>
          <w:highlight w:val="none"/>
        </w:rPr>
        <w:t>1.项目说明</w:t>
      </w:r>
    </w:p>
    <w:p w14:paraId="77DDC96C">
      <w:pPr>
        <w:pStyle w:val="22"/>
        <w:ind w:firstLine="480" w:firstLineChars="200"/>
        <w:rPr>
          <w:rFonts w:hint="eastAsia" w:eastAsia="宋体" w:cs="宋体"/>
          <w:color w:val="auto"/>
          <w:highlight w:val="none"/>
        </w:rPr>
      </w:pPr>
      <w:r>
        <w:rPr>
          <w:rFonts w:hint="eastAsia" w:eastAsia="宋体" w:cs="宋体"/>
          <w:color w:val="auto"/>
          <w:highlight w:val="none"/>
        </w:rPr>
        <w:t>1.1本招标项目说明：详见“投标须知前附表”。</w:t>
      </w:r>
    </w:p>
    <w:p w14:paraId="35178BE9">
      <w:pPr>
        <w:pStyle w:val="22"/>
        <w:ind w:firstLine="480" w:firstLineChars="200"/>
        <w:rPr>
          <w:rFonts w:hint="eastAsia" w:eastAsia="宋体" w:cs="宋体"/>
          <w:color w:val="auto"/>
          <w:highlight w:val="none"/>
        </w:rPr>
      </w:pPr>
      <w:r>
        <w:rPr>
          <w:rFonts w:hint="eastAsia" w:eastAsia="宋体" w:cs="宋体"/>
          <w:color w:val="auto"/>
          <w:highlight w:val="none"/>
        </w:rPr>
        <w:t>1.2本招标项目根据《中华人民共和国政府采购法》《中华人民共和国政府采购法实施条例》《政府采购货物和服务招标投标管理办法》（财政部令第87号）等有关法律、法规和部门规章，通过公开招标方式选定项目实施单位。</w:t>
      </w:r>
    </w:p>
    <w:p w14:paraId="3263F742">
      <w:pPr>
        <w:pStyle w:val="22"/>
        <w:ind w:firstLine="480" w:firstLineChars="200"/>
        <w:rPr>
          <w:rFonts w:hint="eastAsia" w:eastAsia="宋体" w:cs="宋体"/>
          <w:color w:val="auto"/>
          <w:highlight w:val="none"/>
        </w:rPr>
      </w:pPr>
      <w:r>
        <w:rPr>
          <w:rFonts w:hint="eastAsia" w:eastAsia="宋体" w:cs="宋体"/>
          <w:color w:val="auto"/>
          <w:highlight w:val="none"/>
        </w:rPr>
        <w:t>1.3本项目的招标方式见“投标须知前附表”。</w:t>
      </w:r>
    </w:p>
    <w:p w14:paraId="0DF08DDF">
      <w:pPr>
        <w:pStyle w:val="22"/>
        <w:ind w:firstLineChars="200"/>
        <w:rPr>
          <w:rFonts w:hint="eastAsia" w:eastAsia="宋体" w:cs="宋体"/>
          <w:b/>
          <w:color w:val="auto"/>
          <w:highlight w:val="none"/>
        </w:rPr>
      </w:pPr>
      <w:r>
        <w:rPr>
          <w:rFonts w:hint="eastAsia" w:eastAsia="宋体" w:cs="宋体"/>
          <w:b/>
          <w:color w:val="auto"/>
          <w:highlight w:val="none"/>
        </w:rPr>
        <w:t>2.采购需求及合同履行期限</w:t>
      </w:r>
    </w:p>
    <w:p w14:paraId="41C63568">
      <w:pPr>
        <w:pStyle w:val="22"/>
        <w:ind w:firstLine="480" w:firstLineChars="200"/>
        <w:rPr>
          <w:rFonts w:hint="eastAsia" w:eastAsia="宋体" w:cs="宋体"/>
          <w:color w:val="auto"/>
          <w:highlight w:val="none"/>
        </w:rPr>
      </w:pPr>
      <w:r>
        <w:rPr>
          <w:rFonts w:hint="eastAsia" w:eastAsia="宋体" w:cs="宋体"/>
          <w:color w:val="auto"/>
          <w:highlight w:val="none"/>
        </w:rPr>
        <w:t>2.1本项目的采购需求：见“投标须知前附表”。</w:t>
      </w:r>
    </w:p>
    <w:p w14:paraId="6122A489">
      <w:pPr>
        <w:pStyle w:val="22"/>
        <w:ind w:firstLine="480" w:firstLineChars="200"/>
        <w:rPr>
          <w:rFonts w:hint="eastAsia" w:eastAsia="宋体" w:cs="宋体"/>
          <w:color w:val="auto"/>
          <w:highlight w:val="none"/>
        </w:rPr>
      </w:pPr>
      <w:r>
        <w:rPr>
          <w:rFonts w:hint="eastAsia" w:eastAsia="宋体" w:cs="宋体"/>
          <w:color w:val="auto"/>
          <w:highlight w:val="none"/>
        </w:rPr>
        <w:t>2.2本招标项目的</w:t>
      </w:r>
      <w:r>
        <w:rPr>
          <w:rFonts w:hint="eastAsia" w:eastAsia="宋体" w:cs="宋体"/>
          <w:bCs w:val="0"/>
          <w:color w:val="auto"/>
          <w:highlight w:val="none"/>
        </w:rPr>
        <w:t>合同履行期限：</w:t>
      </w:r>
      <w:r>
        <w:rPr>
          <w:rFonts w:hint="eastAsia" w:eastAsia="宋体" w:cs="宋体"/>
          <w:color w:val="auto"/>
          <w:highlight w:val="none"/>
        </w:rPr>
        <w:t>见“投标须知前附表”。</w:t>
      </w:r>
    </w:p>
    <w:p w14:paraId="3374CD59">
      <w:pPr>
        <w:pStyle w:val="22"/>
        <w:ind w:firstLineChars="200"/>
        <w:rPr>
          <w:rFonts w:hint="eastAsia" w:eastAsia="宋体" w:cs="宋体"/>
          <w:b/>
          <w:color w:val="auto"/>
          <w:highlight w:val="none"/>
        </w:rPr>
      </w:pPr>
      <w:r>
        <w:rPr>
          <w:rFonts w:hint="eastAsia" w:eastAsia="宋体" w:cs="宋体"/>
          <w:b/>
          <w:color w:val="auto"/>
          <w:highlight w:val="none"/>
        </w:rPr>
        <w:t>3.投标人资格要求：见“投标须知前附表”。</w:t>
      </w:r>
    </w:p>
    <w:p w14:paraId="58A76006">
      <w:pPr>
        <w:pStyle w:val="22"/>
        <w:ind w:firstLineChars="200"/>
        <w:rPr>
          <w:rFonts w:hint="eastAsia" w:eastAsia="宋体" w:cs="宋体"/>
          <w:b/>
          <w:color w:val="auto"/>
          <w:highlight w:val="none"/>
        </w:rPr>
      </w:pPr>
      <w:r>
        <w:rPr>
          <w:rFonts w:hint="eastAsia" w:eastAsia="宋体" w:cs="宋体"/>
          <w:b/>
          <w:color w:val="auto"/>
          <w:highlight w:val="none"/>
        </w:rPr>
        <w:t>4.投标费用</w:t>
      </w:r>
    </w:p>
    <w:p w14:paraId="6C5619BA">
      <w:pPr>
        <w:pStyle w:val="22"/>
        <w:ind w:firstLine="480" w:firstLineChars="200"/>
        <w:rPr>
          <w:rFonts w:hint="eastAsia" w:eastAsia="宋体" w:cs="宋体"/>
          <w:color w:val="auto"/>
          <w:highlight w:val="none"/>
        </w:rPr>
      </w:pPr>
      <w:r>
        <w:rPr>
          <w:rFonts w:hint="eastAsia" w:eastAsia="宋体" w:cs="宋体"/>
          <w:color w:val="auto"/>
          <w:highlight w:val="none"/>
        </w:rPr>
        <w:t>4.1投标人在投标过程中的一切费用，不论中标与否，均由投标人自负，采购人和采购代理机构在任何情况下均无义务和责任承担这些费用。</w:t>
      </w:r>
    </w:p>
    <w:p w14:paraId="3FCCC113">
      <w:pPr>
        <w:pStyle w:val="22"/>
        <w:ind w:firstLineChars="200"/>
        <w:rPr>
          <w:rFonts w:hint="eastAsia" w:eastAsia="宋体" w:cs="宋体"/>
          <w:b/>
          <w:color w:val="auto"/>
          <w:highlight w:val="none"/>
        </w:rPr>
      </w:pPr>
      <w:r>
        <w:rPr>
          <w:rFonts w:hint="eastAsia" w:eastAsia="宋体" w:cs="宋体"/>
          <w:b/>
          <w:color w:val="auto"/>
          <w:highlight w:val="none"/>
        </w:rPr>
        <w:t>4.2招标代理服务收费标准</w:t>
      </w:r>
    </w:p>
    <w:p w14:paraId="59264197">
      <w:pPr>
        <w:pStyle w:val="22"/>
        <w:ind w:firstLine="480" w:firstLineChars="200"/>
        <w:rPr>
          <w:rFonts w:hint="eastAsia" w:eastAsia="宋体" w:cs="宋体"/>
          <w:color w:val="auto"/>
          <w:highlight w:val="none"/>
        </w:rPr>
      </w:pPr>
      <w:r>
        <w:rPr>
          <w:rFonts w:hint="eastAsia" w:eastAsia="宋体" w:cs="宋体"/>
          <w:color w:val="auto"/>
          <w:highlight w:val="none"/>
        </w:rPr>
        <w:t>4.2.1根据关于印发《云南省建设工程招标代理服务收费参考意见》的通知（云建招协[2024]58号）收费标准，优惠下浮55.00%后收取，由中标单位在领取中标通知书前一次性支付。</w:t>
      </w:r>
    </w:p>
    <w:p w14:paraId="4DF8F98A">
      <w:pPr>
        <w:pStyle w:val="22"/>
        <w:ind w:firstLine="480" w:firstLineChars="200"/>
        <w:rPr>
          <w:rFonts w:hint="eastAsia" w:eastAsia="宋体" w:cs="宋体"/>
          <w:b/>
          <w:bCs w:val="0"/>
          <w:color w:val="auto"/>
          <w:highlight w:val="none"/>
        </w:rPr>
      </w:pPr>
      <w:r>
        <w:rPr>
          <w:rFonts w:hint="eastAsia" w:eastAsia="宋体" w:cs="宋体"/>
          <w:color w:val="auto"/>
          <w:highlight w:val="none"/>
        </w:rPr>
        <w:t>4.2.2招标代理服务费的缴纳形式：由中标单位在领取中标通知书前一次性支付。可用银行转账或电汇的付款方式；</w:t>
      </w:r>
      <w:r>
        <w:rPr>
          <w:rFonts w:hint="eastAsia" w:eastAsia="宋体" w:cs="宋体"/>
          <w:b/>
          <w:bCs w:val="0"/>
          <w:color w:val="auto"/>
          <w:highlight w:val="none"/>
        </w:rPr>
        <w:t>（汇款备注：项目简称+标段+包号）</w:t>
      </w:r>
    </w:p>
    <w:p w14:paraId="78808C90">
      <w:pPr>
        <w:pStyle w:val="22"/>
        <w:ind w:firstLine="480" w:firstLineChars="200"/>
        <w:rPr>
          <w:rFonts w:hint="eastAsia" w:eastAsia="宋体" w:cs="宋体"/>
          <w:color w:val="auto"/>
          <w:highlight w:val="none"/>
        </w:rPr>
      </w:pPr>
      <w:r>
        <w:rPr>
          <w:rFonts w:hint="eastAsia" w:eastAsia="宋体" w:cs="宋体"/>
          <w:color w:val="auto"/>
          <w:highlight w:val="none"/>
        </w:rPr>
        <w:t>采购代理服务费缴纳账户信息：</w:t>
      </w:r>
    </w:p>
    <w:p w14:paraId="2BE17AA0">
      <w:pPr>
        <w:pStyle w:val="22"/>
        <w:ind w:firstLineChars="200"/>
        <w:rPr>
          <w:rFonts w:hint="eastAsia" w:eastAsia="宋体" w:cs="宋体"/>
          <w:b/>
          <w:color w:val="auto"/>
          <w:highlight w:val="none"/>
        </w:rPr>
      </w:pPr>
      <w:r>
        <w:rPr>
          <w:rFonts w:hint="eastAsia" w:eastAsia="宋体" w:cs="宋体"/>
          <w:b/>
          <w:color w:val="auto"/>
          <w:highlight w:val="none"/>
        </w:rPr>
        <w:t>账户名称：云南中诏项目管理有限公司</w:t>
      </w:r>
    </w:p>
    <w:p w14:paraId="2FED8596">
      <w:pPr>
        <w:pStyle w:val="22"/>
        <w:ind w:firstLineChars="200"/>
        <w:rPr>
          <w:rFonts w:hint="eastAsia" w:eastAsia="宋体" w:cs="宋体"/>
          <w:b/>
          <w:color w:val="auto"/>
          <w:highlight w:val="none"/>
        </w:rPr>
      </w:pPr>
      <w:r>
        <w:rPr>
          <w:rFonts w:hint="eastAsia" w:eastAsia="宋体" w:cs="宋体"/>
          <w:b/>
          <w:color w:val="auto"/>
          <w:highlight w:val="none"/>
        </w:rPr>
        <w:t>开户银行：云南红塔银行股份有限公司万商汇支行</w:t>
      </w:r>
    </w:p>
    <w:p w14:paraId="63338421">
      <w:pPr>
        <w:pStyle w:val="22"/>
        <w:ind w:firstLineChars="200"/>
        <w:rPr>
          <w:rFonts w:hint="eastAsia" w:eastAsia="宋体" w:cs="宋体"/>
          <w:b/>
          <w:color w:val="auto"/>
          <w:highlight w:val="none"/>
        </w:rPr>
      </w:pPr>
      <w:r>
        <w:rPr>
          <w:rFonts w:hint="eastAsia" w:eastAsia="宋体" w:cs="宋体"/>
          <w:b/>
          <w:color w:val="auto"/>
          <w:highlight w:val="none"/>
        </w:rPr>
        <w:t>账号：3201520000000038</w:t>
      </w:r>
    </w:p>
    <w:p w14:paraId="58AFA670">
      <w:pPr>
        <w:pStyle w:val="22"/>
        <w:ind w:firstLineChars="200"/>
        <w:rPr>
          <w:rFonts w:hint="eastAsia" w:eastAsia="宋体" w:cs="宋体"/>
          <w:b/>
          <w:color w:val="auto"/>
          <w:highlight w:val="none"/>
        </w:rPr>
      </w:pPr>
      <w:r>
        <w:rPr>
          <w:rFonts w:hint="eastAsia" w:eastAsia="宋体" w:cs="宋体"/>
          <w:b/>
          <w:color w:val="auto"/>
          <w:highlight w:val="none"/>
        </w:rPr>
        <w:t>联系电话：13608772096</w:t>
      </w:r>
    </w:p>
    <w:p w14:paraId="320D4423">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49" w:name="_Toc213841075"/>
      <w:bookmarkStart w:id="50" w:name="_Toc357500952"/>
      <w:bookmarkStart w:id="51" w:name="_Toc218692268"/>
      <w:bookmarkStart w:id="52" w:name="_Toc248232090"/>
      <w:bookmarkStart w:id="53" w:name="_Toc357158880"/>
      <w:bookmarkStart w:id="54" w:name="_Toc19245"/>
      <w:bookmarkStart w:id="55" w:name="_Toc227816957"/>
      <w:r>
        <w:rPr>
          <w:rFonts w:hint="eastAsia" w:ascii="宋体" w:hAnsi="宋体" w:eastAsia="宋体"/>
          <w:color w:val="auto"/>
          <w:sz w:val="28"/>
          <w:szCs w:val="28"/>
          <w:highlight w:val="none"/>
        </w:rPr>
        <w:t>二、招标文件</w:t>
      </w:r>
      <w:bookmarkEnd w:id="49"/>
      <w:bookmarkEnd w:id="50"/>
      <w:bookmarkEnd w:id="51"/>
      <w:bookmarkEnd w:id="52"/>
      <w:bookmarkEnd w:id="53"/>
      <w:bookmarkEnd w:id="54"/>
    </w:p>
    <w:bookmarkEnd w:id="55"/>
    <w:p w14:paraId="4F623F72">
      <w:pPr>
        <w:pStyle w:val="22"/>
        <w:ind w:firstLineChars="200"/>
        <w:rPr>
          <w:rFonts w:hint="eastAsia" w:eastAsia="宋体" w:cs="宋体"/>
          <w:b/>
          <w:color w:val="auto"/>
          <w:highlight w:val="none"/>
        </w:rPr>
      </w:pPr>
      <w:r>
        <w:rPr>
          <w:rFonts w:hint="eastAsia" w:eastAsia="宋体" w:cs="宋体"/>
          <w:b/>
          <w:color w:val="auto"/>
          <w:highlight w:val="none"/>
        </w:rPr>
        <w:t>5.招标文件的组成</w:t>
      </w:r>
    </w:p>
    <w:p w14:paraId="2AA30A8A">
      <w:pPr>
        <w:pStyle w:val="22"/>
        <w:ind w:firstLine="480" w:firstLineChars="200"/>
        <w:rPr>
          <w:rFonts w:hint="eastAsia" w:eastAsia="宋体" w:cs="宋体"/>
          <w:color w:val="auto"/>
          <w:highlight w:val="none"/>
        </w:rPr>
      </w:pPr>
      <w:r>
        <w:rPr>
          <w:rFonts w:hint="eastAsia" w:eastAsia="宋体" w:cs="宋体"/>
          <w:color w:val="auto"/>
          <w:highlight w:val="none"/>
        </w:rPr>
        <w:t>5.1招标文件包括本招标文件目录和附件所示的全部内容。</w:t>
      </w:r>
    </w:p>
    <w:p w14:paraId="35579523">
      <w:pPr>
        <w:pStyle w:val="22"/>
        <w:ind w:firstLine="480" w:firstLineChars="200"/>
        <w:rPr>
          <w:rFonts w:hint="eastAsia" w:eastAsia="宋体" w:cs="宋体"/>
          <w:color w:val="auto"/>
          <w:highlight w:val="none"/>
        </w:rPr>
      </w:pPr>
      <w:r>
        <w:rPr>
          <w:rFonts w:hint="eastAsia" w:eastAsia="宋体" w:cs="宋体"/>
          <w:color w:val="auto"/>
          <w:highlight w:val="none"/>
        </w:rPr>
        <w:t>5.2除5.1内容外，采购人在提交投标文件截止前，以书面形式发出的对招标文件的澄清或修改内容，均为招标文件的组成部分，对采购人、采购代理机构和投标人起约束作用。</w:t>
      </w:r>
    </w:p>
    <w:p w14:paraId="3BE10E9D">
      <w:pPr>
        <w:pStyle w:val="22"/>
        <w:ind w:firstLine="480" w:firstLineChars="200"/>
        <w:rPr>
          <w:rFonts w:hint="eastAsia" w:eastAsia="宋体" w:cs="宋体"/>
          <w:color w:val="auto"/>
          <w:highlight w:val="none"/>
        </w:rPr>
      </w:pPr>
      <w:r>
        <w:rPr>
          <w:rFonts w:hint="eastAsia" w:eastAsia="宋体" w:cs="宋体"/>
          <w:color w:val="auto"/>
          <w:highlight w:val="none"/>
        </w:rPr>
        <w:t>5.3投标人获取招标文件后，应仔细检查招标文件的所有内容，如有残缺等问题应在获得招标文件5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根据有关条款规定，该投标有可能被拒绝，其风险由投标人自行承担。</w:t>
      </w:r>
    </w:p>
    <w:p w14:paraId="2CB02064">
      <w:pPr>
        <w:pStyle w:val="22"/>
        <w:ind w:firstLineChars="200"/>
        <w:rPr>
          <w:rFonts w:hint="eastAsia" w:eastAsia="宋体" w:cs="宋体"/>
          <w:b/>
          <w:color w:val="auto"/>
          <w:highlight w:val="none"/>
        </w:rPr>
      </w:pPr>
      <w:r>
        <w:rPr>
          <w:rFonts w:hint="eastAsia" w:eastAsia="宋体" w:cs="宋体"/>
          <w:b/>
          <w:color w:val="auto"/>
          <w:highlight w:val="none"/>
        </w:rPr>
        <w:t>6.招标文件的澄清、修改、补充</w:t>
      </w:r>
    </w:p>
    <w:p w14:paraId="3BBB2D96">
      <w:pPr>
        <w:pStyle w:val="22"/>
        <w:ind w:firstLine="480" w:firstLineChars="200"/>
        <w:rPr>
          <w:rFonts w:hint="eastAsia" w:eastAsia="宋体" w:cs="宋体"/>
          <w:color w:val="auto"/>
          <w:highlight w:val="none"/>
        </w:rPr>
      </w:pPr>
      <w:r>
        <w:rPr>
          <w:rFonts w:hint="eastAsia" w:eastAsia="宋体" w:cs="宋体"/>
          <w:color w:val="auto"/>
          <w:highlight w:val="none"/>
        </w:rPr>
        <w:t>6.1投标人应仔细阅读和检查招标文件的全部内容。如发现缺页或附件不全，应及时向采购人提出，以便补齐。如有疑问，应在投标人须知前附表规定的时间前以书面形式送达云南中诏项目管理有限公司或扫描发送至zhongzhaogl@163.com邮箱，要求采购人对招标文件予以澄清。</w:t>
      </w:r>
    </w:p>
    <w:p w14:paraId="034C446C">
      <w:pPr>
        <w:pStyle w:val="22"/>
        <w:ind w:firstLine="480" w:firstLineChars="200"/>
        <w:rPr>
          <w:rFonts w:hint="eastAsia" w:eastAsia="宋体" w:cs="宋体"/>
          <w:color w:val="auto"/>
          <w:highlight w:val="none"/>
        </w:rPr>
      </w:pPr>
      <w:r>
        <w:rPr>
          <w:rFonts w:hint="eastAsia" w:eastAsia="宋体" w:cs="宋体"/>
          <w:color w:val="auto"/>
          <w:highlight w:val="none"/>
        </w:rPr>
        <w:t>6.2 如果澄清发出的时间距投标人须知前附表规定的投标截止时间不足15天，并且澄清内容影响投标文件编制的，将相应延长投标截止时间。</w:t>
      </w:r>
    </w:p>
    <w:p w14:paraId="521570F2">
      <w:pPr>
        <w:pStyle w:val="22"/>
        <w:ind w:firstLine="480" w:firstLineChars="200"/>
        <w:rPr>
          <w:rFonts w:hint="eastAsia" w:eastAsia="宋体" w:cs="宋体"/>
          <w:color w:val="auto"/>
          <w:highlight w:val="none"/>
        </w:rPr>
      </w:pPr>
      <w:r>
        <w:rPr>
          <w:rFonts w:hint="eastAsia" w:eastAsia="宋体" w:cs="宋体"/>
          <w:color w:val="auto"/>
          <w:highlight w:val="none"/>
        </w:rPr>
        <w:t>6.3招标澄清和补遗全部通过书面或邮件形式送达，请投标人在收到澄清和补遗当日内，在澄清和补遗上加盖单位公章并由法定代表人或委托代理人亲笔签字确认收到后，回传招标代理公司。</w:t>
      </w:r>
    </w:p>
    <w:p w14:paraId="46B68B62">
      <w:pPr>
        <w:pStyle w:val="22"/>
        <w:ind w:firstLineChars="200"/>
        <w:rPr>
          <w:rFonts w:hint="eastAsia" w:eastAsia="宋体" w:cs="宋体"/>
          <w:b/>
          <w:color w:val="auto"/>
          <w:highlight w:val="none"/>
        </w:rPr>
      </w:pPr>
      <w:r>
        <w:rPr>
          <w:rFonts w:hint="eastAsia" w:eastAsia="宋体" w:cs="宋体"/>
          <w:b/>
          <w:color w:val="auto"/>
          <w:highlight w:val="none"/>
        </w:rPr>
        <w:t>7.解释权</w:t>
      </w:r>
    </w:p>
    <w:p w14:paraId="50ACCC87">
      <w:pPr>
        <w:pStyle w:val="22"/>
        <w:ind w:firstLine="480" w:firstLineChars="200"/>
        <w:rPr>
          <w:rFonts w:hint="eastAsia" w:eastAsia="宋体" w:cs="宋体"/>
          <w:color w:val="auto"/>
          <w:highlight w:val="none"/>
        </w:rPr>
      </w:pPr>
      <w:r>
        <w:rPr>
          <w:rFonts w:hint="eastAsia" w:eastAsia="宋体" w:cs="宋体"/>
          <w:color w:val="auto"/>
          <w:highlight w:val="none"/>
        </w:rPr>
        <w:t>7.1本次招标的最终解释权归采购代理机构，当对一个问题有多种解释时以采购代理机构的最终书面解释为准。</w:t>
      </w:r>
    </w:p>
    <w:p w14:paraId="564320C0">
      <w:pPr>
        <w:pStyle w:val="22"/>
        <w:ind w:firstLine="480" w:firstLineChars="200"/>
        <w:rPr>
          <w:rFonts w:hint="eastAsia" w:eastAsia="宋体" w:cs="宋体"/>
          <w:color w:val="auto"/>
          <w:highlight w:val="none"/>
        </w:rPr>
      </w:pPr>
      <w:r>
        <w:rPr>
          <w:rFonts w:hint="eastAsia" w:eastAsia="宋体" w:cs="宋体"/>
          <w:color w:val="auto"/>
          <w:highlight w:val="none"/>
        </w:rPr>
        <w:t>7.2招标文件未做须知明示，而又有相关法律、法规和规章规定的，采购代理机构对此所做解释以相关的法律、法规和规章的规定为依据。</w:t>
      </w:r>
    </w:p>
    <w:p w14:paraId="6B835F79">
      <w:pPr>
        <w:pStyle w:val="22"/>
        <w:ind w:firstLine="480" w:firstLineChars="200"/>
        <w:rPr>
          <w:rFonts w:hint="eastAsia" w:eastAsia="宋体" w:cs="宋体"/>
          <w:color w:val="auto"/>
          <w:highlight w:val="none"/>
        </w:rPr>
      </w:pPr>
      <w:r>
        <w:rPr>
          <w:rFonts w:hint="eastAsia" w:eastAsia="宋体" w:cs="宋体"/>
          <w:color w:val="auto"/>
          <w:highlight w:val="none"/>
        </w:rPr>
        <w:t>7.3若投标人未按招标文件的规定提出异议，则视为投标人同意及接受本招标文件之全部内容及条款。</w:t>
      </w:r>
    </w:p>
    <w:p w14:paraId="1ED71485">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56" w:name="_Toc218692269"/>
      <w:bookmarkStart w:id="57" w:name="_Toc357500953"/>
      <w:bookmarkStart w:id="58" w:name="_Toc357158881"/>
      <w:bookmarkStart w:id="59" w:name="_Toc227816958"/>
      <w:bookmarkStart w:id="60" w:name="_Toc4451"/>
      <w:r>
        <w:rPr>
          <w:rFonts w:hint="eastAsia" w:ascii="宋体" w:hAnsi="宋体" w:eastAsia="宋体"/>
          <w:color w:val="auto"/>
          <w:sz w:val="28"/>
          <w:szCs w:val="28"/>
          <w:highlight w:val="none"/>
        </w:rPr>
        <w:t>三、投标文件</w:t>
      </w:r>
      <w:bookmarkEnd w:id="56"/>
      <w:bookmarkEnd w:id="57"/>
      <w:bookmarkEnd w:id="58"/>
      <w:bookmarkEnd w:id="59"/>
      <w:bookmarkEnd w:id="60"/>
    </w:p>
    <w:p w14:paraId="0C9CB0DF">
      <w:pPr>
        <w:pStyle w:val="22"/>
        <w:ind w:firstLineChars="200"/>
        <w:contextualSpacing/>
        <w:rPr>
          <w:rFonts w:hint="eastAsia" w:eastAsia="宋体" w:cs="宋体"/>
          <w:b/>
          <w:color w:val="auto"/>
          <w:highlight w:val="none"/>
        </w:rPr>
      </w:pPr>
      <w:r>
        <w:rPr>
          <w:rFonts w:hint="eastAsia" w:eastAsia="宋体" w:cs="宋体"/>
          <w:b/>
          <w:color w:val="auto"/>
          <w:highlight w:val="none"/>
        </w:rPr>
        <w:t>8.投标文件的语言及度量衡单位</w:t>
      </w:r>
    </w:p>
    <w:p w14:paraId="17A4CBD0">
      <w:pPr>
        <w:pStyle w:val="22"/>
        <w:ind w:firstLine="480" w:firstLineChars="200"/>
        <w:contextualSpacing/>
        <w:rPr>
          <w:rFonts w:hint="eastAsia" w:eastAsia="宋体" w:cs="宋体"/>
          <w:color w:val="auto"/>
          <w:highlight w:val="none"/>
        </w:rPr>
      </w:pPr>
      <w:r>
        <w:rPr>
          <w:rFonts w:hint="eastAsia" w:eastAsia="宋体" w:cs="宋体"/>
          <w:color w:val="auto"/>
          <w:highlight w:val="none"/>
        </w:rPr>
        <w:t>8.1投标人提交的投标文件以及投标人与云南中诏项目管理有限公司就有关投标的所有来往函电均应使用中文。投标人可以提交其他语言打印的资料，但有关的段落必须翻译成中文，在有差异和矛盾时以中文为准。字体要便于辨识。</w:t>
      </w:r>
    </w:p>
    <w:p w14:paraId="0CA4FB41">
      <w:pPr>
        <w:pStyle w:val="22"/>
        <w:ind w:firstLine="480" w:firstLineChars="200"/>
        <w:contextualSpacing/>
        <w:rPr>
          <w:rFonts w:hint="eastAsia" w:eastAsia="宋体" w:cs="宋体"/>
          <w:color w:val="auto"/>
          <w:highlight w:val="none"/>
        </w:rPr>
      </w:pPr>
      <w:r>
        <w:rPr>
          <w:rFonts w:hint="eastAsia" w:eastAsia="宋体" w:cs="宋体"/>
          <w:color w:val="auto"/>
          <w:highlight w:val="none"/>
        </w:rPr>
        <w:t>8.2若有非中文版印刷的技术资料、资格证书等，投标人应提供符合中国有关法律、法规和规章的中文译本，并以中文译本为准。</w:t>
      </w:r>
    </w:p>
    <w:p w14:paraId="4FADB12C">
      <w:pPr>
        <w:pStyle w:val="22"/>
        <w:ind w:firstLine="480" w:firstLineChars="200"/>
        <w:contextualSpacing/>
        <w:rPr>
          <w:rFonts w:hint="eastAsia" w:eastAsia="宋体" w:cs="宋体"/>
          <w:color w:val="auto"/>
          <w:highlight w:val="none"/>
        </w:rPr>
      </w:pPr>
      <w:r>
        <w:rPr>
          <w:rFonts w:hint="eastAsia" w:eastAsia="宋体" w:cs="宋体"/>
          <w:color w:val="auto"/>
          <w:highlight w:val="none"/>
        </w:rPr>
        <w:t>8.3投标文件中所使用的度量衡单位，除招标文件中有特殊要求外，一律采用中华人民共和国公制单位。</w:t>
      </w:r>
    </w:p>
    <w:p w14:paraId="053DBBBE">
      <w:pPr>
        <w:pStyle w:val="22"/>
        <w:ind w:firstLineChars="200"/>
        <w:contextualSpacing/>
        <w:rPr>
          <w:rFonts w:hint="eastAsia" w:eastAsia="宋体" w:cs="宋体"/>
          <w:b/>
          <w:color w:val="auto"/>
          <w:highlight w:val="none"/>
        </w:rPr>
      </w:pPr>
      <w:r>
        <w:rPr>
          <w:rFonts w:hint="eastAsia" w:eastAsia="宋体" w:cs="宋体"/>
          <w:b/>
          <w:color w:val="auto"/>
          <w:highlight w:val="none"/>
        </w:rPr>
        <w:t>9.投标文件的组成</w:t>
      </w:r>
    </w:p>
    <w:p w14:paraId="2CBEF1B9">
      <w:pPr>
        <w:pStyle w:val="22"/>
        <w:ind w:firstLine="480" w:firstLineChars="200"/>
        <w:contextualSpacing/>
        <w:rPr>
          <w:rFonts w:hint="eastAsia" w:eastAsia="宋体" w:cs="宋体"/>
          <w:color w:val="auto"/>
          <w:highlight w:val="none"/>
        </w:rPr>
      </w:pPr>
      <w:r>
        <w:rPr>
          <w:rFonts w:hint="eastAsia" w:eastAsia="宋体" w:cs="宋体"/>
          <w:color w:val="auto"/>
          <w:highlight w:val="none"/>
        </w:rPr>
        <w:t>（1）开标一览表</w:t>
      </w:r>
    </w:p>
    <w:p w14:paraId="2545302B">
      <w:pPr>
        <w:pStyle w:val="22"/>
        <w:ind w:firstLine="480" w:firstLineChars="200"/>
        <w:contextualSpacing/>
        <w:rPr>
          <w:rFonts w:hint="eastAsia" w:eastAsia="宋体" w:cs="宋体"/>
          <w:color w:val="auto"/>
          <w:highlight w:val="none"/>
        </w:rPr>
      </w:pPr>
      <w:r>
        <w:rPr>
          <w:rFonts w:hint="eastAsia" w:eastAsia="宋体" w:cs="宋体"/>
          <w:color w:val="auto"/>
          <w:highlight w:val="none"/>
        </w:rPr>
        <w:t>（2）资格审查部分</w:t>
      </w:r>
    </w:p>
    <w:p w14:paraId="2CC4DE86">
      <w:pPr>
        <w:pStyle w:val="22"/>
        <w:ind w:firstLine="480" w:firstLineChars="200"/>
        <w:contextualSpacing/>
        <w:rPr>
          <w:rFonts w:hint="eastAsia" w:eastAsia="宋体" w:cs="宋体"/>
          <w:color w:val="auto"/>
          <w:highlight w:val="none"/>
        </w:rPr>
      </w:pPr>
      <w:r>
        <w:rPr>
          <w:rFonts w:hint="eastAsia" w:eastAsia="宋体" w:cs="宋体"/>
          <w:color w:val="auto"/>
          <w:highlight w:val="none"/>
        </w:rPr>
        <w:t>（3）投标函及商务部分</w:t>
      </w:r>
    </w:p>
    <w:p w14:paraId="2048122B">
      <w:pPr>
        <w:pStyle w:val="22"/>
        <w:ind w:firstLine="480" w:firstLineChars="200"/>
        <w:contextualSpacing/>
        <w:rPr>
          <w:rFonts w:hint="eastAsia" w:eastAsia="宋体" w:cs="宋体"/>
          <w:color w:val="auto"/>
          <w:highlight w:val="none"/>
        </w:rPr>
      </w:pPr>
      <w:r>
        <w:rPr>
          <w:rFonts w:hint="eastAsia" w:eastAsia="宋体" w:cs="宋体"/>
          <w:color w:val="auto"/>
          <w:highlight w:val="none"/>
        </w:rPr>
        <w:t>（3）投标报价部分</w:t>
      </w:r>
    </w:p>
    <w:p w14:paraId="2478DC02">
      <w:pPr>
        <w:pStyle w:val="22"/>
        <w:ind w:firstLine="480" w:firstLineChars="200"/>
        <w:contextualSpacing/>
        <w:rPr>
          <w:rFonts w:hint="eastAsia" w:eastAsia="宋体" w:cs="宋体"/>
          <w:color w:val="auto"/>
          <w:highlight w:val="none"/>
        </w:rPr>
      </w:pPr>
      <w:r>
        <w:rPr>
          <w:rFonts w:hint="eastAsia" w:eastAsia="宋体" w:cs="宋体"/>
          <w:color w:val="auto"/>
          <w:highlight w:val="none"/>
        </w:rPr>
        <w:t>（4）投标文件技术部分</w:t>
      </w:r>
    </w:p>
    <w:p w14:paraId="08B35265">
      <w:pPr>
        <w:pStyle w:val="22"/>
        <w:ind w:firstLineChars="200"/>
        <w:contextualSpacing/>
        <w:rPr>
          <w:rFonts w:hint="eastAsia" w:eastAsia="宋体" w:cs="宋体"/>
          <w:b/>
          <w:color w:val="auto"/>
          <w:highlight w:val="none"/>
        </w:rPr>
      </w:pPr>
      <w:r>
        <w:rPr>
          <w:rFonts w:hint="eastAsia" w:eastAsia="宋体" w:cs="宋体"/>
          <w:b/>
          <w:color w:val="auto"/>
          <w:highlight w:val="none"/>
        </w:rPr>
        <w:t>10.投标报价</w:t>
      </w:r>
    </w:p>
    <w:p w14:paraId="3F2FE2EB">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10.1投标人应按竞争性磋商文件规定的报价格式进行投标报价；</w:t>
      </w:r>
    </w:p>
    <w:p w14:paraId="3D7300C9">
      <w:pPr>
        <w:pStyle w:val="22"/>
        <w:ind w:firstLineChars="200"/>
        <w:contextualSpacing/>
        <w:rPr>
          <w:rFonts w:hint="eastAsia" w:eastAsia="宋体" w:cs="宋体"/>
          <w:b/>
          <w:color w:val="auto"/>
          <w:highlight w:val="none"/>
        </w:rPr>
      </w:pPr>
      <w:r>
        <w:rPr>
          <w:rFonts w:hint="eastAsia" w:eastAsia="宋体" w:cs="宋体"/>
          <w:b/>
          <w:color w:val="auto"/>
          <w:highlight w:val="none"/>
        </w:rPr>
        <w:t>①报价采用按实际市场平均价优惠下浮报价，所有食品、食材报价的下浮比例只允许唯一报价；参与投标的企业须在标书中明确，供给学校的各种食品食材价格的优惠下浮比例。</w:t>
      </w:r>
    </w:p>
    <w:p w14:paraId="40D3D00F">
      <w:pPr>
        <w:pStyle w:val="22"/>
        <w:ind w:firstLineChars="200"/>
        <w:contextualSpacing/>
        <w:rPr>
          <w:rFonts w:hint="eastAsia" w:eastAsia="宋体" w:cs="宋体"/>
          <w:bCs w:val="0"/>
          <w:color w:val="auto"/>
          <w:highlight w:val="none"/>
        </w:rPr>
      </w:pPr>
      <w:r>
        <w:rPr>
          <w:rFonts w:hint="eastAsia" w:eastAsia="宋体" w:cs="宋体"/>
          <w:b/>
          <w:color w:val="auto"/>
          <w:highlight w:val="none"/>
        </w:rPr>
        <w:t>②实际市场平均价：本项目食材市场平均价，</w:t>
      </w:r>
      <w:r>
        <w:rPr>
          <w:rFonts w:hint="eastAsia" w:eastAsia="宋体" w:cs="宋体"/>
          <w:b/>
          <w:color w:val="auto"/>
          <w:highlight w:val="none"/>
          <w:lang w:eastAsia="zh-CN"/>
        </w:rPr>
        <w:t>大米、食用油、面粉、面条、奶制品、米线（含卷粉、饵丝等）、烘焙糕点、干菜调料、干果、糖果类、预包装食品等价格波动不大的食材一学年询价一次，肉类（含猪、牛、羊、禽、水产品等）、蔬菜（含豆制品类）、水果等价格波动大的食材每月询价一次。</w:t>
      </w:r>
      <w:r>
        <w:rPr>
          <w:rFonts w:hint="eastAsia" w:eastAsia="宋体" w:cs="宋体"/>
          <w:b/>
          <w:color w:val="auto"/>
          <w:highlight w:val="none"/>
        </w:rPr>
        <w:t>由学校、膳食监督委员会家委</w:t>
      </w:r>
      <w:r>
        <w:rPr>
          <w:rFonts w:hint="eastAsia" w:eastAsia="宋体" w:cs="宋体"/>
          <w:b/>
          <w:color w:val="auto"/>
          <w:highlight w:val="none"/>
          <w:lang w:eastAsia="zh-CN"/>
        </w:rPr>
        <w:t>、</w:t>
      </w:r>
      <w:r>
        <w:rPr>
          <w:rFonts w:hint="eastAsia" w:eastAsia="宋体" w:cs="宋体"/>
          <w:b/>
          <w:color w:val="auto"/>
          <w:highlight w:val="none"/>
          <w:lang w:val="en-US" w:eastAsia="zh-CN"/>
        </w:rPr>
        <w:t>中标供应商</w:t>
      </w:r>
      <w:r>
        <w:rPr>
          <w:rFonts w:hint="eastAsia" w:eastAsia="宋体" w:cs="宋体"/>
          <w:b/>
          <w:color w:val="auto"/>
          <w:highlight w:val="none"/>
        </w:rPr>
        <w:t>等相关部门组成询价小组每月到澄江市辖区内市场或商铺不少于三家的均值及市场询价后定价。③采购人有特殊要求的货物，经双方协商后定价。</w:t>
      </w:r>
    </w:p>
    <w:p w14:paraId="36CED278">
      <w:pPr>
        <w:pStyle w:val="22"/>
        <w:ind w:firstLine="480" w:firstLineChars="200"/>
        <w:contextualSpacing/>
        <w:rPr>
          <w:rFonts w:hint="eastAsia" w:eastAsia="宋体" w:cs="宋体"/>
          <w:b/>
          <w:color w:val="auto"/>
          <w:highlight w:val="none"/>
          <w:lang w:eastAsia="zh-CN"/>
        </w:rPr>
      </w:pPr>
      <w:r>
        <w:rPr>
          <w:rFonts w:hint="eastAsia" w:eastAsia="宋体" w:cs="宋体"/>
          <w:bCs w:val="0"/>
          <w:color w:val="auto"/>
          <w:highlight w:val="none"/>
          <w:lang w:val="en-US" w:eastAsia="zh-CN"/>
        </w:rPr>
        <w:t>10.2定价条款：项目中标后，供应商需根据需求品类、品牌、规格等要求先行报价；询价小组同步开展市场询价工作。若供应商报价高于市场询价结果，以询价结果作为最终执行价；若供应商报价低于市场询价结果，则以供应商报价作为最终执行价</w:t>
      </w:r>
      <w:r>
        <w:rPr>
          <w:rFonts w:hint="eastAsia" w:eastAsia="宋体" w:cs="宋体"/>
          <w:bCs w:val="0"/>
          <w:color w:val="auto"/>
          <w:highlight w:val="none"/>
          <w:lang w:eastAsia="zh-CN"/>
        </w:rPr>
        <w:t>。</w:t>
      </w:r>
    </w:p>
    <w:p w14:paraId="7C7C7400">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10.</w:t>
      </w:r>
      <w:r>
        <w:rPr>
          <w:rFonts w:hint="eastAsia" w:eastAsia="宋体" w:cs="宋体"/>
          <w:bCs w:val="0"/>
          <w:color w:val="auto"/>
          <w:highlight w:val="none"/>
          <w:lang w:val="en-US" w:eastAsia="zh-CN"/>
        </w:rPr>
        <w:t>3</w:t>
      </w:r>
      <w:r>
        <w:rPr>
          <w:rFonts w:hint="eastAsia" w:eastAsia="宋体" w:cs="宋体"/>
          <w:bCs w:val="0"/>
          <w:color w:val="auto"/>
          <w:highlight w:val="none"/>
        </w:rPr>
        <w:t>投标报价应依据磋商文件的要求及有关资料，执行国家规定的技术、经济标准、定额及规范。投标报价不得高于市场参考价，报价包括但不限于生产、包装、运输、装卸、保险、税费、使用方送检和售后服务等一切费用。投标人应充分考虑本项目合同实施期间可能发生的一切费用，并承担由此而带来的风险。该报价应符合国内行情并能保证完成履行合同（服务期限内）所需的一切工作，恶意报价视为不能完全履行合同内容。</w:t>
      </w:r>
    </w:p>
    <w:p w14:paraId="6C8F3D81">
      <w:pPr>
        <w:pStyle w:val="22"/>
        <w:ind w:firstLineChars="200"/>
        <w:contextualSpacing/>
        <w:rPr>
          <w:rFonts w:hint="eastAsia" w:eastAsia="宋体" w:cs="宋体"/>
          <w:b/>
          <w:color w:val="auto"/>
          <w:highlight w:val="none"/>
        </w:rPr>
      </w:pPr>
      <w:r>
        <w:rPr>
          <w:rFonts w:hint="eastAsia" w:eastAsia="宋体" w:cs="宋体"/>
          <w:b/>
          <w:color w:val="auto"/>
          <w:highlight w:val="none"/>
        </w:rPr>
        <w:t>11.投标有效期</w:t>
      </w:r>
    </w:p>
    <w:p w14:paraId="2D8EE127">
      <w:pPr>
        <w:pStyle w:val="22"/>
        <w:ind w:firstLine="480" w:firstLineChars="200"/>
        <w:contextualSpacing/>
        <w:rPr>
          <w:rFonts w:hint="eastAsia" w:eastAsia="宋体" w:cs="宋体"/>
          <w:color w:val="auto"/>
          <w:highlight w:val="none"/>
        </w:rPr>
      </w:pPr>
      <w:r>
        <w:rPr>
          <w:rFonts w:hint="eastAsia" w:eastAsia="宋体" w:cs="宋体"/>
          <w:color w:val="auto"/>
          <w:highlight w:val="none"/>
        </w:rPr>
        <w:t>11.1本项目投标有效期见本须知前附表第12项所规定的期限，在此期限内，投标人不得要求撤销或修改其投标文件。</w:t>
      </w:r>
    </w:p>
    <w:p w14:paraId="22B5EB5A">
      <w:pPr>
        <w:pStyle w:val="22"/>
        <w:ind w:firstLine="480" w:firstLineChars="200"/>
        <w:contextualSpacing/>
        <w:rPr>
          <w:rFonts w:hint="eastAsia" w:eastAsia="宋体" w:cs="宋体"/>
          <w:color w:val="auto"/>
          <w:highlight w:val="none"/>
        </w:rPr>
      </w:pPr>
      <w:r>
        <w:rPr>
          <w:rFonts w:hint="eastAsia" w:eastAsia="宋体" w:cs="宋体"/>
          <w:color w:val="auto"/>
          <w:highlight w:val="none"/>
        </w:rPr>
        <w:t>11.2出现特殊情况需要延长投标有效期的，采购人以书面形式通知所有投标人延长投标有效期。投标人同意延长的，应相应延长其投标保证金的有效期；投标人拒绝延长的，其投标失效，但投标人有权收回其投标保证金。</w:t>
      </w:r>
    </w:p>
    <w:p w14:paraId="34B2E417">
      <w:pPr>
        <w:pStyle w:val="22"/>
        <w:ind w:firstLineChars="200"/>
        <w:contextualSpacing/>
        <w:rPr>
          <w:rFonts w:hint="eastAsia" w:eastAsia="宋体" w:cs="宋体"/>
          <w:b/>
          <w:color w:val="auto"/>
          <w:highlight w:val="none"/>
        </w:rPr>
      </w:pPr>
      <w:r>
        <w:rPr>
          <w:rFonts w:hint="eastAsia" w:eastAsia="宋体" w:cs="宋体"/>
          <w:b/>
          <w:color w:val="auto"/>
          <w:highlight w:val="none"/>
        </w:rPr>
        <w:t>12.投标保证金：详见投标须知前附表。</w:t>
      </w:r>
    </w:p>
    <w:p w14:paraId="21B56884">
      <w:pPr>
        <w:pStyle w:val="22"/>
        <w:ind w:firstLineChars="200"/>
        <w:contextualSpacing/>
        <w:rPr>
          <w:rFonts w:hint="eastAsia" w:eastAsia="宋体" w:cs="宋体"/>
          <w:b/>
          <w:color w:val="auto"/>
          <w:highlight w:val="none"/>
        </w:rPr>
      </w:pPr>
      <w:r>
        <w:rPr>
          <w:rFonts w:hint="eastAsia" w:eastAsia="宋体" w:cs="宋体"/>
          <w:b/>
          <w:color w:val="auto"/>
          <w:highlight w:val="none"/>
        </w:rPr>
        <w:t>13.投标文件的编制</w:t>
      </w:r>
    </w:p>
    <w:p w14:paraId="1659E98C">
      <w:pPr>
        <w:pStyle w:val="22"/>
        <w:ind w:firstLine="480" w:firstLineChars="200"/>
        <w:contextualSpacing/>
        <w:rPr>
          <w:rFonts w:hint="eastAsia" w:eastAsia="宋体" w:cs="宋体"/>
          <w:bCs w:val="0"/>
          <w:color w:val="auto"/>
          <w:highlight w:val="none"/>
        </w:rPr>
      </w:pPr>
      <w:bookmarkStart w:id="61" w:name="_Hlk74237685"/>
      <w:r>
        <w:rPr>
          <w:rFonts w:hint="eastAsia" w:eastAsia="宋体" w:cs="宋体"/>
          <w:bCs w:val="0"/>
          <w:color w:val="auto"/>
          <w:highlight w:val="none"/>
        </w:rPr>
        <w:t>13.1投标文件应按第六章“投标文件格式”进行编写，如有必要，可以增加附页，作为投标文件的组成部分。其中，投标人在满足招标文件实质性要求的基础上，可以提出比招标文件要求更有利于采购人的承诺。</w:t>
      </w:r>
    </w:p>
    <w:p w14:paraId="75B2887C">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13.2投标文件应当对招标文件有关期限、投标有效期、质量要求、技术标准和要求、采购需求等实质性内容作出响应。</w:t>
      </w:r>
    </w:p>
    <w:p w14:paraId="622EFF0C">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13.3若纸质版与电子版或正本与副本出现不一致，以纸质版正本为准。</w:t>
      </w:r>
    </w:p>
    <w:p w14:paraId="3C6FD291">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13.4投标文件应由投标人法定代表人或授权代理人签字，并加盖本单位的公章，方为有效投标文件。投标文件的应装订成册，具体装订要求见投标人须知前附表规定。</w:t>
      </w:r>
    </w:p>
    <w:bookmarkEnd w:id="61"/>
    <w:p w14:paraId="62F3FE11">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62" w:name="_Toc218692270"/>
      <w:bookmarkStart w:id="63" w:name="_Toc357158882"/>
      <w:bookmarkStart w:id="64" w:name="_Toc357500954"/>
      <w:bookmarkStart w:id="65" w:name="_Toc227816959"/>
      <w:bookmarkStart w:id="66" w:name="_Toc6752"/>
      <w:r>
        <w:rPr>
          <w:rFonts w:hint="eastAsia" w:ascii="宋体" w:hAnsi="宋体" w:eastAsia="宋体"/>
          <w:color w:val="auto"/>
          <w:sz w:val="28"/>
          <w:szCs w:val="28"/>
          <w:highlight w:val="none"/>
        </w:rPr>
        <w:t>四、投标文件的提交</w:t>
      </w:r>
      <w:bookmarkEnd w:id="62"/>
      <w:bookmarkEnd w:id="63"/>
      <w:bookmarkEnd w:id="64"/>
      <w:bookmarkEnd w:id="65"/>
      <w:bookmarkEnd w:id="66"/>
    </w:p>
    <w:p w14:paraId="76F723E8">
      <w:pPr>
        <w:pStyle w:val="22"/>
        <w:ind w:firstLine="480" w:firstLineChars="200"/>
        <w:contextualSpacing/>
        <w:rPr>
          <w:rFonts w:hint="eastAsia" w:eastAsia="宋体" w:cs="宋体"/>
          <w:bCs w:val="0"/>
          <w:color w:val="auto"/>
          <w:highlight w:val="none"/>
        </w:rPr>
      </w:pPr>
      <w:bookmarkStart w:id="67" w:name="_Toc70427457"/>
      <w:bookmarkStart w:id="68" w:name="_Toc25767402"/>
      <w:r>
        <w:rPr>
          <w:rFonts w:hint="eastAsia" w:eastAsia="宋体" w:cs="宋体"/>
          <w:bCs w:val="0"/>
          <w:color w:val="auto"/>
          <w:highlight w:val="none"/>
        </w:rPr>
        <w:t>14.</w:t>
      </w:r>
      <w:bookmarkEnd w:id="67"/>
      <w:bookmarkEnd w:id="68"/>
      <w:r>
        <w:rPr>
          <w:rFonts w:hint="eastAsia" w:eastAsia="宋体" w:cs="宋体"/>
          <w:bCs w:val="0"/>
          <w:color w:val="auto"/>
          <w:highlight w:val="none"/>
        </w:rPr>
        <w:t>1投标文件的密封和标记</w:t>
      </w:r>
    </w:p>
    <w:p w14:paraId="14EA9B8C">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14.1.1投标人应根据本项目采购文件和"政采云"平台的要求加密投标文件后在投标文件提交截止时间前将投标文件上传至"政采云"平台。</w:t>
      </w:r>
    </w:p>
    <w:p w14:paraId="68DC5A1D">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14.2 投标文件的递交</w:t>
      </w:r>
    </w:p>
    <w:p w14:paraId="613B1596">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14.2.1 投标人应在“投标须知前附表”规定的投标截止时间前递交投标文件。</w:t>
      </w:r>
    </w:p>
    <w:p w14:paraId="5D37053A">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14.2.2 投标人递交投标文件的地点：见“投标须知前附表”。</w:t>
      </w:r>
    </w:p>
    <w:p w14:paraId="5F36F9A3">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14.2.3 除投标人须知前附表另有规定外，投标人所递交的投标文件不予退还。</w:t>
      </w:r>
    </w:p>
    <w:p w14:paraId="71EBD8F7">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14.2.4逾期送达的或者未送达指定地点的投标文件，</w:t>
      </w:r>
      <w:r>
        <w:rPr>
          <w:rFonts w:hint="eastAsia" w:eastAsia="宋体" w:cs="宋体"/>
          <w:bCs w:val="0"/>
          <w:color w:val="auto"/>
          <w:highlight w:val="none"/>
          <w:lang w:eastAsia="zh-CN"/>
        </w:rPr>
        <w:t>采购人</w:t>
      </w:r>
      <w:r>
        <w:rPr>
          <w:rFonts w:hint="eastAsia" w:eastAsia="宋体" w:cs="宋体"/>
          <w:bCs w:val="0"/>
          <w:color w:val="auto"/>
          <w:highlight w:val="none"/>
        </w:rPr>
        <w:t>不予受理。</w:t>
      </w:r>
    </w:p>
    <w:p w14:paraId="4ED9BAD6">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14.3 投标文件的修改与撤回</w:t>
      </w:r>
    </w:p>
    <w:p w14:paraId="49E5663F">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14.3.1在“投标须知前附表”规定的投标截止时间前，投标人可以修改或撤回已递交的投标文件，无须书面形式通知采购人或招标代理公司。</w:t>
      </w:r>
    </w:p>
    <w:p w14:paraId="65947CB5">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14.3.2修改的内容为投标文件的组成部分。修改的投标文件应按照本章规定进行编制、密封、标记和递交。</w:t>
      </w:r>
    </w:p>
    <w:p w14:paraId="525DA910">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69" w:name="_Toc357158883"/>
      <w:bookmarkStart w:id="70" w:name="_Toc357500955"/>
      <w:bookmarkStart w:id="71" w:name="_Toc218692271"/>
      <w:bookmarkStart w:id="72" w:name="_Toc13751"/>
      <w:r>
        <w:rPr>
          <w:rFonts w:hint="eastAsia" w:ascii="宋体" w:hAnsi="宋体" w:eastAsia="宋体"/>
          <w:color w:val="auto"/>
          <w:sz w:val="28"/>
          <w:szCs w:val="28"/>
          <w:highlight w:val="none"/>
        </w:rPr>
        <w:t>五、开标</w:t>
      </w:r>
      <w:bookmarkEnd w:id="69"/>
      <w:bookmarkEnd w:id="70"/>
      <w:bookmarkEnd w:id="71"/>
      <w:bookmarkEnd w:id="72"/>
    </w:p>
    <w:p w14:paraId="1E6CE5DD">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15.开标</w:t>
      </w:r>
    </w:p>
    <w:p w14:paraId="387A8BBA">
      <w:pPr>
        <w:pStyle w:val="22"/>
        <w:ind w:firstLine="480" w:firstLineChars="200"/>
        <w:contextualSpacing/>
        <w:rPr>
          <w:rFonts w:hint="eastAsia" w:eastAsia="宋体" w:cs="宋体"/>
          <w:color w:val="auto"/>
          <w:highlight w:val="none"/>
        </w:rPr>
      </w:pPr>
      <w:r>
        <w:rPr>
          <w:rFonts w:hint="eastAsia" w:eastAsia="宋体" w:cs="宋体"/>
          <w:color w:val="auto"/>
          <w:highlight w:val="none"/>
        </w:rPr>
        <w:t>15.1采购人按本须知前附表中所规定的时间和地点公开开标；</w:t>
      </w:r>
    </w:p>
    <w:p w14:paraId="376E3C56">
      <w:pPr>
        <w:pStyle w:val="22"/>
        <w:ind w:firstLine="480" w:firstLineChars="200"/>
        <w:contextualSpacing/>
        <w:rPr>
          <w:rFonts w:hint="eastAsia" w:eastAsia="宋体" w:cs="宋体"/>
          <w:color w:val="auto"/>
          <w:highlight w:val="none"/>
        </w:rPr>
      </w:pPr>
      <w:r>
        <w:rPr>
          <w:rFonts w:hint="eastAsia" w:eastAsia="宋体" w:cs="宋体"/>
          <w:color w:val="auto"/>
          <w:highlight w:val="none"/>
        </w:rPr>
        <w:t>15.2未按规定提交的投标文件不予解密，并退回给投标人。</w:t>
      </w:r>
    </w:p>
    <w:p w14:paraId="375C84D5">
      <w:pPr>
        <w:pStyle w:val="22"/>
        <w:ind w:firstLine="480" w:firstLineChars="200"/>
        <w:contextualSpacing/>
        <w:rPr>
          <w:rFonts w:hint="eastAsia" w:eastAsia="宋体" w:cs="宋体"/>
          <w:color w:val="auto"/>
          <w:highlight w:val="none"/>
        </w:rPr>
      </w:pPr>
      <w:r>
        <w:rPr>
          <w:rFonts w:hint="eastAsia" w:eastAsia="宋体" w:cs="宋体"/>
          <w:color w:val="auto"/>
          <w:highlight w:val="none"/>
        </w:rPr>
        <w:t>15.3主持人按下列程序进行开标：</w:t>
      </w:r>
    </w:p>
    <w:p w14:paraId="69864126">
      <w:pPr>
        <w:pStyle w:val="22"/>
        <w:ind w:firstLine="480" w:firstLineChars="200"/>
        <w:contextualSpacing/>
        <w:rPr>
          <w:rFonts w:hint="eastAsia" w:eastAsia="宋体" w:cs="宋体"/>
          <w:color w:val="auto"/>
          <w:highlight w:val="none"/>
          <w:lang w:eastAsia="zh-CN"/>
        </w:rPr>
      </w:pPr>
      <w:r>
        <w:rPr>
          <w:rFonts w:hint="eastAsia" w:eastAsia="宋体" w:cs="宋体"/>
          <w:color w:val="auto"/>
          <w:highlight w:val="none"/>
        </w:rPr>
        <w:t>（1）开标会议由招标代理公司工作人员主持，并宣布开标会议开始</w:t>
      </w:r>
      <w:r>
        <w:rPr>
          <w:rFonts w:hint="eastAsia" w:eastAsia="宋体" w:cs="宋体"/>
          <w:color w:val="auto"/>
          <w:highlight w:val="none"/>
          <w:lang w:eastAsia="zh-CN"/>
        </w:rPr>
        <w:t>。</w:t>
      </w:r>
    </w:p>
    <w:p w14:paraId="0B51C456">
      <w:pPr>
        <w:pStyle w:val="22"/>
        <w:ind w:firstLine="480" w:firstLineChars="200"/>
        <w:contextualSpacing/>
        <w:rPr>
          <w:rFonts w:hint="eastAsia" w:eastAsia="宋体" w:cs="宋体"/>
          <w:color w:val="auto"/>
          <w:highlight w:val="none"/>
          <w:lang w:eastAsia="zh-CN"/>
        </w:rPr>
      </w:pPr>
      <w:r>
        <w:rPr>
          <w:rFonts w:hint="eastAsia" w:eastAsia="宋体" w:cs="宋体"/>
          <w:color w:val="auto"/>
          <w:highlight w:val="none"/>
        </w:rPr>
        <w:t>（2）打开智能开标系统，投标人在规定时间内完成投标文件解密</w:t>
      </w:r>
      <w:r>
        <w:rPr>
          <w:rFonts w:hint="eastAsia" w:eastAsia="宋体" w:cs="宋体"/>
          <w:color w:val="auto"/>
          <w:highlight w:val="none"/>
          <w:lang w:eastAsia="zh-CN"/>
        </w:rPr>
        <w:t>。</w:t>
      </w:r>
    </w:p>
    <w:p w14:paraId="61F454C1">
      <w:pPr>
        <w:pStyle w:val="22"/>
        <w:ind w:firstLine="480" w:firstLineChars="200"/>
        <w:contextualSpacing/>
        <w:rPr>
          <w:rFonts w:hint="eastAsia" w:eastAsia="宋体" w:cs="宋体"/>
          <w:color w:val="auto"/>
          <w:highlight w:val="none"/>
        </w:rPr>
      </w:pPr>
      <w:r>
        <w:rPr>
          <w:rFonts w:hint="eastAsia" w:eastAsia="宋体" w:cs="宋体"/>
          <w:color w:val="auto"/>
          <w:highlight w:val="none"/>
        </w:rPr>
        <w:t>（3）各投标人核对开标记录表中各项数据；如有问题，可以在线提出异议，由采购代理机构给予对应的回复。</w:t>
      </w:r>
    </w:p>
    <w:p w14:paraId="4757D2B7">
      <w:pPr>
        <w:pStyle w:val="22"/>
        <w:ind w:firstLine="480" w:firstLineChars="200"/>
        <w:contextualSpacing/>
        <w:rPr>
          <w:rFonts w:hint="eastAsia" w:eastAsia="宋体" w:cs="宋体"/>
          <w:color w:val="auto"/>
          <w:highlight w:val="none"/>
        </w:rPr>
      </w:pPr>
      <w:r>
        <w:rPr>
          <w:rFonts w:hint="eastAsia" w:eastAsia="宋体" w:cs="宋体"/>
          <w:color w:val="auto"/>
          <w:highlight w:val="none"/>
        </w:rPr>
        <w:t>（4）开标端发起对本次开标过程是否有异议询问后，不确认或不及时提出异议，视为对本次开标过程无异议。</w:t>
      </w:r>
    </w:p>
    <w:p w14:paraId="3C8F3CB6">
      <w:pPr>
        <w:pStyle w:val="22"/>
        <w:ind w:firstLine="480" w:firstLineChars="200"/>
        <w:contextualSpacing/>
        <w:rPr>
          <w:rFonts w:hint="eastAsia" w:eastAsia="宋体" w:cs="宋体"/>
          <w:bCs w:val="0"/>
          <w:color w:val="auto"/>
          <w:highlight w:val="none"/>
        </w:rPr>
      </w:pPr>
      <w:r>
        <w:rPr>
          <w:rFonts w:hint="eastAsia" w:eastAsia="宋体" w:cs="宋体"/>
          <w:color w:val="auto"/>
          <w:highlight w:val="none"/>
        </w:rPr>
        <w:t>（5）开标会议结束</w:t>
      </w:r>
      <w:r>
        <w:rPr>
          <w:rFonts w:hint="eastAsia" w:eastAsia="宋体" w:cs="宋体"/>
          <w:bCs w:val="0"/>
          <w:color w:val="auto"/>
          <w:highlight w:val="none"/>
        </w:rPr>
        <w:t>。</w:t>
      </w:r>
    </w:p>
    <w:p w14:paraId="64B20582">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73" w:name="_Toc218692272"/>
      <w:bookmarkStart w:id="74" w:name="_Toc227816961"/>
      <w:bookmarkStart w:id="75" w:name="_Toc357158884"/>
      <w:bookmarkStart w:id="76" w:name="_Toc357500956"/>
      <w:bookmarkStart w:id="77" w:name="_Toc9528"/>
      <w:r>
        <w:rPr>
          <w:rFonts w:hint="eastAsia" w:ascii="宋体" w:hAnsi="宋体" w:eastAsia="宋体"/>
          <w:color w:val="auto"/>
          <w:sz w:val="28"/>
          <w:szCs w:val="28"/>
          <w:highlight w:val="none"/>
        </w:rPr>
        <w:t>六、评标</w:t>
      </w:r>
      <w:bookmarkEnd w:id="73"/>
      <w:bookmarkEnd w:id="74"/>
      <w:bookmarkEnd w:id="75"/>
      <w:bookmarkEnd w:id="76"/>
      <w:bookmarkEnd w:id="77"/>
    </w:p>
    <w:p w14:paraId="1618C016">
      <w:pPr>
        <w:pStyle w:val="22"/>
        <w:ind w:firstLineChars="200"/>
        <w:contextualSpacing/>
        <w:rPr>
          <w:rFonts w:hint="eastAsia" w:eastAsia="宋体" w:cs="宋体"/>
          <w:b/>
          <w:color w:val="auto"/>
          <w:highlight w:val="none"/>
        </w:rPr>
      </w:pPr>
      <w:r>
        <w:rPr>
          <w:rFonts w:hint="eastAsia" w:eastAsia="宋体" w:cs="宋体"/>
          <w:b/>
          <w:color w:val="auto"/>
          <w:highlight w:val="none"/>
        </w:rPr>
        <w:t>16.评标委员会</w:t>
      </w:r>
    </w:p>
    <w:p w14:paraId="0B5A89CC">
      <w:pPr>
        <w:pStyle w:val="22"/>
        <w:ind w:firstLine="480" w:firstLineChars="200"/>
        <w:contextualSpacing/>
        <w:rPr>
          <w:rFonts w:hint="eastAsia" w:eastAsia="宋体" w:cs="宋体"/>
          <w:color w:val="auto"/>
          <w:highlight w:val="none"/>
        </w:rPr>
      </w:pPr>
      <w:r>
        <w:rPr>
          <w:rFonts w:hint="eastAsia" w:eastAsia="宋体" w:cs="宋体"/>
          <w:color w:val="auto"/>
          <w:highlight w:val="none"/>
        </w:rPr>
        <w:t>16.1评标工作由采购人依法组建的评标委员会负责，评标委员会由采购人代表和评审专家组成，成员人数应当为5人以上单数，其中评审专家不得少于成员总数的三分之二。</w:t>
      </w:r>
    </w:p>
    <w:p w14:paraId="66149D91">
      <w:pPr>
        <w:pStyle w:val="22"/>
        <w:ind w:firstLine="480" w:firstLineChars="200"/>
        <w:contextualSpacing/>
        <w:rPr>
          <w:rFonts w:hint="eastAsia" w:eastAsia="宋体" w:cs="宋体"/>
          <w:color w:val="auto"/>
          <w:highlight w:val="none"/>
        </w:rPr>
      </w:pPr>
      <w:r>
        <w:rPr>
          <w:rFonts w:hint="eastAsia" w:eastAsia="宋体" w:cs="宋体"/>
          <w:color w:val="auto"/>
          <w:highlight w:val="none"/>
          <w:lang w:val="zh-CN"/>
        </w:rPr>
        <w:t>技术复杂、专业性强或者国家有特殊要求，并且采取随机抽取方式确定的专家难以保证胜任评标工作的招标项目，可以由采购人或招标代理从评标专家库内相关专业的专家名单中直接确定</w:t>
      </w:r>
      <w:r>
        <w:rPr>
          <w:rFonts w:hint="eastAsia" w:eastAsia="宋体" w:cs="宋体"/>
          <w:color w:val="auto"/>
          <w:highlight w:val="none"/>
        </w:rPr>
        <w:t>。</w:t>
      </w:r>
    </w:p>
    <w:p w14:paraId="703CC7B1">
      <w:pPr>
        <w:pStyle w:val="22"/>
        <w:ind w:firstLine="480" w:firstLineChars="200"/>
        <w:contextualSpacing/>
        <w:rPr>
          <w:rFonts w:hint="eastAsia" w:eastAsia="宋体" w:cs="宋体"/>
          <w:color w:val="auto"/>
          <w:highlight w:val="none"/>
        </w:rPr>
      </w:pPr>
      <w:r>
        <w:rPr>
          <w:rFonts w:hint="eastAsia" w:eastAsia="宋体" w:cs="宋体"/>
          <w:color w:val="auto"/>
          <w:highlight w:val="none"/>
        </w:rPr>
        <w:t>16.2评标委员会成员有下列情形之一的，应当回避：</w:t>
      </w:r>
    </w:p>
    <w:p w14:paraId="2DB915DA">
      <w:pPr>
        <w:pStyle w:val="22"/>
        <w:ind w:firstLine="480" w:firstLineChars="200"/>
        <w:contextualSpacing/>
        <w:rPr>
          <w:rFonts w:hint="eastAsia" w:eastAsia="宋体" w:cs="宋体"/>
          <w:color w:val="auto"/>
          <w:highlight w:val="none"/>
        </w:rPr>
      </w:pPr>
      <w:r>
        <w:rPr>
          <w:rFonts w:hint="eastAsia" w:eastAsia="宋体" w:cs="宋体"/>
          <w:color w:val="auto"/>
          <w:highlight w:val="none"/>
        </w:rPr>
        <w:t>1）采购人或投标人的主要负责人的近亲属；</w:t>
      </w:r>
    </w:p>
    <w:p w14:paraId="1A5569AC">
      <w:pPr>
        <w:pStyle w:val="22"/>
        <w:ind w:firstLine="480" w:firstLineChars="200"/>
        <w:contextualSpacing/>
        <w:rPr>
          <w:rFonts w:hint="eastAsia" w:eastAsia="宋体" w:cs="宋体"/>
          <w:color w:val="auto"/>
          <w:highlight w:val="none"/>
        </w:rPr>
      </w:pPr>
      <w:r>
        <w:rPr>
          <w:rFonts w:hint="eastAsia" w:eastAsia="宋体" w:cs="宋体"/>
          <w:color w:val="auto"/>
          <w:highlight w:val="none"/>
        </w:rPr>
        <w:t>2）项目主管部门或者行政监督部门的人员；</w:t>
      </w:r>
    </w:p>
    <w:p w14:paraId="0DA0D127">
      <w:pPr>
        <w:pStyle w:val="22"/>
        <w:ind w:firstLine="480" w:firstLineChars="200"/>
        <w:contextualSpacing/>
        <w:rPr>
          <w:rFonts w:hint="eastAsia" w:eastAsia="宋体" w:cs="宋体"/>
          <w:color w:val="auto"/>
          <w:highlight w:val="none"/>
        </w:rPr>
      </w:pPr>
      <w:r>
        <w:rPr>
          <w:rFonts w:hint="eastAsia" w:eastAsia="宋体" w:cs="宋体"/>
          <w:color w:val="auto"/>
          <w:highlight w:val="none"/>
        </w:rPr>
        <w:t>3）与投标人有经济利益关系，可能影响对投标公正评审的；</w:t>
      </w:r>
    </w:p>
    <w:p w14:paraId="0116B2EB">
      <w:pPr>
        <w:pStyle w:val="22"/>
        <w:ind w:firstLine="480" w:firstLineChars="200"/>
        <w:contextualSpacing/>
        <w:rPr>
          <w:rFonts w:hint="eastAsia" w:eastAsia="宋体" w:cs="宋体"/>
          <w:color w:val="auto"/>
          <w:highlight w:val="none"/>
        </w:rPr>
      </w:pPr>
      <w:r>
        <w:rPr>
          <w:rFonts w:hint="eastAsia" w:eastAsia="宋体" w:cs="宋体"/>
          <w:color w:val="auto"/>
          <w:highlight w:val="none"/>
        </w:rPr>
        <w:t>4）曾因在招标、评标以及其他与招标投标有关活动中从事违法行为而受过行政处罚或刑事处罚的。</w:t>
      </w:r>
    </w:p>
    <w:p w14:paraId="1463400F">
      <w:pPr>
        <w:pStyle w:val="22"/>
        <w:ind w:firstLineChars="200"/>
        <w:contextualSpacing/>
        <w:rPr>
          <w:rFonts w:hint="eastAsia" w:eastAsia="宋体" w:cs="宋体"/>
          <w:b/>
          <w:color w:val="auto"/>
          <w:highlight w:val="none"/>
        </w:rPr>
      </w:pPr>
      <w:r>
        <w:rPr>
          <w:rFonts w:hint="eastAsia" w:eastAsia="宋体" w:cs="宋体"/>
          <w:b/>
          <w:color w:val="auto"/>
          <w:highlight w:val="none"/>
        </w:rPr>
        <w:t>17.评标原则</w:t>
      </w:r>
    </w:p>
    <w:p w14:paraId="353D3A13">
      <w:pPr>
        <w:pStyle w:val="22"/>
        <w:ind w:firstLine="480" w:firstLineChars="200"/>
        <w:contextualSpacing/>
        <w:rPr>
          <w:rFonts w:hint="eastAsia" w:eastAsia="宋体" w:cs="宋体"/>
          <w:color w:val="auto"/>
          <w:highlight w:val="none"/>
        </w:rPr>
      </w:pPr>
      <w:r>
        <w:rPr>
          <w:rFonts w:hint="eastAsia" w:eastAsia="宋体" w:cs="宋体"/>
          <w:color w:val="auto"/>
          <w:highlight w:val="none"/>
        </w:rPr>
        <w:t>评标活动遵循公平、公正、科学和择优的原则。</w:t>
      </w:r>
    </w:p>
    <w:p w14:paraId="7395A9A9">
      <w:pPr>
        <w:pStyle w:val="22"/>
        <w:ind w:firstLineChars="200"/>
        <w:contextualSpacing/>
        <w:rPr>
          <w:rFonts w:hint="eastAsia" w:eastAsia="宋体" w:cs="宋体"/>
          <w:b/>
          <w:color w:val="auto"/>
          <w:highlight w:val="none"/>
        </w:rPr>
      </w:pPr>
      <w:r>
        <w:rPr>
          <w:rFonts w:hint="eastAsia" w:eastAsia="宋体" w:cs="宋体"/>
          <w:b/>
          <w:color w:val="auto"/>
          <w:highlight w:val="none"/>
        </w:rPr>
        <w:t>18.评标</w:t>
      </w:r>
    </w:p>
    <w:p w14:paraId="75953EC6">
      <w:pPr>
        <w:pStyle w:val="22"/>
        <w:ind w:firstLine="480" w:firstLineChars="200"/>
        <w:contextualSpacing/>
        <w:rPr>
          <w:rFonts w:hint="eastAsia" w:eastAsia="宋体" w:cs="宋体"/>
          <w:color w:val="auto"/>
          <w:highlight w:val="none"/>
        </w:rPr>
      </w:pPr>
      <w:r>
        <w:rPr>
          <w:rFonts w:hint="eastAsia" w:eastAsia="宋体" w:cs="宋体"/>
          <w:color w:val="auto"/>
          <w:highlight w:val="none"/>
          <w:lang w:val="en-US" w:eastAsia="zh-CN"/>
        </w:rPr>
        <w:t>18.1</w:t>
      </w:r>
      <w:r>
        <w:rPr>
          <w:rFonts w:hint="eastAsia" w:eastAsia="宋体" w:cs="宋体"/>
          <w:color w:val="auto"/>
          <w:highlight w:val="none"/>
        </w:rPr>
        <w:t>评标委员会按照第三章“评标方法和标准”规定的方法、评审因素、标准和程序对投标文件进行评审。第三章“评标方法和标准”没有规定的方法、评审因素和标准不作为评标依据。</w:t>
      </w:r>
    </w:p>
    <w:p w14:paraId="643443B7">
      <w:pPr>
        <w:pStyle w:val="22"/>
        <w:ind w:firstLine="480" w:firstLineChars="200"/>
        <w:contextualSpacing/>
        <w:rPr>
          <w:rFonts w:hint="eastAsia" w:eastAsia="宋体" w:cs="宋体"/>
          <w:color w:val="auto"/>
          <w:highlight w:val="none"/>
        </w:rPr>
      </w:pPr>
      <w:r>
        <w:rPr>
          <w:rFonts w:hint="eastAsia" w:eastAsia="宋体" w:cs="宋体"/>
          <w:color w:val="auto"/>
          <w:highlight w:val="none"/>
          <w:lang w:val="en-US" w:eastAsia="zh-CN"/>
        </w:rPr>
        <w:t>18</w:t>
      </w:r>
      <w:r>
        <w:rPr>
          <w:rFonts w:hint="eastAsia" w:eastAsia="宋体" w:cs="宋体"/>
          <w:color w:val="auto"/>
          <w:highlight w:val="none"/>
        </w:rPr>
        <w:t>.2根据《关于推动解决政府采购异常低价问题的通知》财库〔2026〕2号文件，政府采购评审中出现下列情形之一的，评审委员会应当启动异常低价投标（响应）审查程序：</w:t>
      </w:r>
    </w:p>
    <w:p w14:paraId="1EE6BB1A">
      <w:pPr>
        <w:pStyle w:val="22"/>
        <w:ind w:firstLine="480" w:firstLineChars="200"/>
        <w:contextualSpacing/>
        <w:rPr>
          <w:rFonts w:hint="eastAsia" w:eastAsia="宋体" w:cs="宋体"/>
          <w:color w:val="auto"/>
          <w:highlight w:val="none"/>
        </w:rPr>
      </w:pPr>
      <w:r>
        <w:rPr>
          <w:rFonts w:hint="eastAsia" w:eastAsia="宋体" w:cs="宋体"/>
          <w:color w:val="auto"/>
          <w:highlight w:val="none"/>
        </w:rPr>
        <w:t>（1）投标（响应）报价低于全部通过符合性审查供应商投标（响应）报价平均值50%的，即投标（响应）报价&lt;全部通过符合性审查供应商投标（响应）报价平均值×50%；</w:t>
      </w:r>
    </w:p>
    <w:p w14:paraId="78899033">
      <w:pPr>
        <w:pStyle w:val="22"/>
        <w:ind w:firstLine="480" w:firstLineChars="200"/>
        <w:contextualSpacing/>
        <w:rPr>
          <w:rFonts w:hint="eastAsia" w:eastAsia="宋体" w:cs="宋体"/>
          <w:color w:val="auto"/>
          <w:highlight w:val="none"/>
        </w:rPr>
      </w:pPr>
      <w:r>
        <w:rPr>
          <w:rFonts w:hint="eastAsia" w:eastAsia="宋体" w:cs="宋体"/>
          <w:color w:val="auto"/>
          <w:highlight w:val="none"/>
        </w:rPr>
        <w:t>（2）投标（响应）报价低于通过符合性审查的次低报价供应商投标（响应）报价50%的，即投标（响应）报价&lt;通过符合性审查的次低报价供应商投标（响应）报价×50%；</w:t>
      </w:r>
    </w:p>
    <w:p w14:paraId="1E74053A">
      <w:pPr>
        <w:pStyle w:val="22"/>
        <w:ind w:firstLine="480" w:firstLineChars="200"/>
        <w:contextualSpacing/>
        <w:rPr>
          <w:rFonts w:hint="eastAsia" w:eastAsia="宋体" w:cs="宋体"/>
          <w:color w:val="auto"/>
          <w:highlight w:val="none"/>
        </w:rPr>
      </w:pPr>
      <w:r>
        <w:rPr>
          <w:rFonts w:hint="eastAsia" w:eastAsia="宋体" w:cs="宋体"/>
          <w:color w:val="auto"/>
          <w:highlight w:val="none"/>
        </w:rPr>
        <w:t>（3）投标（响应）报价低于采购项目最高限价45%的，即投标（响应）报价&lt;采购项目最高限价×45%；</w:t>
      </w:r>
    </w:p>
    <w:p w14:paraId="291BE57D">
      <w:pPr>
        <w:pStyle w:val="22"/>
        <w:ind w:firstLine="480" w:firstLineChars="200"/>
        <w:contextualSpacing/>
        <w:rPr>
          <w:rFonts w:hint="eastAsia" w:eastAsia="宋体" w:cs="宋体"/>
          <w:color w:val="auto"/>
          <w:highlight w:val="none"/>
        </w:rPr>
      </w:pPr>
      <w:r>
        <w:rPr>
          <w:rFonts w:hint="eastAsia" w:eastAsia="宋体" w:cs="宋体"/>
          <w:color w:val="auto"/>
          <w:highlight w:val="none"/>
        </w:rPr>
        <w:t>（4）评审委员会基于专业判断，认为供应商报价过低，有可能影响产品质量或者不能诚信履约的其他情形。</w:t>
      </w:r>
    </w:p>
    <w:p w14:paraId="7CBF567A">
      <w:pPr>
        <w:pStyle w:val="22"/>
        <w:ind w:firstLine="480" w:firstLineChars="200"/>
        <w:contextualSpacing/>
        <w:rPr>
          <w:rFonts w:hint="eastAsia" w:eastAsia="宋体" w:cs="宋体"/>
          <w:color w:val="auto"/>
          <w:highlight w:val="none"/>
        </w:rPr>
      </w:pPr>
      <w:r>
        <w:rPr>
          <w:rFonts w:hint="eastAsia" w:eastAsia="宋体" w:cs="宋体"/>
          <w:color w:val="auto"/>
          <w:highlight w:val="none"/>
          <w:lang w:val="en-US" w:eastAsia="zh-CN"/>
        </w:rPr>
        <w:t>18</w:t>
      </w:r>
      <w:r>
        <w:rPr>
          <w:rFonts w:hint="eastAsia" w:eastAsia="宋体" w:cs="宋体"/>
          <w:color w:val="auto"/>
          <w:highlight w:val="none"/>
        </w:rPr>
        <w:t>.3评审委员会启动异常低价投标（响应）审查后，属于前述第1项至第4项情形的，应当要求相关供应商在于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47F813B">
      <w:pPr>
        <w:pStyle w:val="22"/>
        <w:ind w:firstLine="480" w:firstLineChars="200"/>
        <w:contextualSpacing/>
        <w:rPr>
          <w:rFonts w:hint="eastAsia" w:eastAsia="宋体" w:cs="宋体"/>
          <w:color w:val="auto"/>
          <w:highlight w:val="none"/>
        </w:rPr>
      </w:pPr>
      <w:r>
        <w:rPr>
          <w:rFonts w:hint="eastAsia" w:eastAsia="宋体" w:cs="宋体"/>
          <w:color w:val="auto"/>
          <w:highlight w:val="none"/>
          <w:lang w:val="en-US" w:eastAsia="zh-CN"/>
        </w:rPr>
        <w:t>18</w:t>
      </w:r>
      <w:r>
        <w:rPr>
          <w:rFonts w:hint="eastAsia" w:eastAsia="宋体" w:cs="宋体"/>
          <w:color w:val="auto"/>
          <w:highlight w:val="none"/>
        </w:rPr>
        <w:t>.4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BA754C">
      <w:pPr>
        <w:pStyle w:val="22"/>
        <w:ind w:firstLineChars="200"/>
        <w:contextualSpacing/>
        <w:rPr>
          <w:rFonts w:hint="eastAsia" w:eastAsia="宋体" w:cs="宋体"/>
          <w:b/>
          <w:color w:val="auto"/>
          <w:highlight w:val="none"/>
        </w:rPr>
      </w:pPr>
      <w:r>
        <w:rPr>
          <w:rFonts w:hint="eastAsia" w:eastAsia="宋体" w:cs="宋体"/>
          <w:b/>
          <w:color w:val="auto"/>
          <w:highlight w:val="none"/>
        </w:rPr>
        <w:t>19.投标文件的澄清</w:t>
      </w:r>
    </w:p>
    <w:p w14:paraId="2DA2CE2B">
      <w:pPr>
        <w:pStyle w:val="22"/>
        <w:ind w:firstLine="480" w:firstLineChars="200"/>
        <w:contextualSpacing/>
        <w:rPr>
          <w:rFonts w:hint="eastAsia" w:eastAsia="宋体" w:cs="宋体"/>
          <w:color w:val="auto"/>
          <w:highlight w:val="none"/>
        </w:rPr>
      </w:pPr>
      <w:r>
        <w:rPr>
          <w:rFonts w:hint="eastAsia" w:eastAsia="宋体" w:cs="宋体"/>
          <w:color w:val="auto"/>
          <w:highlight w:val="none"/>
        </w:rPr>
        <w:t>19.1为有助于投标文件的审查、评价和比较，评标委员会可以书面形式要求投标人对投标文件含义不明确的内容作必要的澄清或说明，投标人应采用书面形式进行澄清或说明，但不得超出投标文件的范围或改变投标文件的实质性内容。</w:t>
      </w:r>
    </w:p>
    <w:p w14:paraId="301CD65C">
      <w:pPr>
        <w:pStyle w:val="22"/>
        <w:ind w:firstLine="480" w:firstLineChars="200"/>
        <w:contextualSpacing/>
        <w:rPr>
          <w:rFonts w:hint="eastAsia" w:eastAsia="宋体" w:cs="宋体"/>
          <w:color w:val="auto"/>
          <w:highlight w:val="none"/>
        </w:rPr>
      </w:pPr>
      <w:r>
        <w:rPr>
          <w:rFonts w:hint="eastAsia" w:eastAsia="宋体" w:cs="宋体"/>
          <w:color w:val="auto"/>
          <w:highlight w:val="none"/>
        </w:rPr>
        <w:t>19.2如果投标文件实质上不响应招标文件各项要求，按无效标处理，并且不允许投标人通过修改或撤销其不符合要求的差异或保留，使之成为具有响应性的投标。</w:t>
      </w:r>
    </w:p>
    <w:p w14:paraId="0EE1EB79">
      <w:pPr>
        <w:pStyle w:val="22"/>
        <w:ind w:firstLineChars="200"/>
        <w:contextualSpacing/>
        <w:rPr>
          <w:rFonts w:hint="eastAsia" w:eastAsia="宋体" w:cs="宋体"/>
          <w:b/>
          <w:color w:val="auto"/>
          <w:highlight w:val="none"/>
        </w:rPr>
      </w:pPr>
      <w:r>
        <w:rPr>
          <w:rFonts w:hint="eastAsia" w:eastAsia="宋体" w:cs="宋体"/>
          <w:b/>
          <w:color w:val="auto"/>
          <w:highlight w:val="none"/>
        </w:rPr>
        <w:t>20.投标文件计算错误的修正</w:t>
      </w:r>
    </w:p>
    <w:p w14:paraId="378AC15F">
      <w:pPr>
        <w:pStyle w:val="22"/>
        <w:ind w:firstLine="480" w:firstLineChars="200"/>
        <w:contextualSpacing/>
        <w:rPr>
          <w:rFonts w:hint="eastAsia" w:eastAsia="宋体" w:cs="宋体"/>
          <w:color w:val="auto"/>
          <w:highlight w:val="none"/>
        </w:rPr>
      </w:pPr>
      <w:r>
        <w:rPr>
          <w:rFonts w:hint="eastAsia" w:eastAsia="宋体" w:cs="宋体"/>
          <w:color w:val="auto"/>
          <w:highlight w:val="none"/>
        </w:rPr>
        <w:t>20.1 投标文件报价出现前后不一致的，除招标文件另有规定外，按照下列规定修正：</w:t>
      </w:r>
    </w:p>
    <w:p w14:paraId="4DCC3992">
      <w:pPr>
        <w:pStyle w:val="22"/>
        <w:ind w:firstLine="480" w:firstLineChars="200"/>
        <w:contextualSpacing/>
        <w:rPr>
          <w:rFonts w:hint="eastAsia" w:eastAsia="宋体" w:cs="宋体"/>
          <w:color w:val="auto"/>
          <w:highlight w:val="none"/>
          <w:lang w:eastAsia="zh-CN"/>
        </w:rPr>
      </w:pPr>
      <w:r>
        <w:rPr>
          <w:rFonts w:hint="eastAsia" w:eastAsia="宋体" w:cs="宋体"/>
          <w:color w:val="auto"/>
          <w:highlight w:val="none"/>
        </w:rPr>
        <w:t>1）投标文件中开标一览表（报价表）内容与投标文件中相应内容不一致的，以开标一览表（报价表）为准</w:t>
      </w:r>
      <w:r>
        <w:rPr>
          <w:rFonts w:hint="eastAsia" w:eastAsia="宋体" w:cs="宋体"/>
          <w:color w:val="auto"/>
          <w:highlight w:val="none"/>
          <w:lang w:eastAsia="zh-CN"/>
        </w:rPr>
        <w:t>。</w:t>
      </w:r>
    </w:p>
    <w:p w14:paraId="07FCABFA">
      <w:pPr>
        <w:pStyle w:val="22"/>
        <w:ind w:firstLine="480" w:firstLineChars="200"/>
        <w:contextualSpacing/>
        <w:rPr>
          <w:rFonts w:hint="eastAsia" w:eastAsia="宋体" w:cs="宋体"/>
          <w:color w:val="auto"/>
          <w:highlight w:val="none"/>
          <w:lang w:eastAsia="zh-CN"/>
        </w:rPr>
      </w:pPr>
      <w:r>
        <w:rPr>
          <w:rFonts w:hint="eastAsia" w:eastAsia="宋体" w:cs="宋体"/>
          <w:color w:val="auto"/>
          <w:highlight w:val="none"/>
        </w:rPr>
        <w:t>2）大写金额和小写金额不一致的，以大写金额为准</w:t>
      </w:r>
      <w:r>
        <w:rPr>
          <w:rFonts w:hint="eastAsia" w:eastAsia="宋体" w:cs="宋体"/>
          <w:color w:val="auto"/>
          <w:highlight w:val="none"/>
          <w:lang w:eastAsia="zh-CN"/>
        </w:rPr>
        <w:t>。</w:t>
      </w:r>
    </w:p>
    <w:p w14:paraId="72A8057A">
      <w:pPr>
        <w:pStyle w:val="22"/>
        <w:ind w:firstLine="480" w:firstLineChars="200"/>
        <w:contextualSpacing/>
        <w:rPr>
          <w:rFonts w:hint="eastAsia" w:eastAsia="宋体" w:cs="宋体"/>
          <w:color w:val="auto"/>
          <w:highlight w:val="none"/>
        </w:rPr>
      </w:pPr>
      <w:r>
        <w:rPr>
          <w:rFonts w:hint="eastAsia" w:eastAsia="宋体" w:cs="宋体"/>
          <w:color w:val="auto"/>
          <w:highlight w:val="none"/>
        </w:rPr>
        <w:t>3）单价金额小数点或者百分比有明显错位的，以开标一览表的总价为准，并修改单价；</w:t>
      </w:r>
    </w:p>
    <w:p w14:paraId="6EBFD74A">
      <w:pPr>
        <w:pStyle w:val="22"/>
        <w:ind w:firstLine="480" w:firstLineChars="200"/>
        <w:contextualSpacing/>
        <w:rPr>
          <w:rFonts w:hint="eastAsia" w:eastAsia="宋体" w:cs="宋体"/>
          <w:color w:val="auto"/>
          <w:highlight w:val="none"/>
        </w:rPr>
      </w:pPr>
      <w:r>
        <w:rPr>
          <w:rFonts w:hint="eastAsia" w:eastAsia="宋体" w:cs="宋体"/>
          <w:color w:val="auto"/>
          <w:highlight w:val="none"/>
        </w:rPr>
        <w:t>4）总价金额与按单价汇总金额不一致的，以单价金额计算结果为准。</w:t>
      </w:r>
    </w:p>
    <w:p w14:paraId="278278AE">
      <w:pPr>
        <w:pStyle w:val="22"/>
        <w:ind w:firstLine="480" w:firstLineChars="200"/>
        <w:contextualSpacing/>
        <w:rPr>
          <w:rFonts w:hint="eastAsia" w:eastAsia="宋体" w:cs="宋体"/>
          <w:color w:val="auto"/>
          <w:highlight w:val="none"/>
        </w:rPr>
      </w:pPr>
      <w:r>
        <w:rPr>
          <w:rFonts w:hint="eastAsia" w:eastAsia="宋体" w:cs="宋体"/>
          <w:color w:val="auto"/>
          <w:highlight w:val="none"/>
        </w:rPr>
        <w:t>20.2 按上述修正错误的原则及方法调整或修正投标文件的投标报价，投标人同意后，调整后的投标报价对投标人起约束作用。如果投标人不接受修正后的报价，则其投标按无效标处理。</w:t>
      </w:r>
    </w:p>
    <w:p w14:paraId="7520BC18">
      <w:pPr>
        <w:pStyle w:val="22"/>
        <w:ind w:firstLineChars="200"/>
        <w:contextualSpacing/>
        <w:rPr>
          <w:rFonts w:hint="eastAsia" w:eastAsia="宋体" w:cs="宋体"/>
          <w:b/>
          <w:color w:val="auto"/>
          <w:highlight w:val="none"/>
        </w:rPr>
      </w:pPr>
      <w:r>
        <w:rPr>
          <w:rFonts w:hint="eastAsia" w:eastAsia="宋体" w:cs="宋体"/>
          <w:b/>
          <w:color w:val="auto"/>
          <w:highlight w:val="none"/>
        </w:rPr>
        <w:t>21.投标文件的评审、比较和否决</w:t>
      </w:r>
    </w:p>
    <w:p w14:paraId="1E45D513">
      <w:pPr>
        <w:pStyle w:val="22"/>
        <w:ind w:firstLine="480" w:firstLineChars="200"/>
        <w:contextualSpacing/>
        <w:rPr>
          <w:rFonts w:hint="eastAsia" w:eastAsia="宋体" w:cs="宋体"/>
          <w:color w:val="auto"/>
          <w:highlight w:val="none"/>
        </w:rPr>
      </w:pPr>
      <w:r>
        <w:rPr>
          <w:rFonts w:hint="eastAsia" w:eastAsia="宋体" w:cs="宋体"/>
          <w:color w:val="auto"/>
          <w:highlight w:val="none"/>
        </w:rPr>
        <w:t>21.1评标委员会将按照招标文件第三章规定，仅对在实质上响应招标文件要求的投标文件进行评审和比较。</w:t>
      </w:r>
    </w:p>
    <w:p w14:paraId="2F3284F7">
      <w:pPr>
        <w:pStyle w:val="22"/>
        <w:ind w:firstLine="480" w:firstLineChars="200"/>
        <w:contextualSpacing/>
        <w:rPr>
          <w:rFonts w:hint="eastAsia" w:eastAsia="宋体" w:cs="宋体"/>
          <w:color w:val="auto"/>
          <w:highlight w:val="none"/>
        </w:rPr>
      </w:pPr>
      <w:r>
        <w:rPr>
          <w:rFonts w:hint="eastAsia" w:eastAsia="宋体" w:cs="宋体"/>
          <w:color w:val="auto"/>
          <w:highlight w:val="none"/>
        </w:rPr>
        <w:t>21.2评标委员会依据招标文件第三章规定的评标方法和标准，对投标文件进行评审，对通过评审的投标文件，评标委员会应按照投标人综合得分由高到低推荐中标候选人，并标明排列顺序。评标委员会应推荐综合得分最高的投标人为第一中标候选人。</w:t>
      </w:r>
    </w:p>
    <w:p w14:paraId="0F95CB34">
      <w:pPr>
        <w:pStyle w:val="22"/>
        <w:ind w:firstLine="480" w:firstLineChars="200"/>
        <w:contextualSpacing/>
        <w:rPr>
          <w:rFonts w:hint="eastAsia" w:eastAsia="宋体" w:cs="宋体"/>
          <w:color w:val="auto"/>
          <w:highlight w:val="none"/>
        </w:rPr>
      </w:pPr>
      <w:r>
        <w:rPr>
          <w:rFonts w:hint="eastAsia" w:eastAsia="宋体" w:cs="宋体"/>
          <w:color w:val="auto"/>
          <w:highlight w:val="none"/>
        </w:rPr>
        <w:t>21.3评标中若遇特殊问题，由评标委员会根据有关法律、法规、规定研究决定。</w:t>
      </w:r>
    </w:p>
    <w:p w14:paraId="1DD504BE">
      <w:pPr>
        <w:pStyle w:val="22"/>
        <w:ind w:firstLine="480" w:firstLineChars="200"/>
        <w:contextualSpacing/>
        <w:rPr>
          <w:rFonts w:hint="eastAsia" w:eastAsia="宋体" w:cs="宋体"/>
          <w:color w:val="auto"/>
          <w:highlight w:val="none"/>
        </w:rPr>
      </w:pPr>
      <w:r>
        <w:rPr>
          <w:rFonts w:hint="eastAsia" w:eastAsia="宋体" w:cs="宋体"/>
          <w:color w:val="auto"/>
          <w:highlight w:val="none"/>
        </w:rPr>
        <w:t>21.4评标委员会完成评标后，向采购人提出书面评标报告。</w:t>
      </w:r>
    </w:p>
    <w:p w14:paraId="7AC5CCE6">
      <w:pPr>
        <w:pStyle w:val="22"/>
        <w:ind w:firstLine="480" w:firstLineChars="200"/>
        <w:contextualSpacing/>
        <w:rPr>
          <w:rFonts w:hint="eastAsia" w:eastAsia="宋体" w:cs="宋体"/>
          <w:color w:val="auto"/>
          <w:highlight w:val="none"/>
        </w:rPr>
      </w:pPr>
      <w:r>
        <w:rPr>
          <w:rFonts w:hint="eastAsia" w:eastAsia="宋体" w:cs="宋体"/>
          <w:color w:val="auto"/>
          <w:highlight w:val="none"/>
        </w:rPr>
        <w:t>21.5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p>
    <w:p w14:paraId="17747243">
      <w:pPr>
        <w:pStyle w:val="22"/>
        <w:ind w:firstLine="480" w:firstLineChars="200"/>
        <w:contextualSpacing/>
        <w:rPr>
          <w:rFonts w:hint="eastAsia" w:eastAsia="宋体" w:cs="宋体"/>
          <w:color w:val="auto"/>
          <w:highlight w:val="none"/>
        </w:rPr>
      </w:pPr>
      <w:r>
        <w:rPr>
          <w:rFonts w:hint="eastAsia" w:eastAsia="宋体" w:cs="宋体"/>
          <w:color w:val="auto"/>
          <w:highlight w:val="none"/>
        </w:rPr>
        <w:t>21.6向采购人提交书面评标报告后，评标委员会即告解散。评标过程中使用的文件、表格以及其他资料应当即时归还采购人。</w:t>
      </w:r>
    </w:p>
    <w:p w14:paraId="43035B37">
      <w:pPr>
        <w:pStyle w:val="22"/>
        <w:ind w:firstLineChars="200"/>
        <w:contextualSpacing/>
        <w:rPr>
          <w:rFonts w:hint="eastAsia" w:eastAsia="宋体" w:cs="宋体"/>
          <w:b/>
          <w:color w:val="auto"/>
          <w:highlight w:val="none"/>
        </w:rPr>
      </w:pPr>
      <w:r>
        <w:rPr>
          <w:rFonts w:hint="eastAsia" w:eastAsia="宋体" w:cs="宋体"/>
          <w:b/>
          <w:color w:val="auto"/>
          <w:highlight w:val="none"/>
        </w:rPr>
        <w:t>22.投标无效的情形</w:t>
      </w:r>
    </w:p>
    <w:p w14:paraId="53AD1E3E">
      <w:pPr>
        <w:pStyle w:val="22"/>
        <w:ind w:firstLine="480" w:firstLineChars="200"/>
        <w:contextualSpacing/>
        <w:rPr>
          <w:rFonts w:hint="eastAsia" w:eastAsia="宋体" w:cs="宋体"/>
          <w:color w:val="auto"/>
          <w:highlight w:val="none"/>
        </w:rPr>
      </w:pPr>
      <w:r>
        <w:rPr>
          <w:rFonts w:hint="eastAsia" w:eastAsia="宋体" w:cs="宋体"/>
          <w:color w:val="auto"/>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扫描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审结果。</w:t>
      </w:r>
    </w:p>
    <w:p w14:paraId="7FBC7443">
      <w:pPr>
        <w:pStyle w:val="22"/>
        <w:ind w:firstLineChars="200"/>
        <w:contextualSpacing/>
        <w:rPr>
          <w:rFonts w:hint="eastAsia" w:eastAsia="宋体" w:cs="宋体"/>
          <w:b/>
          <w:color w:val="auto"/>
          <w:highlight w:val="none"/>
        </w:rPr>
      </w:pPr>
      <w:r>
        <w:rPr>
          <w:rFonts w:hint="eastAsia" w:eastAsia="宋体" w:cs="宋体"/>
          <w:b/>
          <w:color w:val="auto"/>
          <w:highlight w:val="none"/>
        </w:rPr>
        <w:t>22.1在符合性审查时，如发现下列情形之一的，投标文件将被视为无效：</w:t>
      </w:r>
    </w:p>
    <w:p w14:paraId="0B914DA7">
      <w:pPr>
        <w:pStyle w:val="22"/>
        <w:ind w:firstLineChars="200"/>
        <w:contextualSpacing/>
        <w:rPr>
          <w:rFonts w:hint="eastAsia" w:eastAsia="宋体" w:cs="宋体"/>
          <w:b/>
          <w:color w:val="auto"/>
          <w:highlight w:val="none"/>
        </w:rPr>
      </w:pPr>
      <w:r>
        <w:rPr>
          <w:rFonts w:hint="eastAsia" w:eastAsia="宋体" w:cs="宋体"/>
          <w:b/>
          <w:color w:val="auto"/>
          <w:highlight w:val="none"/>
        </w:rPr>
        <w:t>（1）无单位盖章或无法定代表人或其授权代理人签字；</w:t>
      </w:r>
    </w:p>
    <w:p w14:paraId="62FFE7BF">
      <w:pPr>
        <w:pStyle w:val="22"/>
        <w:ind w:firstLineChars="200"/>
        <w:contextualSpacing/>
        <w:rPr>
          <w:rFonts w:hint="eastAsia" w:eastAsia="宋体" w:cs="宋体"/>
          <w:b/>
          <w:color w:val="auto"/>
          <w:highlight w:val="none"/>
        </w:rPr>
      </w:pPr>
      <w:r>
        <w:rPr>
          <w:rFonts w:hint="eastAsia" w:eastAsia="宋体" w:cs="宋体"/>
          <w:b/>
          <w:color w:val="auto"/>
          <w:highlight w:val="none"/>
        </w:rPr>
        <w:t>（2）投标报价超过最高限价的；</w:t>
      </w:r>
    </w:p>
    <w:p w14:paraId="62A384F9">
      <w:pPr>
        <w:pStyle w:val="22"/>
        <w:ind w:firstLineChars="200"/>
        <w:contextualSpacing/>
        <w:rPr>
          <w:rFonts w:hint="eastAsia" w:eastAsia="宋体" w:cs="宋体"/>
          <w:b/>
          <w:color w:val="auto"/>
          <w:highlight w:val="none"/>
        </w:rPr>
      </w:pPr>
      <w:r>
        <w:rPr>
          <w:rFonts w:hint="eastAsia" w:eastAsia="宋体" w:cs="宋体"/>
          <w:b/>
          <w:color w:val="auto"/>
          <w:highlight w:val="none"/>
        </w:rPr>
        <w:t>（3）未实质性响应招标文件要求或者投标文件有采购人不能接受的条件的；</w:t>
      </w:r>
    </w:p>
    <w:p w14:paraId="75B5036D">
      <w:pPr>
        <w:pStyle w:val="22"/>
        <w:ind w:firstLineChars="200"/>
        <w:contextualSpacing/>
        <w:rPr>
          <w:rFonts w:hint="eastAsia" w:eastAsia="宋体" w:cs="宋体"/>
          <w:b/>
          <w:color w:val="auto"/>
          <w:highlight w:val="none"/>
        </w:rPr>
      </w:pPr>
      <w:r>
        <w:rPr>
          <w:rFonts w:hint="eastAsia" w:eastAsia="宋体" w:cs="宋体"/>
          <w:b/>
          <w:color w:val="auto"/>
          <w:highlight w:val="none"/>
        </w:rPr>
        <w:t>（4）投标文件未按招标文件规定格式编制影响投标文件实质性内容的；</w:t>
      </w:r>
    </w:p>
    <w:p w14:paraId="44BFB0FE">
      <w:pPr>
        <w:pStyle w:val="22"/>
        <w:ind w:firstLineChars="200"/>
        <w:contextualSpacing/>
        <w:rPr>
          <w:rFonts w:hint="eastAsia" w:eastAsia="宋体" w:cs="宋体"/>
          <w:b/>
          <w:color w:val="auto"/>
          <w:highlight w:val="none"/>
        </w:rPr>
      </w:pPr>
      <w:r>
        <w:rPr>
          <w:rFonts w:hint="eastAsia" w:eastAsia="宋体" w:cs="宋体"/>
          <w:b/>
          <w:color w:val="auto"/>
          <w:highlight w:val="none"/>
        </w:rPr>
        <w:t>（5）重要内容或关键字迹模糊不清；</w:t>
      </w:r>
    </w:p>
    <w:p w14:paraId="689B7EA1">
      <w:pPr>
        <w:pStyle w:val="22"/>
        <w:ind w:firstLine="480" w:firstLineChars="200"/>
        <w:contextualSpacing/>
        <w:rPr>
          <w:rFonts w:hint="eastAsia" w:eastAsia="宋体" w:cs="宋体"/>
          <w:color w:val="auto"/>
          <w:highlight w:val="none"/>
        </w:rPr>
      </w:pPr>
      <w:r>
        <w:rPr>
          <w:rFonts w:hint="eastAsia" w:eastAsia="宋体" w:cs="宋体"/>
          <w:color w:val="auto"/>
          <w:highlight w:val="none"/>
        </w:rPr>
        <w:t>（</w:t>
      </w:r>
      <w:r>
        <w:rPr>
          <w:rFonts w:hint="eastAsia" w:eastAsia="宋体" w:cs="宋体"/>
          <w:b/>
          <w:color w:val="auto"/>
          <w:highlight w:val="none"/>
        </w:rPr>
        <w:t>6）不符合招标文件中规定的其他实质性要求。</w:t>
      </w:r>
    </w:p>
    <w:p w14:paraId="0847789F">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22.2有下列情形之一的，视为投标人串通投标，其投标无效：</w:t>
      </w:r>
    </w:p>
    <w:p w14:paraId="6A614931">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（一）不同投标人的投标文件由同一单位或者个人编制；</w:t>
      </w:r>
    </w:p>
    <w:p w14:paraId="5792966A">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（二）不同投标人委托同一单位或者个人办理投标事宜；</w:t>
      </w:r>
    </w:p>
    <w:p w14:paraId="4F554D14">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（三）不同投标人的投标文件载明的项目管理成员或者联系人员为同一人；</w:t>
      </w:r>
    </w:p>
    <w:p w14:paraId="2B3A34A4">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（四）不同投标人的投标文件异常一致或者投标报价呈规律性差异；</w:t>
      </w:r>
    </w:p>
    <w:p w14:paraId="4DE9E9A2">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（五）不同投标人的投标文件相互混装；</w:t>
      </w:r>
    </w:p>
    <w:p w14:paraId="54EBA790">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（六）不同投标人的投标保证金从同一单位或者个人的账户转出。</w:t>
      </w:r>
    </w:p>
    <w:p w14:paraId="28564EED">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22.3出现下列情形之一的，按废标处理：</w:t>
      </w:r>
    </w:p>
    <w:p w14:paraId="1D243D3F">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（1）符合专业条件的投标人或者对招标文件作实质响应的投标人不足三家的；</w:t>
      </w:r>
    </w:p>
    <w:p w14:paraId="7502DEAD">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（2）出现影响采购公正的违法、违规行为的；</w:t>
      </w:r>
    </w:p>
    <w:p w14:paraId="36964022">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（3）投标人的报价均超过了最高限价的；</w:t>
      </w:r>
    </w:p>
    <w:p w14:paraId="4B68AB24">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（4）因重大变故，采购任务取消的。</w:t>
      </w:r>
    </w:p>
    <w:p w14:paraId="519310CB">
      <w:pPr>
        <w:pStyle w:val="22"/>
        <w:ind w:firstLineChars="200"/>
        <w:contextualSpacing/>
        <w:rPr>
          <w:rFonts w:hint="eastAsia" w:eastAsia="宋体" w:cs="宋体"/>
          <w:b/>
          <w:color w:val="auto"/>
          <w:highlight w:val="none"/>
        </w:rPr>
      </w:pPr>
      <w:r>
        <w:rPr>
          <w:rFonts w:hint="eastAsia" w:eastAsia="宋体" w:cs="宋体"/>
          <w:b/>
          <w:bCs w:val="0"/>
          <w:color w:val="auto"/>
          <w:highlight w:val="none"/>
        </w:rPr>
        <w:t>22.4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B4D3C5E">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78" w:name="_Toc357158885"/>
      <w:bookmarkStart w:id="79" w:name="_Toc227816962"/>
      <w:bookmarkStart w:id="80" w:name="_Toc357500957"/>
      <w:bookmarkStart w:id="81" w:name="_Toc218692273"/>
      <w:bookmarkStart w:id="82" w:name="_Toc9432"/>
      <w:r>
        <w:rPr>
          <w:rFonts w:hint="eastAsia" w:ascii="宋体" w:hAnsi="宋体" w:eastAsia="宋体"/>
          <w:color w:val="auto"/>
          <w:sz w:val="28"/>
          <w:szCs w:val="28"/>
          <w:highlight w:val="none"/>
        </w:rPr>
        <w:t>七、</w:t>
      </w:r>
      <w:bookmarkEnd w:id="78"/>
      <w:bookmarkEnd w:id="79"/>
      <w:bookmarkEnd w:id="80"/>
      <w:r>
        <w:rPr>
          <w:rFonts w:hint="eastAsia" w:ascii="宋体" w:hAnsi="宋体" w:eastAsia="宋体"/>
          <w:color w:val="auto"/>
          <w:sz w:val="28"/>
          <w:szCs w:val="28"/>
          <w:highlight w:val="none"/>
        </w:rPr>
        <w:t>定标</w:t>
      </w:r>
      <w:bookmarkEnd w:id="81"/>
      <w:bookmarkEnd w:id="82"/>
    </w:p>
    <w:p w14:paraId="5726258C">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23.采购人依据评标委员会推荐的中标候选人确定中标人，评标委员会推荐中标候选人的人数为三人。</w:t>
      </w:r>
    </w:p>
    <w:p w14:paraId="7C0757E5">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24.采购代理机构应当在评标结束后2个工作日内将评标报告送采购人。</w:t>
      </w:r>
    </w:p>
    <w:p w14:paraId="7D223C41">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25.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29F7DF0A">
      <w:pPr>
        <w:adjustRightInd w:val="0"/>
        <w:snapToGrid w:val="0"/>
        <w:spacing w:line="360" w:lineRule="auto"/>
        <w:ind w:firstLine="480" w:firstLineChars="200"/>
        <w:contextualSpacing/>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rPr>
        <w:t>采购人在收到评标报告5个工作日内未按评标报告推荐的中标候选人顺序确定中标人，又不能说明合法理由的，视同按评标报告推荐的顺序确定排名第一的中标候选人为中标人。</w:t>
      </w:r>
    </w:p>
    <w:p w14:paraId="5C50F157">
      <w:pPr>
        <w:adjustRightInd w:val="0"/>
        <w:snapToGrid w:val="0"/>
        <w:spacing w:line="360" w:lineRule="auto"/>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26.采购代理机构应当自中标人确定之日起2个工作日内，在相关的媒体上公告中标结果，招标文件应当随中标结果同时公告。</w:t>
      </w:r>
    </w:p>
    <w:p w14:paraId="623CC12B">
      <w:pPr>
        <w:adjustRightInd w:val="0"/>
        <w:snapToGrid w:val="0"/>
        <w:spacing w:line="360" w:lineRule="auto"/>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27.中标公告期限为1个工作日。</w:t>
      </w:r>
    </w:p>
    <w:p w14:paraId="5D5B6975">
      <w:pPr>
        <w:adjustRightInd w:val="0"/>
        <w:snapToGrid w:val="0"/>
        <w:spacing w:line="360" w:lineRule="auto"/>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28.在公告中标结果的同时，采购人或者采购代理机构应当向中标人发出中标通知书；对未通过资格审查的投标人，应当告知其未通过的原因；采用综合评分法评审的，还应当告知未中标人本人的评审得分与排序。</w:t>
      </w:r>
    </w:p>
    <w:p w14:paraId="6B0538C6">
      <w:pPr>
        <w:tabs>
          <w:tab w:val="left" w:pos="426"/>
        </w:tabs>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中标通知书发出后，采购人不得违法改变中标结果，中标人无正当理由不得放弃中标。中标人放弃中标或者中标资格被依法确认无效的，采购人可以按照排序从其他中标候选人中确定中标人，也可以重新组织采购活动。</w:t>
      </w:r>
    </w:p>
    <w:p w14:paraId="67C69905">
      <w:pPr>
        <w:tabs>
          <w:tab w:val="left" w:pos="426"/>
        </w:tabs>
        <w:adjustRightInd w:val="0"/>
        <w:snapToGrid w:val="0"/>
        <w:spacing w:line="360" w:lineRule="auto"/>
        <w:ind w:firstLine="482" w:firstLineChars="200"/>
        <w:contextualSpacing/>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30. 签订合同</w:t>
      </w:r>
    </w:p>
    <w:p w14:paraId="1B09A520">
      <w:pPr>
        <w:tabs>
          <w:tab w:val="left" w:pos="426"/>
        </w:tabs>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30.1采购人应当自中标通知书发出之日起30日内，按照招标文件和中标人投标文件的规定，与中标人签订书面合同。所签订的合同不得对招标文件确定的事项和中标人投标文件作实质性修改。</w:t>
      </w:r>
    </w:p>
    <w:p w14:paraId="797714AB">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30.2采购人不得向中标人提出任何不合理的要求作为签订合同的条件。</w:t>
      </w:r>
    </w:p>
    <w:p w14:paraId="4FC66FC1">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30.3采购人与中标人应当根据合同的约定依法履行合同义务。政府采购合同的履行、违约责任和解决争议的方法等适用《中华人民共和国民法典》。</w:t>
      </w:r>
    </w:p>
    <w:p w14:paraId="435107EE">
      <w:pPr>
        <w:pStyle w:val="22"/>
        <w:ind w:firstLine="480" w:firstLineChars="200"/>
        <w:contextualSpacing/>
        <w:rPr>
          <w:rFonts w:hint="eastAsia" w:eastAsia="宋体" w:cs="宋体"/>
          <w:color w:val="auto"/>
          <w:highlight w:val="none"/>
        </w:rPr>
      </w:pPr>
      <w:r>
        <w:rPr>
          <w:rFonts w:hint="eastAsia" w:eastAsia="宋体" w:cs="宋体"/>
          <w:color w:val="auto"/>
          <w:highlight w:val="none"/>
        </w:rPr>
        <w:t>31.履约保证金</w:t>
      </w:r>
    </w:p>
    <w:p w14:paraId="4EB190FB">
      <w:pPr>
        <w:pStyle w:val="22"/>
        <w:ind w:firstLine="480" w:firstLineChars="200"/>
        <w:contextualSpacing/>
        <w:rPr>
          <w:rFonts w:hint="eastAsia" w:eastAsia="宋体" w:cs="宋体"/>
          <w:color w:val="auto"/>
          <w:highlight w:val="none"/>
        </w:rPr>
      </w:pPr>
      <w:r>
        <w:rPr>
          <w:rFonts w:hint="eastAsia" w:eastAsia="宋体" w:cs="宋体"/>
          <w:color w:val="auto"/>
          <w:highlight w:val="none"/>
        </w:rPr>
        <w:t>31.1签订合同之前，中标人须向采购人交纳履约保证金,采用</w:t>
      </w:r>
      <w:bookmarkStart w:id="83" w:name="_Hlk38378300"/>
      <w:r>
        <w:rPr>
          <w:rFonts w:hint="eastAsia" w:eastAsia="宋体" w:cs="宋体"/>
          <w:color w:val="auto"/>
          <w:highlight w:val="none"/>
        </w:rPr>
        <w:t>银行转帐或银行履约保函</w:t>
      </w:r>
      <w:bookmarkEnd w:id="83"/>
      <w:r>
        <w:rPr>
          <w:rFonts w:hint="eastAsia" w:eastAsia="宋体" w:cs="宋体"/>
          <w:color w:val="auto"/>
          <w:highlight w:val="none"/>
        </w:rPr>
        <w:t>作为履约保证金（不计息），合同期内中标人无违约行为（任何纠纷）的，质保期满后无息退还30天内退还。</w:t>
      </w:r>
    </w:p>
    <w:p w14:paraId="08B2D408">
      <w:pPr>
        <w:pStyle w:val="22"/>
        <w:ind w:firstLine="480" w:firstLineChars="200"/>
        <w:contextualSpacing/>
        <w:rPr>
          <w:rFonts w:hint="eastAsia" w:eastAsia="宋体" w:cs="宋体"/>
          <w:color w:val="auto"/>
          <w:highlight w:val="none"/>
        </w:rPr>
      </w:pPr>
      <w:r>
        <w:rPr>
          <w:rFonts w:hint="eastAsia" w:eastAsia="宋体" w:cs="宋体"/>
          <w:color w:val="auto"/>
          <w:highlight w:val="none"/>
        </w:rPr>
        <w:t>31.1签订合同后，如成交投标人不按双方签订合同约定履约，则没收其全部履约保证金，履约保证金不足以赔偿损失的，按实际损失赔偿。</w:t>
      </w:r>
    </w:p>
    <w:p w14:paraId="1926C227">
      <w:pPr>
        <w:pStyle w:val="22"/>
        <w:ind w:firstLineChars="200"/>
        <w:contextualSpacing/>
        <w:rPr>
          <w:rFonts w:hint="eastAsia" w:eastAsia="宋体" w:cs="宋体"/>
          <w:b/>
          <w:bCs w:val="0"/>
          <w:color w:val="auto"/>
          <w:highlight w:val="none"/>
        </w:rPr>
      </w:pPr>
      <w:r>
        <w:rPr>
          <w:rFonts w:hint="eastAsia" w:eastAsia="宋体" w:cs="宋体"/>
          <w:b/>
          <w:bCs w:val="0"/>
          <w:color w:val="auto"/>
          <w:highlight w:val="none"/>
        </w:rPr>
        <w:t>32.合同备案</w:t>
      </w:r>
    </w:p>
    <w:p w14:paraId="59B91D01">
      <w:pPr>
        <w:pStyle w:val="22"/>
        <w:ind w:firstLine="480" w:firstLineChars="200"/>
        <w:contextualSpacing/>
        <w:rPr>
          <w:rFonts w:hint="eastAsia" w:eastAsia="宋体" w:cs="宋体"/>
          <w:color w:val="auto"/>
          <w:highlight w:val="none"/>
        </w:rPr>
      </w:pPr>
      <w:r>
        <w:rPr>
          <w:rFonts w:hint="eastAsia" w:eastAsia="宋体" w:cs="宋体"/>
          <w:color w:val="auto"/>
          <w:highlight w:val="none"/>
        </w:rPr>
        <w:t>32.1中标人应当自采购合同签订之日起2个工作日内，将采购合同进行备案。</w:t>
      </w:r>
    </w:p>
    <w:p w14:paraId="230D17EF">
      <w:pPr>
        <w:pStyle w:val="22"/>
        <w:tabs>
          <w:tab w:val="left" w:pos="1560"/>
        </w:tabs>
        <w:ind w:firstLineChars="200"/>
        <w:contextualSpacing/>
        <w:rPr>
          <w:rFonts w:hint="eastAsia" w:eastAsia="宋体" w:cs="宋体"/>
          <w:b/>
          <w:bCs w:val="0"/>
          <w:color w:val="auto"/>
          <w:highlight w:val="none"/>
        </w:rPr>
      </w:pPr>
      <w:r>
        <w:rPr>
          <w:rFonts w:hint="eastAsia" w:eastAsia="宋体" w:cs="宋体"/>
          <w:b/>
          <w:bCs w:val="0"/>
          <w:color w:val="auto"/>
          <w:highlight w:val="none"/>
        </w:rPr>
        <w:t>33.履约验收</w:t>
      </w:r>
    </w:p>
    <w:p w14:paraId="237CCE2D">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33.1采购人应当依法组织履约验收工作。采购人应当根据采购项目的具体情况,自行组织项目验收或者委托采购代理机构验收。采购人委托采购代理机构进行履约验收的,应当对验收结果进行书面确认。如果发现与合同中要求不符，中标单位须承担由此发生的一切损失和费用，并承担相应的法律责任。</w:t>
      </w:r>
    </w:p>
    <w:p w14:paraId="4312ED13">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33.2采购人、采购代理机构可以邀请参加本项目的其他投标人或第三方专业机构及专家参与验收,相关验收意见作为验收书的参考资料。</w:t>
      </w:r>
    </w:p>
    <w:p w14:paraId="663E159F">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33.3严格按照采购合同开展履约验收。采购人或者采购代理机构应当成立验收小组,按照采购合同的约定对投标人履约情况进行验收。验收时,应当按照采购合同的约定对每一项技术、服务、安全标准的履约情况进行确认。验收结束后,应当出具验收书,列明各项标准的验收情况及项目总体评价,由验收双方共同签署。验收结果应当与采购合同约定的资金支付及履约保证金返还条件挂钩。履约验收的各项资料应当存档备查。</w:t>
      </w:r>
    </w:p>
    <w:p w14:paraId="29774B23">
      <w:pPr>
        <w:pStyle w:val="22"/>
        <w:ind w:firstLine="480" w:firstLineChars="200"/>
        <w:contextualSpacing/>
        <w:rPr>
          <w:rFonts w:hint="eastAsia" w:eastAsia="宋体" w:cs="宋体"/>
          <w:bCs w:val="0"/>
          <w:color w:val="auto"/>
          <w:highlight w:val="none"/>
        </w:rPr>
      </w:pPr>
      <w:r>
        <w:rPr>
          <w:rFonts w:hint="eastAsia" w:eastAsia="宋体" w:cs="宋体"/>
          <w:bCs w:val="0"/>
          <w:color w:val="auto"/>
          <w:highlight w:val="none"/>
        </w:rPr>
        <w:t>33.4验收合格的项目,采购人应当根据采购合同的约定及时向投标人支付采购资金、退还履约保证金。验收不合格的项目,采购人应当依法及时处理。采购合同的履行、违约责任和解决争议的方式等适用《中华人民共和国民法典》。投标人在履约过程中有政府采购法律法规规定的违法违规情形的,采购人应当及时报告本级财政部门。</w:t>
      </w:r>
    </w:p>
    <w:p w14:paraId="2FC4185A">
      <w:pPr>
        <w:pStyle w:val="3"/>
        <w:keepNext w:val="0"/>
        <w:keepLines w:val="0"/>
        <w:adjustRightInd w:val="0"/>
        <w:snapToGrid w:val="0"/>
        <w:spacing w:before="0" w:after="0" w:line="360" w:lineRule="auto"/>
        <w:rPr>
          <w:rFonts w:hint="eastAsia" w:ascii="宋体" w:hAnsi="宋体" w:eastAsia="宋体"/>
          <w:color w:val="auto"/>
          <w:sz w:val="28"/>
          <w:szCs w:val="28"/>
          <w:highlight w:val="none"/>
        </w:rPr>
      </w:pPr>
      <w:bookmarkStart w:id="84" w:name="_Toc218692274"/>
      <w:bookmarkStart w:id="85" w:name="_Toc357158886"/>
      <w:bookmarkStart w:id="86" w:name="_Toc357500958"/>
      <w:bookmarkStart w:id="87" w:name="_Toc17283"/>
      <w:r>
        <w:rPr>
          <w:rFonts w:hint="eastAsia" w:ascii="宋体" w:hAnsi="宋体" w:eastAsia="宋体"/>
          <w:color w:val="auto"/>
          <w:sz w:val="28"/>
          <w:szCs w:val="28"/>
          <w:highlight w:val="none"/>
        </w:rPr>
        <w:t>八、其他</w:t>
      </w:r>
      <w:bookmarkEnd w:id="84"/>
      <w:bookmarkEnd w:id="85"/>
      <w:bookmarkEnd w:id="86"/>
      <w:bookmarkEnd w:id="87"/>
    </w:p>
    <w:p w14:paraId="5830B9B7">
      <w:pPr>
        <w:tabs>
          <w:tab w:val="left" w:pos="426"/>
        </w:tabs>
        <w:adjustRightInd w:val="0"/>
        <w:snapToGrid w:val="0"/>
        <w:spacing w:line="360" w:lineRule="auto"/>
        <w:ind w:firstLine="482" w:firstLineChars="200"/>
        <w:contextualSpacing/>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34.保证</w:t>
      </w:r>
    </w:p>
    <w:p w14:paraId="1EE565F6">
      <w:pPr>
        <w:tabs>
          <w:tab w:val="left" w:pos="426"/>
        </w:tabs>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34.1投标人应保证所提交给采购代理机构和采购人的资料和数据是真实的。</w:t>
      </w:r>
    </w:p>
    <w:p w14:paraId="6F4723EF">
      <w:pPr>
        <w:tabs>
          <w:tab w:val="left" w:pos="426"/>
        </w:tabs>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34.2付款方式：具体拔付按合同约定执行。</w:t>
      </w:r>
    </w:p>
    <w:p w14:paraId="43821D6C">
      <w:pPr>
        <w:tabs>
          <w:tab w:val="left" w:pos="426"/>
        </w:tabs>
        <w:adjustRightInd w:val="0"/>
        <w:snapToGrid w:val="0"/>
        <w:spacing w:line="360" w:lineRule="auto"/>
        <w:ind w:firstLine="482" w:firstLineChars="200"/>
        <w:contextualSpacing/>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35.法律责任</w:t>
      </w:r>
    </w:p>
    <w:p w14:paraId="12FFA88E">
      <w:pPr>
        <w:tabs>
          <w:tab w:val="left" w:pos="426"/>
        </w:tabs>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依法成立后，当事人必须全面履行合同规定的义务，保证合同顺利执行。中标人不得向他人转让中标项目，也不得将中标项目分解后向他人转让。履行合同过程中出现纠纷的，按《中华人民共和国民法典》的规定处理。</w:t>
      </w:r>
    </w:p>
    <w:p w14:paraId="47328FE5">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询问、质疑、投诉</w:t>
      </w:r>
    </w:p>
    <w:p w14:paraId="41A6A66E">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36.1询问</w:t>
      </w:r>
    </w:p>
    <w:p w14:paraId="1A4A5B73">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36.1.1投标人对政府采购活动事项有疑问的，可以向采购人或者采购代理机构提出询问，询问可以口头方式提出，也可以书面形式提出。</w:t>
      </w:r>
    </w:p>
    <w:p w14:paraId="0FFF546B">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36.1.2如采用书面形式提出询问，投标人为自然人的，询问函应当由本人签字；投标人为法人或者其他组织的，应当由法定代表人、主要负责人或授权代表签字或者盖章，并加盖投标人公章。询问投标人若委托代理人提出询问的，询问函应按要求列明“授权代表”的有关内容，并提交由投标人签署的授权委托书及代理人身份证复印件，并加盖投标人公章。授权委托书应载明代理人的姓名或者名称、代理事项、具体权限、期限和相关事项。</w:t>
      </w:r>
    </w:p>
    <w:p w14:paraId="210FB29B">
      <w:pPr>
        <w:tabs>
          <w:tab w:val="left" w:pos="426"/>
        </w:tabs>
        <w:adjustRightInd w:val="0"/>
        <w:snapToGrid w:val="0"/>
        <w:spacing w:line="360" w:lineRule="auto"/>
        <w:ind w:firstLine="456" w:firstLineChars="200"/>
        <w:contextualSpacing/>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36.1.3采购人或者采购代理机构在三个工作日内对投标人依法提出的询问作出答复。</w:t>
      </w:r>
    </w:p>
    <w:p w14:paraId="5B5DC3D5">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36.2质疑</w:t>
      </w:r>
    </w:p>
    <w:p w14:paraId="7C1BFFBB">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36.2.1提出质疑的投标人（以下简称质疑投标人）应当是参与所质疑项目采购活动的投标人。</w:t>
      </w:r>
    </w:p>
    <w:p w14:paraId="688E2657">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36.2.2质疑期限：</w:t>
      </w:r>
    </w:p>
    <w:p w14:paraId="6724DCFD">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36.2.2.1投标人认为招标文件的内容损害其权益的，应当在</w:t>
      </w:r>
      <w:bookmarkStart w:id="88" w:name="_Hlk65535192"/>
      <w:r>
        <w:rPr>
          <w:rFonts w:hint="eastAsia" w:ascii="宋体" w:hAnsi="宋体" w:eastAsia="宋体" w:cs="宋体"/>
          <w:color w:val="auto"/>
          <w:sz w:val="24"/>
          <w:highlight w:val="none"/>
        </w:rPr>
        <w:t>获取</w:t>
      </w:r>
      <w:bookmarkEnd w:id="88"/>
      <w:r>
        <w:rPr>
          <w:rFonts w:hint="eastAsia" w:ascii="宋体" w:hAnsi="宋体" w:eastAsia="宋体" w:cs="宋体"/>
          <w:color w:val="auto"/>
          <w:sz w:val="24"/>
          <w:highlight w:val="none"/>
        </w:rPr>
        <w:t>招标文件之日或者招标文件公告期届满之日起七个工作日内。（注：投标人获取招标文件之日早于招标文件公告期限届满之日的，则以投标人获取招标文件之日为质疑时效期间的起算日期；否则，以招标文件公告期限届满之日为质疑时效期间的起算日期）</w:t>
      </w:r>
    </w:p>
    <w:p w14:paraId="2EBF6730">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36.2.2.2投标人认为采购过程损害其权益的，应在各采购程序环节结束之日起七个工作日内。</w:t>
      </w:r>
    </w:p>
    <w:p w14:paraId="797FFA97">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36.2.2.3投标人认为中标或者成交结果损害其权益的，应在中标或者成交结果公告期限届满之日起七个工作日内。</w:t>
      </w:r>
    </w:p>
    <w:p w14:paraId="30326EB0">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36.2.3提交要求：</w:t>
      </w:r>
    </w:p>
    <w:p w14:paraId="4029885C">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36.2.3.1以书面形式（指加盖投标人公章的原件）向采购人或者采购代理机构一次性提出针对同一采购程序环节的质疑。</w:t>
      </w:r>
    </w:p>
    <w:p w14:paraId="7C11B8DB">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36.2.3.2质疑函应当包括下列内容：</w:t>
      </w:r>
    </w:p>
    <w:p w14:paraId="70981A29">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1）投标人的姓名或者名称、地址、邮编、联系人及联系电话；</w:t>
      </w:r>
    </w:p>
    <w:p w14:paraId="4065DBC1">
      <w:pPr>
        <w:tabs>
          <w:tab w:val="left" w:pos="426"/>
        </w:tabs>
        <w:adjustRightInd w:val="0"/>
        <w:snapToGrid w:val="0"/>
        <w:spacing w:line="360" w:lineRule="auto"/>
        <w:ind w:firstLine="456" w:firstLineChars="200"/>
        <w:contextualSpacing/>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2）质疑项目的名称和招标编号，若对项目的某一分包进行质疑，应列明具体的包组号；</w:t>
      </w:r>
    </w:p>
    <w:p w14:paraId="0155F01E">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78A51753">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7CEAB1AF">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0D37B72B">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2ED4BD39">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36.2.3.3投标人为法人或者其他组织的，应当由法定代表人、主要负责人或授权代表签字或者盖章，并加盖投标人公章。质疑投标人若委托代理人进行质疑的，质疑函应按要求列明“授权代表”的有关内容，并提交由投标人签署的授权委托书及代理人身份证复印件，并加盖投标人公章。授权委托书应载明代理人的姓名或者名称、代理事项、具体权限、期限和相关事项。</w:t>
      </w:r>
    </w:p>
    <w:p w14:paraId="051CD5A7">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36.2.3.4以联合体形式参加政府采购活动的，其质疑应当由组成联合体的所有投标人共同提出。</w:t>
      </w:r>
    </w:p>
    <w:p w14:paraId="69BF1A27">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36.2.3.5投标人捏造事实、提供虚假材料或者以非法手段取得证明材料不能作为质疑的证明材料。</w:t>
      </w:r>
    </w:p>
    <w:p w14:paraId="604C7518">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36.2.3.6采购人或者采购代理机构在收到质疑函后7个工作日内作出答复，并以书面形式通知质疑投标人和其他有关投标人，但答复内容不涉及商业秘密。</w:t>
      </w:r>
    </w:p>
    <w:p w14:paraId="6DDC2F56">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36.2.4询问、质疑的期间开始之日，不计算在期间内。期间届满的最后一日是节假日的，以节假日后的第一日为期间届满的日期。期间不包括在途时间，询问和质疑文书在期满前交邮的，不算过期。</w:t>
      </w:r>
    </w:p>
    <w:p w14:paraId="18F9D031">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36.2.5对于捏造事实、滥用维权扰乱采购秩序的恶意质疑者或举证不全查无实据被驳回次数在一年内达三次以上，将纳入不良行为记录名单并承担相应的法律责任。</w:t>
      </w:r>
    </w:p>
    <w:p w14:paraId="60A60DA1">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36.2.6采购代理机构接收质疑函的联系部门、联系电话和通讯地址等信息详见第一章通讯联系人、电话及地址。</w:t>
      </w:r>
    </w:p>
    <w:p w14:paraId="4CD2ADF0">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36.3投诉</w:t>
      </w:r>
    </w:p>
    <w:p w14:paraId="5C5A0122">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36.3.1质疑投标人对采购人、采购代理机构的质疑答复不满意，或采购人或者采购代理机构未在规定期限内作出答复的，可以在答复期满后十五个工作日内向招标文件规定的政府采购监督管理部门提起投诉。</w:t>
      </w:r>
    </w:p>
    <w:p w14:paraId="2277146B">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37.政府采购政策其他管理规定</w:t>
      </w:r>
    </w:p>
    <w:p w14:paraId="1BF53A6D">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37.1根据《财政部关于促进政府采购公平竞争优化营商环境的通知》（财库〔2019〕38 号）《云南省财政厅关于促进政府采购公平竞争优化营商环境的实施意见》（云财规〔2019〕5号）规定，不得因装订、纸张、文件排序等非实质性的格式、形式问题限制和影响供应商投标、响应。</w:t>
      </w:r>
    </w:p>
    <w:p w14:paraId="4CD40FEE">
      <w:pPr>
        <w:tabs>
          <w:tab w:val="left" w:pos="426"/>
        </w:tabs>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38.解释权</w:t>
      </w:r>
    </w:p>
    <w:p w14:paraId="5CA2D822">
      <w:pPr>
        <w:tabs>
          <w:tab w:val="left" w:pos="426"/>
        </w:tabs>
        <w:adjustRightInd w:val="0"/>
        <w:snapToGrid w:val="0"/>
        <w:spacing w:line="360" w:lineRule="auto"/>
        <w:ind w:firstLine="480" w:firstLineChars="200"/>
        <w:contextualSpacing/>
        <w:jc w:val="left"/>
        <w:rPr>
          <w:rFonts w:hint="eastAsia" w:ascii="宋体" w:hAnsi="宋体" w:eastAsia="宋体" w:cs="宋体"/>
          <w:color w:val="auto"/>
          <w:highlight w:val="none"/>
        </w:rPr>
      </w:pPr>
      <w:r>
        <w:rPr>
          <w:rFonts w:hint="eastAsia" w:ascii="宋体" w:hAnsi="宋体" w:eastAsia="宋体" w:cs="宋体"/>
          <w:color w:val="auto"/>
          <w:sz w:val="24"/>
          <w:highlight w:val="none"/>
        </w:rPr>
        <w:t>38.1本招标文件是根据《中华人民共和国政府采购法》、《中华人民共和国政府采购法实施条例》、《政府采购货物和服务招标投标管理办法》及相关法律法规编制，解释权属采购代理机构。</w:t>
      </w:r>
    </w:p>
    <w:bookmarkEnd w:id="45"/>
    <w:bookmarkEnd w:id="46"/>
    <w:p w14:paraId="134F9AEE">
      <w:pPr>
        <w:adjustRightInd w:val="0"/>
        <w:snapToGrid w:val="0"/>
        <w:spacing w:line="360" w:lineRule="auto"/>
        <w:rPr>
          <w:rFonts w:hint="eastAsia" w:ascii="宋体" w:hAnsi="宋体" w:eastAsia="宋体" w:cs="宋体"/>
          <w:color w:val="auto"/>
          <w:highlight w:val="none"/>
        </w:rPr>
      </w:pPr>
      <w:bookmarkStart w:id="89" w:name="_Toc351117886"/>
      <w:bookmarkStart w:id="90" w:name="_Toc213141090"/>
      <w:bookmarkStart w:id="91" w:name="_Toc350930002"/>
      <w:bookmarkStart w:id="92" w:name="_Toc350330503"/>
      <w:bookmarkStart w:id="93" w:name="_Toc10205"/>
      <w:bookmarkStart w:id="94" w:name="_Toc20371"/>
      <w:bookmarkStart w:id="95" w:name="_Toc350930217"/>
      <w:bookmarkStart w:id="96" w:name="_Toc280658075"/>
      <w:bookmarkStart w:id="97" w:name="_Toc1238"/>
      <w:bookmarkStart w:id="98" w:name="_Toc4991"/>
      <w:bookmarkStart w:id="99" w:name="_Toc7762"/>
      <w:bookmarkStart w:id="100" w:name="_Toc29708"/>
      <w:bookmarkStart w:id="101" w:name="_Toc14666"/>
      <w:bookmarkStart w:id="102" w:name="_Toc234057365"/>
      <w:bookmarkStart w:id="103" w:name="_Toc29205"/>
      <w:bookmarkStart w:id="104" w:name="_Toc357158889"/>
      <w:bookmarkStart w:id="105" w:name="_Toc28383"/>
      <w:r>
        <w:rPr>
          <w:rFonts w:hint="eastAsia" w:ascii="宋体" w:hAnsi="宋体" w:eastAsia="宋体" w:cs="宋体"/>
          <w:color w:val="auto"/>
          <w:highlight w:val="none"/>
        </w:rPr>
        <w:br w:type="page"/>
      </w:r>
    </w:p>
    <w:p w14:paraId="56BB68E6">
      <w:pPr>
        <w:adjustRightInd w:val="0"/>
        <w:snapToGrid w:val="0"/>
        <w:spacing w:line="360" w:lineRule="auto"/>
        <w:ind w:firstLine="643" w:firstLineChars="200"/>
        <w:contextualSpacing/>
        <w:jc w:val="center"/>
        <w:outlineLvl w:val="0"/>
        <w:rPr>
          <w:rFonts w:hint="eastAsia" w:ascii="宋体" w:hAnsi="宋体" w:eastAsia="宋体" w:cs="宋体"/>
          <w:b/>
          <w:bCs/>
          <w:color w:val="auto"/>
          <w:sz w:val="32"/>
          <w:szCs w:val="32"/>
          <w:highlight w:val="none"/>
        </w:rPr>
      </w:pPr>
      <w:bookmarkStart w:id="106" w:name="_Toc14094"/>
      <w:r>
        <w:rPr>
          <w:rFonts w:hint="eastAsia" w:ascii="宋体" w:hAnsi="宋体" w:eastAsia="宋体" w:cs="宋体"/>
          <w:b/>
          <w:bCs/>
          <w:color w:val="auto"/>
          <w:sz w:val="32"/>
          <w:szCs w:val="32"/>
          <w:highlight w:val="none"/>
        </w:rPr>
        <w:t>第三章  评标方法和标准</w:t>
      </w:r>
      <w:bookmarkEnd w:id="106"/>
    </w:p>
    <w:p w14:paraId="3839A2ED">
      <w:pPr>
        <w:adjustRightInd w:val="0"/>
        <w:snapToGrid w:val="0"/>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1.评标依据</w:t>
      </w:r>
    </w:p>
    <w:p w14:paraId="7CAACEA3">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1.1根据《中华人民共和国政府采购法》；</w:t>
      </w:r>
    </w:p>
    <w:p w14:paraId="52044345">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1.2本项目招标文件。</w:t>
      </w:r>
    </w:p>
    <w:p w14:paraId="28F43794">
      <w:pPr>
        <w:adjustRightInd w:val="0"/>
        <w:snapToGrid w:val="0"/>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2.评标原则</w:t>
      </w:r>
    </w:p>
    <w:p w14:paraId="491AECEA">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2.1公平、公正、科学择优评标；</w:t>
      </w:r>
    </w:p>
    <w:p w14:paraId="686177B0">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评标由评标委员会负责，评标委员会由采购人代表和评审专家组成，成员人数应当为7人以上单数，其中评审专家不得少于成员总数的三分之二。评标委员会由招标采购单位依法组建，有关人员对所聘任的评标委员会成员名单必须严格保密。评审专家有下列情形之一的，受到邀请应主动提出回避，采购当事人也可以要求该评审专家回避：</w:t>
      </w:r>
    </w:p>
    <w:p w14:paraId="773A629D">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2.2.1.</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参加采购活动前3年内与投标人存在劳动关系；</w:t>
      </w:r>
    </w:p>
    <w:p w14:paraId="16838E66">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2.2.2.</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参加采购活动前3年内担任投标人的董事或监事；</w:t>
      </w:r>
    </w:p>
    <w:p w14:paraId="6CD94307">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2.2.3.</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参加采购活动前3年内是投标人的控股股东或者实际控制人；</w:t>
      </w:r>
    </w:p>
    <w:p w14:paraId="2DEFDDB7">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2.2.4.</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与投标人的法定代表人或者负责人有夫妻、直系血亲、三代以内旁系血亲或者近姻亲关系；</w:t>
      </w:r>
    </w:p>
    <w:p w14:paraId="07EA28DE">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2.2.5.</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与投标人有其他可能影响政府采购活动公平、公正进行的关系。</w:t>
      </w:r>
    </w:p>
    <w:p w14:paraId="5DDCEC46">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2.3参加评标的人员应严格遵守国家有关保密的法律、法规和规定，并接受有关部门的监督；</w:t>
      </w:r>
    </w:p>
    <w:p w14:paraId="4203D728">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2.4根据法律法规规定，参加评标的有关人员应对整个评标、定标过程保密，不得泄露；</w:t>
      </w:r>
    </w:p>
    <w:p w14:paraId="2A809BF8">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2.5评标委员会成员（以下简称评委）应按规定的程序评标；</w:t>
      </w:r>
    </w:p>
    <w:p w14:paraId="36BB7A7B">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2.6评委在开始评标前，应首先检查每份投标文件的内容是否完整，是否实质上响应招标文件的要求。对于实质上未响应招标文件规定的投标文件，采购人将予以拒绝。对于报价特别异常的，由评委依法认定；</w:t>
      </w:r>
    </w:p>
    <w:p w14:paraId="22117028">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2.7评标委员会将对确定为实质上响应招标文件要求的投标文件进行比较评审；</w:t>
      </w:r>
    </w:p>
    <w:p w14:paraId="2F7EDB94">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2.8投标人对评委施加影响的任何行为，都将被取消中标资格。</w:t>
      </w:r>
    </w:p>
    <w:p w14:paraId="056D1C79">
      <w:pPr>
        <w:adjustRightInd w:val="0"/>
        <w:snapToGrid w:val="0"/>
        <w:spacing w:line="360" w:lineRule="auto"/>
        <w:ind w:firstLine="482" w:firstLineChars="200"/>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3.评标程序</w:t>
      </w:r>
    </w:p>
    <w:p w14:paraId="701F6AAF">
      <w:pPr>
        <w:adjustRightInd w:val="0"/>
        <w:snapToGrid w:val="0"/>
        <w:spacing w:line="360" w:lineRule="auto"/>
        <w:ind w:firstLine="480" w:firstLineChars="200"/>
        <w:contextualSpacing/>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3.1</w:t>
      </w:r>
      <w:r>
        <w:rPr>
          <w:rFonts w:hint="eastAsia" w:ascii="宋体" w:hAnsi="宋体" w:eastAsia="宋体" w:cs="宋体"/>
          <w:bCs/>
          <w:color w:val="auto"/>
          <w:sz w:val="24"/>
          <w:highlight w:val="none"/>
        </w:rPr>
        <w:t>投标文件制作</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投递要求</w:t>
      </w:r>
      <w:r>
        <w:rPr>
          <w:rFonts w:hint="eastAsia" w:ascii="宋体" w:hAnsi="宋体" w:eastAsia="宋体" w:cs="宋体"/>
          <w:bCs/>
          <w:color w:val="auto"/>
          <w:sz w:val="24"/>
          <w:highlight w:val="none"/>
          <w:lang w:val="en-US" w:eastAsia="zh-CN"/>
        </w:rPr>
        <w:t>及评审顺序</w:t>
      </w:r>
    </w:p>
    <w:p w14:paraId="02C39C17">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投标人可自主选择本项目1个或多个标包进行投标，投标文件须按所投标包分别制作、单独密封投递，未按标包单独制作投递的投标文件将按无效投标处理。</w:t>
      </w:r>
    </w:p>
    <w:p w14:paraId="413D67E9">
      <w:pPr>
        <w:adjustRightInd w:val="0"/>
        <w:snapToGrid w:val="0"/>
        <w:spacing w:line="360" w:lineRule="auto"/>
        <w:ind w:firstLine="482" w:firstLineChars="200"/>
        <w:contextualSpacing/>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评审将依标包顺序（</w:t>
      </w:r>
      <w:r>
        <w:rPr>
          <w:rFonts w:hint="eastAsia" w:ascii="宋体" w:hAnsi="宋体" w:eastAsia="宋体" w:cs="宋体"/>
          <w:b/>
          <w:color w:val="auto"/>
          <w:sz w:val="24"/>
          <w:highlight w:val="none"/>
          <w:lang w:val="en-US" w:eastAsia="zh-CN"/>
        </w:rPr>
        <w:t>第一片区1包、第一片区2包、第二片区1包、第二片区2包</w:t>
      </w:r>
      <w:r>
        <w:rPr>
          <w:rFonts w:hint="eastAsia" w:ascii="宋体" w:hAnsi="宋体" w:eastAsia="宋体" w:cs="宋体"/>
          <w:b/>
          <w:color w:val="auto"/>
          <w:sz w:val="24"/>
          <w:highlight w:val="none"/>
        </w:rPr>
        <w:t>）逐包进行。投标人若在某标包被推荐为第一中标候选人，其投标文件仍参与后续标包的评审，但在后续标包中不得再被推荐为中标候选人。</w:t>
      </w:r>
    </w:p>
    <w:p w14:paraId="268A9F8D">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由采购人或采购代理机构依据资格审查标准对实质性响应的投标人进行资格审查（资格性审查条件详见附件1），并向评标委员会提交资格审查报告。</w:t>
      </w:r>
    </w:p>
    <w:p w14:paraId="21840028">
      <w:pPr>
        <w:adjustRightInd w:val="0"/>
        <w:snapToGrid w:val="0"/>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评标委员会对通过资格审查的投标人进行符合性检查（符合性检查条件详见附件2）。依据招标文件的规定，从投标文件的有效性、完整性和对招标文件的响应程度进行审查，以确定是否对招标文件的实质性要求做出响应。</w:t>
      </w:r>
    </w:p>
    <w:p w14:paraId="56885F5E">
      <w:pPr>
        <w:adjustRightInd w:val="0"/>
        <w:snapToGrid w:val="0"/>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附件1：</w:t>
      </w:r>
      <w:r>
        <w:rPr>
          <w:rFonts w:hint="eastAsia" w:ascii="宋体" w:hAnsi="宋体" w:eastAsia="宋体" w:cs="宋体"/>
          <w:b/>
          <w:color w:val="auto"/>
          <w:sz w:val="24"/>
          <w:highlight w:val="none"/>
        </w:rPr>
        <w:t>资格性检查</w:t>
      </w:r>
      <w:r>
        <w:rPr>
          <w:rFonts w:hint="eastAsia" w:ascii="宋体" w:hAnsi="宋体" w:eastAsia="宋体" w:cs="宋体"/>
          <w:b/>
          <w:bCs/>
          <w:color w:val="auto"/>
          <w:sz w:val="24"/>
          <w:highlight w:val="none"/>
        </w:rPr>
        <w:t>表：</w:t>
      </w:r>
    </w:p>
    <w:tbl>
      <w:tblPr>
        <w:tblStyle w:val="44"/>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588"/>
        <w:gridCol w:w="5681"/>
        <w:gridCol w:w="1113"/>
      </w:tblGrid>
      <w:tr w14:paraId="417C5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296" w:type="dxa"/>
            <w:vAlign w:val="center"/>
          </w:tcPr>
          <w:p w14:paraId="6BE31B60">
            <w:pPr>
              <w:autoSpaceDE w:val="0"/>
              <w:autoSpaceDN w:val="0"/>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审查内容</w:t>
            </w:r>
          </w:p>
        </w:tc>
        <w:tc>
          <w:tcPr>
            <w:tcW w:w="1588" w:type="dxa"/>
            <w:vAlign w:val="center"/>
          </w:tcPr>
          <w:p w14:paraId="68C1C5C1">
            <w:pPr>
              <w:autoSpaceDE w:val="0"/>
              <w:autoSpaceDN w:val="0"/>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审查因素</w:t>
            </w:r>
          </w:p>
        </w:tc>
        <w:tc>
          <w:tcPr>
            <w:tcW w:w="5681" w:type="dxa"/>
            <w:vAlign w:val="center"/>
          </w:tcPr>
          <w:p w14:paraId="088EF750">
            <w:pPr>
              <w:autoSpaceDE w:val="0"/>
              <w:autoSpaceDN w:val="0"/>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审查标准</w:t>
            </w:r>
          </w:p>
        </w:tc>
        <w:tc>
          <w:tcPr>
            <w:tcW w:w="1113" w:type="dxa"/>
            <w:vAlign w:val="center"/>
          </w:tcPr>
          <w:p w14:paraId="7689F166">
            <w:pPr>
              <w:autoSpaceDE w:val="0"/>
              <w:autoSpaceDN w:val="0"/>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审查要求</w:t>
            </w:r>
          </w:p>
        </w:tc>
      </w:tr>
      <w:tr w14:paraId="52EE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96" w:type="dxa"/>
            <w:vMerge w:val="restart"/>
            <w:vAlign w:val="center"/>
          </w:tcPr>
          <w:p w14:paraId="1E5DF1BA">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资格审查标准</w:t>
            </w:r>
          </w:p>
        </w:tc>
        <w:tc>
          <w:tcPr>
            <w:tcW w:w="1588" w:type="dxa"/>
            <w:vAlign w:val="center"/>
          </w:tcPr>
          <w:p w14:paraId="174557D1">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具有独立承担民事责任的能力</w:t>
            </w:r>
          </w:p>
        </w:tc>
        <w:tc>
          <w:tcPr>
            <w:tcW w:w="5681" w:type="dxa"/>
            <w:vAlign w:val="center"/>
          </w:tcPr>
          <w:p w14:paraId="48B695FC">
            <w:pPr>
              <w:adjustRightInd w:val="0"/>
              <w:snapToGrid w:val="0"/>
              <w:spacing w:line="360" w:lineRule="auto"/>
              <w:contextualSpacing/>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投标人须在中华人民共和国境内注册，具备有效的营业执照或其他等效证明材料；</w:t>
            </w:r>
          </w:p>
        </w:tc>
        <w:tc>
          <w:tcPr>
            <w:tcW w:w="1113" w:type="dxa"/>
            <w:vAlign w:val="center"/>
          </w:tcPr>
          <w:p w14:paraId="13B8C049">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审核投标文件</w:t>
            </w:r>
          </w:p>
        </w:tc>
      </w:tr>
      <w:tr w14:paraId="7BA0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96" w:type="dxa"/>
            <w:vMerge w:val="continue"/>
            <w:vAlign w:val="center"/>
          </w:tcPr>
          <w:p w14:paraId="6A33233A">
            <w:pPr>
              <w:adjustRightInd w:val="0"/>
              <w:snapToGrid w:val="0"/>
              <w:spacing w:line="360" w:lineRule="auto"/>
              <w:jc w:val="center"/>
              <w:rPr>
                <w:rFonts w:hint="eastAsia" w:ascii="宋体" w:hAnsi="宋体" w:eastAsia="宋体" w:cs="宋体"/>
                <w:b/>
                <w:bCs/>
                <w:color w:val="auto"/>
                <w:sz w:val="24"/>
                <w:szCs w:val="24"/>
                <w:highlight w:val="none"/>
              </w:rPr>
            </w:pPr>
          </w:p>
        </w:tc>
        <w:tc>
          <w:tcPr>
            <w:tcW w:w="1588" w:type="dxa"/>
            <w:vAlign w:val="center"/>
          </w:tcPr>
          <w:p w14:paraId="4FA3C994">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承诺书</w:t>
            </w:r>
          </w:p>
        </w:tc>
        <w:tc>
          <w:tcPr>
            <w:tcW w:w="5681" w:type="dxa"/>
            <w:vAlign w:val="center"/>
          </w:tcPr>
          <w:p w14:paraId="0EB37010">
            <w:pPr>
              <w:adjustRightInd w:val="0"/>
              <w:snapToGrid w:val="0"/>
              <w:spacing w:line="360" w:lineRule="auto"/>
              <w:contextualSpacing/>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投标人自行承诺符合《中华人民共和国政府采购法》第二十二条规定及《中华人民共和国政府采购法实施条例》第十七条的相关要求（加盖公章）</w:t>
            </w:r>
          </w:p>
        </w:tc>
        <w:tc>
          <w:tcPr>
            <w:tcW w:w="1113" w:type="dxa"/>
            <w:vAlign w:val="center"/>
          </w:tcPr>
          <w:p w14:paraId="6806D65D">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审核投标文件</w:t>
            </w:r>
          </w:p>
        </w:tc>
      </w:tr>
      <w:tr w14:paraId="501D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1296" w:type="dxa"/>
            <w:vMerge w:val="continue"/>
            <w:vAlign w:val="center"/>
          </w:tcPr>
          <w:p w14:paraId="6609BE43">
            <w:pPr>
              <w:adjustRightInd w:val="0"/>
              <w:snapToGrid w:val="0"/>
              <w:spacing w:line="360" w:lineRule="auto"/>
              <w:jc w:val="center"/>
              <w:rPr>
                <w:rFonts w:hint="eastAsia" w:ascii="宋体" w:hAnsi="宋体" w:eastAsia="宋体" w:cs="宋体"/>
                <w:b/>
                <w:bCs/>
                <w:color w:val="auto"/>
                <w:sz w:val="24"/>
                <w:szCs w:val="24"/>
                <w:highlight w:val="none"/>
              </w:rPr>
            </w:pPr>
          </w:p>
        </w:tc>
        <w:tc>
          <w:tcPr>
            <w:tcW w:w="1588" w:type="dxa"/>
            <w:vAlign w:val="center"/>
          </w:tcPr>
          <w:p w14:paraId="0854B085">
            <w:pPr>
              <w:adjustRightInd w:val="0"/>
              <w:snapToGrid w:val="0"/>
              <w:spacing w:line="360" w:lineRule="auto"/>
              <w:contextualSpacing/>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无重大违法记录</w:t>
            </w:r>
          </w:p>
        </w:tc>
        <w:tc>
          <w:tcPr>
            <w:tcW w:w="5681" w:type="dxa"/>
            <w:vAlign w:val="center"/>
          </w:tcPr>
          <w:p w14:paraId="4BFE0A5A">
            <w:pPr>
              <w:adjustRightInd w:val="0"/>
              <w:snapToGrid w:val="0"/>
              <w:spacing w:line="360" w:lineRule="auto"/>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参加政府采购活动前三年内，在经营活动中没有重大违法记录（重大违法记录，是指投标人因违法经营受到刑事处罚或者责令停产停业、吊销许可证或者执照、较大数额罚款等行政处罚）的书面声明（加盖公章）；</w:t>
            </w:r>
          </w:p>
        </w:tc>
        <w:tc>
          <w:tcPr>
            <w:tcW w:w="1113" w:type="dxa"/>
            <w:vAlign w:val="center"/>
          </w:tcPr>
          <w:p w14:paraId="2C85E02A">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审核投标文件</w:t>
            </w:r>
          </w:p>
        </w:tc>
      </w:tr>
      <w:tr w14:paraId="21AD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5" w:hRule="atLeast"/>
          <w:jc w:val="center"/>
        </w:trPr>
        <w:tc>
          <w:tcPr>
            <w:tcW w:w="1296" w:type="dxa"/>
            <w:vMerge w:val="continue"/>
            <w:vAlign w:val="center"/>
          </w:tcPr>
          <w:p w14:paraId="155F46F2">
            <w:pPr>
              <w:adjustRightInd w:val="0"/>
              <w:snapToGrid w:val="0"/>
              <w:spacing w:line="360" w:lineRule="auto"/>
              <w:jc w:val="center"/>
              <w:rPr>
                <w:rFonts w:hint="eastAsia" w:ascii="宋体" w:hAnsi="宋体" w:eastAsia="宋体" w:cs="宋体"/>
                <w:b/>
                <w:bCs/>
                <w:color w:val="auto"/>
                <w:sz w:val="24"/>
                <w:szCs w:val="24"/>
                <w:highlight w:val="none"/>
              </w:rPr>
            </w:pPr>
          </w:p>
        </w:tc>
        <w:tc>
          <w:tcPr>
            <w:tcW w:w="1588" w:type="dxa"/>
            <w:vAlign w:val="center"/>
          </w:tcPr>
          <w:p w14:paraId="76C1E04B">
            <w:pPr>
              <w:adjustRightInd w:val="0"/>
              <w:snapToGrid w:val="0"/>
              <w:spacing w:line="360" w:lineRule="auto"/>
              <w:contextualSpacing/>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信誉要求</w:t>
            </w:r>
          </w:p>
        </w:tc>
        <w:tc>
          <w:tcPr>
            <w:tcW w:w="5681" w:type="dxa"/>
            <w:vAlign w:val="center"/>
          </w:tcPr>
          <w:p w14:paraId="7C315FDD">
            <w:pPr>
              <w:adjustRightInd w:val="0"/>
              <w:snapToGrid w:val="0"/>
              <w:spacing w:line="360" w:lineRule="auto"/>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投标人自行承诺在“信用中国”网站(www.creditchina.gov.cn) 中未被列入：失信被执行人、重大税收违法失信主体名单、严重失信主体名单查询；在“中国政府采购网”(www.ccgp.gov.cn) 中未被列入：政府采购严重违法失信行为记录名单（加盖公章）。</w:t>
            </w:r>
          </w:p>
        </w:tc>
        <w:tc>
          <w:tcPr>
            <w:tcW w:w="1113" w:type="dxa"/>
            <w:vAlign w:val="center"/>
          </w:tcPr>
          <w:p w14:paraId="780B9344">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审核投标文件</w:t>
            </w:r>
          </w:p>
        </w:tc>
      </w:tr>
      <w:tr w14:paraId="3254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296" w:type="dxa"/>
            <w:vMerge w:val="continue"/>
            <w:vAlign w:val="center"/>
          </w:tcPr>
          <w:p w14:paraId="488560FD">
            <w:pPr>
              <w:adjustRightInd w:val="0"/>
              <w:snapToGrid w:val="0"/>
              <w:spacing w:line="360" w:lineRule="auto"/>
              <w:jc w:val="center"/>
              <w:rPr>
                <w:rFonts w:hint="eastAsia" w:ascii="宋体" w:hAnsi="宋体" w:eastAsia="宋体" w:cs="宋体"/>
                <w:b/>
                <w:bCs/>
                <w:color w:val="auto"/>
                <w:sz w:val="24"/>
                <w:szCs w:val="24"/>
                <w:highlight w:val="none"/>
              </w:rPr>
            </w:pPr>
          </w:p>
        </w:tc>
        <w:tc>
          <w:tcPr>
            <w:tcW w:w="1588" w:type="dxa"/>
            <w:vAlign w:val="center"/>
          </w:tcPr>
          <w:p w14:paraId="192FE7A0">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本项目特定资格要求</w:t>
            </w:r>
          </w:p>
        </w:tc>
        <w:tc>
          <w:tcPr>
            <w:tcW w:w="5681" w:type="dxa"/>
            <w:vAlign w:val="center"/>
          </w:tcPr>
          <w:p w14:paraId="2BAB0D7C">
            <w:pPr>
              <w:adjustRightInd w:val="0"/>
              <w:snapToGrid w:val="0"/>
              <w:spacing w:line="360" w:lineRule="auto"/>
              <w:contextualSpacing/>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投标人应具备有效的《食品生产许可证》或《食品经营许可证》</w:t>
            </w:r>
          </w:p>
        </w:tc>
        <w:tc>
          <w:tcPr>
            <w:tcW w:w="1113" w:type="dxa"/>
            <w:vAlign w:val="center"/>
          </w:tcPr>
          <w:p w14:paraId="1F48A5A6">
            <w:pPr>
              <w:adjustRightInd w:val="0"/>
              <w:snapToGrid w:val="0"/>
              <w:spacing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审核投标文件</w:t>
            </w:r>
          </w:p>
        </w:tc>
      </w:tr>
    </w:tbl>
    <w:p w14:paraId="603E603A">
      <w:pPr>
        <w:adjustRightInd w:val="0"/>
        <w:snapToGrid w:val="0"/>
        <w:spacing w:line="360" w:lineRule="auto"/>
        <w:jc w:val="left"/>
        <w:rPr>
          <w:rFonts w:hint="eastAsia" w:ascii="宋体" w:hAnsi="宋体" w:eastAsia="宋体" w:cs="宋体"/>
          <w:b/>
          <w:bCs/>
          <w:color w:val="auto"/>
          <w:sz w:val="24"/>
          <w:highlight w:val="none"/>
        </w:rPr>
      </w:pPr>
    </w:p>
    <w:p w14:paraId="0717C322">
      <w:pPr>
        <w:adjustRightInd w:val="0"/>
        <w:snapToGrid w:val="0"/>
        <w:spacing w:line="360" w:lineRule="auto"/>
        <w:ind w:firstLine="482" w:firstLineChars="200"/>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附件2：符合性检查</w:t>
      </w:r>
    </w:p>
    <w:p w14:paraId="3222BE1F">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在符合性检查时，如发现下列情形之一的，投标文件将被视为无效：</w:t>
      </w:r>
    </w:p>
    <w:p w14:paraId="1FE93AAB">
      <w:pPr>
        <w:pStyle w:val="22"/>
        <w:ind w:firstLineChars="200"/>
        <w:contextualSpacing/>
        <w:rPr>
          <w:rFonts w:hint="eastAsia" w:eastAsia="宋体" w:cs="宋体"/>
          <w:b/>
          <w:color w:val="auto"/>
          <w:highlight w:val="none"/>
        </w:rPr>
      </w:pPr>
      <w:r>
        <w:rPr>
          <w:rFonts w:hint="eastAsia" w:eastAsia="宋体" w:cs="宋体"/>
          <w:b/>
          <w:color w:val="auto"/>
          <w:highlight w:val="none"/>
        </w:rPr>
        <w:t>（1）无单位盖章或无法定代表人或其授权代理人签字；</w:t>
      </w:r>
    </w:p>
    <w:p w14:paraId="6928C2B8">
      <w:pPr>
        <w:pStyle w:val="22"/>
        <w:ind w:firstLineChars="200"/>
        <w:contextualSpacing/>
        <w:rPr>
          <w:rFonts w:hint="eastAsia" w:eastAsia="宋体" w:cs="宋体"/>
          <w:b/>
          <w:color w:val="auto"/>
          <w:highlight w:val="none"/>
        </w:rPr>
      </w:pPr>
      <w:r>
        <w:rPr>
          <w:rFonts w:hint="eastAsia" w:eastAsia="宋体" w:cs="宋体"/>
          <w:b/>
          <w:color w:val="auto"/>
          <w:highlight w:val="none"/>
        </w:rPr>
        <w:t>（2）投标报价不符合招标文件要求的；</w:t>
      </w:r>
    </w:p>
    <w:p w14:paraId="44AB4127">
      <w:pPr>
        <w:pStyle w:val="22"/>
        <w:ind w:firstLineChars="200"/>
        <w:contextualSpacing/>
        <w:rPr>
          <w:rFonts w:hint="eastAsia" w:eastAsia="宋体" w:cs="宋体"/>
          <w:b/>
          <w:color w:val="auto"/>
          <w:highlight w:val="none"/>
        </w:rPr>
      </w:pPr>
      <w:r>
        <w:rPr>
          <w:rFonts w:hint="eastAsia" w:eastAsia="宋体" w:cs="宋体"/>
          <w:b/>
          <w:color w:val="auto"/>
          <w:highlight w:val="none"/>
        </w:rPr>
        <w:t>（3）未实质性响应招标文件要求或者投标文件有采购人不能接受的条件的；</w:t>
      </w:r>
    </w:p>
    <w:p w14:paraId="70F16BE8">
      <w:pPr>
        <w:pStyle w:val="22"/>
        <w:ind w:firstLineChars="200"/>
        <w:contextualSpacing/>
        <w:rPr>
          <w:rFonts w:hint="eastAsia" w:eastAsia="宋体" w:cs="宋体"/>
          <w:b/>
          <w:color w:val="auto"/>
          <w:highlight w:val="none"/>
        </w:rPr>
      </w:pPr>
      <w:r>
        <w:rPr>
          <w:rFonts w:hint="eastAsia" w:eastAsia="宋体" w:cs="宋体"/>
          <w:b/>
          <w:color w:val="auto"/>
          <w:highlight w:val="none"/>
        </w:rPr>
        <w:t>（4）投标文件未按招标文件规定格式编制影响投标文件实质性内容的；</w:t>
      </w:r>
    </w:p>
    <w:p w14:paraId="21B74235">
      <w:pPr>
        <w:pStyle w:val="22"/>
        <w:ind w:firstLineChars="200"/>
        <w:contextualSpacing/>
        <w:rPr>
          <w:rFonts w:hint="eastAsia" w:eastAsia="宋体" w:cs="宋体"/>
          <w:b/>
          <w:color w:val="auto"/>
          <w:highlight w:val="none"/>
        </w:rPr>
      </w:pPr>
      <w:r>
        <w:rPr>
          <w:rFonts w:hint="eastAsia" w:eastAsia="宋体" w:cs="宋体"/>
          <w:b/>
          <w:color w:val="auto"/>
          <w:highlight w:val="none"/>
        </w:rPr>
        <w:t>（5）不符合招标文件中规定的其它实质性要求。</w:t>
      </w:r>
    </w:p>
    <w:p w14:paraId="59FA9E2C">
      <w:pPr>
        <w:adjustRightInd w:val="0"/>
        <w:snapToGrid w:val="0"/>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澄清有关问题。对投标文件中含义不明确、同类问题表述不一致或者有明显文字和计算错误的内容，评标委员会可书面形式要求投标人做出必要的澄清、说明。投标人的、说明或者澄清应当采用书面形式，并不得超出投标文件的范围或者改变投标文件的实质性内容。</w:t>
      </w:r>
    </w:p>
    <w:p w14:paraId="31FC1B2B">
      <w:pPr>
        <w:adjustRightInd w:val="0"/>
        <w:snapToGrid w:val="0"/>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比较与评价。评标委员会按上述规定的评标内容和标准，对资格性检查和符合性检查合格的投标文件进行综合比较与独立评分。</w:t>
      </w:r>
    </w:p>
    <w:p w14:paraId="148BC6BD">
      <w:pPr>
        <w:adjustRightInd w:val="0"/>
        <w:snapToGrid w:val="0"/>
        <w:spacing w:line="360" w:lineRule="auto"/>
        <w:ind w:firstLine="480" w:firstLineChars="20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推荐中标候选人名单。根据采购需要，按各评委评出的最终得分由高到低顺序排列，推荐3名中标候选人，</w:t>
      </w:r>
      <w:r>
        <w:rPr>
          <w:rFonts w:hint="eastAsia" w:ascii="宋体" w:hAnsi="宋体" w:eastAsia="宋体" w:cs="宋体"/>
          <w:b/>
          <w:color w:val="auto"/>
          <w:sz w:val="24"/>
          <w:highlight w:val="none"/>
        </w:rPr>
        <w:t>如最终得分相同的，按投标报价由低到高顺序排列；最终得分且投标报价相同的，按技术指标优劣顺序排列。</w:t>
      </w:r>
    </w:p>
    <w:p w14:paraId="3EF5DC29">
      <w:pPr>
        <w:adjustRightInd w:val="0"/>
        <w:snapToGrid w:val="0"/>
        <w:spacing w:line="360" w:lineRule="auto"/>
        <w:ind w:firstLine="480" w:firstLineChars="200"/>
        <w:contextualSpacing/>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lang w:val="en-US" w:eastAsia="zh-CN"/>
        </w:rPr>
        <w:t>3.7</w:t>
      </w:r>
      <w:r>
        <w:rPr>
          <w:rFonts w:hint="eastAsia" w:ascii="宋体" w:hAnsi="宋体" w:eastAsia="宋体" w:cs="宋体"/>
          <w:b w:val="0"/>
          <w:bCs/>
          <w:color w:val="auto"/>
          <w:sz w:val="24"/>
          <w:highlight w:val="none"/>
        </w:rPr>
        <w:t>成交原则</w:t>
      </w:r>
      <w:r>
        <w:rPr>
          <w:rFonts w:hint="eastAsia" w:ascii="宋体" w:hAnsi="宋体" w:eastAsia="宋体" w:cs="宋体"/>
          <w:b w:val="0"/>
          <w:bCs/>
          <w:color w:val="auto"/>
          <w:sz w:val="24"/>
          <w:highlight w:val="none"/>
          <w:lang w:eastAsia="zh-CN"/>
        </w:rPr>
        <w:t>。</w:t>
      </w:r>
      <w:r>
        <w:rPr>
          <w:rFonts w:hint="eastAsia" w:ascii="宋体" w:hAnsi="宋体" w:eastAsia="宋体" w:cs="宋体"/>
          <w:b/>
          <w:color w:val="auto"/>
          <w:sz w:val="24"/>
          <w:highlight w:val="none"/>
        </w:rPr>
        <w:t>本项目共分4个标包，投标人可对本项目任意1个或多个标包进行投标，投标文件应按所投标包分别制作及投递。本项目执行“兼投不兼中”的成交原则，同一投标人仅可中标一个标包。</w:t>
      </w:r>
    </w:p>
    <w:p w14:paraId="55D80529">
      <w:pPr>
        <w:adjustRightInd w:val="0"/>
        <w:snapToGrid w:val="0"/>
        <w:spacing w:line="360" w:lineRule="auto"/>
        <w:ind w:firstLine="482" w:firstLineChars="200"/>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4.评标方法：综合评分法</w:t>
      </w:r>
      <w:r>
        <w:rPr>
          <w:rFonts w:hint="eastAsia" w:ascii="宋体" w:hAnsi="宋体" w:eastAsia="宋体" w:cs="宋体"/>
          <w:b/>
          <w:color w:val="auto"/>
          <w:sz w:val="24"/>
          <w:highlight w:val="none"/>
        </w:rPr>
        <w:tab/>
      </w:r>
    </w:p>
    <w:p w14:paraId="0AA89C38">
      <w:pPr>
        <w:adjustRightInd w:val="0"/>
        <w:snapToGrid w:val="0"/>
        <w:spacing w:line="360" w:lineRule="auto"/>
        <w:ind w:firstLine="480" w:firstLineChars="200"/>
        <w:contextualSpacing/>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综合评分法，是指在最大限度地满足招标文件实质性要求前提下，按照招标文件中规定的各项因素进行综合评审后，以评标总得分最高的投标人作为中标候选人的评标办法。综合评审的主要因素包括：价格、商务、技术和服务等，以及相应的比重或者权值。</w:t>
      </w:r>
    </w:p>
    <w:p w14:paraId="67A9713C">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评标总分值由价格部分、商务部分、技术部分三部分组成，总分值100分。评标委员会将根据投标文件满足招标文件实质性要求前提下，按照投标报价、商务、技术部分等进行综合评估，</w:t>
      </w:r>
      <w:r>
        <w:rPr>
          <w:rFonts w:hint="eastAsia" w:ascii="宋体" w:hAnsi="宋体" w:eastAsia="宋体" w:cs="宋体"/>
          <w:b/>
          <w:bCs/>
          <w:color w:val="auto"/>
          <w:sz w:val="24"/>
          <w:highlight w:val="none"/>
        </w:rPr>
        <w:t>在对各评委分值汇总时，以算术平均值为各投标人得分</w:t>
      </w:r>
      <w:r>
        <w:rPr>
          <w:rFonts w:hint="eastAsia" w:ascii="宋体" w:hAnsi="宋体" w:eastAsia="宋体" w:cs="宋体"/>
          <w:bCs/>
          <w:color w:val="auto"/>
          <w:sz w:val="24"/>
          <w:highlight w:val="none"/>
        </w:rPr>
        <w:t>，以评标最终得分最高的投标人为第一中标候选人。</w:t>
      </w:r>
    </w:p>
    <w:p w14:paraId="7C833ABB">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55E54AA">
      <w:pPr>
        <w:pStyle w:val="16"/>
        <w:adjustRightInd w:val="0"/>
        <w:snapToGrid w:val="0"/>
        <w:spacing w:after="0" w:line="360" w:lineRule="auto"/>
        <w:ind w:firstLine="480" w:firstLineChars="200"/>
        <w:contextualSpacing/>
        <w:rPr>
          <w:rFonts w:hint="eastAsia" w:eastAsia="宋体"/>
          <w:bCs/>
          <w:color w:val="auto"/>
          <w:sz w:val="24"/>
          <w:highlight w:val="none"/>
        </w:rPr>
      </w:pPr>
      <w:r>
        <w:rPr>
          <w:rFonts w:hint="eastAsia" w:eastAsia="宋体"/>
          <w:bCs/>
          <w:color w:val="auto"/>
          <w:sz w:val="24"/>
          <w:highlight w:val="none"/>
        </w:rPr>
        <w:t>4.3在技术、服务等指标同等条件下，优先采购节能清单所列的节能产品。</w:t>
      </w:r>
    </w:p>
    <w:p w14:paraId="4465DD83">
      <w:pPr>
        <w:adjustRightInd w:val="0"/>
        <w:snapToGrid w:val="0"/>
        <w:spacing w:line="360" w:lineRule="auto"/>
        <w:ind w:firstLine="482" w:firstLineChars="200"/>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5.评标计算方法</w:t>
      </w:r>
    </w:p>
    <w:p w14:paraId="2727ED20">
      <w:pPr>
        <w:adjustRightInd w:val="0"/>
        <w:snapToGrid w:val="0"/>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投标人的评标总得分＝投标报价得分+技术及商务部分得分</w:t>
      </w:r>
    </w:p>
    <w:p w14:paraId="674039EE">
      <w:pPr>
        <w:adjustRightInd w:val="0"/>
        <w:snapToGrid w:val="0"/>
        <w:spacing w:line="360" w:lineRule="auto"/>
        <w:ind w:firstLine="482" w:firstLineChars="200"/>
        <w:contextualSpacing/>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5.1 价格部分</w:t>
      </w:r>
    </w:p>
    <w:p w14:paraId="3D5E9AA6">
      <w:pPr>
        <w:tabs>
          <w:tab w:val="left" w:pos="426"/>
        </w:tabs>
        <w:adjustRightInd w:val="0"/>
        <w:snapToGrid w:val="0"/>
        <w:spacing w:line="360" w:lineRule="auto"/>
        <w:ind w:firstLine="480" w:firstLineChars="200"/>
        <w:contextualSpacing/>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val="zh-CN"/>
        </w:rPr>
        <w:t>）满足招标文件要求且报价最低的投标人的价格为评标基准价。</w:t>
      </w:r>
    </w:p>
    <w:p w14:paraId="6192577B">
      <w:pPr>
        <w:tabs>
          <w:tab w:val="left" w:pos="426"/>
        </w:tabs>
        <w:adjustRightInd w:val="0"/>
        <w:snapToGrid w:val="0"/>
        <w:spacing w:line="360" w:lineRule="auto"/>
        <w:ind w:firstLine="480" w:firstLineChars="200"/>
        <w:contextualSpacing/>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highlight w:val="none"/>
          <w:lang w:val="zh-CN"/>
        </w:rPr>
        <w:t>报价得分=（评标基准价/投标报价）×价格权值×100 (扣减分值中间值用插入法, 小数点后保留两位)。</w:t>
      </w:r>
    </w:p>
    <w:p w14:paraId="19196828">
      <w:pPr>
        <w:tabs>
          <w:tab w:val="left" w:pos="426"/>
        </w:tabs>
        <w:adjustRightInd w:val="0"/>
        <w:snapToGrid w:val="0"/>
        <w:spacing w:line="360" w:lineRule="auto"/>
        <w:ind w:firstLine="480" w:firstLineChars="200"/>
        <w:contextualSpacing/>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投标报价超出采购预算价的，按无效标处理。</w:t>
      </w:r>
    </w:p>
    <w:p w14:paraId="44B4C73D">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）根据《关于推动解决政府采购异常低价问题的通知》财库〔2026〕2号文件，政府采购评审中出现下列情形之一的，评审委员会应当启动异常低价投标（响应）审查程序：</w:t>
      </w:r>
    </w:p>
    <w:p w14:paraId="5521C76D">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①投标（响应）报价低于全部通过符合性审查供应商投标（响应）报价平均值50%的，即投标（响应）报价&lt;全部通过符合性审查供应商投标（响应）报价平均值×50%；</w:t>
      </w:r>
    </w:p>
    <w:p w14:paraId="19EEF73E">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②投标（响应）报价低于通过符合性审查的次低报价供应商投标（响应）报价50%的，即投标（响应）报价&lt;通过符合性审查的次低报价供应商投标（响应）报价×50%；</w:t>
      </w:r>
    </w:p>
    <w:p w14:paraId="5E462EC8">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③投标（响应）报价低于采购项目最高限价45%的，即投标（响应）报价&lt;采购项目最高限价×45%；</w:t>
      </w:r>
    </w:p>
    <w:p w14:paraId="0EEFF4A6">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④评审委员会基于专业判断，认为供应商报价过低，有可能影响产品质量或者不能诚信履约的其他情形。</w:t>
      </w:r>
    </w:p>
    <w:p w14:paraId="33CB8D97">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评审委员会启动异常低价投标（响应）审查后，属于前述第1项至第4项情形的，应当要求相关供应商在于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BEFC7B1">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9E55004">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5.2技术及商务部分评审</w:t>
      </w:r>
    </w:p>
    <w:p w14:paraId="35755A85">
      <w:pPr>
        <w:tabs>
          <w:tab w:val="left" w:pos="426"/>
        </w:tabs>
        <w:adjustRightInd w:val="0"/>
        <w:snapToGrid w:val="0"/>
        <w:spacing w:line="360" w:lineRule="auto"/>
        <w:ind w:firstLine="42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Cs w:val="24"/>
          <w:highlight w:val="none"/>
          <w:lang w:eastAsia="zh-CN"/>
        </w:rPr>
        <w:t>（</w:t>
      </w:r>
      <w:r>
        <w:rPr>
          <w:rFonts w:hint="eastAsia" w:ascii="宋体" w:hAnsi="宋体" w:eastAsia="宋体" w:cs="宋体"/>
          <w:b/>
          <w:color w:val="auto"/>
          <w:szCs w:val="24"/>
          <w:highlight w:val="none"/>
          <w:lang w:val="en-US" w:eastAsia="zh-CN"/>
        </w:rPr>
        <w:t>1</w:t>
      </w:r>
      <w:r>
        <w:rPr>
          <w:rFonts w:hint="eastAsia" w:ascii="宋体" w:hAnsi="宋体" w:eastAsia="宋体" w:cs="宋体"/>
          <w:b/>
          <w:color w:val="auto"/>
          <w:szCs w:val="24"/>
          <w:highlight w:val="none"/>
          <w:lang w:eastAsia="zh-CN"/>
        </w:rPr>
        <w:t>）</w:t>
      </w:r>
      <w:r>
        <w:rPr>
          <w:rFonts w:hint="eastAsia" w:ascii="宋体" w:hAnsi="宋体" w:eastAsia="宋体" w:cs="宋体"/>
          <w:b/>
          <w:color w:val="auto"/>
          <w:sz w:val="24"/>
          <w:szCs w:val="24"/>
          <w:highlight w:val="none"/>
        </w:rPr>
        <w:t>投标所附所有材料证书严禁弄虚作假，一经查实，将根据《中华人民共和国政府采购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犯罪的，依法追究刑事责任。</w:t>
      </w:r>
    </w:p>
    <w:p w14:paraId="105CDF5D">
      <w:pPr>
        <w:tabs>
          <w:tab w:val="left" w:pos="426"/>
        </w:tabs>
        <w:adjustRightInd w:val="0"/>
        <w:snapToGrid w:val="0"/>
        <w:spacing w:line="360" w:lineRule="auto"/>
        <w:ind w:firstLine="482" w:firstLineChars="20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5.3附件三：综合评分表</w:t>
      </w:r>
    </w:p>
    <w:tbl>
      <w:tblPr>
        <w:tblStyle w:val="4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1"/>
        <w:gridCol w:w="850"/>
        <w:gridCol w:w="7371"/>
      </w:tblGrid>
      <w:tr w14:paraId="7090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675" w:type="dxa"/>
            <w:vAlign w:val="center"/>
          </w:tcPr>
          <w:p w14:paraId="61369D63">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51" w:type="dxa"/>
            <w:vAlign w:val="center"/>
          </w:tcPr>
          <w:p w14:paraId="679739B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850" w:type="dxa"/>
            <w:vAlign w:val="center"/>
          </w:tcPr>
          <w:p w14:paraId="11551AA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7371" w:type="dxa"/>
            <w:vAlign w:val="center"/>
          </w:tcPr>
          <w:p w14:paraId="13638D4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评分规则及说明</w:t>
            </w:r>
          </w:p>
        </w:tc>
      </w:tr>
      <w:tr w14:paraId="0BF8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trPr>
        <w:tc>
          <w:tcPr>
            <w:tcW w:w="675" w:type="dxa"/>
            <w:vAlign w:val="center"/>
          </w:tcPr>
          <w:p w14:paraId="1ACFB186">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1" w:type="dxa"/>
            <w:vAlign w:val="center"/>
          </w:tcPr>
          <w:p w14:paraId="107B4444">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850" w:type="dxa"/>
            <w:vAlign w:val="center"/>
          </w:tcPr>
          <w:p w14:paraId="014DF35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7371" w:type="dxa"/>
            <w:vAlign w:val="center"/>
          </w:tcPr>
          <w:p w14:paraId="5BA71385">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综合评分法中的价格分统一采用低价优先法计算，即满足招标文件要求且最后报价最低的供应商有效投标报价为磋商基准价，其价格分为满分。其他供应商的价格分统一按照下列公式计算：</w:t>
            </w:r>
          </w:p>
          <w:p w14:paraId="6EE91436">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投标报价计算公式=评标基准价/供应商有效投标报价×20。</w:t>
            </w:r>
          </w:p>
          <w:p w14:paraId="7DB2B81A">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注:供应商有效投标报价=（1-优惠下浮率）</w:t>
            </w:r>
          </w:p>
          <w:p w14:paraId="30515F50">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的项目或者采购包，不再执行价格评审优惠的扶持政策。中标（成交）单位的中小企业声明函将随中标（成交）结果同时公告，接受社会监督。投标人提供的声明函内容不实的，属于提供虚假材料谋取中标、成交的，依照《中华人民共和国政府采购法》等国家有关规定追究相应责任。</w:t>
            </w:r>
          </w:p>
        </w:tc>
      </w:tr>
      <w:tr w14:paraId="62DF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75" w:type="dxa"/>
            <w:vAlign w:val="center"/>
          </w:tcPr>
          <w:p w14:paraId="003230F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51" w:type="dxa"/>
            <w:vAlign w:val="center"/>
          </w:tcPr>
          <w:p w14:paraId="1A516E1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产品来源渠道</w:t>
            </w:r>
          </w:p>
        </w:tc>
        <w:tc>
          <w:tcPr>
            <w:tcW w:w="850" w:type="dxa"/>
            <w:vAlign w:val="center"/>
          </w:tcPr>
          <w:p w14:paraId="16FA1A9B">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15分</w:t>
            </w:r>
          </w:p>
        </w:tc>
        <w:tc>
          <w:tcPr>
            <w:tcW w:w="7371" w:type="dxa"/>
            <w:vAlign w:val="center"/>
          </w:tcPr>
          <w:p w14:paraId="1E02BFF9">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根据供应商提供的产品来源渠道进行评审，包含：</w:t>
            </w:r>
          </w:p>
          <w:p w14:paraId="0FE507F7">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①产品来源渠道；</w:t>
            </w:r>
          </w:p>
          <w:p w14:paraId="72A96BD9">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②供货商选择方案；</w:t>
            </w:r>
          </w:p>
          <w:p w14:paraId="657CFF94">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③食材采购程序及质量保证措施；</w:t>
            </w:r>
          </w:p>
          <w:p w14:paraId="30E9E461">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以上3项，经评定相关内容完整、详细、全面，完全满足采购文件采购要求，在完整性、契合度、思路清晰、可实施性、专业性上强的得15分；每缺少一项内容扣5分；内容有针对性，但存在细微不足的扣2分；针对性较弱，存在不足的扣3分；无针对性，存在较大偏差的扣4分，扣完为止。</w:t>
            </w:r>
          </w:p>
        </w:tc>
      </w:tr>
      <w:tr w14:paraId="70ED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14:paraId="45262A2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51" w:type="dxa"/>
            <w:vAlign w:val="center"/>
          </w:tcPr>
          <w:p w14:paraId="1A6B973D">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供货实施方案</w:t>
            </w:r>
          </w:p>
        </w:tc>
        <w:tc>
          <w:tcPr>
            <w:tcW w:w="850" w:type="dxa"/>
            <w:vAlign w:val="center"/>
          </w:tcPr>
          <w:p w14:paraId="518FAE34">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7371" w:type="dxa"/>
            <w:vAlign w:val="center"/>
          </w:tcPr>
          <w:p w14:paraId="29B056D3">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根据供应商提供的供货实施方案进行评审，包含：</w:t>
            </w:r>
          </w:p>
          <w:p w14:paraId="5AC92D9C">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①项目重难点分析及解决方案；</w:t>
            </w:r>
          </w:p>
          <w:p w14:paraId="47F4D3C0">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②配送方案及时效性承诺；</w:t>
            </w:r>
          </w:p>
          <w:p w14:paraId="258C4A5F">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③企业设施设备配置及人员配置；</w:t>
            </w:r>
          </w:p>
          <w:p w14:paraId="558B57F9">
            <w:pPr>
              <w:pStyle w:val="16"/>
              <w:spacing w:after="0" w:line="360" w:lineRule="auto"/>
              <w:rPr>
                <w:rFonts w:hint="eastAsia" w:eastAsia="宋体"/>
                <w:color w:val="auto"/>
                <w:sz w:val="24"/>
                <w:szCs w:val="24"/>
                <w:highlight w:val="none"/>
              </w:rPr>
            </w:pPr>
            <w:r>
              <w:rPr>
                <w:rFonts w:hint="eastAsia" w:eastAsia="宋体"/>
                <w:b/>
                <w:bCs/>
                <w:color w:val="auto"/>
                <w:sz w:val="24"/>
                <w:szCs w:val="24"/>
                <w:highlight w:val="none"/>
              </w:rPr>
              <w:t>④服务质量保证及处罚措施</w:t>
            </w:r>
            <w:r>
              <w:rPr>
                <w:rFonts w:hint="eastAsia" w:eastAsia="宋体"/>
                <w:color w:val="auto"/>
                <w:sz w:val="24"/>
                <w:szCs w:val="24"/>
                <w:highlight w:val="none"/>
              </w:rPr>
              <w:t>；</w:t>
            </w:r>
          </w:p>
          <w:p w14:paraId="7318AC32">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以上4项，经评定相关内容完整、详细、全面，完全满足采购文件采购要求，在完整性、契合度、思路清晰、可实施性、专业性上强的得20分；每缺少一项内容扣5分；内容有针对性，但存在细微不足的扣2分；针对性较弱，存在不足的扣3分；无针对性，存在较大偏差的扣4分，扣完为止。</w:t>
            </w:r>
          </w:p>
        </w:tc>
      </w:tr>
      <w:tr w14:paraId="04B4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75" w:type="dxa"/>
            <w:vAlign w:val="center"/>
          </w:tcPr>
          <w:p w14:paraId="661C7DD3">
            <w:pPr>
              <w:adjustRightInd w:val="0"/>
              <w:snapToGrid w:val="0"/>
              <w:spacing w:line="360" w:lineRule="auto"/>
              <w:jc w:val="center"/>
              <w:rPr>
                <w:rFonts w:hint="eastAsia" w:ascii="宋体" w:hAnsi="宋体" w:eastAsia="宋体" w:cs="宋体"/>
                <w:color w:val="auto"/>
                <w:sz w:val="24"/>
                <w:szCs w:val="24"/>
                <w:highlight w:val="none"/>
              </w:rPr>
            </w:pPr>
            <w:bookmarkStart w:id="107" w:name="_Hlk157700223"/>
            <w:r>
              <w:rPr>
                <w:rFonts w:hint="eastAsia" w:ascii="宋体" w:hAnsi="宋体" w:eastAsia="宋体" w:cs="宋体"/>
                <w:color w:val="auto"/>
                <w:sz w:val="24"/>
                <w:szCs w:val="24"/>
                <w:highlight w:val="none"/>
              </w:rPr>
              <w:t>4</w:t>
            </w:r>
          </w:p>
        </w:tc>
        <w:tc>
          <w:tcPr>
            <w:tcW w:w="851" w:type="dxa"/>
            <w:vAlign w:val="center"/>
          </w:tcPr>
          <w:p w14:paraId="1273BCB2">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安全、质量责任</w:t>
            </w:r>
          </w:p>
        </w:tc>
        <w:tc>
          <w:tcPr>
            <w:tcW w:w="850" w:type="dxa"/>
            <w:vAlign w:val="center"/>
          </w:tcPr>
          <w:p w14:paraId="044639A9">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7371" w:type="dxa"/>
            <w:vAlign w:val="center"/>
          </w:tcPr>
          <w:p w14:paraId="1C4726C8">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1.食材质量方面：（满分8分）</w:t>
            </w:r>
          </w:p>
          <w:p w14:paraId="08CC46C0">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对食材的①质量保障；②储存管理、③食品卫生、④惩罚措施四个方面做出承诺：</w:t>
            </w:r>
          </w:p>
          <w:p w14:paraId="2F990585">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内容具体、思路清晰、考虑全面的每项得2分，内容有重大缺漏或没有针对性的每项得1分，未提供此内容得0分；满分8分。</w:t>
            </w:r>
          </w:p>
          <w:p w14:paraId="517299D9">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2.食材退换货及替换：（满分4分）</w:t>
            </w:r>
          </w:p>
          <w:p w14:paraId="7F4DAB13">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对①食材退换货响应时间、②替换方案两个方面作出承诺，</w:t>
            </w:r>
          </w:p>
          <w:p w14:paraId="46EBBBB3">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内容具体、思路清晰、考虑全面的每项得2分，内容有重大缺漏或没有针对性的每项得1分，未提供此内容得0分；满分4分。</w:t>
            </w:r>
          </w:p>
          <w:p w14:paraId="54303B63">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3.可能因食材造成的各食品安全问题措施：（满分8分）</w:t>
            </w:r>
          </w:p>
          <w:p w14:paraId="32B76025">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对可能因食材造成的各食品安全问题，按照①事前预警措施、②现场应急处理措施、③事后整改措施、④惩罚措施四个方面进行评分，</w:t>
            </w:r>
          </w:p>
          <w:p w14:paraId="28929206">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内容具体、思路清晰、考虑全面的得2分，内容有重大缺漏或没有针对性的每项得1分，没有内容的得0分；满分8分。</w:t>
            </w:r>
          </w:p>
        </w:tc>
      </w:tr>
      <w:tr w14:paraId="6C0BA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75" w:type="dxa"/>
            <w:vAlign w:val="center"/>
          </w:tcPr>
          <w:p w14:paraId="5051A24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51" w:type="dxa"/>
            <w:vAlign w:val="center"/>
          </w:tcPr>
          <w:p w14:paraId="44F8B1D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售后服务能力、售后服务方案</w:t>
            </w:r>
          </w:p>
        </w:tc>
        <w:tc>
          <w:tcPr>
            <w:tcW w:w="850" w:type="dxa"/>
            <w:vAlign w:val="center"/>
          </w:tcPr>
          <w:p w14:paraId="29A04ECD">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15分</w:t>
            </w:r>
          </w:p>
        </w:tc>
        <w:tc>
          <w:tcPr>
            <w:tcW w:w="7371" w:type="dxa"/>
            <w:vAlign w:val="center"/>
          </w:tcPr>
          <w:p w14:paraId="0CE0E437">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根据供应商提供的售后服务能力、售后服务方案进行评审，包含：</w:t>
            </w:r>
          </w:p>
          <w:p w14:paraId="50DFFD2C">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①售后服务能力；</w:t>
            </w:r>
          </w:p>
          <w:p w14:paraId="515E9032">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②售后服务方案（包括退换货）；</w:t>
            </w:r>
          </w:p>
          <w:p w14:paraId="7C55D334">
            <w:pPr>
              <w:pStyle w:val="16"/>
              <w:spacing w:after="0" w:line="360" w:lineRule="auto"/>
              <w:rPr>
                <w:rFonts w:hint="eastAsia" w:eastAsia="宋体"/>
                <w:b/>
                <w:bCs/>
                <w:color w:val="auto"/>
                <w:sz w:val="24"/>
                <w:szCs w:val="24"/>
                <w:highlight w:val="none"/>
              </w:rPr>
            </w:pPr>
            <w:r>
              <w:rPr>
                <w:rFonts w:hint="eastAsia" w:eastAsia="宋体"/>
                <w:b/>
                <w:bCs/>
                <w:color w:val="auto"/>
                <w:sz w:val="24"/>
                <w:szCs w:val="24"/>
                <w:highlight w:val="none"/>
              </w:rPr>
              <w:t>③应急方案（包括供货突发事件）；</w:t>
            </w:r>
          </w:p>
          <w:p w14:paraId="514B1B1C">
            <w:pPr>
              <w:pStyle w:val="16"/>
              <w:spacing w:after="0" w:line="360" w:lineRule="auto"/>
              <w:rPr>
                <w:rFonts w:hint="eastAsia" w:eastAsia="宋体"/>
                <w:color w:val="auto"/>
                <w:sz w:val="24"/>
                <w:szCs w:val="24"/>
                <w:highlight w:val="none"/>
              </w:rPr>
            </w:pPr>
            <w:r>
              <w:rPr>
                <w:rFonts w:hint="eastAsia" w:eastAsia="宋体"/>
                <w:color w:val="auto"/>
                <w:sz w:val="24"/>
                <w:szCs w:val="24"/>
                <w:highlight w:val="none"/>
              </w:rPr>
              <w:t>以上3项，经评定相关内容完整、详细、全面，完全满足采购文件采购要求，在完整性、契合度、思路清晰、可实施性、专业性上强的得15分；每缺少一项内容扣5分；内容有针对性，但存在细微不足的扣2分；针对性较弱，存在不足的扣3分；无针对性，存在较大偏差的扣4分，扣完为止。</w:t>
            </w:r>
          </w:p>
        </w:tc>
      </w:tr>
      <w:tr w14:paraId="5B1C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75" w:type="dxa"/>
            <w:vAlign w:val="center"/>
          </w:tcPr>
          <w:p w14:paraId="2D9962F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51" w:type="dxa"/>
            <w:vAlign w:val="center"/>
          </w:tcPr>
          <w:p w14:paraId="2922734B">
            <w:pPr>
              <w:adjustRightInd w:val="0"/>
              <w:snapToGrid w:val="0"/>
              <w:spacing w:line="36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管理制度</w:t>
            </w:r>
          </w:p>
        </w:tc>
        <w:tc>
          <w:tcPr>
            <w:tcW w:w="850" w:type="dxa"/>
            <w:vAlign w:val="center"/>
          </w:tcPr>
          <w:p w14:paraId="462C4F55">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c>
          <w:tcPr>
            <w:tcW w:w="7371" w:type="dxa"/>
            <w:vAlign w:val="center"/>
          </w:tcPr>
          <w:p w14:paraId="78C30F57">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根据管理制度评审打分如下：</w:t>
            </w:r>
          </w:p>
          <w:p w14:paraId="3AD1D569">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（1）管理制度全面覆盖多关键领域且精细，安全质量体系完备，各环节管控到位且有详细规范与记录；得5分。</w:t>
            </w:r>
          </w:p>
          <w:p w14:paraId="0E8B2795">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（2）涵盖主要业务领域但部分环节粗略，安全质量有框架、专人及基本流程；得3分。</w:t>
            </w:r>
          </w:p>
          <w:p w14:paraId="534F059D">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（3）仅含采购与销售且极简，安全质量仅简单检验，缺组织流程，无年度相关记录；得1分。</w:t>
            </w:r>
          </w:p>
          <w:p w14:paraId="78291BA2">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（4）未提供任何管理制度内容的不得分。</w:t>
            </w:r>
          </w:p>
        </w:tc>
      </w:tr>
      <w:tr w14:paraId="496C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75" w:type="dxa"/>
            <w:vAlign w:val="center"/>
          </w:tcPr>
          <w:p w14:paraId="346E0FD6">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51" w:type="dxa"/>
            <w:vAlign w:val="center"/>
          </w:tcPr>
          <w:p w14:paraId="4B00C641">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850" w:type="dxa"/>
            <w:vAlign w:val="center"/>
          </w:tcPr>
          <w:p w14:paraId="4773CC5C">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c>
          <w:tcPr>
            <w:tcW w:w="7371" w:type="dxa"/>
            <w:vAlign w:val="center"/>
          </w:tcPr>
          <w:p w14:paraId="465290DC">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类似项目业绩须经评标委员会一致确认。提供1个类似业绩证明材料得1分，此项最高得5分。</w:t>
            </w:r>
          </w:p>
          <w:p w14:paraId="03CE78FF">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（提供中标通知书或合同扫描件等相关有效证明资料，未提供相关证明资料的不得分）。</w:t>
            </w:r>
          </w:p>
        </w:tc>
      </w:tr>
      <w:bookmarkEnd w:id="107"/>
    </w:tbl>
    <w:p w14:paraId="48152FA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注：1.上述表中按每项评审要求所涉及到的所有资料，投标人必须认真分类放于投标文件中。评标委员会成员按以上详细评分标准规定及投标文件承诺内容自主独立打分。</w:t>
      </w:r>
    </w:p>
    <w:p w14:paraId="7B229BE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2.综合得分计算规则：取所有投标人的评审评分计算算术平均值，最后得分保留两位小数，第三位四舍五入。</w:t>
      </w:r>
    </w:p>
    <w:p w14:paraId="2EB995C1">
      <w:pPr>
        <w:tabs>
          <w:tab w:val="left" w:pos="426"/>
        </w:tabs>
        <w:adjustRightInd w:val="0"/>
        <w:snapToGrid w:val="0"/>
        <w:spacing w:line="360" w:lineRule="auto"/>
        <w:contextualSpacing/>
        <w:rPr>
          <w:rFonts w:hint="eastAsia" w:ascii="宋体" w:hAnsi="宋体" w:eastAsia="宋体" w:cs="宋体"/>
          <w:bCs/>
          <w:color w:val="auto"/>
          <w:sz w:val="24"/>
          <w:szCs w:val="24"/>
          <w:highlight w:val="none"/>
        </w:rPr>
      </w:pPr>
    </w:p>
    <w:p w14:paraId="4B8FA880">
      <w:pPr>
        <w:tabs>
          <w:tab w:val="left" w:pos="426"/>
        </w:tabs>
        <w:adjustRightInd w:val="0"/>
        <w:snapToGrid w:val="0"/>
        <w:spacing w:line="360" w:lineRule="auto"/>
        <w:ind w:firstLine="480" w:firstLineChars="200"/>
        <w:contextualSpacing/>
        <w:rPr>
          <w:rFonts w:hint="eastAsia" w:ascii="宋体" w:hAnsi="宋体" w:eastAsia="宋体" w:cs="宋体"/>
          <w:bCs/>
          <w:color w:val="auto"/>
          <w:sz w:val="24"/>
          <w:szCs w:val="24"/>
          <w:highlight w:val="none"/>
        </w:rPr>
      </w:pPr>
    </w:p>
    <w:p w14:paraId="0E222270">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7B370532">
      <w:pPr>
        <w:widowControl/>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3CFFD08">
      <w:pPr>
        <w:pStyle w:val="2"/>
        <w:adjustRightInd w:val="0"/>
        <w:snapToGrid w:val="0"/>
        <w:spacing w:before="0" w:after="0" w:line="360" w:lineRule="auto"/>
        <w:contextualSpacing/>
        <w:jc w:val="center"/>
        <w:rPr>
          <w:rFonts w:hint="eastAsia" w:eastAsia="宋体"/>
          <w:color w:val="auto"/>
          <w:sz w:val="32"/>
          <w:szCs w:val="32"/>
          <w:highlight w:val="none"/>
        </w:rPr>
      </w:pPr>
      <w:bookmarkStart w:id="108" w:name="_Toc13628"/>
      <w:r>
        <w:rPr>
          <w:rFonts w:hint="eastAsia" w:eastAsia="宋体"/>
          <w:color w:val="auto"/>
          <w:sz w:val="32"/>
          <w:szCs w:val="32"/>
          <w:highlight w:val="none"/>
        </w:rPr>
        <w:t>第四章  采购需求</w:t>
      </w:r>
      <w:bookmarkEnd w:id="108"/>
    </w:p>
    <w:p w14:paraId="031C18BE">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一、采购标的需实现的目标，落实政府采购政策需满足的要求</w:t>
      </w:r>
    </w:p>
    <w:p w14:paraId="307FE1C2">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（一）采购标的需实现的目标</w:t>
      </w:r>
    </w:p>
    <w:p w14:paraId="36E08917">
      <w:pPr>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完成澄江市机关幼儿园食堂食材配送服务，共分为两个片区，第一片区：澄江市机关幼儿园、澄江市机关幼儿园（立昌园区）、澄江市九村中心幼儿园。第二片区：澄江市凤麓中心幼儿园、澄江市右所中心幼儿园、澄江市海口中心幼儿园、玉溪市江川区路居镇中心幼儿园的食品、食材供应配送工作</w:t>
      </w:r>
      <w:r>
        <w:rPr>
          <w:rFonts w:hint="eastAsia" w:ascii="宋体" w:hAnsi="宋体" w:eastAsia="宋体" w:cs="宋体"/>
          <w:color w:val="auto"/>
          <w:kern w:val="0"/>
          <w:sz w:val="24"/>
          <w:szCs w:val="24"/>
          <w:highlight w:val="none"/>
        </w:rPr>
        <w:t>。</w:t>
      </w:r>
    </w:p>
    <w:p w14:paraId="55FAB9E2">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（二）落实政府采购政策需满足的要求</w:t>
      </w:r>
    </w:p>
    <w:p w14:paraId="4BA660B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的项目或者采购包，不再执行价格评审优惠的扶持政策。中标（成交）单位的中小企业声明函将随中标（成交）结果同时公告，接受社会监督。投标人提供的声明函内容不实的，属于提供虚假材料谋取中标、成交的，依照《中华人民共和国政府采购法》等国家有关规定追究相应责任。</w:t>
      </w:r>
    </w:p>
    <w:p w14:paraId="451CCB71">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二、执行的国家相关标准、行业标准、地方标准或者其他标准、规范</w:t>
      </w:r>
    </w:p>
    <w:p w14:paraId="2C34A33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1.质量标准：食品、食材质量合格，符合《中华人民共和国产品质量法》、《中华人民共和国食品安全法》、《中华人民共和国消费者权益保护法》、《中华人民共和国计量法》等相关法律法规的要求。</w:t>
      </w:r>
    </w:p>
    <w:p w14:paraId="3B32202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2.相关标准：满足国家、行业、地方及其他相关法律法规标准及规范。</w:t>
      </w:r>
    </w:p>
    <w:p w14:paraId="1ADAE262">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三、采购标的的采购内容及要求</w:t>
      </w:r>
    </w:p>
    <w:p w14:paraId="56972CA4">
      <w:pPr>
        <w:pStyle w:val="16"/>
        <w:adjustRightInd w:val="0"/>
        <w:snapToGrid w:val="0"/>
        <w:spacing w:after="0" w:line="360" w:lineRule="auto"/>
        <w:ind w:firstLine="482" w:firstLineChars="200"/>
        <w:rPr>
          <w:rFonts w:hint="eastAsia" w:eastAsia="宋体"/>
          <w:b/>
          <w:bCs/>
          <w:color w:val="auto"/>
          <w:sz w:val="24"/>
          <w:szCs w:val="24"/>
          <w:highlight w:val="none"/>
        </w:rPr>
      </w:pPr>
      <w:r>
        <w:rPr>
          <w:rFonts w:hint="eastAsia" w:eastAsia="宋体"/>
          <w:b/>
          <w:bCs/>
          <w:color w:val="auto"/>
          <w:sz w:val="24"/>
          <w:szCs w:val="24"/>
          <w:highlight w:val="none"/>
        </w:rPr>
        <w:t>（一）采购内容</w:t>
      </w:r>
    </w:p>
    <w:p w14:paraId="0D95080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1.澄江市机关幼儿园食堂食材配送服务采购项目，共分为两个片区：</w:t>
      </w:r>
    </w:p>
    <w:p w14:paraId="70B64D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（1）第一片区：澄江市机关幼儿园、澄江市机关幼儿园（立昌园区）、澄江市九村中心幼儿园。</w:t>
      </w:r>
    </w:p>
    <w:p w14:paraId="5043889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（2）第二片区：澄江市凤麓中心幼儿园、澄江市右所中心幼儿园、澄江市海口中心幼儿园、玉溪市江川区路居镇中心幼儿园的食品、食材供应配送，供货数量根据采购人实际需求供货。</w:t>
      </w:r>
    </w:p>
    <w:p w14:paraId="702C4B42">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2.标包</w:t>
      </w:r>
      <w:r>
        <w:rPr>
          <w:rFonts w:hint="eastAsia" w:ascii="宋体" w:hAnsi="宋体" w:eastAsia="宋体" w:cs="宋体"/>
          <w:color w:val="auto"/>
          <w:kern w:val="0"/>
          <w:sz w:val="24"/>
          <w:szCs w:val="24"/>
          <w:highlight w:val="none"/>
        </w:rPr>
        <w:t>及具体种类如下：</w:t>
      </w:r>
    </w:p>
    <w:tbl>
      <w:tblPr>
        <w:tblStyle w:val="43"/>
        <w:tblW w:w="95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9"/>
        <w:gridCol w:w="1010"/>
        <w:gridCol w:w="3650"/>
        <w:gridCol w:w="1529"/>
        <w:gridCol w:w="1628"/>
        <w:gridCol w:w="870"/>
      </w:tblGrid>
      <w:tr w14:paraId="5B2AB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869" w:type="dxa"/>
            <w:tcBorders>
              <w:bottom w:val="single" w:color="000000" w:sz="4" w:space="0"/>
              <w:right w:val="single" w:color="000000" w:sz="4" w:space="0"/>
            </w:tcBorders>
            <w:vAlign w:val="center"/>
          </w:tcPr>
          <w:p w14:paraId="0FC076F5">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片区</w:t>
            </w:r>
          </w:p>
        </w:tc>
        <w:tc>
          <w:tcPr>
            <w:tcW w:w="1010" w:type="dxa"/>
            <w:tcBorders>
              <w:left w:val="single" w:color="000000" w:sz="4" w:space="0"/>
              <w:bottom w:val="single" w:color="000000" w:sz="4" w:space="0"/>
              <w:right w:val="single" w:color="000000" w:sz="4" w:space="0"/>
            </w:tcBorders>
            <w:vAlign w:val="center"/>
          </w:tcPr>
          <w:p w14:paraId="79EEE354">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标包</w:t>
            </w:r>
          </w:p>
        </w:tc>
        <w:tc>
          <w:tcPr>
            <w:tcW w:w="3650" w:type="dxa"/>
            <w:tcBorders>
              <w:left w:val="single" w:color="000000" w:sz="4" w:space="0"/>
              <w:bottom w:val="single" w:color="000000" w:sz="4" w:space="0"/>
              <w:right w:val="single" w:color="000000" w:sz="4" w:space="0"/>
            </w:tcBorders>
            <w:vAlign w:val="center"/>
          </w:tcPr>
          <w:p w14:paraId="01C4F4C6">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具体种类</w:t>
            </w:r>
          </w:p>
        </w:tc>
        <w:tc>
          <w:tcPr>
            <w:tcW w:w="1529" w:type="dxa"/>
            <w:tcBorders>
              <w:left w:val="single" w:color="000000" w:sz="4" w:space="0"/>
              <w:bottom w:val="single" w:color="000000" w:sz="4" w:space="0"/>
              <w:right w:val="single" w:color="000000" w:sz="4" w:space="0"/>
            </w:tcBorders>
            <w:vAlign w:val="center"/>
          </w:tcPr>
          <w:p w14:paraId="156EE7BF">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预算金额</w:t>
            </w:r>
          </w:p>
          <w:p w14:paraId="7B17B911">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（万元/年）</w:t>
            </w:r>
          </w:p>
        </w:tc>
        <w:tc>
          <w:tcPr>
            <w:tcW w:w="1628" w:type="dxa"/>
            <w:tcBorders>
              <w:left w:val="single" w:color="000000" w:sz="4" w:space="0"/>
              <w:bottom w:val="single" w:color="000000" w:sz="4" w:space="0"/>
              <w:right w:val="single" w:color="000000" w:sz="4" w:space="0"/>
            </w:tcBorders>
            <w:vAlign w:val="center"/>
          </w:tcPr>
          <w:p w14:paraId="62B1A31F">
            <w:pPr>
              <w:widowControl/>
              <w:adjustRightInd w:val="0"/>
              <w:snapToGrid w:val="0"/>
              <w:spacing w:line="400" w:lineRule="exact"/>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配送范围</w:t>
            </w:r>
          </w:p>
        </w:tc>
        <w:tc>
          <w:tcPr>
            <w:tcW w:w="870" w:type="dxa"/>
            <w:tcBorders>
              <w:left w:val="single" w:color="000000" w:sz="4" w:space="0"/>
              <w:bottom w:val="single" w:color="000000" w:sz="4" w:space="0"/>
              <w:right w:val="single" w:color="000000" w:sz="4" w:space="0"/>
            </w:tcBorders>
            <w:vAlign w:val="center"/>
          </w:tcPr>
          <w:p w14:paraId="375C6222">
            <w:pPr>
              <w:widowControl/>
              <w:adjustRightInd w:val="0"/>
              <w:snapToGrid w:val="0"/>
              <w:spacing w:line="400" w:lineRule="exact"/>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r>
      <w:tr w14:paraId="5238C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11" w:hRule="atLeast"/>
          <w:jc w:val="center"/>
        </w:trPr>
        <w:tc>
          <w:tcPr>
            <w:tcW w:w="869" w:type="dxa"/>
            <w:vMerge w:val="restart"/>
            <w:tcBorders>
              <w:top w:val="single" w:color="000000" w:sz="4" w:space="0"/>
              <w:right w:val="single" w:color="000000" w:sz="4" w:space="0"/>
            </w:tcBorders>
            <w:vAlign w:val="center"/>
          </w:tcPr>
          <w:p w14:paraId="3F590218">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第一片区</w:t>
            </w:r>
          </w:p>
        </w:tc>
        <w:tc>
          <w:tcPr>
            <w:tcW w:w="1010" w:type="dxa"/>
            <w:tcBorders>
              <w:top w:val="single" w:color="000000" w:sz="4" w:space="0"/>
              <w:left w:val="single" w:color="000000" w:sz="4" w:space="0"/>
              <w:bottom w:val="single" w:color="000000" w:sz="4" w:space="0"/>
              <w:right w:val="single" w:color="000000" w:sz="4" w:space="0"/>
            </w:tcBorders>
            <w:vAlign w:val="center"/>
          </w:tcPr>
          <w:p w14:paraId="5753BD4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492D97AB">
            <w:pPr>
              <w:widowControl/>
              <w:adjustRightInd w:val="0"/>
              <w:snapToGrid w:val="0"/>
              <w:spacing w:line="400" w:lineRule="exact"/>
              <w:jc w:val="left"/>
              <w:textAlignment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2CB2BD2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143.9</w:t>
            </w:r>
          </w:p>
        </w:tc>
        <w:tc>
          <w:tcPr>
            <w:tcW w:w="1628" w:type="dxa"/>
            <w:vMerge w:val="restart"/>
            <w:tcBorders>
              <w:top w:val="single" w:color="000000" w:sz="4" w:space="0"/>
              <w:left w:val="single" w:color="000000" w:sz="4" w:space="0"/>
              <w:right w:val="single" w:color="000000" w:sz="4" w:space="0"/>
            </w:tcBorders>
            <w:vAlign w:val="center"/>
          </w:tcPr>
          <w:p w14:paraId="3579382C">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澄江市机关幼儿园、澄江市机关幼儿园（立昌园区）、澄江市九村中心幼儿园</w:t>
            </w:r>
          </w:p>
        </w:tc>
        <w:tc>
          <w:tcPr>
            <w:tcW w:w="870" w:type="dxa"/>
            <w:vMerge w:val="restart"/>
            <w:tcBorders>
              <w:top w:val="single" w:color="000000" w:sz="4" w:space="0"/>
              <w:left w:val="single" w:color="000000" w:sz="4" w:space="0"/>
              <w:bottom w:val="single" w:color="000000" w:sz="4" w:space="0"/>
              <w:right w:val="single" w:color="000000" w:sz="4" w:space="0"/>
            </w:tcBorders>
            <w:vAlign w:val="center"/>
          </w:tcPr>
          <w:p w14:paraId="3CD4A472">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按采购人实际需求提供</w:t>
            </w:r>
          </w:p>
        </w:tc>
      </w:tr>
      <w:tr w14:paraId="252BDC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869" w:type="dxa"/>
            <w:vMerge w:val="continue"/>
            <w:tcBorders>
              <w:bottom w:val="single" w:color="000000" w:sz="4" w:space="0"/>
              <w:right w:val="single" w:color="000000" w:sz="4" w:space="0"/>
            </w:tcBorders>
            <w:vAlign w:val="center"/>
          </w:tcPr>
          <w:p w14:paraId="4F6BC1B2">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010" w:type="dxa"/>
            <w:tcBorders>
              <w:top w:val="single" w:color="000000" w:sz="4" w:space="0"/>
              <w:left w:val="single" w:color="000000" w:sz="4" w:space="0"/>
              <w:bottom w:val="single" w:color="000000" w:sz="4" w:space="0"/>
              <w:right w:val="single" w:color="000000" w:sz="4" w:space="0"/>
            </w:tcBorders>
            <w:vAlign w:val="center"/>
          </w:tcPr>
          <w:p w14:paraId="75C671B0">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78A9AF35">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水果类、乳制品类、烘焙糕点类及其它食品食材等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2E74BC95">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86.00</w:t>
            </w:r>
          </w:p>
        </w:tc>
        <w:tc>
          <w:tcPr>
            <w:tcW w:w="1628" w:type="dxa"/>
            <w:vMerge w:val="continue"/>
            <w:tcBorders>
              <w:left w:val="single" w:color="000000" w:sz="4" w:space="0"/>
              <w:right w:val="single" w:color="000000" w:sz="4" w:space="0"/>
            </w:tcBorders>
            <w:vAlign w:val="center"/>
          </w:tcPr>
          <w:p w14:paraId="1931B825">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870" w:type="dxa"/>
            <w:vMerge w:val="continue"/>
            <w:tcBorders>
              <w:left w:val="single" w:color="000000" w:sz="4" w:space="0"/>
              <w:right w:val="single" w:color="000000" w:sz="4" w:space="0"/>
            </w:tcBorders>
            <w:vAlign w:val="center"/>
          </w:tcPr>
          <w:p w14:paraId="5A66DE78">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r>
      <w:tr w14:paraId="553F7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2" w:hRule="atLeast"/>
          <w:jc w:val="center"/>
        </w:trPr>
        <w:tc>
          <w:tcPr>
            <w:tcW w:w="869" w:type="dxa"/>
            <w:vMerge w:val="restart"/>
            <w:tcBorders>
              <w:top w:val="single" w:color="000000" w:sz="4" w:space="0"/>
              <w:right w:val="single" w:color="000000" w:sz="4" w:space="0"/>
            </w:tcBorders>
            <w:vAlign w:val="center"/>
          </w:tcPr>
          <w:p w14:paraId="0500FCDA">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第二片区</w:t>
            </w:r>
          </w:p>
        </w:tc>
        <w:tc>
          <w:tcPr>
            <w:tcW w:w="1010" w:type="dxa"/>
            <w:tcBorders>
              <w:top w:val="single" w:color="000000" w:sz="4" w:space="0"/>
              <w:left w:val="single" w:color="000000" w:sz="4" w:space="0"/>
              <w:bottom w:val="single" w:color="000000" w:sz="4" w:space="0"/>
              <w:right w:val="single" w:color="000000" w:sz="4" w:space="0"/>
            </w:tcBorders>
            <w:vAlign w:val="center"/>
          </w:tcPr>
          <w:p w14:paraId="32EDFACB">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包</w:t>
            </w:r>
          </w:p>
        </w:tc>
        <w:tc>
          <w:tcPr>
            <w:tcW w:w="3650" w:type="dxa"/>
            <w:tcBorders>
              <w:top w:val="single" w:color="000000" w:sz="4" w:space="0"/>
              <w:left w:val="single" w:color="000000" w:sz="4" w:space="0"/>
              <w:bottom w:val="single" w:color="000000" w:sz="4" w:space="0"/>
              <w:right w:val="single" w:color="000000" w:sz="4" w:space="0"/>
            </w:tcBorders>
            <w:vAlign w:val="center"/>
          </w:tcPr>
          <w:p w14:paraId="12FAF7F8">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1529" w:type="dxa"/>
            <w:tcBorders>
              <w:top w:val="single" w:color="000000" w:sz="4" w:space="0"/>
              <w:left w:val="single" w:color="000000" w:sz="4" w:space="0"/>
              <w:bottom w:val="single" w:color="000000" w:sz="4" w:space="0"/>
              <w:right w:val="single" w:color="000000" w:sz="4" w:space="0"/>
            </w:tcBorders>
            <w:vAlign w:val="center"/>
          </w:tcPr>
          <w:p w14:paraId="4408E5D2">
            <w:pPr>
              <w:widowControl/>
              <w:adjustRightInd w:val="0"/>
              <w:snapToGrid w:val="0"/>
              <w:spacing w:line="40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115.4</w:t>
            </w:r>
          </w:p>
        </w:tc>
        <w:tc>
          <w:tcPr>
            <w:tcW w:w="1628" w:type="dxa"/>
            <w:vMerge w:val="restart"/>
            <w:tcBorders>
              <w:top w:val="single" w:color="000000" w:sz="4" w:space="0"/>
              <w:left w:val="single" w:color="000000" w:sz="4" w:space="0"/>
              <w:right w:val="single" w:color="000000" w:sz="4" w:space="0"/>
            </w:tcBorders>
            <w:vAlign w:val="center"/>
          </w:tcPr>
          <w:p w14:paraId="707CABD4">
            <w:pPr>
              <w:adjustRightInd w:val="0"/>
              <w:snapToGrid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澄江市凤麓中心幼儿园、澄江市右所中心幼儿园、澄江市海口中心幼儿园、玉溪市江川区路居镇中心幼儿园</w:t>
            </w:r>
          </w:p>
        </w:tc>
        <w:tc>
          <w:tcPr>
            <w:tcW w:w="870" w:type="dxa"/>
            <w:vMerge w:val="continue"/>
            <w:tcBorders>
              <w:top w:val="single" w:color="000000" w:sz="4" w:space="0"/>
              <w:left w:val="single" w:color="000000" w:sz="4" w:space="0"/>
              <w:bottom w:val="single" w:color="000000" w:sz="4" w:space="0"/>
              <w:right w:val="single" w:color="000000" w:sz="4" w:space="0"/>
            </w:tcBorders>
            <w:vAlign w:val="center"/>
          </w:tcPr>
          <w:p w14:paraId="7AD8F018">
            <w:pPr>
              <w:adjustRightInd w:val="0"/>
              <w:snapToGrid w:val="0"/>
              <w:spacing w:line="400" w:lineRule="exact"/>
              <w:jc w:val="center"/>
              <w:rPr>
                <w:rFonts w:hint="eastAsia" w:ascii="宋体" w:hAnsi="宋体" w:eastAsia="宋体" w:cs="宋体"/>
                <w:color w:val="auto"/>
                <w:sz w:val="24"/>
                <w:szCs w:val="24"/>
                <w:highlight w:val="none"/>
              </w:rPr>
            </w:pPr>
          </w:p>
        </w:tc>
      </w:tr>
      <w:tr w14:paraId="636DFA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jc w:val="center"/>
        </w:trPr>
        <w:tc>
          <w:tcPr>
            <w:tcW w:w="869" w:type="dxa"/>
            <w:vMerge w:val="continue"/>
            <w:tcBorders>
              <w:right w:val="single" w:color="000000" w:sz="4" w:space="0"/>
            </w:tcBorders>
            <w:vAlign w:val="center"/>
          </w:tcPr>
          <w:p w14:paraId="248B8818">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010" w:type="dxa"/>
            <w:tcBorders>
              <w:top w:val="single" w:color="000000" w:sz="4" w:space="0"/>
              <w:left w:val="single" w:color="000000" w:sz="4" w:space="0"/>
              <w:right w:val="single" w:color="000000" w:sz="4" w:space="0"/>
            </w:tcBorders>
            <w:vAlign w:val="center"/>
          </w:tcPr>
          <w:p w14:paraId="3D5897A2">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包</w:t>
            </w:r>
          </w:p>
        </w:tc>
        <w:tc>
          <w:tcPr>
            <w:tcW w:w="3650" w:type="dxa"/>
            <w:tcBorders>
              <w:top w:val="single" w:color="000000" w:sz="4" w:space="0"/>
              <w:left w:val="single" w:color="000000" w:sz="4" w:space="0"/>
              <w:right w:val="single" w:color="000000" w:sz="4" w:space="0"/>
            </w:tcBorders>
            <w:vAlign w:val="center"/>
          </w:tcPr>
          <w:p w14:paraId="74E0AF25">
            <w:pPr>
              <w:widowControl/>
              <w:adjustRightInd w:val="0"/>
              <w:snapToGrid w:val="0"/>
              <w:spacing w:line="400" w:lineRule="exact"/>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水果类、乳制品类、烘焙糕点类及其它食品食材等</w:t>
            </w:r>
          </w:p>
        </w:tc>
        <w:tc>
          <w:tcPr>
            <w:tcW w:w="1529" w:type="dxa"/>
            <w:tcBorders>
              <w:top w:val="single" w:color="000000" w:sz="4" w:space="0"/>
              <w:left w:val="single" w:color="000000" w:sz="4" w:space="0"/>
              <w:right w:val="single" w:color="000000" w:sz="4" w:space="0"/>
            </w:tcBorders>
            <w:vAlign w:val="center"/>
          </w:tcPr>
          <w:p w14:paraId="5778A2F4">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74.00</w:t>
            </w:r>
          </w:p>
        </w:tc>
        <w:tc>
          <w:tcPr>
            <w:tcW w:w="1628" w:type="dxa"/>
            <w:vMerge w:val="continue"/>
            <w:tcBorders>
              <w:left w:val="single" w:color="000000" w:sz="4" w:space="0"/>
              <w:right w:val="single" w:color="000000" w:sz="4" w:space="0"/>
            </w:tcBorders>
            <w:vAlign w:val="center"/>
          </w:tcPr>
          <w:p w14:paraId="1183E6D3">
            <w:pPr>
              <w:adjustRightInd w:val="0"/>
              <w:snapToGrid w:val="0"/>
              <w:spacing w:line="400" w:lineRule="exact"/>
              <w:jc w:val="center"/>
              <w:rPr>
                <w:rFonts w:hint="eastAsia" w:ascii="宋体" w:hAnsi="宋体" w:eastAsia="宋体" w:cs="宋体"/>
                <w:color w:val="auto"/>
                <w:sz w:val="24"/>
                <w:szCs w:val="24"/>
                <w:highlight w:val="none"/>
              </w:rPr>
            </w:pPr>
          </w:p>
        </w:tc>
        <w:tc>
          <w:tcPr>
            <w:tcW w:w="870" w:type="dxa"/>
            <w:vMerge w:val="continue"/>
            <w:tcBorders>
              <w:top w:val="single" w:color="000000" w:sz="4" w:space="0"/>
              <w:left w:val="single" w:color="000000" w:sz="4" w:space="0"/>
              <w:right w:val="single" w:color="000000" w:sz="4" w:space="0"/>
            </w:tcBorders>
            <w:vAlign w:val="center"/>
          </w:tcPr>
          <w:p w14:paraId="3595F38B">
            <w:pPr>
              <w:adjustRightInd w:val="0"/>
              <w:snapToGrid w:val="0"/>
              <w:spacing w:line="400" w:lineRule="exact"/>
              <w:jc w:val="center"/>
              <w:rPr>
                <w:rFonts w:hint="eastAsia" w:ascii="宋体" w:hAnsi="宋体" w:eastAsia="宋体" w:cs="宋体"/>
                <w:color w:val="auto"/>
                <w:sz w:val="24"/>
                <w:szCs w:val="24"/>
                <w:highlight w:val="none"/>
              </w:rPr>
            </w:pPr>
          </w:p>
        </w:tc>
      </w:tr>
    </w:tbl>
    <w:p w14:paraId="6D9F8477">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注：本项目共分4个标包，投标人可对本项目任意1个或多个标包进行投标，投标文件应按所投标包分别制作及投递。本项目执行“兼投不兼中”的成交原则，同一投标人仅可中标一个标包。</w:t>
      </w:r>
    </w:p>
    <w:p w14:paraId="79E238C7">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（二）采购标的需满足的相关标准</w:t>
      </w:r>
    </w:p>
    <w:tbl>
      <w:tblPr>
        <w:tblStyle w:val="44"/>
        <w:tblW w:w="9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040"/>
        <w:gridCol w:w="4093"/>
        <w:gridCol w:w="3991"/>
      </w:tblGrid>
      <w:tr w14:paraId="2603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58" w:type="dxa"/>
            <w:vAlign w:val="center"/>
          </w:tcPr>
          <w:p w14:paraId="0DC11DC6">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序号</w:t>
            </w:r>
          </w:p>
        </w:tc>
        <w:tc>
          <w:tcPr>
            <w:tcW w:w="1040" w:type="dxa"/>
            <w:vAlign w:val="center"/>
          </w:tcPr>
          <w:p w14:paraId="33DAEEF2">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货物名称</w:t>
            </w:r>
          </w:p>
        </w:tc>
        <w:tc>
          <w:tcPr>
            <w:tcW w:w="4093" w:type="dxa"/>
            <w:vAlign w:val="center"/>
          </w:tcPr>
          <w:p w14:paraId="5F40EDF9">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相关要求</w:t>
            </w:r>
          </w:p>
        </w:tc>
        <w:tc>
          <w:tcPr>
            <w:tcW w:w="3991" w:type="dxa"/>
            <w:vAlign w:val="center"/>
          </w:tcPr>
          <w:p w14:paraId="5D39C481">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验收标准</w:t>
            </w:r>
          </w:p>
        </w:tc>
      </w:tr>
      <w:tr w14:paraId="5BF68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744143FB">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c>
          <w:tcPr>
            <w:tcW w:w="1040" w:type="dxa"/>
            <w:vAlign w:val="center"/>
          </w:tcPr>
          <w:p w14:paraId="2C379D33">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猪肉等肉类</w:t>
            </w:r>
          </w:p>
        </w:tc>
        <w:tc>
          <w:tcPr>
            <w:tcW w:w="4093" w:type="dxa"/>
            <w:vAlign w:val="center"/>
          </w:tcPr>
          <w:p w14:paraId="00DE0C26">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要求提供相应的经营证件，所供物品应为正规渠道所采购的，主要以生肉类为主，色泽新鲜、</w:t>
            </w:r>
            <w:r>
              <w:rPr>
                <w:rFonts w:hint="eastAsia" w:ascii="宋体" w:hAnsi="宋体" w:eastAsia="宋体" w:cs="宋体"/>
                <w:color w:val="auto"/>
                <w:kern w:val="0"/>
                <w:sz w:val="24"/>
                <w:szCs w:val="24"/>
                <w:highlight w:val="none"/>
                <w:lang w:val="en-US" w:eastAsia="zh-CN" w:bidi="ar"/>
              </w:rPr>
              <w:t>当天</w:t>
            </w:r>
            <w:r>
              <w:rPr>
                <w:rFonts w:hint="eastAsia" w:ascii="宋体" w:hAnsi="宋体" w:eastAsia="宋体" w:cs="宋体"/>
                <w:color w:val="auto"/>
                <w:kern w:val="0"/>
                <w:sz w:val="24"/>
                <w:szCs w:val="24"/>
                <w:highlight w:val="none"/>
                <w:lang w:bidi="ar"/>
              </w:rPr>
              <w:t>屠宰、气味正常，具有相应肉品品质检验合格证，运输全程采用冷链车辆，在运送存储过程中必须做好防污染工作，确保清洁卫生。</w:t>
            </w:r>
          </w:p>
        </w:tc>
        <w:tc>
          <w:tcPr>
            <w:tcW w:w="3991" w:type="dxa"/>
            <w:vAlign w:val="center"/>
          </w:tcPr>
          <w:p w14:paraId="5A591311">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①取得国家生猪定点屠宰证的屠宰厂屠宰加工，投标人与屠宰厂签订合作协议；</w:t>
            </w:r>
          </w:p>
          <w:p w14:paraId="1824AC54">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②动物产品检验检疫合格证，符合</w:t>
            </w:r>
            <w:r>
              <w:rPr>
                <w:rFonts w:hint="eastAsia" w:ascii="宋体" w:hAnsi="宋体" w:eastAsia="宋体" w:cs="宋体"/>
                <w:color w:val="auto"/>
                <w:sz w:val="24"/>
                <w:szCs w:val="24"/>
                <w:highlight w:val="none"/>
              </w:rPr>
              <w:t>GB 2707-2016《食品安全国家标准 鲜（冻）畜、禽产品》标准</w:t>
            </w:r>
            <w:r>
              <w:rPr>
                <w:rFonts w:hint="eastAsia" w:ascii="宋体" w:hAnsi="宋体" w:eastAsia="宋体" w:cs="宋体"/>
                <w:color w:val="auto"/>
                <w:kern w:val="0"/>
                <w:sz w:val="24"/>
                <w:szCs w:val="24"/>
                <w:highlight w:val="none"/>
                <w:lang w:bidi="ar"/>
              </w:rPr>
              <w:t>，必须具有检验检疫证明；</w:t>
            </w:r>
          </w:p>
          <w:p w14:paraId="1E274F41">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③能够提供有效的《食品经营许可证》或《食品生产许可证》。</w:t>
            </w:r>
          </w:p>
        </w:tc>
      </w:tr>
      <w:tr w14:paraId="6402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0F4ACB13">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p>
        </w:tc>
        <w:tc>
          <w:tcPr>
            <w:tcW w:w="1040" w:type="dxa"/>
            <w:vAlign w:val="center"/>
          </w:tcPr>
          <w:p w14:paraId="6569981E">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牛肉、羊肉、禽类(鸡、鸭肉)等</w:t>
            </w:r>
          </w:p>
        </w:tc>
        <w:tc>
          <w:tcPr>
            <w:tcW w:w="4093" w:type="dxa"/>
            <w:vAlign w:val="center"/>
          </w:tcPr>
          <w:p w14:paraId="7C94110B">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①要求提供相应的经营证件，所供物品应为正规渠道所采购的，主要以生肉类为主，色泽新鲜、</w:t>
            </w:r>
            <w:r>
              <w:rPr>
                <w:rFonts w:hint="eastAsia" w:ascii="宋体" w:hAnsi="宋体" w:eastAsia="宋体" w:cs="宋体"/>
                <w:color w:val="auto"/>
                <w:kern w:val="0"/>
                <w:sz w:val="24"/>
                <w:szCs w:val="24"/>
                <w:highlight w:val="none"/>
                <w:lang w:val="en-US" w:eastAsia="zh-CN" w:bidi="ar"/>
              </w:rPr>
              <w:t>当天</w:t>
            </w:r>
            <w:r>
              <w:rPr>
                <w:rFonts w:hint="eastAsia" w:ascii="宋体" w:hAnsi="宋体" w:eastAsia="宋体" w:cs="宋体"/>
                <w:color w:val="auto"/>
                <w:kern w:val="0"/>
                <w:sz w:val="24"/>
                <w:szCs w:val="24"/>
                <w:highlight w:val="none"/>
                <w:lang w:bidi="ar"/>
              </w:rPr>
              <w:t>屠宰、气味正常，具有相应肉品品质检验合格证，运输全程采用冷链车辆，在运送存储过程中必须做好防污染工作，确保清洁卫生。</w:t>
            </w:r>
          </w:p>
          <w:p w14:paraId="36A2583D">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②生家禽肉类为主，色泽新鲜、当天屠宰、气味正常，具有相应肉品品质检验合格证，运输全程采用冷链车辆，在运送存储过程中必须做好防污染工作，确保清洁卫生</w:t>
            </w:r>
            <w:r>
              <w:rPr>
                <w:rFonts w:hint="eastAsia" w:ascii="宋体" w:hAnsi="宋体" w:eastAsia="宋体" w:cs="宋体"/>
                <w:color w:val="auto"/>
                <w:kern w:val="0"/>
                <w:sz w:val="24"/>
                <w:szCs w:val="24"/>
                <w:highlight w:val="none"/>
                <w:lang w:eastAsia="zh-CN" w:bidi="ar"/>
              </w:rPr>
              <w:t>。</w:t>
            </w:r>
          </w:p>
        </w:tc>
        <w:tc>
          <w:tcPr>
            <w:tcW w:w="3991" w:type="dxa"/>
            <w:vAlign w:val="center"/>
          </w:tcPr>
          <w:p w14:paraId="3C74241A">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①动物产品检验检疫合格证，符合</w:t>
            </w:r>
            <w:r>
              <w:rPr>
                <w:rFonts w:hint="eastAsia" w:ascii="宋体" w:hAnsi="宋体" w:eastAsia="宋体" w:cs="宋体"/>
                <w:color w:val="auto"/>
                <w:sz w:val="24"/>
                <w:szCs w:val="24"/>
                <w:highlight w:val="none"/>
              </w:rPr>
              <w:t>GB 2707-2016《食品安全国家标准 鲜（冻）畜、禽产品》标准</w:t>
            </w:r>
            <w:r>
              <w:rPr>
                <w:rFonts w:hint="eastAsia" w:ascii="宋体" w:hAnsi="宋体" w:eastAsia="宋体" w:cs="宋体"/>
                <w:color w:val="auto"/>
                <w:kern w:val="0"/>
                <w:sz w:val="24"/>
                <w:szCs w:val="24"/>
                <w:highlight w:val="none"/>
                <w:lang w:bidi="ar"/>
              </w:rPr>
              <w:t>，必须具有检验检疫证明；</w:t>
            </w:r>
          </w:p>
          <w:p w14:paraId="11488E60">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②能够提供有效的《食品经营许可证》或《食品生产许可证》。</w:t>
            </w:r>
          </w:p>
        </w:tc>
      </w:tr>
      <w:tr w14:paraId="0E03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5A5E9033">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w:t>
            </w:r>
          </w:p>
        </w:tc>
        <w:tc>
          <w:tcPr>
            <w:tcW w:w="1040" w:type="dxa"/>
            <w:vAlign w:val="center"/>
          </w:tcPr>
          <w:p w14:paraId="5FAF6CC2">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水产类（鱼、虾）等</w:t>
            </w:r>
          </w:p>
        </w:tc>
        <w:tc>
          <w:tcPr>
            <w:tcW w:w="4093" w:type="dxa"/>
            <w:vAlign w:val="center"/>
          </w:tcPr>
          <w:p w14:paraId="772B8D6E">
            <w:pPr>
              <w:widowControl/>
              <w:adjustRightInd w:val="0"/>
              <w:snapToGrid w:val="0"/>
              <w:spacing w:line="360" w:lineRule="auto"/>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在运送存储过程中必须做好防污染工作，确保清洁卫生；海鲜类产品如为进口商品的根据疫情防控求，运输全程采用冷链车辆，在运送存储过程中必须做好防污染工作，确保清洁卫生；必须提供相关检测证明。</w:t>
            </w:r>
            <w:r>
              <w:rPr>
                <w:rFonts w:hint="eastAsia" w:ascii="宋体" w:hAnsi="宋体" w:eastAsia="宋体" w:cs="宋体"/>
                <w:color w:val="auto"/>
                <w:kern w:val="0"/>
                <w:sz w:val="24"/>
                <w:szCs w:val="24"/>
                <w:highlight w:val="none"/>
                <w:lang w:val="en-US" w:eastAsia="zh-CN" w:bidi="ar"/>
              </w:rPr>
              <w:t>货物规格以询价的规格为主。运输过程中确保货物鲜活度为95%（涉及屠杀的除外）</w:t>
            </w:r>
          </w:p>
        </w:tc>
        <w:tc>
          <w:tcPr>
            <w:tcW w:w="3991" w:type="dxa"/>
            <w:vAlign w:val="center"/>
          </w:tcPr>
          <w:p w14:paraId="33CFADAE">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①产品符合</w:t>
            </w:r>
            <w:r>
              <w:rPr>
                <w:rFonts w:hint="eastAsia" w:ascii="宋体" w:hAnsi="宋体" w:eastAsia="宋体" w:cs="宋体"/>
                <w:color w:val="auto"/>
                <w:sz w:val="24"/>
                <w:szCs w:val="24"/>
                <w:highlight w:val="none"/>
              </w:rPr>
              <w:t>GB 2733-2015《食品安全国家标准 鲜、冻动物性水产品》标准，</w:t>
            </w:r>
            <w:r>
              <w:rPr>
                <w:rFonts w:hint="eastAsia" w:ascii="宋体" w:hAnsi="宋体" w:eastAsia="宋体" w:cs="宋体"/>
                <w:color w:val="auto"/>
                <w:kern w:val="0"/>
                <w:sz w:val="24"/>
                <w:szCs w:val="24"/>
                <w:highlight w:val="none"/>
                <w:lang w:bidi="ar"/>
              </w:rPr>
              <w:t>提供质量检验报告；</w:t>
            </w:r>
          </w:p>
          <w:p w14:paraId="10B61F04">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②能够提供有效的《食品经营许可证》或《食品生产许可证》。</w:t>
            </w:r>
          </w:p>
        </w:tc>
      </w:tr>
      <w:tr w14:paraId="6401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6427EE10">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4</w:t>
            </w:r>
          </w:p>
        </w:tc>
        <w:tc>
          <w:tcPr>
            <w:tcW w:w="1040" w:type="dxa"/>
            <w:vAlign w:val="center"/>
          </w:tcPr>
          <w:p w14:paraId="30D88795">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蔬菜类、米线、卷粉类、豆制品类</w:t>
            </w:r>
          </w:p>
        </w:tc>
        <w:tc>
          <w:tcPr>
            <w:tcW w:w="4093" w:type="dxa"/>
            <w:vAlign w:val="center"/>
          </w:tcPr>
          <w:p w14:paraId="2CF9CDEF">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蔬菜供应商要求提供相应的经营证件，残留农药含量不超过国家有关标准，所供应的蔬菜类产品在运送、存储过程中必须做好防污染工作，确保清洁卫生、无杂物、新鲜无异味、无腐烂变质，采购尽量以本地为主，尽量缩短运输时间及里程。</w:t>
            </w:r>
          </w:p>
          <w:p w14:paraId="3D492357">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叶菜:外形正常，叶梗光滑幼嫩，不干瘪凋萎，无过多黄叶色泽正常，去除根须，不含土，无虫害。配菜类(根茎、果类):无虫咬、发芽、发霉现象，成熟度良好、新鲜。货物合格率应达 95%。农药残留应符合国家标准。接受市场监督管理局的定期、不定期抽查。采购尽量以本地为主，尽量缩短运输时间及里程，所供应的蔬菜类产品在运送、存储过程中必须做好防污染工作。</w:t>
            </w:r>
          </w:p>
          <w:p w14:paraId="07E8517C">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②米线、卷粉类、豆制品类供应商必须供应由正规厂家生产的制品，杜绝黑作坊商品，提供货源来源渠道证明。</w:t>
            </w:r>
          </w:p>
        </w:tc>
        <w:tc>
          <w:tcPr>
            <w:tcW w:w="3991" w:type="dxa"/>
            <w:vAlign w:val="center"/>
          </w:tcPr>
          <w:p w14:paraId="56E9505F">
            <w:pPr>
              <w:widowControl/>
              <w:adjustRightInd w:val="0"/>
              <w:snapToGrid w:val="0"/>
              <w:spacing w:line="360" w:lineRule="auto"/>
              <w:jc w:val="left"/>
              <w:textAlignment w:val="center"/>
              <w:rPr>
                <w:rStyle w:val="46"/>
                <w:rFonts w:hint="eastAsia" w:ascii="宋体" w:hAnsi="宋体" w:eastAsia="宋体" w:cs="宋体"/>
                <w:b w:val="0"/>
                <w:color w:val="auto"/>
                <w:sz w:val="24"/>
                <w:szCs w:val="24"/>
                <w:highlight w:val="none"/>
              </w:rPr>
            </w:pPr>
            <w:r>
              <w:rPr>
                <w:rFonts w:hint="eastAsia" w:ascii="宋体" w:hAnsi="宋体" w:eastAsia="宋体" w:cs="宋体"/>
                <w:color w:val="auto"/>
                <w:kern w:val="0"/>
                <w:sz w:val="24"/>
                <w:szCs w:val="24"/>
                <w:highlight w:val="none"/>
                <w:lang w:bidi="ar"/>
              </w:rPr>
              <w:t>①符合</w:t>
            </w:r>
            <w:r>
              <w:rPr>
                <w:rStyle w:val="46"/>
                <w:rFonts w:hint="eastAsia" w:ascii="宋体" w:hAnsi="宋体" w:eastAsia="宋体" w:cs="宋体"/>
                <w:b w:val="0"/>
                <w:color w:val="auto"/>
                <w:sz w:val="24"/>
                <w:szCs w:val="24"/>
                <w:highlight w:val="none"/>
              </w:rPr>
              <w:t>GB2762-2017《食品安全国家标准 食品中污染物限量》、GB2763-2021《食品安全国家标准 食品中农药最大残留限量》、GB7718-2011《食品安全国家标准 生鲜蔬菜的贮存条件》等国家及云南省相关标准</w:t>
            </w:r>
            <w:r>
              <w:rPr>
                <w:rFonts w:hint="eastAsia" w:ascii="宋体" w:hAnsi="宋体" w:eastAsia="宋体" w:cs="宋体"/>
                <w:color w:val="auto"/>
                <w:kern w:val="0"/>
                <w:sz w:val="24"/>
                <w:szCs w:val="24"/>
                <w:highlight w:val="none"/>
                <w:lang w:bidi="ar"/>
              </w:rPr>
              <w:t>，提供检验报告</w:t>
            </w:r>
            <w:r>
              <w:rPr>
                <w:rStyle w:val="46"/>
                <w:rFonts w:hint="eastAsia" w:ascii="宋体" w:hAnsi="宋体" w:eastAsia="宋体" w:cs="宋体"/>
                <w:b w:val="0"/>
                <w:color w:val="auto"/>
                <w:sz w:val="24"/>
                <w:szCs w:val="24"/>
                <w:highlight w:val="none"/>
              </w:rPr>
              <w:t>。</w:t>
            </w:r>
          </w:p>
          <w:p w14:paraId="3BC315B2">
            <w:pPr>
              <w:widowControl/>
              <w:adjustRightInd w:val="0"/>
              <w:snapToGrid w:val="0"/>
              <w:spacing w:line="360" w:lineRule="auto"/>
              <w:jc w:val="left"/>
              <w:textAlignment w:val="center"/>
              <w:rPr>
                <w:rStyle w:val="46"/>
                <w:rFonts w:hint="eastAsia" w:ascii="宋体" w:hAnsi="宋体" w:eastAsia="宋体" w:cs="宋体"/>
                <w:b w:val="0"/>
                <w:color w:val="auto"/>
                <w:sz w:val="24"/>
                <w:szCs w:val="24"/>
                <w:highlight w:val="none"/>
              </w:rPr>
            </w:pPr>
            <w:r>
              <w:rPr>
                <w:rStyle w:val="46"/>
                <w:rFonts w:hint="eastAsia" w:ascii="宋体" w:hAnsi="宋体" w:eastAsia="宋体" w:cs="宋体"/>
                <w:b w:val="0"/>
                <w:color w:val="auto"/>
                <w:sz w:val="24"/>
                <w:szCs w:val="24"/>
                <w:highlight w:val="none"/>
              </w:rPr>
              <w:t>②</w:t>
            </w:r>
            <w:r>
              <w:rPr>
                <w:rFonts w:hint="eastAsia" w:ascii="宋体" w:hAnsi="宋体" w:eastAsia="宋体" w:cs="宋体"/>
                <w:color w:val="auto"/>
                <w:kern w:val="0"/>
                <w:sz w:val="24"/>
                <w:szCs w:val="24"/>
                <w:highlight w:val="none"/>
                <w:lang w:bidi="ar"/>
              </w:rPr>
              <w:t>产品符合</w:t>
            </w:r>
            <w:r>
              <w:rPr>
                <w:rFonts w:hint="eastAsia" w:ascii="宋体" w:hAnsi="宋体" w:eastAsia="宋体" w:cs="宋体"/>
                <w:color w:val="auto"/>
                <w:sz w:val="24"/>
                <w:szCs w:val="24"/>
                <w:highlight w:val="none"/>
              </w:rPr>
              <w:t>《云南省食品安全地方标准 米线、卷粉、饵丝（块）》标准，</w:t>
            </w:r>
            <w:r>
              <w:rPr>
                <w:rFonts w:hint="eastAsia" w:ascii="宋体" w:hAnsi="宋体" w:eastAsia="宋体" w:cs="宋体"/>
                <w:color w:val="auto"/>
                <w:kern w:val="0"/>
                <w:sz w:val="24"/>
                <w:szCs w:val="24"/>
                <w:highlight w:val="none"/>
                <w:lang w:bidi="ar"/>
              </w:rPr>
              <w:t>提供质量检验报告</w:t>
            </w:r>
            <w:r>
              <w:rPr>
                <w:rFonts w:hint="eastAsia" w:ascii="宋体" w:hAnsi="宋体" w:eastAsia="宋体" w:cs="宋体"/>
                <w:color w:val="auto"/>
                <w:sz w:val="24"/>
                <w:szCs w:val="24"/>
                <w:highlight w:val="none"/>
              </w:rPr>
              <w:t>；</w:t>
            </w:r>
          </w:p>
          <w:p w14:paraId="4A0D1FA7">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③能够提供有效的《食品经营许可证》或《食品生产许可证》</w:t>
            </w:r>
          </w:p>
        </w:tc>
      </w:tr>
      <w:tr w14:paraId="1F8D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8" w:hRule="atLeast"/>
        </w:trPr>
        <w:tc>
          <w:tcPr>
            <w:tcW w:w="758" w:type="dxa"/>
            <w:vAlign w:val="center"/>
          </w:tcPr>
          <w:p w14:paraId="52C663F3">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5</w:t>
            </w:r>
          </w:p>
        </w:tc>
        <w:tc>
          <w:tcPr>
            <w:tcW w:w="1040" w:type="dxa"/>
            <w:vAlign w:val="center"/>
          </w:tcPr>
          <w:p w14:paraId="359C1F39">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水果类</w:t>
            </w:r>
          </w:p>
        </w:tc>
        <w:tc>
          <w:tcPr>
            <w:tcW w:w="4093" w:type="dxa"/>
            <w:vAlign w:val="center"/>
          </w:tcPr>
          <w:p w14:paraId="19E88B50">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色泽正常、无虫咬、</w:t>
            </w:r>
            <w:r>
              <w:rPr>
                <w:rFonts w:hint="eastAsia" w:ascii="宋体" w:hAnsi="宋体" w:eastAsia="宋体" w:cs="宋体"/>
                <w:color w:val="auto"/>
                <w:kern w:val="0"/>
                <w:sz w:val="24"/>
                <w:szCs w:val="24"/>
                <w:highlight w:val="none"/>
                <w:lang w:val="en-US" w:eastAsia="zh-CN" w:bidi="ar"/>
              </w:rPr>
              <w:t>无</w:t>
            </w:r>
            <w:r>
              <w:rPr>
                <w:rFonts w:hint="eastAsia" w:ascii="宋体" w:hAnsi="宋体" w:eastAsia="宋体" w:cs="宋体"/>
                <w:color w:val="auto"/>
                <w:kern w:val="0"/>
                <w:sz w:val="24"/>
                <w:szCs w:val="24"/>
                <w:highlight w:val="none"/>
                <w:lang w:bidi="ar"/>
              </w:rPr>
              <w:t>发霉现象</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若出现发霉现象的水果，不论数量多少，全部退换。若退换不及时影响供餐的学校将作出相应的处罚</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，成熟度良好、新鲜。货物合格率应达 95%。农药残留应符合国家标准。接受市场监督管理局的定期、不定期抽查。如为进口商品的根据疫情防控要求，必须提供相关检测证明。</w:t>
            </w:r>
          </w:p>
        </w:tc>
        <w:tc>
          <w:tcPr>
            <w:tcW w:w="3991" w:type="dxa"/>
            <w:vAlign w:val="center"/>
          </w:tcPr>
          <w:p w14:paraId="456B71C9">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①符合</w:t>
            </w:r>
            <w:r>
              <w:rPr>
                <w:rStyle w:val="46"/>
                <w:rFonts w:hint="eastAsia" w:ascii="宋体" w:hAnsi="宋体" w:eastAsia="宋体" w:cs="宋体"/>
                <w:b w:val="0"/>
                <w:color w:val="auto"/>
                <w:sz w:val="24"/>
                <w:szCs w:val="24"/>
                <w:highlight w:val="none"/>
              </w:rPr>
              <w:t>GB2762-2017《食品安全国家标准 食品中污染物限量》、GB2763-2021《食品安全国家标准 食品中农药最大残留限量》、GB2760-2014《食品安全国家标准 食品添加剂使用标准》等国家及云南省相关标准</w:t>
            </w:r>
            <w:r>
              <w:rPr>
                <w:rFonts w:hint="eastAsia" w:ascii="宋体" w:hAnsi="宋体" w:eastAsia="宋体" w:cs="宋体"/>
                <w:color w:val="auto"/>
                <w:kern w:val="0"/>
                <w:sz w:val="24"/>
                <w:szCs w:val="24"/>
                <w:highlight w:val="none"/>
                <w:lang w:bidi="ar"/>
              </w:rPr>
              <w:t>，提供检验报告</w:t>
            </w:r>
            <w:r>
              <w:rPr>
                <w:rStyle w:val="46"/>
                <w:rFonts w:hint="eastAsia" w:ascii="宋体" w:hAnsi="宋体" w:eastAsia="宋体" w:cs="宋体"/>
                <w:b w:val="0"/>
                <w:color w:val="auto"/>
                <w:sz w:val="24"/>
                <w:szCs w:val="24"/>
                <w:highlight w:val="none"/>
              </w:rPr>
              <w:t>。</w:t>
            </w:r>
          </w:p>
          <w:p w14:paraId="32B898A4">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②能够提供有效的《食品经营许可证》或《食品生产许可证》，提供检验报告；</w:t>
            </w:r>
          </w:p>
        </w:tc>
      </w:tr>
      <w:tr w14:paraId="0F8F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380E0CD9">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6</w:t>
            </w:r>
          </w:p>
        </w:tc>
        <w:tc>
          <w:tcPr>
            <w:tcW w:w="1040" w:type="dxa"/>
            <w:vAlign w:val="center"/>
          </w:tcPr>
          <w:p w14:paraId="6414EE26">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糖果、坚果类、干货、调料、蛋类、食材保鲜膜等</w:t>
            </w:r>
          </w:p>
        </w:tc>
        <w:tc>
          <w:tcPr>
            <w:tcW w:w="4093" w:type="dxa"/>
            <w:vAlign w:val="center"/>
          </w:tcPr>
          <w:p w14:paraId="5C5DBD5F">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①有独立包装，正规生产厂家，不接受散装货品供货时需提供该批次货物检验报告，同时商品有效期不低于1/2，包装无污染。</w:t>
            </w:r>
          </w:p>
          <w:p w14:paraId="59C6D590">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调料供应商要求提供相应的经营证件，所供物品应为正规渠道所采购的，在运送、存储过程中必须做好防污染工作，干货、调料等产品符合国家质量标准，以本地市场常用品牌为主。确保清洁卫生，所供物品要有明确的生产日期及保质期，包装完整无破损。</w:t>
            </w:r>
          </w:p>
          <w:p w14:paraId="5529A341">
            <w:pPr>
              <w:widowControl/>
              <w:adjustRightInd w:val="0"/>
              <w:snapToGrid w:val="0"/>
              <w:spacing w:line="360" w:lineRule="auto"/>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③蛋类为新鲜鸡蛋，蛋品新鲜，蛋壳清洁无破损、无霉点、无异味，蛋壳色泽自然均匀，无人工染色痕迹，大小均匀，无畸形蛋、沙壳蛋、薄壳蛋。</w:t>
            </w:r>
          </w:p>
        </w:tc>
        <w:tc>
          <w:tcPr>
            <w:tcW w:w="3991" w:type="dxa"/>
            <w:vAlign w:val="center"/>
          </w:tcPr>
          <w:p w14:paraId="7819D564">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①能够提供有效的《食品经营许可证》或《食品生产许可证》，提供检验报告；</w:t>
            </w:r>
          </w:p>
          <w:p w14:paraId="7A81111B">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②所提供产品符合“预包装食品经营许可范围”；</w:t>
            </w:r>
          </w:p>
          <w:p w14:paraId="46D8EFA1">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③干货、调料等产品符合</w:t>
            </w:r>
            <w:r>
              <w:rPr>
                <w:rStyle w:val="46"/>
                <w:rFonts w:hint="eastAsia" w:ascii="宋体" w:hAnsi="宋体" w:eastAsia="宋体" w:cs="宋体"/>
                <w:b w:val="0"/>
                <w:color w:val="auto"/>
                <w:sz w:val="24"/>
                <w:szCs w:val="24"/>
                <w:highlight w:val="none"/>
              </w:rPr>
              <w:t>国家及云南省相关标准，</w:t>
            </w:r>
            <w:r>
              <w:rPr>
                <w:rFonts w:hint="eastAsia" w:ascii="宋体" w:hAnsi="宋体" w:eastAsia="宋体" w:cs="宋体"/>
                <w:color w:val="auto"/>
                <w:kern w:val="0"/>
                <w:sz w:val="24"/>
                <w:szCs w:val="24"/>
                <w:highlight w:val="none"/>
                <w:lang w:bidi="ar"/>
              </w:rPr>
              <w:t>按批次提供产品质量检验报告；</w:t>
            </w:r>
          </w:p>
          <w:p w14:paraId="67F9E2A1">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④蛋品需符合GB 2749-2015《蛋与蛋制品食品安全国家标准》。</w:t>
            </w:r>
          </w:p>
        </w:tc>
      </w:tr>
      <w:tr w14:paraId="69F3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3A59F69B">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7</w:t>
            </w:r>
          </w:p>
        </w:tc>
        <w:tc>
          <w:tcPr>
            <w:tcW w:w="1040" w:type="dxa"/>
            <w:vAlign w:val="center"/>
          </w:tcPr>
          <w:p w14:paraId="659C7B2C">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奶制品类</w:t>
            </w:r>
          </w:p>
        </w:tc>
        <w:tc>
          <w:tcPr>
            <w:tcW w:w="4093" w:type="dxa"/>
            <w:vAlign w:val="center"/>
          </w:tcPr>
          <w:p w14:paraId="34D0CD9C">
            <w:pPr>
              <w:widowControl/>
              <w:adjustRightInd w:val="0"/>
              <w:snapToGrid w:val="0"/>
              <w:spacing w:line="360" w:lineRule="auto"/>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供货时需提供该批次货物检验报告，同时商品有效期不低于1/2，包装无污染</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所供货物必须为同一批次。</w:t>
            </w:r>
          </w:p>
          <w:p w14:paraId="07492F83">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颜色:正常情况下，牛奶呈乳白色，不应有明显的变色。</w:t>
            </w:r>
          </w:p>
          <w:p w14:paraId="6F2BBCFA">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透明度:牛奶应具备一定的透明度，不能出现浑浊、混浊或有悬浮。</w:t>
            </w:r>
          </w:p>
          <w:p w14:paraId="62A3E5FE">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气味：牛奶、酸奶应具备清香的气味，不应有异味。</w:t>
            </w:r>
          </w:p>
          <w:p w14:paraId="5F3D9309">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温度:除常温牛奶、酸奶；要求冷藏的应储存在低温环境中，一般要求存放温度</w:t>
            </w:r>
            <w:r>
              <w:rPr>
                <w:rFonts w:hint="eastAsia" w:ascii="宋体" w:hAnsi="宋体" w:eastAsia="宋体" w:cs="宋体"/>
                <w:color w:val="auto"/>
                <w:kern w:val="0"/>
                <w:sz w:val="24"/>
                <w:szCs w:val="24"/>
                <w:highlight w:val="none"/>
                <w:lang w:eastAsia="zh-CN" w:bidi="ar"/>
              </w:rPr>
              <w:t>为</w:t>
            </w:r>
            <w:r>
              <w:rPr>
                <w:rFonts w:hint="eastAsia" w:ascii="宋体" w:hAnsi="宋体" w:eastAsia="宋体" w:cs="宋体"/>
                <w:color w:val="auto"/>
                <w:kern w:val="0"/>
                <w:sz w:val="24"/>
                <w:szCs w:val="24"/>
                <w:highlight w:val="none"/>
                <w:lang w:val="en-US" w:eastAsia="zh-CN" w:bidi="ar"/>
              </w:rPr>
              <w:t>1-4摄氏度。</w:t>
            </w:r>
          </w:p>
          <w:p w14:paraId="07B26FAF">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湿度:储藏场所应保持干燥，避免生奶受潮发霉。</w:t>
            </w:r>
          </w:p>
          <w:p w14:paraId="4EA1B480">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运输方式:牛奶在运输过程中应避免暴晒、挤压和震动，以保持其质定；酸奶须全程冷链运输。</w:t>
            </w:r>
          </w:p>
        </w:tc>
        <w:tc>
          <w:tcPr>
            <w:tcW w:w="3991" w:type="dxa"/>
            <w:vAlign w:val="center"/>
          </w:tcPr>
          <w:p w14:paraId="21C292F2">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①牛奶符合</w:t>
            </w:r>
            <w:r>
              <w:rPr>
                <w:rStyle w:val="46"/>
                <w:rFonts w:hint="eastAsia" w:ascii="宋体" w:hAnsi="宋体" w:eastAsia="宋体" w:cs="宋体"/>
                <w:b w:val="0"/>
                <w:color w:val="auto"/>
                <w:sz w:val="24"/>
                <w:szCs w:val="24"/>
                <w:highlight w:val="none"/>
              </w:rPr>
              <w:t>GB19301-2010《食品安全国家标准 生乳》、GB19645-2010《食品安全国家标准 巴氏杀菌乳》、GB 25190-2010《食品安全国家标准 灭菌乳》、GB25191-2010《食品安全国家标准 调制乳》、GB19302-2010《食品安全国家标准 发酵乳》等国家及云南省相关标准</w:t>
            </w:r>
            <w:r>
              <w:rPr>
                <w:rFonts w:hint="eastAsia" w:ascii="宋体" w:hAnsi="宋体" w:eastAsia="宋体" w:cs="宋体"/>
                <w:color w:val="auto"/>
                <w:kern w:val="0"/>
                <w:sz w:val="24"/>
                <w:szCs w:val="24"/>
                <w:highlight w:val="none"/>
                <w:lang w:bidi="ar"/>
              </w:rPr>
              <w:t>；</w:t>
            </w:r>
          </w:p>
          <w:p w14:paraId="6DA0305F">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②符合</w:t>
            </w:r>
            <w:r>
              <w:rPr>
                <w:rFonts w:hint="eastAsia" w:ascii="宋体" w:hAnsi="宋体" w:eastAsia="宋体" w:cs="宋体"/>
                <w:color w:val="auto"/>
                <w:sz w:val="24"/>
                <w:szCs w:val="24"/>
                <w:highlight w:val="none"/>
              </w:rPr>
              <w:t>GB 4789.18-2024《食品安全国家标准 食品微生物学检验 乳与乳制品采样和检样处理》</w:t>
            </w:r>
            <w:r>
              <w:rPr>
                <w:rFonts w:hint="eastAsia" w:ascii="宋体" w:hAnsi="宋体" w:eastAsia="宋体" w:cs="宋体"/>
                <w:color w:val="auto"/>
                <w:kern w:val="0"/>
                <w:sz w:val="24"/>
                <w:szCs w:val="24"/>
                <w:highlight w:val="none"/>
                <w:lang w:bidi="ar"/>
              </w:rPr>
              <w:t>；</w:t>
            </w:r>
          </w:p>
          <w:p w14:paraId="7CE8804B">
            <w:pPr>
              <w:pStyle w:val="51"/>
              <w:adjustRightInd w:val="0"/>
              <w:snapToGrid w:val="0"/>
              <w:spacing w:before="0" w:after="0" w:line="360" w:lineRule="auto"/>
              <w:rPr>
                <w:rFonts w:hint="eastAsia" w:eastAsia="宋体"/>
                <w:color w:val="auto"/>
                <w:szCs w:val="24"/>
                <w:highlight w:val="none"/>
                <w:lang w:bidi="ar"/>
              </w:rPr>
            </w:pPr>
            <w:r>
              <w:rPr>
                <w:rFonts w:hint="eastAsia" w:eastAsia="宋体"/>
                <w:color w:val="auto"/>
                <w:szCs w:val="24"/>
                <w:highlight w:val="none"/>
                <w:lang w:bidi="ar"/>
              </w:rPr>
              <w:t>③能够提供有效的《食品经营许可证》或《食品生产许可证》；</w:t>
            </w:r>
          </w:p>
        </w:tc>
      </w:tr>
      <w:tr w14:paraId="6D2B8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58" w:type="dxa"/>
            <w:vAlign w:val="center"/>
          </w:tcPr>
          <w:p w14:paraId="7794ACD0">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8</w:t>
            </w:r>
          </w:p>
        </w:tc>
        <w:tc>
          <w:tcPr>
            <w:tcW w:w="1040" w:type="dxa"/>
            <w:vAlign w:val="center"/>
          </w:tcPr>
          <w:p w14:paraId="163CE9F7">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糕点类</w:t>
            </w:r>
          </w:p>
        </w:tc>
        <w:tc>
          <w:tcPr>
            <w:tcW w:w="4093" w:type="dxa"/>
            <w:vAlign w:val="center"/>
          </w:tcPr>
          <w:p w14:paraId="42930DA4">
            <w:pPr>
              <w:widowControl/>
              <w:adjustRightInd w:val="0"/>
              <w:snapToGrid w:val="0"/>
              <w:spacing w:line="360" w:lineRule="auto"/>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原材料渠道合法，可追溯，确保原材料符合国家食品安全标准；</w:t>
            </w:r>
          </w:p>
          <w:p w14:paraId="03C12415">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商品必须新鲜加工，接受非预包装和预包装商品，同时商品有效期不低于1/2，包装无污染。</w:t>
            </w:r>
          </w:p>
          <w:p w14:paraId="5489E934">
            <w:pPr>
              <w:widowControl/>
              <w:adjustRightInd w:val="0"/>
              <w:snapToGrid w:val="0"/>
              <w:spacing w:line="360" w:lineRule="auto"/>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具有各自的正常色泽、气味和滋味，不得有酸败、发霉等的杂味，食品内外不得有生虫、霉变及其他外来污染物。运输全程采用冷链车辆，在运送存储过程中必须做好防污染工作，确保清洁卫生。</w:t>
            </w:r>
          </w:p>
        </w:tc>
        <w:tc>
          <w:tcPr>
            <w:tcW w:w="3991" w:type="dxa"/>
            <w:vAlign w:val="center"/>
          </w:tcPr>
          <w:p w14:paraId="475F94E9">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符合GB7099-2015《食品安全国家标准 糕点、面包》、GB2760-2024《食品安全国家标准 食品添加剂使用标准》、GB7100-2015《食品安全国家标准 饼干》、GB 7100-86《糕点、饼干、面包卫生标准》；提供检验报告。</w:t>
            </w:r>
          </w:p>
        </w:tc>
      </w:tr>
    </w:tbl>
    <w:p w14:paraId="13AFD151">
      <w:pPr>
        <w:pStyle w:val="16"/>
        <w:adjustRightInd w:val="0"/>
        <w:snapToGrid w:val="0"/>
        <w:spacing w:before="120" w:beforeLines="50" w:after="0" w:line="360" w:lineRule="auto"/>
        <w:ind w:firstLine="482" w:firstLineChars="200"/>
        <w:rPr>
          <w:rFonts w:hint="eastAsia" w:eastAsia="宋体"/>
          <w:b/>
          <w:bCs/>
          <w:color w:val="auto"/>
          <w:sz w:val="24"/>
          <w:szCs w:val="24"/>
          <w:highlight w:val="none"/>
        </w:rPr>
      </w:pPr>
      <w:bookmarkStart w:id="109" w:name="baidusnap0"/>
      <w:bookmarkEnd w:id="109"/>
      <w:r>
        <w:rPr>
          <w:rFonts w:hint="eastAsia" w:eastAsia="宋体"/>
          <w:b/>
          <w:bCs/>
          <w:color w:val="auto"/>
          <w:sz w:val="24"/>
          <w:szCs w:val="24"/>
          <w:highlight w:val="none"/>
        </w:rPr>
        <w:t>（三）食品、食材质量配送要求</w:t>
      </w:r>
    </w:p>
    <w:p w14:paraId="59A112F9">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供应配送服务商提供的食品(包括食品成品、原料及食品添加剂、食品容器和包装材料、食品用工具和设备)，应符合食品安全标准，并按照国家有关规定提供产品的检验合格证和化验单，合格证明中记载的产品名称、生产日期、批号等必须与产品相符，不得涂改、伪造。</w:t>
      </w:r>
    </w:p>
    <w:p w14:paraId="069E240E">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2.不得提供腐败变质、掺杂掺假、发霉生虫、有毒有害、质量不新鲜的食品及原料，以及无产地、无厂名、无生产日期和保质期或标识不清以及超过保质期限的食品。</w:t>
      </w:r>
    </w:p>
    <w:p w14:paraId="660C8BA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3.无法提供《食品经营许可证》或《食品生产许可证》的食品，达不到食品卫生标准和不符合卫生要求的食品、食材坚决清退。</w:t>
      </w:r>
    </w:p>
    <w:p w14:paraId="46C2F0C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4.贮存、运输和装卸食品的容器、工具和设备应当安全、无害，保持清洁，防止食品污染，并符合保证食品安全所需的温度等特殊要求，不得将食品与有毒、有害物品一同运输。</w:t>
      </w:r>
    </w:p>
    <w:p w14:paraId="0602BE0B">
      <w:pPr>
        <w:adjustRightInd w:val="0"/>
        <w:snapToGrid w:val="0"/>
        <w:spacing w:line="360" w:lineRule="auto"/>
        <w:ind w:firstLine="480" w:firstLineChars="200"/>
        <w:rPr>
          <w:rFonts w:hint="eastAsia" w:ascii="宋体" w:hAnsi="宋体" w:eastAsia="宋体" w:cs="宋体"/>
          <w:color w:val="auto"/>
          <w:kern w:val="44"/>
          <w:sz w:val="24"/>
          <w:szCs w:val="24"/>
          <w:highlight w:val="none"/>
          <w:lang w:eastAsia="zh-CN"/>
        </w:rPr>
      </w:pPr>
      <w:r>
        <w:rPr>
          <w:rFonts w:hint="eastAsia" w:ascii="宋体" w:hAnsi="宋体" w:eastAsia="宋体" w:cs="宋体"/>
          <w:color w:val="auto"/>
          <w:kern w:val="44"/>
          <w:sz w:val="24"/>
          <w:szCs w:val="24"/>
          <w:highlight w:val="none"/>
        </w:rPr>
        <w:t>5.投标人必须提供正规发票（合法有效）、送货单、收据等送货凭证。</w:t>
      </w:r>
      <w:r>
        <w:rPr>
          <w:rFonts w:hint="eastAsia" w:ascii="宋体" w:hAnsi="宋体" w:eastAsia="宋体" w:cs="宋体"/>
          <w:color w:val="auto"/>
          <w:kern w:val="44"/>
          <w:sz w:val="24"/>
          <w:szCs w:val="24"/>
          <w:highlight w:val="none"/>
          <w:lang w:eastAsia="zh-CN"/>
        </w:rPr>
        <w:t>（</w:t>
      </w:r>
      <w:r>
        <w:rPr>
          <w:rFonts w:hint="eastAsia" w:ascii="宋体" w:hAnsi="宋体" w:eastAsia="宋体" w:cs="宋体"/>
          <w:color w:val="auto"/>
          <w:kern w:val="44"/>
          <w:sz w:val="24"/>
          <w:szCs w:val="24"/>
          <w:highlight w:val="none"/>
          <w:lang w:val="en-US" w:eastAsia="zh-CN"/>
        </w:rPr>
        <w:t>供应商发票名称需与中标单位名称一致</w:t>
      </w:r>
      <w:r>
        <w:rPr>
          <w:rFonts w:hint="eastAsia" w:ascii="宋体" w:hAnsi="宋体" w:eastAsia="宋体" w:cs="宋体"/>
          <w:color w:val="auto"/>
          <w:kern w:val="44"/>
          <w:sz w:val="24"/>
          <w:szCs w:val="24"/>
          <w:highlight w:val="none"/>
          <w:lang w:eastAsia="zh-CN"/>
        </w:rPr>
        <w:t>）</w:t>
      </w:r>
    </w:p>
    <w:p w14:paraId="79DDD08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6.食堂定期进行市场调查，以便确认供应配送服务物品价格是否合理，对比市场同类产品后进行价格调整（投照投标时的下浮比例计算当期供应配送服务价格）。</w:t>
      </w:r>
    </w:p>
    <w:p w14:paraId="58201B7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7.投标人必须遵守国家相关法规，主动接受</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质量检查和处罚标准。</w:t>
      </w:r>
    </w:p>
    <w:p w14:paraId="5E6E47AD">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8.有专用配送车辆，具有应急事件处理能力及售后服务能力。</w:t>
      </w:r>
    </w:p>
    <w:p w14:paraId="0FF12F18">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9.能按时提供所配送食品生产商的《食品生产许可证》、《企业法人营业执照》、质检机构年度抽检报告、分批次生产厂家自检报告等。</w:t>
      </w:r>
    </w:p>
    <w:p w14:paraId="7CE0EFCF">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10.严格按照学校提供的食品、食材配送单（数量、品种）配送。</w:t>
      </w:r>
    </w:p>
    <w:p w14:paraId="5CEB45E4">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11.</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应严格遵守《食品安全法》和《动物检疫法》等相关规定，一经发现以下情况，将追究供应配送服务企业的责任，直至取消供应配送服务企业的供应配送服务资格，供应配送服务单位并承担由此造成的经济责任和法律责任： </w:t>
      </w:r>
    </w:p>
    <w:p w14:paraId="72748114">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（1）腐败变质、油脂酸败、霉变的食材。</w:t>
      </w:r>
    </w:p>
    <w:p w14:paraId="20737E6D">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 xml:space="preserve">（2）含有毒、有害物质或者被有害物质污染，对人体健康有害的食材。    </w:t>
      </w:r>
    </w:p>
    <w:p w14:paraId="079C7FD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 xml:space="preserve">（3）含有致病性寄生虫、微生物或者微生物含量超过国家限定标准的食材。  </w:t>
      </w:r>
    </w:p>
    <w:p w14:paraId="1D94675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 xml:space="preserve">（4）未经动物检疫部门检疫、检验或者检疫、检验不合格的肉类及其制品。   </w:t>
      </w:r>
    </w:p>
    <w:p w14:paraId="439492A3">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（5）掺假、掺杂、伪造，影响营养、卫生的。</w:t>
      </w:r>
    </w:p>
    <w:p w14:paraId="4EF71ACB">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（6）用非食品原料加工的，加入非食品用化学物质或者将非食品当作食品的。</w:t>
      </w:r>
    </w:p>
    <w:p w14:paraId="37D7AC49">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12.食品、食材的保质期。为确保临期食品不进入学校食堂，食品、食材使用期限约定为：所有进入学校食堂的食品食材必须在标注保质期限的二分之一时限内使用（二分之一时限低于10天的，按10天计算），逾期未送达学校食堂的，视为过期食品，学校必须拒收，供餐企业必须无条件收回。对于蔬菜应保证送到学校时是新鲜的。</w:t>
      </w:r>
    </w:p>
    <w:p w14:paraId="6472219B">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13.要求供应配送服务企业从采购、运输、入库、分装、派送、调换各个环节，安排专人负责，层层把关，在每一个环节都对食品质量安全进行检查，一是禁止过期食品和临期食品进入学校食堂，二是在各个环节中剔除包装破损的食品和出现异常的蔬菜。</w:t>
      </w:r>
    </w:p>
    <w:p w14:paraId="0BEDF249">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14.制定食品安全事故处置方案，发生食品安全事故及时上报市场监督管理部门，并采取必要措施防止事故危害后果的扩散。</w:t>
      </w:r>
    </w:p>
    <w:p w14:paraId="1BAAEB8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15.供应配送服务企业应当建立食品进货查验记录制度，如实记录食品的名称、规格、数量、生产日期或者生产批号、保质期、进货日期以及供应配送服务者名称、地址、联系方式等内容，并保存相关凭证。记录和凭证保存期限不得少于一年，实行计算机及信息化管理，建立健全书式和电子档案。</w:t>
      </w:r>
    </w:p>
    <w:p w14:paraId="626011B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16.供应配送服务企业必须提供农产品，农药残留检验相关材料；法律法规规定必须检验或者检疫（肉及肉制品）的，经营者必须查验其有效检验检疫证明，未经检验检疫的，不得供应。对查验不合格和无合法来源的食品，应拒绝进货；发现有假冒伪劣食品时，应及时报告当地市场监督管理部门。</w:t>
      </w:r>
    </w:p>
    <w:p w14:paraId="4460010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17.考虑到蔬菜品种采购的特殊性，要求配送商实际供应的配菜类品种及数量与</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订单要求相差不能超过5％，叶菜类的单个品种数量及叶菜总数量与招标方订单要求相差不能超过10％。实际采购时如因天气问题导致某些叶菜类品种的数量和质量难以满足订单要求，配送商经</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同意后可视实际情况采购同等性质、同等价位的叶菜代替。各品种数量超出规定的部分由配送商带回，不纳入结算，短缺的部份由配送商负责按招标方要求补足；每个品种的重量以双方核准的净重过磅数为准，双方签字确认作为结算凭证；质量必须符合国家相关食品安全卫生标准，配送商必须提供所供蔬菜的农药残留检测报告；质量必须达到本章附件所列的要求，并且品质（品种、品相）不低于定价日招标方在各大超市的自购标准。</w:t>
      </w:r>
    </w:p>
    <w:p w14:paraId="6920EFE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18.在合同期内必须购买《食品安全险》等相关保险，并向</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提供相关保险的凭证。</w:t>
      </w:r>
    </w:p>
    <w:p w14:paraId="07DAA87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19.本合同采购的内容，不允许违法分包。</w:t>
      </w:r>
    </w:p>
    <w:p w14:paraId="2865A10E">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（四）配送方式</w:t>
      </w:r>
    </w:p>
    <w:p w14:paraId="27113E73">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kern w:val="44"/>
          <w:sz w:val="24"/>
          <w:szCs w:val="24"/>
          <w:highlight w:val="none"/>
        </w:rPr>
        <w:t>配送供应商按食堂所需产品、规格、数量必须在食堂规定的时间内送到，如因货物未按时送达，影响食堂正常</w:t>
      </w:r>
      <w:r>
        <w:rPr>
          <w:rFonts w:hint="eastAsia" w:ascii="宋体" w:hAnsi="宋体" w:eastAsia="宋体" w:cs="宋体"/>
          <w:color w:val="auto"/>
          <w:kern w:val="44"/>
          <w:sz w:val="24"/>
          <w:szCs w:val="24"/>
          <w:highlight w:val="none"/>
          <w:lang w:eastAsia="zh-CN"/>
        </w:rPr>
        <w:t>供餐</w:t>
      </w:r>
      <w:r>
        <w:rPr>
          <w:rFonts w:hint="eastAsia" w:ascii="宋体" w:hAnsi="宋体" w:eastAsia="宋体" w:cs="宋体"/>
          <w:color w:val="auto"/>
          <w:kern w:val="44"/>
          <w:sz w:val="24"/>
          <w:szCs w:val="24"/>
          <w:highlight w:val="none"/>
        </w:rPr>
        <w:t>，</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lang w:val="en-US" w:eastAsia="zh-CN"/>
        </w:rPr>
        <w:t>有权按</w:t>
      </w:r>
      <w:r>
        <w:rPr>
          <w:rFonts w:hint="eastAsia" w:eastAsia="宋体" w:cs="宋体"/>
          <w:color w:val="auto"/>
          <w:spacing w:val="2"/>
          <w:sz w:val="24"/>
          <w:szCs w:val="24"/>
          <w:highlight w:val="none"/>
          <w:lang w:eastAsia="zh-CN"/>
        </w:rPr>
        <w:t>延迟</w:t>
      </w:r>
      <w:r>
        <w:rPr>
          <w:rFonts w:hint="eastAsia" w:ascii="宋体" w:hAnsi="宋体" w:eastAsia="宋体" w:cs="宋体"/>
          <w:color w:val="auto"/>
          <w:spacing w:val="2"/>
          <w:sz w:val="24"/>
          <w:szCs w:val="24"/>
          <w:highlight w:val="none"/>
        </w:rPr>
        <w:t>供货</w:t>
      </w:r>
      <w:r>
        <w:rPr>
          <w:rFonts w:hint="eastAsia" w:ascii="宋体" w:hAnsi="宋体" w:eastAsia="宋体" w:cs="宋体"/>
          <w:color w:val="auto"/>
          <w:kern w:val="44"/>
          <w:sz w:val="24"/>
          <w:szCs w:val="24"/>
          <w:highlight w:val="none"/>
          <w:lang w:val="en-US" w:eastAsia="zh-CN"/>
        </w:rPr>
        <w:t>货款的3倍金额对供应商进行</w:t>
      </w:r>
      <w:r>
        <w:rPr>
          <w:rFonts w:hint="eastAsia" w:ascii="宋体" w:hAnsi="宋体" w:eastAsia="宋体" w:cs="宋体"/>
          <w:color w:val="auto"/>
          <w:kern w:val="44"/>
          <w:sz w:val="24"/>
          <w:szCs w:val="24"/>
          <w:highlight w:val="none"/>
        </w:rPr>
        <w:t>处罚，每</w:t>
      </w:r>
      <w:r>
        <w:rPr>
          <w:rFonts w:hint="eastAsia" w:ascii="宋体" w:hAnsi="宋体" w:eastAsia="宋体" w:cs="宋体"/>
          <w:color w:val="auto"/>
          <w:kern w:val="44"/>
          <w:sz w:val="24"/>
          <w:szCs w:val="24"/>
          <w:highlight w:val="none"/>
          <w:lang w:eastAsia="zh-CN"/>
        </w:rPr>
        <w:t>学期</w:t>
      </w:r>
      <w:r>
        <w:rPr>
          <w:rFonts w:hint="eastAsia" w:ascii="宋体" w:hAnsi="宋体" w:eastAsia="宋体" w:cs="宋体"/>
          <w:color w:val="auto"/>
          <w:kern w:val="44"/>
          <w:sz w:val="24"/>
          <w:szCs w:val="24"/>
          <w:highlight w:val="none"/>
        </w:rPr>
        <w:t>不得超过</w:t>
      </w:r>
      <w:r>
        <w:rPr>
          <w:rFonts w:hint="eastAsia" w:ascii="宋体" w:hAnsi="宋体" w:eastAsia="宋体" w:cs="宋体"/>
          <w:color w:val="auto"/>
          <w:kern w:val="44"/>
          <w:sz w:val="24"/>
          <w:szCs w:val="24"/>
          <w:highlight w:val="none"/>
          <w:lang w:val="en-US" w:eastAsia="zh-CN"/>
        </w:rPr>
        <w:t>3</w:t>
      </w:r>
      <w:r>
        <w:rPr>
          <w:rFonts w:hint="eastAsia" w:ascii="宋体" w:hAnsi="宋体" w:eastAsia="宋体" w:cs="宋体"/>
          <w:color w:val="auto"/>
          <w:kern w:val="44"/>
          <w:sz w:val="24"/>
          <w:szCs w:val="24"/>
          <w:highlight w:val="none"/>
        </w:rPr>
        <w:t>次，否则</w:t>
      </w:r>
      <w:r>
        <w:rPr>
          <w:rFonts w:hint="eastAsia"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有权单方面解除合同。</w:t>
      </w:r>
    </w:p>
    <w:p w14:paraId="6E80A6B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p>
    <w:p w14:paraId="4446755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（1）采购人在配送前一天以传真或电话、电子邮件、微信等方式向配送商下达第二天的订单，订单内容包括名称、种类、规格、数量、运送时间、送达地点、订单联系人等具体要求。</w:t>
      </w:r>
    </w:p>
    <w:p w14:paraId="25CB3455">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（2）配送供应商接到订单后，个别品种因天气、季节等客观原因缺货而无法提供或质量无法保证的，配送商应在接到订单当天及时知会</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，并协商好解决方法，经招标方同意修改订单，严禁未经招标方同意私自调换蔬菜品种或部分品种、数量而不响应。</w:t>
      </w:r>
    </w:p>
    <w:p w14:paraId="5F156F85">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（3）配送车辆、人员：配送车辆、人员应相对固定</w:t>
      </w:r>
      <w:r>
        <w:rPr>
          <w:rFonts w:hint="eastAsia" w:ascii="宋体" w:hAnsi="宋体" w:eastAsia="宋体" w:cs="宋体"/>
          <w:color w:val="auto"/>
          <w:kern w:val="44"/>
          <w:sz w:val="24"/>
          <w:szCs w:val="24"/>
          <w:highlight w:val="none"/>
          <w:lang w:eastAsia="zh-CN"/>
        </w:rPr>
        <w:t>（</w:t>
      </w:r>
      <w:r>
        <w:rPr>
          <w:rFonts w:hint="eastAsia" w:ascii="宋体" w:hAnsi="宋体" w:eastAsia="宋体" w:cs="宋体"/>
          <w:color w:val="auto"/>
          <w:kern w:val="44"/>
          <w:sz w:val="24"/>
          <w:szCs w:val="24"/>
          <w:highlight w:val="none"/>
          <w:lang w:val="en-US" w:eastAsia="zh-CN"/>
        </w:rPr>
        <w:t>若有调换需提前告知采购人</w:t>
      </w:r>
      <w:r>
        <w:rPr>
          <w:rFonts w:hint="eastAsia" w:ascii="宋体" w:hAnsi="宋体" w:eastAsia="宋体" w:cs="宋体"/>
          <w:color w:val="auto"/>
          <w:kern w:val="44"/>
          <w:sz w:val="24"/>
          <w:szCs w:val="24"/>
          <w:highlight w:val="none"/>
          <w:lang w:eastAsia="zh-CN"/>
        </w:rPr>
        <w:t>）</w:t>
      </w:r>
      <w:r>
        <w:rPr>
          <w:rFonts w:hint="eastAsia" w:ascii="宋体" w:hAnsi="宋体" w:eastAsia="宋体" w:cs="宋体"/>
          <w:color w:val="auto"/>
          <w:kern w:val="44"/>
          <w:sz w:val="24"/>
          <w:szCs w:val="24"/>
          <w:highlight w:val="none"/>
        </w:rPr>
        <w:t>；运输车辆须具备封闭式冷藏（冷链）功能；车体内外干净、整洁、产品运输前后须全面消毒；不得人货混装；配送人员有健康证、政审资料。 </w:t>
      </w:r>
    </w:p>
    <w:p w14:paraId="2D62CE25">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（4）配送时间：具体时间在签订合同时与</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协定。配送商将订单内所有</w:t>
      </w:r>
      <w:r>
        <w:rPr>
          <w:rFonts w:hint="eastAsia" w:ascii="宋体" w:hAnsi="宋体" w:eastAsia="宋体" w:cs="宋体"/>
          <w:color w:val="auto"/>
          <w:kern w:val="44"/>
          <w:sz w:val="24"/>
          <w:szCs w:val="24"/>
          <w:highlight w:val="none"/>
          <w:lang w:val="en-US" w:eastAsia="zh-CN"/>
        </w:rPr>
        <w:t>食材</w:t>
      </w:r>
      <w:r>
        <w:rPr>
          <w:rFonts w:hint="eastAsia" w:ascii="宋体" w:hAnsi="宋体" w:eastAsia="宋体" w:cs="宋体"/>
          <w:color w:val="auto"/>
          <w:kern w:val="44"/>
          <w:sz w:val="24"/>
          <w:szCs w:val="24"/>
          <w:highlight w:val="none"/>
        </w:rPr>
        <w:t>送到</w:t>
      </w:r>
      <w:r>
        <w:rPr>
          <w:rFonts w:hint="eastAsia" w:ascii="宋体" w:hAnsi="宋体" w:eastAsia="宋体" w:cs="宋体"/>
          <w:color w:val="auto"/>
          <w:kern w:val="44"/>
          <w:sz w:val="24"/>
          <w:szCs w:val="24"/>
          <w:highlight w:val="none"/>
          <w:lang w:eastAsia="zh-CN"/>
        </w:rPr>
        <w:t>采购人</w:t>
      </w:r>
      <w:r>
        <w:rPr>
          <w:rFonts w:hint="eastAsia" w:ascii="宋体" w:hAnsi="宋体" w:eastAsia="宋体" w:cs="宋体"/>
          <w:color w:val="auto"/>
          <w:kern w:val="44"/>
          <w:sz w:val="24"/>
          <w:szCs w:val="24"/>
          <w:highlight w:val="none"/>
        </w:rPr>
        <w:t>指定的地点，配送商提供《送货、验收清单》一式三份，双方现场过秤并验收签名，作结算凭证。</w:t>
      </w:r>
    </w:p>
    <w:p w14:paraId="4CA1C037">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（5）所有品种按除去包装物及冰品、纸品后的菜过磅，最终交易重量以双方确认的过磅数为准。</w:t>
      </w:r>
    </w:p>
    <w:p w14:paraId="4C4B822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（6）如配送供应商漏单则须无条件补货，补货物资必须在规定时间内补货至食堂。</w:t>
      </w:r>
    </w:p>
    <w:p w14:paraId="1C5A361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（7）配送供应商应根据食堂要求，合理码放</w:t>
      </w:r>
      <w:r>
        <w:rPr>
          <w:rFonts w:hint="eastAsia" w:ascii="宋体" w:hAnsi="宋体" w:eastAsia="宋体" w:cs="宋体"/>
          <w:color w:val="auto"/>
          <w:kern w:val="44"/>
          <w:sz w:val="24"/>
          <w:szCs w:val="24"/>
          <w:highlight w:val="none"/>
          <w:lang w:val="en-US" w:eastAsia="zh-CN"/>
        </w:rPr>
        <w:t>食材</w:t>
      </w:r>
      <w:r>
        <w:rPr>
          <w:rFonts w:hint="eastAsia" w:ascii="宋体" w:hAnsi="宋体" w:eastAsia="宋体" w:cs="宋体"/>
          <w:color w:val="auto"/>
          <w:kern w:val="44"/>
          <w:sz w:val="24"/>
          <w:szCs w:val="24"/>
          <w:highlight w:val="none"/>
        </w:rPr>
        <w:t>。</w:t>
      </w:r>
    </w:p>
    <w:p w14:paraId="34D9F770">
      <w:pPr>
        <w:adjustRightInd w:val="0"/>
        <w:snapToGrid w:val="0"/>
        <w:spacing w:line="360" w:lineRule="auto"/>
        <w:ind w:firstLine="480" w:firstLineChars="200"/>
        <w:rPr>
          <w:rFonts w:hint="eastAsia" w:ascii="宋体" w:hAnsi="宋体" w:eastAsia="宋体" w:cs="宋体"/>
          <w:b/>
          <w:bCs/>
          <w:color w:val="auto"/>
          <w:kern w:val="44"/>
          <w:sz w:val="24"/>
          <w:szCs w:val="24"/>
          <w:highlight w:val="none"/>
        </w:rPr>
      </w:pPr>
      <w:r>
        <w:rPr>
          <w:rFonts w:hint="eastAsia" w:ascii="宋体" w:hAnsi="宋体" w:eastAsia="宋体" w:cs="宋体"/>
          <w:color w:val="auto"/>
          <w:kern w:val="44"/>
          <w:sz w:val="24"/>
          <w:szCs w:val="24"/>
          <w:highlight w:val="none"/>
        </w:rPr>
        <w:t>（8）</w:t>
      </w:r>
      <w:r>
        <w:rPr>
          <w:rFonts w:hint="eastAsia" w:ascii="宋体" w:hAnsi="宋体" w:eastAsia="宋体" w:cs="宋体"/>
          <w:color w:val="auto"/>
          <w:kern w:val="44"/>
          <w:sz w:val="24"/>
          <w:szCs w:val="24"/>
          <w:highlight w:val="none"/>
          <w:lang w:val="en-US" w:eastAsia="zh-CN"/>
        </w:rPr>
        <w:t>食材</w:t>
      </w:r>
      <w:r>
        <w:rPr>
          <w:rFonts w:hint="eastAsia" w:ascii="宋体" w:hAnsi="宋体" w:eastAsia="宋体" w:cs="宋体"/>
          <w:color w:val="auto"/>
          <w:kern w:val="44"/>
          <w:sz w:val="24"/>
          <w:szCs w:val="24"/>
          <w:highlight w:val="none"/>
        </w:rPr>
        <w:t>的包装要求：</w:t>
      </w:r>
      <w:r>
        <w:rPr>
          <w:rFonts w:hint="eastAsia" w:ascii="宋体" w:hAnsi="宋体" w:eastAsia="宋体" w:cs="宋体"/>
          <w:color w:val="auto"/>
          <w:kern w:val="44"/>
          <w:sz w:val="24"/>
          <w:szCs w:val="24"/>
          <w:highlight w:val="none"/>
          <w:lang w:val="en-US" w:eastAsia="zh-CN"/>
        </w:rPr>
        <w:t>食材独立盛装，</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应根据采购人的分装要求（食</w:t>
      </w:r>
      <w:r>
        <w:rPr>
          <w:rFonts w:hint="eastAsia" w:ascii="宋体" w:hAnsi="宋体" w:eastAsia="宋体" w:cs="宋体"/>
          <w:color w:val="auto"/>
          <w:kern w:val="44"/>
          <w:sz w:val="24"/>
          <w:szCs w:val="24"/>
          <w:highlight w:val="none"/>
          <w:lang w:eastAsia="zh-CN"/>
        </w:rPr>
        <w:t>材</w:t>
      </w:r>
      <w:r>
        <w:rPr>
          <w:rFonts w:hint="eastAsia" w:ascii="宋体" w:hAnsi="宋体" w:eastAsia="宋体" w:cs="宋体"/>
          <w:color w:val="auto"/>
          <w:kern w:val="44"/>
          <w:sz w:val="24"/>
          <w:szCs w:val="24"/>
          <w:highlight w:val="none"/>
        </w:rPr>
        <w:t>、品种、数量等）进行分装、标注；盛装容器必须使用食品专用</w:t>
      </w:r>
      <w:r>
        <w:rPr>
          <w:rFonts w:hint="eastAsia" w:ascii="宋体" w:hAnsi="宋体" w:eastAsia="宋体" w:cs="宋体"/>
          <w:color w:val="auto"/>
          <w:kern w:val="44"/>
          <w:sz w:val="24"/>
          <w:szCs w:val="24"/>
          <w:highlight w:val="none"/>
          <w:lang w:val="en-US" w:eastAsia="zh-CN"/>
        </w:rPr>
        <w:t>塑料袋</w:t>
      </w:r>
      <w:r>
        <w:rPr>
          <w:rFonts w:hint="eastAsia" w:ascii="宋体" w:hAnsi="宋体" w:eastAsia="宋体" w:cs="宋体"/>
          <w:color w:val="auto"/>
          <w:kern w:val="44"/>
          <w:sz w:val="24"/>
          <w:szCs w:val="24"/>
          <w:highlight w:val="none"/>
        </w:rPr>
        <w:t>、竹筐、塑料筐、网袋、纸箱等符合食品卫生要求的容器。</w:t>
      </w:r>
    </w:p>
    <w:p w14:paraId="1D39103A">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（五）安全监管要求</w:t>
      </w:r>
    </w:p>
    <w:p w14:paraId="10FE1D21">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投标人应建立健全并严格执行各项食品卫生安全管理制度。严格执行原材料进货查验制度、购销登记制度、索证索票制度、商品质量承诺制度、检测检验制度以及其他按照行业管理规定必须健全的各项管理制度。</w:t>
      </w:r>
    </w:p>
    <w:p w14:paraId="25691BBC">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如因投标人的食材质量问题，导致学校发生食品安全事故，因此造成的损失和责任由投标人全部承担；造成重大食品安全事故的，采购人可以单方解除合同，投标人要赔偿因此造成的全部损失和并依法承担有关责任。</w:t>
      </w:r>
    </w:p>
    <w:p w14:paraId="1B3C7384">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（六）退出管理</w:t>
      </w:r>
    </w:p>
    <w:p w14:paraId="0F41A564">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 xml:space="preserve">出现包括但不限于以下五种情况，采购人根据合同或法律法规解除合同协议： </w:t>
      </w:r>
    </w:p>
    <w:p w14:paraId="023E113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（1）严重违约。</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未按照合同约定履行其义务，未能提供符合卫生标准、营养要求的餐食，或者未能按时供餐等，且上述违约行为已经严重影响到了学校的正常运作或学生的健康； </w:t>
      </w:r>
    </w:p>
    <w:p w14:paraId="3527F1A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（2）不可抗力因素。因</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自身原因，导致出现宣布停业、破产，或者因为政策、法律等不可抗力因素导致无法继续履行合同； </w:t>
      </w:r>
    </w:p>
    <w:p w14:paraId="78EAC5C7">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（3）服务质量下降。</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提供的餐食质量持续下降，或者服务态度恶劣，导致学生或教师普遍不满，且未能及时改进，符合合同约定或法律法规规定解除条件的； </w:t>
      </w:r>
    </w:p>
    <w:p w14:paraId="55F25FCC">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（4）食品安全问题。</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在食品采购、加工、储存等过程中，使用农残超标、过期食材、违规添加化学添加剂等导致发生食品安全事件事故的； </w:t>
      </w:r>
    </w:p>
    <w:p w14:paraId="425B2C7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（5）违反法律法规要求。</w:t>
      </w:r>
      <w:r>
        <w:rPr>
          <w:rFonts w:hint="eastAsia" w:ascii="宋体" w:hAnsi="宋体" w:eastAsia="宋体" w:cs="宋体"/>
          <w:color w:val="auto"/>
          <w:kern w:val="44"/>
          <w:sz w:val="24"/>
          <w:szCs w:val="24"/>
          <w:highlight w:val="none"/>
          <w:lang w:eastAsia="zh-CN"/>
        </w:rPr>
        <w:t>供应商</w:t>
      </w:r>
      <w:r>
        <w:rPr>
          <w:rFonts w:hint="eastAsia" w:ascii="宋体" w:hAnsi="宋体" w:eastAsia="宋体" w:cs="宋体"/>
          <w:color w:val="auto"/>
          <w:kern w:val="44"/>
          <w:sz w:val="24"/>
          <w:szCs w:val="24"/>
          <w:highlight w:val="none"/>
        </w:rPr>
        <w:t xml:space="preserve">违反了相关的法律法规，被吊销食品经营许可证或不遵守食品安全标准等导致严重影响学校的声誉或学生的健康。 </w:t>
      </w:r>
    </w:p>
    <w:p w14:paraId="3288B822">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（七）食品、食材配送车辆要求</w:t>
      </w:r>
    </w:p>
    <w:p w14:paraId="1B54DFB4">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1.车辆设施与配置</w:t>
      </w:r>
    </w:p>
    <w:p w14:paraId="295C85E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配送车辆必须</w:t>
      </w:r>
      <w:r>
        <w:rPr>
          <w:rFonts w:hint="eastAsia" w:ascii="宋体" w:hAnsi="宋体" w:eastAsia="宋体" w:cs="宋体"/>
          <w:color w:val="auto"/>
          <w:kern w:val="44"/>
          <w:sz w:val="24"/>
          <w:szCs w:val="24"/>
          <w:highlight w:val="none"/>
          <w:lang w:eastAsia="zh-CN"/>
        </w:rPr>
        <w:t>符合食品配送要求，需</w:t>
      </w:r>
      <w:r>
        <w:rPr>
          <w:rFonts w:hint="eastAsia" w:ascii="宋体" w:hAnsi="宋体" w:eastAsia="宋体" w:cs="宋体"/>
          <w:color w:val="auto"/>
          <w:kern w:val="44"/>
          <w:sz w:val="24"/>
          <w:szCs w:val="24"/>
          <w:highlight w:val="none"/>
        </w:rPr>
        <w:t>冷藏（冷链）运输</w:t>
      </w:r>
      <w:r>
        <w:rPr>
          <w:rFonts w:hint="eastAsia" w:ascii="宋体" w:hAnsi="宋体" w:eastAsia="宋体" w:cs="宋体"/>
          <w:color w:val="auto"/>
          <w:kern w:val="44"/>
          <w:sz w:val="24"/>
          <w:szCs w:val="24"/>
          <w:highlight w:val="none"/>
          <w:lang w:val="en-US" w:eastAsia="zh-CN"/>
        </w:rPr>
        <w:t>的食材，必须</w:t>
      </w:r>
      <w:r>
        <w:rPr>
          <w:rFonts w:hint="eastAsia" w:ascii="宋体" w:hAnsi="宋体" w:eastAsia="宋体" w:cs="宋体"/>
          <w:color w:val="auto"/>
          <w:kern w:val="44"/>
          <w:sz w:val="24"/>
          <w:szCs w:val="24"/>
          <w:highlight w:val="none"/>
        </w:rPr>
        <w:t>具备冷藏、冷冻或保鲜设施，以确保食材的新鲜度和安全性。车辆内部应设计为专用，</w:t>
      </w:r>
      <w:r>
        <w:rPr>
          <w:rFonts w:hint="eastAsia" w:ascii="宋体" w:hAnsi="宋体" w:eastAsia="宋体" w:cs="宋体"/>
          <w:color w:val="auto"/>
          <w:kern w:val="44"/>
          <w:sz w:val="24"/>
          <w:szCs w:val="24"/>
          <w:highlight w:val="none"/>
          <w:lang w:eastAsia="zh-CN"/>
        </w:rPr>
        <w:t>生熟、荤素应分隔存放，</w:t>
      </w:r>
      <w:r>
        <w:rPr>
          <w:rFonts w:hint="eastAsia" w:ascii="宋体" w:hAnsi="宋体" w:eastAsia="宋体" w:cs="宋体"/>
          <w:color w:val="auto"/>
          <w:kern w:val="44"/>
          <w:sz w:val="24"/>
          <w:szCs w:val="24"/>
          <w:highlight w:val="none"/>
        </w:rPr>
        <w:t>不得将食品与有毒、有害物品混装。配送车辆及容器应符合食品安全国家标准，确保每次使用前进行彻底的清洁和消毒。</w:t>
      </w:r>
    </w:p>
    <w:p w14:paraId="5F4E478D">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2.运输过程中的要求</w:t>
      </w:r>
    </w:p>
    <w:p w14:paraId="4A91F14C">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在运输前后，应对食材进行温度监控，确保其在适宜的温度下运输。运输过程中应使用有效的保温和保鲜措施，防止食材在运输途中变质或受损。车辆应配备食品安全封签或上锁等安全措施，以防止人为破坏，保证食品配送安全。</w:t>
      </w:r>
    </w:p>
    <w:p w14:paraId="03B5204F">
      <w:pPr>
        <w:numPr>
          <w:ilvl w:val="0"/>
          <w:numId w:val="2"/>
        </w:num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配送车辆应使用温度记录仪等设备，随时监控车内温度变化，确保食材处于安全的温度范围内。</w:t>
      </w:r>
    </w:p>
    <w:p w14:paraId="6BF18847">
      <w:pPr>
        <w:numPr>
          <w:ilvl w:val="0"/>
          <w:numId w:val="0"/>
        </w:num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lang w:val="en-US" w:eastAsia="zh-CN"/>
        </w:rPr>
        <w:t>4.若供应未按要求配送，一经发现采购人有权处于500.00元/次罚款，并要求供应商替换食材，由此造成的损失，由供应商承担。</w:t>
      </w:r>
    </w:p>
    <w:p w14:paraId="52F6F12F">
      <w:pPr>
        <w:adjustRightInd w:val="0"/>
        <w:snapToGrid w:val="0"/>
        <w:spacing w:line="360" w:lineRule="auto"/>
        <w:ind w:firstLine="482" w:firstLineChars="200"/>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（八）</w:t>
      </w:r>
      <w:r>
        <w:rPr>
          <w:rFonts w:ascii="宋体" w:hAnsi="宋体" w:eastAsia="宋体" w:cs="宋体"/>
          <w:b/>
          <w:bCs/>
          <w:color w:val="auto"/>
          <w:kern w:val="44"/>
          <w:sz w:val="24"/>
          <w:szCs w:val="24"/>
          <w:highlight w:val="none"/>
        </w:rPr>
        <w:t>食品、食材供应商质量</w:t>
      </w:r>
      <w:r>
        <w:rPr>
          <w:rFonts w:hint="eastAsia" w:ascii="宋体" w:hAnsi="宋体" w:eastAsia="宋体" w:cs="宋体"/>
          <w:b/>
          <w:bCs/>
          <w:color w:val="auto"/>
          <w:kern w:val="44"/>
          <w:sz w:val="24"/>
          <w:szCs w:val="24"/>
          <w:highlight w:val="none"/>
        </w:rPr>
        <w:t>承诺</w:t>
      </w:r>
    </w:p>
    <w:p w14:paraId="3522B3B8">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以下条款投标单位需在投标文件中承诺，中标后与园区签署详细的食品、食材供应商质量保证承诺书。</w:t>
      </w:r>
    </w:p>
    <w:p w14:paraId="02CC4058">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w:t>
      </w:r>
      <w:r>
        <w:rPr>
          <w:rFonts w:ascii="宋体" w:hAnsi="宋体" w:eastAsia="宋体" w:cs="宋体"/>
          <w:color w:val="auto"/>
          <w:kern w:val="44"/>
          <w:sz w:val="24"/>
          <w:szCs w:val="24"/>
          <w:highlight w:val="none"/>
        </w:rPr>
        <w:t>本公司已经取得供应贵校（园）的国家规定的许可证，有资格向贵校（园）供应合同约定食材，所供应的食材已经检验合格或取得产品合格证明。</w:t>
      </w:r>
    </w:p>
    <w:p w14:paraId="7B95E11F">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w:t>
      </w:r>
      <w:r>
        <w:rPr>
          <w:rFonts w:ascii="宋体" w:hAnsi="宋体" w:eastAsia="宋体" w:cs="宋体"/>
          <w:color w:val="auto"/>
          <w:kern w:val="44"/>
          <w:sz w:val="24"/>
          <w:szCs w:val="24"/>
          <w:highlight w:val="none"/>
        </w:rPr>
        <w:t>本公司供应贵校（园）的食品，符合食品安全标准，本公司或食品生产商符合下列要求：</w:t>
      </w:r>
    </w:p>
    <w:p w14:paraId="7CE88CE3">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w:t>
      </w:r>
      <w:r>
        <w:rPr>
          <w:rFonts w:ascii="宋体" w:hAnsi="宋体" w:eastAsia="宋体" w:cs="宋体"/>
          <w:color w:val="auto"/>
          <w:kern w:val="44"/>
          <w:sz w:val="24"/>
          <w:szCs w:val="24"/>
          <w:highlight w:val="none"/>
        </w:rPr>
        <w:t>具有与生产经营的食品品种、数量相适应的食品原料处理和食品加工、包装、贮存等场所，保持该场所环境整洁，</w:t>
      </w:r>
      <w:r>
        <w:rPr>
          <w:rFonts w:hint="eastAsia" w:ascii="宋体" w:hAnsi="宋体" w:eastAsia="宋体" w:cs="宋体"/>
          <w:color w:val="auto"/>
          <w:kern w:val="44"/>
          <w:sz w:val="24"/>
          <w:szCs w:val="24"/>
          <w:highlight w:val="none"/>
          <w:lang w:val="en-US" w:eastAsia="zh-CN"/>
        </w:rPr>
        <w:t>禁止</w:t>
      </w:r>
      <w:r>
        <w:rPr>
          <w:rFonts w:ascii="宋体" w:hAnsi="宋体" w:eastAsia="宋体" w:cs="宋体"/>
          <w:color w:val="auto"/>
          <w:kern w:val="44"/>
          <w:sz w:val="24"/>
          <w:szCs w:val="24"/>
          <w:highlight w:val="none"/>
        </w:rPr>
        <w:t>与有毒、有害场所以及其他污染源</w:t>
      </w:r>
      <w:r>
        <w:rPr>
          <w:rFonts w:hint="eastAsia" w:ascii="宋体" w:hAnsi="宋体" w:eastAsia="宋体" w:cs="宋体"/>
          <w:color w:val="auto"/>
          <w:kern w:val="44"/>
          <w:sz w:val="24"/>
          <w:szCs w:val="24"/>
          <w:highlight w:val="none"/>
          <w:lang w:val="en-US" w:eastAsia="zh-CN"/>
        </w:rPr>
        <w:t>存储</w:t>
      </w:r>
      <w:r>
        <w:rPr>
          <w:rFonts w:ascii="宋体" w:hAnsi="宋体" w:eastAsia="宋体" w:cs="宋体"/>
          <w:color w:val="auto"/>
          <w:kern w:val="44"/>
          <w:sz w:val="24"/>
          <w:szCs w:val="24"/>
          <w:highlight w:val="none"/>
        </w:rPr>
        <w:t>；</w:t>
      </w:r>
    </w:p>
    <w:p w14:paraId="161E23FA">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w:t>
      </w:r>
      <w:r>
        <w:rPr>
          <w:rFonts w:ascii="宋体" w:hAnsi="宋体" w:eastAsia="宋体" w:cs="宋体"/>
          <w:color w:val="auto"/>
          <w:kern w:val="44"/>
          <w:sz w:val="24"/>
          <w:szCs w:val="24"/>
          <w:highlight w:val="none"/>
        </w:rPr>
        <w:t>具有与生产经营的食品品种、数量相适应的生产经营设备或者设施，有相应的消毒、更衣、盥洗、采光、照明、通风、防腐、防尘、防蝇、防鼠、防虫、洗涤以及处理废水、存放垃圾和废弃物的设备或者设施；</w:t>
      </w:r>
    </w:p>
    <w:p w14:paraId="3D7C9404">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w:t>
      </w:r>
      <w:r>
        <w:rPr>
          <w:rFonts w:ascii="宋体" w:hAnsi="宋体" w:eastAsia="宋体" w:cs="宋体"/>
          <w:color w:val="auto"/>
          <w:kern w:val="44"/>
          <w:sz w:val="24"/>
          <w:szCs w:val="24"/>
          <w:highlight w:val="none"/>
        </w:rPr>
        <w:t>有专职或者兼职的食品安全专业技术人员、食品安全管理人员和保证食品安全的规章制度；</w:t>
      </w:r>
    </w:p>
    <w:p w14:paraId="305E26E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w:t>
      </w:r>
      <w:r>
        <w:rPr>
          <w:rFonts w:ascii="宋体" w:hAnsi="宋体" w:eastAsia="宋体" w:cs="宋体"/>
          <w:color w:val="auto"/>
          <w:kern w:val="44"/>
          <w:sz w:val="24"/>
          <w:szCs w:val="24"/>
          <w:highlight w:val="none"/>
        </w:rPr>
        <w:t>具有合理的设备布局和工艺流程，防止待加工食品与直接入口食品、原料与成品交叉污染，避免食品接触有毒物、不洁物；</w:t>
      </w:r>
    </w:p>
    <w:p w14:paraId="6B430BF1">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w:t>
      </w:r>
      <w:r>
        <w:rPr>
          <w:rFonts w:ascii="宋体" w:hAnsi="宋体" w:eastAsia="宋体" w:cs="宋体"/>
          <w:color w:val="auto"/>
          <w:kern w:val="44"/>
          <w:sz w:val="24"/>
          <w:szCs w:val="24"/>
          <w:highlight w:val="none"/>
        </w:rPr>
        <w:t>餐具、饮具和盛放直接入口食品的容器，使用前应当洗净、消毒，炊具、用具用后应当洗净，保持清洁；</w:t>
      </w:r>
    </w:p>
    <w:p w14:paraId="79A1B0B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（6）</w:t>
      </w:r>
      <w:r>
        <w:rPr>
          <w:rFonts w:ascii="宋体" w:hAnsi="宋体" w:eastAsia="宋体" w:cs="宋体"/>
          <w:color w:val="auto"/>
          <w:kern w:val="44"/>
          <w:sz w:val="24"/>
          <w:szCs w:val="24"/>
          <w:highlight w:val="none"/>
        </w:rPr>
        <w:t>贮存、运输和装卸食品的容器、工具和设备应当安全、无害，保持清洁，防止食品污染，并符合保证食品安全所需的温度、湿度等特殊要求，不得将食品与有毒、有害物品一同贮存、运输；</w:t>
      </w:r>
    </w:p>
    <w:p w14:paraId="1D2726F3">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（7）</w:t>
      </w:r>
      <w:r>
        <w:rPr>
          <w:rFonts w:ascii="宋体" w:hAnsi="宋体" w:eastAsia="宋体" w:cs="宋体"/>
          <w:color w:val="auto"/>
          <w:kern w:val="44"/>
          <w:sz w:val="24"/>
          <w:szCs w:val="24"/>
          <w:highlight w:val="none"/>
        </w:rPr>
        <w:t>直接入口的食品应当使用无毒、清洁的包装材料、餐具、饮具和容器；</w:t>
      </w:r>
    </w:p>
    <w:p w14:paraId="07D138AE">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（8）</w:t>
      </w:r>
      <w:r>
        <w:rPr>
          <w:rFonts w:ascii="宋体" w:hAnsi="宋体" w:eastAsia="宋体" w:cs="宋体"/>
          <w:color w:val="auto"/>
          <w:kern w:val="44"/>
          <w:sz w:val="24"/>
          <w:szCs w:val="24"/>
          <w:highlight w:val="none"/>
        </w:rPr>
        <w:t>食品生产经营人员保持个人卫生，生产经营食品时，将手洗净，穿戴清洁的工作衣、帽等；销售无包装的直接入口食品时，使用无毒、清洁的容器、售货工具和设备；</w:t>
      </w:r>
    </w:p>
    <w:p w14:paraId="7B89356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（9）</w:t>
      </w:r>
      <w:r>
        <w:rPr>
          <w:rFonts w:ascii="宋体" w:hAnsi="宋体" w:eastAsia="宋体" w:cs="宋体"/>
          <w:color w:val="auto"/>
          <w:kern w:val="44"/>
          <w:sz w:val="24"/>
          <w:szCs w:val="24"/>
          <w:highlight w:val="none"/>
        </w:rPr>
        <w:t>法律、法规规定的其他要求。</w:t>
      </w:r>
    </w:p>
    <w:p w14:paraId="4C4708E1">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w:t>
      </w:r>
      <w:r>
        <w:rPr>
          <w:rFonts w:ascii="宋体" w:hAnsi="宋体" w:eastAsia="宋体" w:cs="宋体"/>
          <w:color w:val="auto"/>
          <w:kern w:val="44"/>
          <w:sz w:val="24"/>
          <w:szCs w:val="24"/>
          <w:highlight w:val="none"/>
        </w:rPr>
        <w:t>本公司向贵校（园）供应的食材，不存在以下任何一种情况：</w:t>
      </w:r>
    </w:p>
    <w:p w14:paraId="73DB4A38">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w:t>
      </w:r>
      <w:r>
        <w:rPr>
          <w:rFonts w:ascii="宋体" w:hAnsi="宋体" w:eastAsia="宋体" w:cs="宋体"/>
          <w:color w:val="auto"/>
          <w:kern w:val="44"/>
          <w:sz w:val="24"/>
          <w:szCs w:val="24"/>
          <w:highlight w:val="none"/>
        </w:rPr>
        <w:t>用非食品原料生产的食品或者添加食品添加剂以外的化学物质和其他可能危害人体健康物质的食品，或者用回收食品作为原料生产的食品；</w:t>
      </w:r>
    </w:p>
    <w:p w14:paraId="2448E57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（2）</w:t>
      </w:r>
      <w:r>
        <w:rPr>
          <w:rFonts w:ascii="宋体" w:hAnsi="宋体" w:eastAsia="宋体" w:cs="宋体"/>
          <w:color w:val="auto"/>
          <w:kern w:val="44"/>
          <w:sz w:val="24"/>
          <w:szCs w:val="24"/>
          <w:highlight w:val="none"/>
        </w:rPr>
        <w:t>致病性微生物，农药残留、兽药残留、生物毒素、重金属等污染物质以及其他危害人体健康的物质含量超过食品安全标准限量的食品、食品添加剂、食品相关产品；</w:t>
      </w:r>
    </w:p>
    <w:p w14:paraId="3853E4F1">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（3）</w:t>
      </w:r>
      <w:r>
        <w:rPr>
          <w:rFonts w:ascii="宋体" w:hAnsi="宋体" w:eastAsia="宋体" w:cs="宋体"/>
          <w:color w:val="auto"/>
          <w:kern w:val="44"/>
          <w:sz w:val="24"/>
          <w:szCs w:val="24"/>
          <w:highlight w:val="none"/>
        </w:rPr>
        <w:t>用超过保质期的食品原料、食品添加剂生产的食品、食品添加剂；</w:t>
      </w:r>
    </w:p>
    <w:p w14:paraId="3C9FA9EB">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w:t>
      </w:r>
      <w:r>
        <w:rPr>
          <w:rFonts w:ascii="宋体" w:hAnsi="宋体" w:eastAsia="宋体" w:cs="宋体"/>
          <w:color w:val="auto"/>
          <w:kern w:val="44"/>
          <w:sz w:val="24"/>
          <w:szCs w:val="24"/>
          <w:highlight w:val="none"/>
        </w:rPr>
        <w:t>超范围、超限量使用食品添加剂的食品；</w:t>
      </w:r>
    </w:p>
    <w:p w14:paraId="372A5787">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w:t>
      </w:r>
      <w:r>
        <w:rPr>
          <w:rFonts w:ascii="宋体" w:hAnsi="宋体" w:eastAsia="宋体" w:cs="宋体"/>
          <w:color w:val="auto"/>
          <w:kern w:val="44"/>
          <w:sz w:val="24"/>
          <w:szCs w:val="24"/>
          <w:highlight w:val="none"/>
        </w:rPr>
        <w:t>营养成分不符合食品安全标准的专供幼儿食品；</w:t>
      </w:r>
    </w:p>
    <w:p w14:paraId="048199C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（6）</w:t>
      </w:r>
      <w:r>
        <w:rPr>
          <w:rFonts w:ascii="宋体" w:hAnsi="宋体" w:eastAsia="宋体" w:cs="宋体"/>
          <w:color w:val="auto"/>
          <w:kern w:val="44"/>
          <w:sz w:val="24"/>
          <w:szCs w:val="24"/>
          <w:highlight w:val="none"/>
        </w:rPr>
        <w:t>腐败变质、油脂酸败、霉变生虫、污秽不洁、混有异物、掺假掺杂或者感官性状异常的食品、食品添加剂；</w:t>
      </w:r>
    </w:p>
    <w:p w14:paraId="0502E965">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（7）</w:t>
      </w:r>
      <w:r>
        <w:rPr>
          <w:rFonts w:ascii="宋体" w:hAnsi="宋体" w:eastAsia="宋体" w:cs="宋体"/>
          <w:color w:val="auto"/>
          <w:kern w:val="44"/>
          <w:sz w:val="24"/>
          <w:szCs w:val="24"/>
          <w:highlight w:val="none"/>
        </w:rPr>
        <w:t>病死、毒死或者死因不明的禽、畜、兽、水产动物肉类及其制品；</w:t>
      </w:r>
    </w:p>
    <w:p w14:paraId="049B0CFB">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（8）</w:t>
      </w:r>
      <w:r>
        <w:rPr>
          <w:rFonts w:ascii="宋体" w:hAnsi="宋体" w:eastAsia="宋体" w:cs="宋体"/>
          <w:color w:val="auto"/>
          <w:kern w:val="44"/>
          <w:sz w:val="24"/>
          <w:szCs w:val="24"/>
          <w:highlight w:val="none"/>
        </w:rPr>
        <w:t>未按规定进行检疫或者检疫不合格的肉类，或者未经检验或者检验不合格的肉类制品；</w:t>
      </w:r>
    </w:p>
    <w:p w14:paraId="2B99257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（9）</w:t>
      </w:r>
      <w:r>
        <w:rPr>
          <w:rFonts w:ascii="宋体" w:hAnsi="宋体" w:eastAsia="宋体" w:cs="宋体"/>
          <w:color w:val="auto"/>
          <w:kern w:val="44"/>
          <w:sz w:val="24"/>
          <w:szCs w:val="24"/>
          <w:highlight w:val="none"/>
        </w:rPr>
        <w:t>被包装材料、容器、运输工具等污染的食品、食品添加剂；</w:t>
      </w:r>
    </w:p>
    <w:p w14:paraId="1E132F20">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（10）</w:t>
      </w:r>
      <w:r>
        <w:rPr>
          <w:rFonts w:ascii="宋体" w:hAnsi="宋体" w:eastAsia="宋体" w:cs="宋体"/>
          <w:color w:val="auto"/>
          <w:kern w:val="44"/>
          <w:sz w:val="24"/>
          <w:szCs w:val="24"/>
          <w:highlight w:val="none"/>
        </w:rPr>
        <w:t>标注虚假生产日期、保质期或者超过保质期的食品、食品添加剂；</w:t>
      </w:r>
    </w:p>
    <w:p w14:paraId="12734519">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（11）</w:t>
      </w:r>
      <w:r>
        <w:rPr>
          <w:rFonts w:ascii="宋体" w:hAnsi="宋体" w:eastAsia="宋体" w:cs="宋体"/>
          <w:color w:val="auto"/>
          <w:kern w:val="44"/>
          <w:sz w:val="24"/>
          <w:szCs w:val="24"/>
          <w:highlight w:val="none"/>
        </w:rPr>
        <w:t>无标签的预包装食品、食品添加剂；</w:t>
      </w:r>
    </w:p>
    <w:p w14:paraId="1AD92E32">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（12）</w:t>
      </w:r>
      <w:r>
        <w:rPr>
          <w:rFonts w:ascii="宋体" w:hAnsi="宋体" w:eastAsia="宋体" w:cs="宋体"/>
          <w:color w:val="auto"/>
          <w:kern w:val="44"/>
          <w:sz w:val="24"/>
          <w:szCs w:val="24"/>
          <w:highlight w:val="none"/>
        </w:rPr>
        <w:t>国家为防病等特殊需要明令禁止生产经营的食品；</w:t>
      </w:r>
    </w:p>
    <w:p w14:paraId="233AEA63">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（13）</w:t>
      </w:r>
      <w:r>
        <w:rPr>
          <w:rFonts w:ascii="宋体" w:hAnsi="宋体" w:eastAsia="宋体" w:cs="宋体"/>
          <w:color w:val="auto"/>
          <w:kern w:val="44"/>
          <w:sz w:val="24"/>
          <w:szCs w:val="24"/>
          <w:highlight w:val="none"/>
        </w:rPr>
        <w:t>其他不符合法律、法规或者食品安全标准的食品、食品添加剂、食品相关产品。</w:t>
      </w:r>
    </w:p>
    <w:p w14:paraId="4670E70E">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4.</w:t>
      </w:r>
      <w:r>
        <w:rPr>
          <w:rFonts w:ascii="宋体" w:hAnsi="宋体" w:eastAsia="宋体" w:cs="宋体"/>
          <w:color w:val="auto"/>
          <w:kern w:val="44"/>
          <w:sz w:val="24"/>
          <w:szCs w:val="24"/>
          <w:highlight w:val="none"/>
        </w:rPr>
        <w:t>本公司已经建立食品安全追溯体系，保证食品可追溯。</w:t>
      </w:r>
    </w:p>
    <w:p w14:paraId="66653056">
      <w:pPr>
        <w:adjustRightInd w:val="0"/>
        <w:snapToGrid w:val="0"/>
        <w:spacing w:line="360" w:lineRule="auto"/>
        <w:ind w:firstLine="480" w:firstLineChars="200"/>
        <w:rPr>
          <w:rFonts w:hint="eastAsia" w:ascii="宋体" w:hAnsi="宋体" w:eastAsia="宋体" w:cs="宋体"/>
          <w:color w:val="auto"/>
          <w:kern w:val="44"/>
          <w:sz w:val="24"/>
          <w:szCs w:val="24"/>
          <w:highlight w:val="none"/>
        </w:rPr>
      </w:pPr>
      <w:r>
        <w:rPr>
          <w:rFonts w:hint="eastAsia" w:ascii="宋体" w:hAnsi="宋体" w:eastAsia="宋体" w:cs="宋体"/>
          <w:color w:val="auto"/>
          <w:kern w:val="44"/>
          <w:sz w:val="24"/>
          <w:szCs w:val="24"/>
          <w:highlight w:val="none"/>
        </w:rPr>
        <w:t>5</w:t>
      </w:r>
      <w:r>
        <w:rPr>
          <w:rFonts w:ascii="宋体" w:hAnsi="宋体" w:eastAsia="宋体" w:cs="宋体"/>
          <w:color w:val="auto"/>
          <w:kern w:val="44"/>
          <w:sz w:val="24"/>
          <w:szCs w:val="24"/>
          <w:highlight w:val="none"/>
        </w:rPr>
        <w:t>、本公司向贵校（园）供应的销售散装食品，已经在散装食品的容器、外包装上标明食品的名称、生产日期或者生产批号、保质期以及生产经营者名称、地址、联系方式等内容。</w:t>
      </w:r>
    </w:p>
    <w:p w14:paraId="1734B67A">
      <w:pPr>
        <w:adjustRightInd w:val="0"/>
        <w:snapToGrid w:val="0"/>
        <w:spacing w:line="360" w:lineRule="auto"/>
        <w:ind w:firstLine="482"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四、采购标的的数量、采购项目服务期限及交货地点</w:t>
      </w:r>
    </w:p>
    <w:p w14:paraId="45BB688A">
      <w:pPr>
        <w:adjustRightInd w:val="0"/>
        <w:snapToGrid w:val="0"/>
        <w:spacing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1.采购标的数量：根据采购人实际需求供货。</w:t>
      </w:r>
    </w:p>
    <w:p w14:paraId="79B9E6EF">
      <w:pPr>
        <w:adjustRightInd w:val="0"/>
        <w:snapToGrid w:val="0"/>
        <w:spacing w:line="360" w:lineRule="auto"/>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2.合同履行期限：三年，合同一年一签。按《云南省财政厅关于政府采购服务项目合同履行期限相关事宜的通知》（云财采〔2015〕16号）和《云南省财政厅关于合同履行期限不超过三年政府采购服务项目相关事宜的补充通知》（云财采〔2016〕22号）有关规定，经考核合格，在保证服务质量，且年度预算能够保障的前提下，可续签第二、三年合同。</w:t>
      </w:r>
    </w:p>
    <w:p w14:paraId="0AC0F932">
      <w:pPr>
        <w:adjustRightInd w:val="0"/>
        <w:snapToGrid w:val="0"/>
        <w:spacing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3.采购项目交货地点：采购人指定的地点。</w:t>
      </w:r>
    </w:p>
    <w:p w14:paraId="0B35C9B1">
      <w:pPr>
        <w:adjustRightInd w:val="0"/>
        <w:snapToGrid w:val="0"/>
        <w:spacing w:line="360" w:lineRule="auto"/>
        <w:ind w:firstLine="482" w:firstLineChars="200"/>
        <w:contextualSpacing/>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五、采购标的的考核标准及支付方式</w:t>
      </w:r>
    </w:p>
    <w:p w14:paraId="6E4F3287">
      <w:pPr>
        <w:adjustRightInd w:val="0"/>
        <w:snapToGrid w:val="0"/>
        <w:spacing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1.结算金额=配送价*实际采购数量；</w:t>
      </w:r>
    </w:p>
    <w:p w14:paraId="0E17A767">
      <w:pPr>
        <w:adjustRightInd w:val="0"/>
        <w:snapToGrid w:val="0"/>
        <w:spacing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2.食品食材配送价格</w:t>
      </w:r>
    </w:p>
    <w:p w14:paraId="16DC9FA1">
      <w:pPr>
        <w:adjustRightInd w:val="0"/>
        <w:snapToGrid w:val="0"/>
        <w:spacing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 w:val="0"/>
          <w:bCs/>
          <w:color w:val="auto"/>
          <w:kern w:val="0"/>
          <w:sz w:val="24"/>
          <w:szCs w:val="24"/>
          <w:highlight w:val="none"/>
          <w:lang w:eastAsia="zh-CN"/>
        </w:rPr>
        <w:t>（</w:t>
      </w:r>
      <w:r>
        <w:rPr>
          <w:rFonts w:hint="eastAsia" w:ascii="宋体" w:hAnsi="宋体" w:eastAsia="宋体" w:cs="宋体"/>
          <w:b w:val="0"/>
          <w:bCs/>
          <w:color w:val="auto"/>
          <w:kern w:val="0"/>
          <w:sz w:val="24"/>
          <w:szCs w:val="24"/>
          <w:highlight w:val="none"/>
          <w:lang w:val="en-US" w:eastAsia="zh-CN"/>
        </w:rPr>
        <w:t>1</w:t>
      </w:r>
      <w:r>
        <w:rPr>
          <w:rFonts w:hint="eastAsia" w:ascii="宋体" w:hAnsi="宋体" w:eastAsia="宋体" w:cs="宋体"/>
          <w:b w:val="0"/>
          <w:bCs/>
          <w:color w:val="auto"/>
          <w:kern w:val="0"/>
          <w:sz w:val="24"/>
          <w:szCs w:val="24"/>
          <w:highlight w:val="none"/>
          <w:lang w:eastAsia="zh-CN"/>
        </w:rPr>
        <w:t>）</w:t>
      </w:r>
      <w:r>
        <w:rPr>
          <w:rFonts w:hint="eastAsia" w:ascii="宋体" w:hAnsi="宋体" w:eastAsia="宋体" w:cs="宋体"/>
          <w:b w:val="0"/>
          <w:bCs/>
          <w:color w:val="auto"/>
          <w:kern w:val="0"/>
          <w:sz w:val="24"/>
          <w:szCs w:val="24"/>
          <w:highlight w:val="none"/>
        </w:rPr>
        <w:t>实际市场平均价：</w:t>
      </w:r>
      <w:r>
        <w:rPr>
          <w:rFonts w:hint="eastAsia" w:ascii="宋体" w:hAnsi="宋体" w:eastAsia="宋体" w:cs="宋体"/>
          <w:b/>
          <w:color w:val="auto"/>
          <w:kern w:val="0"/>
          <w:sz w:val="24"/>
          <w:szCs w:val="24"/>
          <w:highlight w:val="none"/>
        </w:rPr>
        <w:t>本项目食材市场平均价，</w:t>
      </w:r>
      <w:r>
        <w:rPr>
          <w:rFonts w:hint="eastAsia" w:ascii="宋体" w:hAnsi="宋体" w:eastAsia="宋体" w:cs="宋体"/>
          <w:b/>
          <w:color w:val="auto"/>
          <w:kern w:val="0"/>
          <w:sz w:val="24"/>
          <w:szCs w:val="24"/>
          <w:highlight w:val="none"/>
          <w:lang w:eastAsia="zh-CN"/>
        </w:rPr>
        <w:t>大米、食用油、面粉、面条、奶制品、米线（含卷粉、饵丝等）、烘焙糕点、干菜调料、干果、糖果类、预包装食品等价格波动不大的食材一学年询价一次，肉类（含猪、牛、羊、禽、水产品等）、蔬菜（含豆制品类）、水果等价格波动大的食材每月询价一次。由学校、膳食监督委员会家委、</w:t>
      </w:r>
      <w:r>
        <w:rPr>
          <w:rFonts w:hint="eastAsia" w:ascii="宋体" w:hAnsi="宋体" w:eastAsia="宋体" w:cs="宋体"/>
          <w:b/>
          <w:color w:val="auto"/>
          <w:kern w:val="0"/>
          <w:sz w:val="24"/>
          <w:szCs w:val="24"/>
          <w:highlight w:val="none"/>
          <w:lang w:val="en-US" w:eastAsia="zh-CN"/>
        </w:rPr>
        <w:t>中标供应商</w:t>
      </w:r>
      <w:r>
        <w:rPr>
          <w:rFonts w:hint="eastAsia" w:ascii="宋体" w:hAnsi="宋体" w:eastAsia="宋体" w:cs="宋体"/>
          <w:b/>
          <w:color w:val="auto"/>
          <w:kern w:val="0"/>
          <w:sz w:val="24"/>
          <w:szCs w:val="24"/>
          <w:highlight w:val="none"/>
          <w:lang w:eastAsia="zh-CN"/>
        </w:rPr>
        <w:t>等相关部门组成询价小组每月到澄江市辖区内市场或商铺不少于三家的均值及市场询价后定价。参与投标的企业须在标书中明确，供给学校的各种食品食材价格的优惠下浮比例。</w:t>
      </w:r>
      <w:r>
        <w:rPr>
          <w:rFonts w:hint="eastAsia" w:ascii="宋体" w:hAnsi="宋体" w:eastAsia="宋体" w:cs="宋体"/>
          <w:b w:val="0"/>
          <w:bCs/>
          <w:color w:val="auto"/>
          <w:kern w:val="0"/>
          <w:sz w:val="24"/>
          <w:szCs w:val="24"/>
          <w:highlight w:val="none"/>
          <w:lang w:eastAsia="zh-CN"/>
        </w:rPr>
        <w:t>具体见下</w:t>
      </w:r>
      <w:r>
        <w:rPr>
          <w:rFonts w:hint="eastAsia" w:ascii="宋体" w:hAnsi="宋体" w:eastAsia="宋体" w:cs="宋体"/>
          <w:b w:val="0"/>
          <w:bCs/>
          <w:color w:val="auto"/>
          <w:kern w:val="0"/>
          <w:sz w:val="24"/>
          <w:szCs w:val="24"/>
          <w:highlight w:val="none"/>
        </w:rPr>
        <w:t>表：</w:t>
      </w:r>
    </w:p>
    <w:tbl>
      <w:tblPr>
        <w:tblStyle w:val="43"/>
        <w:tblW w:w="9539" w:type="dxa"/>
        <w:jc w:val="center"/>
        <w:tblLayout w:type="fixed"/>
        <w:tblCellMar>
          <w:top w:w="0" w:type="dxa"/>
          <w:left w:w="108" w:type="dxa"/>
          <w:bottom w:w="0" w:type="dxa"/>
          <w:right w:w="108" w:type="dxa"/>
        </w:tblCellMar>
      </w:tblPr>
      <w:tblGrid>
        <w:gridCol w:w="1119"/>
        <w:gridCol w:w="1119"/>
        <w:gridCol w:w="4508"/>
        <w:gridCol w:w="2793"/>
      </w:tblGrid>
      <w:tr w14:paraId="023F94DC">
        <w:tblPrEx>
          <w:tblCellMar>
            <w:top w:w="0" w:type="dxa"/>
            <w:left w:w="108" w:type="dxa"/>
            <w:bottom w:w="0" w:type="dxa"/>
            <w:right w:w="108" w:type="dxa"/>
          </w:tblCellMar>
        </w:tblPrEx>
        <w:trPr>
          <w:trHeight w:val="50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6420307C">
            <w:pPr>
              <w:widowControl/>
              <w:adjustRightInd w:val="0"/>
              <w:snapToGrid w:val="0"/>
              <w:spacing w:line="400" w:lineRule="exact"/>
              <w:jc w:val="center"/>
              <w:textAlignment w:val="center"/>
              <w:rPr>
                <w:rFonts w:hint="eastAsia" w:ascii="宋体" w:hAnsi="宋体" w:eastAsia="宋体" w:cs="宋体"/>
                <w:bCs/>
                <w:color w:val="auto"/>
                <w:kern w:val="0"/>
                <w:sz w:val="24"/>
                <w:szCs w:val="24"/>
                <w:highlight w:val="none"/>
              </w:rPr>
            </w:pPr>
            <w:r>
              <w:rPr>
                <w:rFonts w:hint="eastAsia" w:ascii="宋体" w:hAnsi="宋体" w:eastAsia="宋体" w:cs="宋体"/>
                <w:b/>
                <w:bCs/>
                <w:color w:val="auto"/>
                <w:kern w:val="0"/>
                <w:sz w:val="24"/>
                <w:szCs w:val="24"/>
                <w:highlight w:val="none"/>
                <w:lang w:bidi="ar"/>
              </w:rPr>
              <w:t>片区</w:t>
            </w:r>
          </w:p>
        </w:tc>
        <w:tc>
          <w:tcPr>
            <w:tcW w:w="1119" w:type="dxa"/>
            <w:tcBorders>
              <w:top w:val="single" w:color="auto" w:sz="4" w:space="0"/>
              <w:left w:val="single" w:color="auto" w:sz="4" w:space="0"/>
              <w:bottom w:val="single" w:color="auto" w:sz="4" w:space="0"/>
              <w:right w:val="single" w:color="auto" w:sz="4" w:space="0"/>
            </w:tcBorders>
            <w:vAlign w:val="center"/>
          </w:tcPr>
          <w:p w14:paraId="265CB664">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分包</w:t>
            </w:r>
          </w:p>
        </w:tc>
        <w:tc>
          <w:tcPr>
            <w:tcW w:w="4508" w:type="dxa"/>
            <w:tcBorders>
              <w:top w:val="single" w:color="auto" w:sz="4" w:space="0"/>
              <w:left w:val="nil"/>
              <w:bottom w:val="single" w:color="auto" w:sz="4" w:space="0"/>
              <w:right w:val="single" w:color="auto" w:sz="4" w:space="0"/>
            </w:tcBorders>
            <w:vAlign w:val="center"/>
          </w:tcPr>
          <w:p w14:paraId="6F03CB97">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具体种类</w:t>
            </w:r>
          </w:p>
        </w:tc>
        <w:tc>
          <w:tcPr>
            <w:tcW w:w="2793" w:type="dxa"/>
            <w:tcBorders>
              <w:top w:val="single" w:color="auto" w:sz="4" w:space="0"/>
              <w:left w:val="nil"/>
              <w:bottom w:val="single" w:color="auto" w:sz="4" w:space="0"/>
              <w:right w:val="single" w:color="auto" w:sz="4" w:space="0"/>
            </w:tcBorders>
            <w:vAlign w:val="center"/>
          </w:tcPr>
          <w:p w14:paraId="210CB073">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定价方式</w:t>
            </w:r>
          </w:p>
        </w:tc>
      </w:tr>
      <w:tr w14:paraId="1FCFD508">
        <w:tblPrEx>
          <w:tblCellMar>
            <w:top w:w="0" w:type="dxa"/>
            <w:left w:w="108" w:type="dxa"/>
            <w:bottom w:w="0" w:type="dxa"/>
            <w:right w:w="108" w:type="dxa"/>
          </w:tblCellMar>
        </w:tblPrEx>
        <w:trPr>
          <w:trHeight w:val="1829" w:hRule="atLeast"/>
          <w:jc w:val="center"/>
        </w:trPr>
        <w:tc>
          <w:tcPr>
            <w:tcW w:w="1119" w:type="dxa"/>
            <w:vMerge w:val="restart"/>
            <w:tcBorders>
              <w:top w:val="single" w:color="auto" w:sz="4" w:space="0"/>
              <w:left w:val="single" w:color="auto" w:sz="4" w:space="0"/>
              <w:right w:val="single" w:color="auto" w:sz="4" w:space="0"/>
            </w:tcBorders>
            <w:vAlign w:val="center"/>
          </w:tcPr>
          <w:p w14:paraId="0F14A383">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第一片区</w:t>
            </w:r>
          </w:p>
        </w:tc>
        <w:tc>
          <w:tcPr>
            <w:tcW w:w="1119" w:type="dxa"/>
            <w:tcBorders>
              <w:top w:val="single" w:color="auto" w:sz="4" w:space="0"/>
              <w:left w:val="single" w:color="auto" w:sz="4" w:space="0"/>
              <w:bottom w:val="single" w:color="auto" w:sz="4" w:space="0"/>
              <w:right w:val="single" w:color="auto" w:sz="4" w:space="0"/>
            </w:tcBorders>
            <w:vAlign w:val="center"/>
          </w:tcPr>
          <w:p w14:paraId="44D70D2A">
            <w:pPr>
              <w:widowControl/>
              <w:adjustRightInd w:val="0"/>
              <w:snapToGrid w:val="0"/>
              <w:spacing w:line="400" w:lineRule="exact"/>
              <w:jc w:val="center"/>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bidi="ar"/>
              </w:rPr>
              <w:t>1包</w:t>
            </w:r>
          </w:p>
        </w:tc>
        <w:tc>
          <w:tcPr>
            <w:tcW w:w="4508" w:type="dxa"/>
            <w:tcBorders>
              <w:top w:val="single" w:color="auto" w:sz="4" w:space="0"/>
              <w:left w:val="nil"/>
              <w:bottom w:val="single" w:color="auto" w:sz="4" w:space="0"/>
              <w:right w:val="single" w:color="auto" w:sz="4" w:space="0"/>
            </w:tcBorders>
            <w:vAlign w:val="center"/>
          </w:tcPr>
          <w:p w14:paraId="083ED816">
            <w:pPr>
              <w:widowControl/>
              <w:adjustRightInd w:val="0"/>
              <w:snapToGrid w:val="0"/>
              <w:spacing w:line="400" w:lineRule="exact"/>
              <w:jc w:val="left"/>
              <w:textAlignment w:val="center"/>
              <w:rPr>
                <w:rFonts w:hint="eastAsia" w:ascii="宋体" w:hAnsi="宋体" w:eastAsia="宋体" w:cs="宋体"/>
                <w:bCs/>
                <w:color w:val="auto"/>
                <w:kern w:val="0"/>
                <w:sz w:val="24"/>
                <w:szCs w:val="24"/>
                <w:highlight w:val="none"/>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2793" w:type="dxa"/>
            <w:tcBorders>
              <w:top w:val="single" w:color="auto" w:sz="4" w:space="0"/>
              <w:left w:val="nil"/>
              <w:bottom w:val="single" w:color="auto" w:sz="4" w:space="0"/>
              <w:right w:val="single" w:color="auto" w:sz="4" w:space="0"/>
            </w:tcBorders>
            <w:vAlign w:val="center"/>
          </w:tcPr>
          <w:p w14:paraId="107A9434">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配送价=市场价×（1-X%）</w:t>
            </w:r>
          </w:p>
        </w:tc>
      </w:tr>
      <w:tr w14:paraId="3FBE8F17">
        <w:tblPrEx>
          <w:tblCellMar>
            <w:top w:w="0" w:type="dxa"/>
            <w:left w:w="108" w:type="dxa"/>
            <w:bottom w:w="0" w:type="dxa"/>
            <w:right w:w="108" w:type="dxa"/>
          </w:tblCellMar>
        </w:tblPrEx>
        <w:trPr>
          <w:trHeight w:val="737" w:hRule="atLeast"/>
          <w:jc w:val="center"/>
        </w:trPr>
        <w:tc>
          <w:tcPr>
            <w:tcW w:w="1119" w:type="dxa"/>
            <w:vMerge w:val="continue"/>
            <w:tcBorders>
              <w:left w:val="single" w:color="auto" w:sz="4" w:space="0"/>
              <w:bottom w:val="single" w:color="auto" w:sz="4" w:space="0"/>
              <w:right w:val="single" w:color="auto" w:sz="4" w:space="0"/>
            </w:tcBorders>
            <w:vAlign w:val="center"/>
          </w:tcPr>
          <w:p w14:paraId="21515DA5">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119" w:type="dxa"/>
            <w:tcBorders>
              <w:top w:val="single" w:color="auto" w:sz="4" w:space="0"/>
              <w:left w:val="single" w:color="auto" w:sz="4" w:space="0"/>
              <w:bottom w:val="single" w:color="auto" w:sz="4" w:space="0"/>
              <w:right w:val="single" w:color="auto" w:sz="4" w:space="0"/>
            </w:tcBorders>
            <w:vAlign w:val="center"/>
          </w:tcPr>
          <w:p w14:paraId="7FDDEA8F">
            <w:pPr>
              <w:widowControl/>
              <w:adjustRightInd w:val="0"/>
              <w:snapToGrid w:val="0"/>
              <w:spacing w:line="400" w:lineRule="exact"/>
              <w:jc w:val="center"/>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bidi="ar"/>
              </w:rPr>
              <w:t>2包</w:t>
            </w:r>
          </w:p>
        </w:tc>
        <w:tc>
          <w:tcPr>
            <w:tcW w:w="4508" w:type="dxa"/>
            <w:tcBorders>
              <w:top w:val="single" w:color="auto" w:sz="4" w:space="0"/>
              <w:left w:val="nil"/>
              <w:bottom w:val="single" w:color="auto" w:sz="4" w:space="0"/>
              <w:right w:val="single" w:color="auto" w:sz="4" w:space="0"/>
            </w:tcBorders>
            <w:vAlign w:val="center"/>
          </w:tcPr>
          <w:p w14:paraId="7978D892">
            <w:pPr>
              <w:widowControl/>
              <w:adjustRightInd w:val="0"/>
              <w:snapToGrid w:val="0"/>
              <w:spacing w:line="400" w:lineRule="exact"/>
              <w:jc w:val="left"/>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bidi="ar"/>
              </w:rPr>
              <w:t>水果类、乳制品类、烘焙糕点类及其它食品食材等</w:t>
            </w:r>
          </w:p>
        </w:tc>
        <w:tc>
          <w:tcPr>
            <w:tcW w:w="2793" w:type="dxa"/>
            <w:tcBorders>
              <w:top w:val="single" w:color="auto" w:sz="4" w:space="0"/>
              <w:left w:val="nil"/>
              <w:bottom w:val="single" w:color="auto" w:sz="4" w:space="0"/>
              <w:right w:val="single" w:color="auto" w:sz="4" w:space="0"/>
            </w:tcBorders>
            <w:vAlign w:val="center"/>
          </w:tcPr>
          <w:p w14:paraId="5B196048">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配送价=市场价×（1-X%）</w:t>
            </w:r>
          </w:p>
        </w:tc>
      </w:tr>
      <w:tr w14:paraId="562D51A2">
        <w:tblPrEx>
          <w:tblCellMar>
            <w:top w:w="0" w:type="dxa"/>
            <w:left w:w="108" w:type="dxa"/>
            <w:bottom w:w="0" w:type="dxa"/>
            <w:right w:w="108" w:type="dxa"/>
          </w:tblCellMar>
        </w:tblPrEx>
        <w:trPr>
          <w:trHeight w:val="1829" w:hRule="atLeast"/>
          <w:jc w:val="center"/>
        </w:trPr>
        <w:tc>
          <w:tcPr>
            <w:tcW w:w="1119" w:type="dxa"/>
            <w:vMerge w:val="restart"/>
            <w:tcBorders>
              <w:top w:val="single" w:color="auto" w:sz="4" w:space="0"/>
              <w:left w:val="single" w:color="auto" w:sz="4" w:space="0"/>
              <w:right w:val="single" w:color="auto" w:sz="4" w:space="0"/>
            </w:tcBorders>
            <w:vAlign w:val="center"/>
          </w:tcPr>
          <w:p w14:paraId="10801676">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第二片区</w:t>
            </w:r>
          </w:p>
        </w:tc>
        <w:tc>
          <w:tcPr>
            <w:tcW w:w="1119" w:type="dxa"/>
            <w:tcBorders>
              <w:top w:val="single" w:color="auto" w:sz="4" w:space="0"/>
              <w:left w:val="single" w:color="auto" w:sz="4" w:space="0"/>
              <w:bottom w:val="single" w:color="auto" w:sz="4" w:space="0"/>
              <w:right w:val="single" w:color="auto" w:sz="4" w:space="0"/>
            </w:tcBorders>
            <w:vAlign w:val="center"/>
          </w:tcPr>
          <w:p w14:paraId="0D496A9B">
            <w:pPr>
              <w:widowControl/>
              <w:adjustRightInd w:val="0"/>
              <w:snapToGrid w:val="0"/>
              <w:spacing w:line="400" w:lineRule="exact"/>
              <w:jc w:val="center"/>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包</w:t>
            </w:r>
          </w:p>
        </w:tc>
        <w:tc>
          <w:tcPr>
            <w:tcW w:w="4508" w:type="dxa"/>
            <w:tcBorders>
              <w:top w:val="single" w:color="auto" w:sz="4" w:space="0"/>
              <w:left w:val="nil"/>
              <w:bottom w:val="single" w:color="auto" w:sz="4" w:space="0"/>
              <w:right w:val="single" w:color="auto" w:sz="4" w:space="0"/>
            </w:tcBorders>
            <w:vAlign w:val="center"/>
          </w:tcPr>
          <w:p w14:paraId="5D4A446B">
            <w:pPr>
              <w:widowControl/>
              <w:adjustRightInd w:val="0"/>
              <w:snapToGrid w:val="0"/>
              <w:spacing w:line="400" w:lineRule="exact"/>
              <w:jc w:val="left"/>
              <w:textAlignment w:val="center"/>
              <w:rPr>
                <w:rFonts w:hint="eastAsia" w:ascii="宋体" w:hAnsi="宋体" w:eastAsia="宋体" w:cs="宋体"/>
                <w:bCs/>
                <w:color w:val="auto"/>
                <w:kern w:val="0"/>
                <w:sz w:val="24"/>
                <w:szCs w:val="24"/>
                <w:highlight w:val="none"/>
              </w:rPr>
            </w:pPr>
            <w:r>
              <w:rPr>
                <w:rFonts w:ascii="宋体" w:hAnsi="宋体" w:eastAsia="宋体" w:cs="宋体"/>
                <w:color w:val="auto"/>
                <w:sz w:val="24"/>
                <w:szCs w:val="24"/>
                <w:highlight w:val="none"/>
              </w:rPr>
              <w:t>大米、面（含面粉、面条）、食用油、肉类（含猪、牛、禽类、水产品类等）、蔬菜（含豆制品类等）、干菜调料（含鸡蛋、海带等）、干果、糖果类、预包装食品、米线（含卷粉、饵丝等）及食堂相关用品等</w:t>
            </w:r>
          </w:p>
        </w:tc>
        <w:tc>
          <w:tcPr>
            <w:tcW w:w="2793" w:type="dxa"/>
            <w:tcBorders>
              <w:top w:val="single" w:color="auto" w:sz="4" w:space="0"/>
              <w:left w:val="nil"/>
              <w:bottom w:val="single" w:color="auto" w:sz="4" w:space="0"/>
              <w:right w:val="single" w:color="auto" w:sz="4" w:space="0"/>
            </w:tcBorders>
            <w:vAlign w:val="center"/>
          </w:tcPr>
          <w:p w14:paraId="3C2E16B0">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配送价=市场价×（1-X%）</w:t>
            </w:r>
          </w:p>
        </w:tc>
      </w:tr>
      <w:tr w14:paraId="36990D90">
        <w:tblPrEx>
          <w:tblCellMar>
            <w:top w:w="0" w:type="dxa"/>
            <w:left w:w="108" w:type="dxa"/>
            <w:bottom w:w="0" w:type="dxa"/>
            <w:right w:w="108" w:type="dxa"/>
          </w:tblCellMar>
        </w:tblPrEx>
        <w:trPr>
          <w:trHeight w:val="746" w:hRule="atLeast"/>
          <w:jc w:val="center"/>
        </w:trPr>
        <w:tc>
          <w:tcPr>
            <w:tcW w:w="1119" w:type="dxa"/>
            <w:vMerge w:val="continue"/>
            <w:tcBorders>
              <w:left w:val="single" w:color="auto" w:sz="4" w:space="0"/>
              <w:bottom w:val="single" w:color="auto" w:sz="4" w:space="0"/>
              <w:right w:val="single" w:color="auto" w:sz="4" w:space="0"/>
            </w:tcBorders>
            <w:vAlign w:val="center"/>
          </w:tcPr>
          <w:p w14:paraId="05ACEFD5">
            <w:pPr>
              <w:widowControl/>
              <w:adjustRightInd w:val="0"/>
              <w:snapToGrid w:val="0"/>
              <w:spacing w:line="400" w:lineRule="exact"/>
              <w:jc w:val="center"/>
              <w:textAlignment w:val="center"/>
              <w:rPr>
                <w:rFonts w:hint="eastAsia" w:ascii="宋体" w:hAnsi="宋体" w:eastAsia="宋体" w:cs="宋体"/>
                <w:color w:val="auto"/>
                <w:kern w:val="0"/>
                <w:sz w:val="24"/>
                <w:szCs w:val="24"/>
                <w:highlight w:val="none"/>
                <w:lang w:bidi="ar"/>
              </w:rPr>
            </w:pPr>
          </w:p>
        </w:tc>
        <w:tc>
          <w:tcPr>
            <w:tcW w:w="1119" w:type="dxa"/>
            <w:tcBorders>
              <w:top w:val="single" w:color="auto" w:sz="4" w:space="0"/>
              <w:left w:val="single" w:color="auto" w:sz="4" w:space="0"/>
              <w:bottom w:val="single" w:color="auto" w:sz="4" w:space="0"/>
              <w:right w:val="single" w:color="auto" w:sz="4" w:space="0"/>
            </w:tcBorders>
            <w:vAlign w:val="center"/>
          </w:tcPr>
          <w:p w14:paraId="00AC2447">
            <w:pPr>
              <w:widowControl/>
              <w:adjustRightInd w:val="0"/>
              <w:snapToGrid w:val="0"/>
              <w:spacing w:line="400" w:lineRule="exact"/>
              <w:jc w:val="center"/>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包</w:t>
            </w:r>
          </w:p>
        </w:tc>
        <w:tc>
          <w:tcPr>
            <w:tcW w:w="4508" w:type="dxa"/>
            <w:tcBorders>
              <w:top w:val="single" w:color="auto" w:sz="4" w:space="0"/>
              <w:left w:val="nil"/>
              <w:bottom w:val="single" w:color="auto" w:sz="4" w:space="0"/>
              <w:right w:val="single" w:color="auto" w:sz="4" w:space="0"/>
            </w:tcBorders>
            <w:vAlign w:val="center"/>
          </w:tcPr>
          <w:p w14:paraId="0DD8628A">
            <w:pPr>
              <w:widowControl/>
              <w:adjustRightInd w:val="0"/>
              <w:snapToGrid w:val="0"/>
              <w:spacing w:line="400" w:lineRule="exact"/>
              <w:jc w:val="left"/>
              <w:textAlignment w:val="center"/>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bidi="ar"/>
              </w:rPr>
              <w:t>水果类、乳制品类、烘焙糕点类及其它食品食材等</w:t>
            </w:r>
          </w:p>
        </w:tc>
        <w:tc>
          <w:tcPr>
            <w:tcW w:w="2793" w:type="dxa"/>
            <w:tcBorders>
              <w:top w:val="single" w:color="auto" w:sz="4" w:space="0"/>
              <w:left w:val="nil"/>
              <w:bottom w:val="single" w:color="auto" w:sz="4" w:space="0"/>
              <w:right w:val="single" w:color="auto" w:sz="4" w:space="0"/>
            </w:tcBorders>
            <w:vAlign w:val="center"/>
          </w:tcPr>
          <w:p w14:paraId="194DAC90">
            <w:pPr>
              <w:adjustRightInd w:val="0"/>
              <w:snapToGrid w:val="0"/>
              <w:spacing w:line="360" w:lineRule="auto"/>
              <w:contextualSpacing/>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配送价=市场价×（1-X%）</w:t>
            </w:r>
          </w:p>
        </w:tc>
      </w:tr>
    </w:tbl>
    <w:p w14:paraId="4F29F760">
      <w:pPr>
        <w:adjustRightInd w:val="0"/>
        <w:snapToGrid w:val="0"/>
        <w:spacing w:before="120" w:beforeLines="50" w:line="360" w:lineRule="auto"/>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注：“X” 为投标人在本招标项目的报价的下浮比例“X”≧0，X在合同执行期间是固定值。配送价格包含</w:t>
      </w:r>
      <w:r>
        <w:rPr>
          <w:rFonts w:hint="eastAsia" w:ascii="宋体" w:hAnsi="宋体" w:eastAsia="宋体" w:cs="宋体"/>
          <w:bCs/>
          <w:color w:val="auto"/>
          <w:kern w:val="0"/>
          <w:sz w:val="24"/>
          <w:szCs w:val="24"/>
          <w:highlight w:val="none"/>
          <w:lang w:eastAsia="zh-CN"/>
        </w:rPr>
        <w:t>供应商</w:t>
      </w:r>
      <w:r>
        <w:rPr>
          <w:rFonts w:hint="eastAsia" w:ascii="宋体" w:hAnsi="宋体" w:eastAsia="宋体" w:cs="宋体"/>
          <w:bCs/>
          <w:color w:val="auto"/>
          <w:kern w:val="0"/>
          <w:sz w:val="24"/>
          <w:szCs w:val="24"/>
          <w:highlight w:val="none"/>
        </w:rPr>
        <w:t>的所有税费、成本、利润、运输、装卸、各类劳保、保险等一切费用。</w:t>
      </w:r>
    </w:p>
    <w:p w14:paraId="71527526">
      <w:pPr>
        <w:adjustRightInd w:val="0"/>
        <w:snapToGrid w:val="0"/>
        <w:spacing w:before="120" w:beforeLines="50" w:line="360" w:lineRule="auto"/>
        <w:ind w:firstLine="480" w:firstLineChars="200"/>
        <w:contextualSpacing/>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lang w:eastAsia="zh-CN"/>
        </w:rPr>
        <w:t>（</w:t>
      </w:r>
      <w:r>
        <w:rPr>
          <w:rFonts w:hint="eastAsia" w:ascii="宋体" w:hAnsi="宋体" w:eastAsia="宋体" w:cs="宋体"/>
          <w:b w:val="0"/>
          <w:bCs/>
          <w:color w:val="auto"/>
          <w:kern w:val="0"/>
          <w:sz w:val="24"/>
          <w:szCs w:val="24"/>
          <w:highlight w:val="none"/>
          <w:lang w:val="en-US" w:eastAsia="zh-CN"/>
        </w:rPr>
        <w:t>2</w:t>
      </w:r>
      <w:r>
        <w:rPr>
          <w:rFonts w:hint="eastAsia" w:ascii="宋体" w:hAnsi="宋体" w:eastAsia="宋体" w:cs="宋体"/>
          <w:b w:val="0"/>
          <w:bCs/>
          <w:color w:val="auto"/>
          <w:kern w:val="0"/>
          <w:sz w:val="24"/>
          <w:szCs w:val="24"/>
          <w:highlight w:val="none"/>
          <w:lang w:eastAsia="zh-CN"/>
        </w:rPr>
        <w:t>）</w:t>
      </w:r>
      <w:r>
        <w:rPr>
          <w:rFonts w:hint="eastAsia" w:ascii="宋体" w:hAnsi="宋体" w:eastAsia="宋体" w:cs="宋体"/>
          <w:b w:val="0"/>
          <w:bCs/>
          <w:color w:val="auto"/>
          <w:kern w:val="0"/>
          <w:sz w:val="24"/>
          <w:szCs w:val="24"/>
          <w:highlight w:val="none"/>
        </w:rPr>
        <w:t>定价条款：项目中标后，供应商需根据需求品类、品牌、规格等要求先行报价；询价小组同步开展市场询价工作。若供应商报价高于市场询价结果，以询价结果作为最终执行价；若供应商报价低于市场询价结果，则以供应商报价作为最终执行价。</w:t>
      </w:r>
    </w:p>
    <w:p w14:paraId="0DA76979">
      <w:pPr>
        <w:adjustRightInd w:val="0"/>
        <w:snapToGrid w:val="0"/>
        <w:spacing w:before="120" w:beforeLines="50" w:line="360" w:lineRule="auto"/>
        <w:ind w:firstLine="482" w:firstLineChars="200"/>
        <w:contextualSpacing/>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3.考核标准</w:t>
      </w:r>
    </w:p>
    <w:p w14:paraId="5655F163">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eastAsia="zh-CN"/>
        </w:rPr>
        <w:t>采购人</w:t>
      </w:r>
      <w:r>
        <w:rPr>
          <w:rFonts w:hint="eastAsia" w:ascii="宋体" w:hAnsi="宋体" w:eastAsia="宋体" w:cs="宋体"/>
          <w:bCs/>
          <w:color w:val="auto"/>
          <w:kern w:val="0"/>
          <w:sz w:val="24"/>
          <w:szCs w:val="24"/>
          <w:highlight w:val="none"/>
        </w:rPr>
        <w:t>对中标供应商配送服务按季度进行考核，</w:t>
      </w:r>
      <w:r>
        <w:rPr>
          <w:rFonts w:hint="eastAsia" w:ascii="宋体" w:hAnsi="宋体" w:eastAsia="宋体" w:cs="宋体"/>
          <w:bCs/>
          <w:color w:val="auto"/>
          <w:kern w:val="0"/>
          <w:sz w:val="24"/>
          <w:szCs w:val="24"/>
          <w:highlight w:val="none"/>
          <w:lang w:eastAsia="zh-CN"/>
        </w:rPr>
        <w:t>采购人</w:t>
      </w:r>
      <w:r>
        <w:rPr>
          <w:rFonts w:hint="eastAsia" w:ascii="宋体" w:hAnsi="宋体" w:eastAsia="宋体" w:cs="宋体"/>
          <w:bCs/>
          <w:color w:val="auto"/>
          <w:kern w:val="0"/>
          <w:sz w:val="24"/>
          <w:szCs w:val="24"/>
          <w:highlight w:val="none"/>
        </w:rPr>
        <w:t>按照附件一《食堂食材配送供应商季度考核评分表》服务评分标准将对中标方上一季度的食堂食材配送服务进行考核，为达到考核目的及效果，不设置单项考核上限分数，满分为100分，合格分数为≥80分，双方需对考核结果进行确认签字。考核结果作为签订下一年度承包合同的依据。</w:t>
      </w:r>
    </w:p>
    <w:p w14:paraId="64A6B03A">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2.在</w:t>
      </w:r>
      <w:r>
        <w:rPr>
          <w:rFonts w:hint="eastAsia" w:ascii="宋体" w:hAnsi="宋体" w:eastAsia="宋体" w:cs="宋体"/>
          <w:bCs/>
          <w:color w:val="auto"/>
          <w:kern w:val="0"/>
          <w:sz w:val="24"/>
          <w:szCs w:val="24"/>
          <w:highlight w:val="none"/>
          <w:lang w:eastAsia="zh-CN"/>
        </w:rPr>
        <w:t>采购人</w:t>
      </w:r>
      <w:r>
        <w:rPr>
          <w:rFonts w:hint="eastAsia" w:ascii="宋体" w:hAnsi="宋体" w:eastAsia="宋体" w:cs="宋体"/>
          <w:bCs/>
          <w:color w:val="auto"/>
          <w:kern w:val="0"/>
          <w:sz w:val="24"/>
          <w:szCs w:val="24"/>
          <w:highlight w:val="none"/>
        </w:rPr>
        <w:t>召开的质量安全反馈会上，如出现食堂食材配送服务三项及以上问题的，则视为本季度考核不合格，考核表详见附件一。</w:t>
      </w:r>
    </w:p>
    <w:p w14:paraId="19681752">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p>
    <w:p w14:paraId="47180386">
      <w:pPr>
        <w:adjustRightInd w:val="0"/>
        <w:snapToGrid w:val="0"/>
        <w:spacing w:before="120" w:beforeLines="50" w:line="360" w:lineRule="auto"/>
        <w:ind w:firstLine="482" w:firstLineChars="200"/>
        <w:contextualSpacing/>
        <w:jc w:val="center"/>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附件一《食堂食材配送供应商季度考核评分表》</w:t>
      </w:r>
    </w:p>
    <w:tbl>
      <w:tblPr>
        <w:tblStyle w:val="43"/>
        <w:tblpPr w:leftFromText="180" w:rightFromText="180" w:vertAnchor="text" w:horzAnchor="page" w:tblpXSpec="center" w:tblpY="437"/>
        <w:tblOverlap w:val="never"/>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956"/>
        <w:gridCol w:w="1446"/>
        <w:gridCol w:w="943"/>
        <w:gridCol w:w="3484"/>
        <w:gridCol w:w="1456"/>
      </w:tblGrid>
      <w:tr w14:paraId="5407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900" w:type="dxa"/>
            <w:gridSpan w:val="6"/>
            <w:tcBorders>
              <w:bottom w:val="nil"/>
            </w:tcBorders>
            <w:vAlign w:val="center"/>
          </w:tcPr>
          <w:p w14:paraId="062B3ADE">
            <w:pPr>
              <w:adjustRightInd w:val="0"/>
              <w:snapToGrid w:val="0"/>
              <w:spacing w:line="360" w:lineRule="auto"/>
              <w:ind w:firstLine="560" w:firstLineChars="200"/>
              <w:contextualSpacing/>
              <w:jc w:val="center"/>
              <w:rPr>
                <w:rFonts w:hint="eastAsia" w:ascii="宋体" w:hAnsi="宋体" w:eastAsia="宋体" w:cs="宋体"/>
                <w:color w:val="auto"/>
                <w:sz w:val="24"/>
                <w:szCs w:val="24"/>
                <w:highlight w:val="none"/>
              </w:rPr>
            </w:pPr>
            <w:r>
              <w:rPr>
                <w:rFonts w:hint="eastAsia" w:ascii="宋体" w:hAnsi="宋体" w:eastAsia="宋体" w:cs="宋体"/>
                <w:bCs/>
                <w:color w:val="auto"/>
                <w:kern w:val="0"/>
                <w:sz w:val="28"/>
                <w:szCs w:val="28"/>
                <w:highlight w:val="none"/>
              </w:rPr>
              <w:t>食堂食材配送供应商季度考核评分表</w:t>
            </w:r>
          </w:p>
        </w:tc>
      </w:tr>
      <w:tr w14:paraId="6006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00" w:type="dxa"/>
            <w:gridSpan w:val="6"/>
            <w:tcBorders>
              <w:top w:val="nil"/>
            </w:tcBorders>
            <w:vAlign w:val="center"/>
          </w:tcPr>
          <w:p w14:paraId="457F3CFB">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考核周期：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 xml:space="preserve">年____月 至 </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年____月</w:t>
            </w:r>
          </w:p>
        </w:tc>
      </w:tr>
      <w:tr w14:paraId="006D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900" w:type="dxa"/>
            <w:gridSpan w:val="6"/>
            <w:vAlign w:val="center"/>
          </w:tcPr>
          <w:p w14:paraId="07077F26">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供应商名称：</w:t>
            </w:r>
            <w:r>
              <w:rPr>
                <w:rFonts w:hint="eastAsia" w:ascii="宋体" w:hAnsi="宋体" w:eastAsia="宋体" w:cs="宋体"/>
                <w:bCs/>
                <w:color w:val="auto"/>
                <w:kern w:val="0"/>
                <w:sz w:val="24"/>
                <w:szCs w:val="24"/>
                <w:highlight w:val="none"/>
                <w:u w:val="single"/>
              </w:rPr>
              <w:t xml:space="preserve">        </w:t>
            </w:r>
          </w:p>
        </w:tc>
      </w:tr>
      <w:tr w14:paraId="6FDC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900" w:type="dxa"/>
            <w:gridSpan w:val="6"/>
            <w:vAlign w:val="center"/>
          </w:tcPr>
          <w:p w14:paraId="5194FD06">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考核总分：</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分</w:t>
            </w:r>
          </w:p>
        </w:tc>
      </w:tr>
      <w:tr w14:paraId="7821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00" w:type="dxa"/>
            <w:gridSpan w:val="6"/>
            <w:vAlign w:val="center"/>
          </w:tcPr>
          <w:p w14:paraId="2A9D3683">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考核等级：□优秀（≥90分） □合格（70-89分） □不合格（≤69分）</w:t>
            </w:r>
          </w:p>
        </w:tc>
      </w:tr>
      <w:tr w14:paraId="67F9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900" w:type="dxa"/>
            <w:gridSpan w:val="6"/>
            <w:vAlign w:val="center"/>
          </w:tcPr>
          <w:p w14:paraId="1BC1B886">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考核小组：______________ （签字）</w:t>
            </w:r>
          </w:p>
        </w:tc>
      </w:tr>
      <w:tr w14:paraId="3719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900" w:type="dxa"/>
            <w:gridSpan w:val="6"/>
            <w:tcBorders>
              <w:bottom w:val="single" w:color="auto" w:sz="4" w:space="0"/>
            </w:tcBorders>
            <w:vAlign w:val="center"/>
          </w:tcPr>
          <w:p w14:paraId="5BB1AECA">
            <w:pPr>
              <w:adjustRightInd w:val="0"/>
              <w:snapToGrid w:val="0"/>
              <w:spacing w:line="360" w:lineRule="auto"/>
              <w:contextualSpacing/>
              <w:rPr>
                <w:rFonts w:hint="eastAsia" w:ascii="宋体" w:hAnsi="宋体" w:eastAsia="宋体" w:cs="宋体"/>
                <w:color w:val="auto"/>
                <w:kern w:val="0"/>
                <w:sz w:val="24"/>
                <w:szCs w:val="24"/>
                <w:highlight w:val="none"/>
                <w:lang w:bidi="ar"/>
              </w:rPr>
            </w:pPr>
            <w:r>
              <w:rPr>
                <w:rFonts w:hint="eastAsia" w:ascii="宋体" w:hAnsi="宋体" w:eastAsia="宋体" w:cs="宋体"/>
                <w:bCs/>
                <w:color w:val="auto"/>
                <w:kern w:val="0"/>
                <w:sz w:val="24"/>
                <w:szCs w:val="24"/>
                <w:highlight w:val="none"/>
              </w:rPr>
              <w:t>供应商确认：____________________ （签字）</w:t>
            </w:r>
          </w:p>
        </w:tc>
      </w:tr>
      <w:tr w14:paraId="60BC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615" w:type="dxa"/>
            <w:tcBorders>
              <w:top w:val="single" w:color="auto" w:sz="4" w:space="0"/>
            </w:tcBorders>
            <w:vAlign w:val="center"/>
          </w:tcPr>
          <w:p w14:paraId="360A9EAB">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一级指标</w:t>
            </w:r>
          </w:p>
        </w:tc>
        <w:tc>
          <w:tcPr>
            <w:tcW w:w="956" w:type="dxa"/>
            <w:tcBorders>
              <w:top w:val="single" w:color="auto" w:sz="4" w:space="0"/>
            </w:tcBorders>
            <w:vAlign w:val="center"/>
          </w:tcPr>
          <w:p w14:paraId="03666966">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分值</w:t>
            </w:r>
          </w:p>
        </w:tc>
        <w:tc>
          <w:tcPr>
            <w:tcW w:w="1446" w:type="dxa"/>
            <w:tcBorders>
              <w:top w:val="single" w:color="auto" w:sz="4" w:space="0"/>
            </w:tcBorders>
            <w:vAlign w:val="center"/>
          </w:tcPr>
          <w:p w14:paraId="24D8C27D">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二级指标</w:t>
            </w:r>
          </w:p>
        </w:tc>
        <w:tc>
          <w:tcPr>
            <w:tcW w:w="943" w:type="dxa"/>
            <w:tcBorders>
              <w:top w:val="single" w:color="auto" w:sz="4" w:space="0"/>
            </w:tcBorders>
            <w:vAlign w:val="center"/>
          </w:tcPr>
          <w:p w14:paraId="3C200037">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分值</w:t>
            </w:r>
          </w:p>
        </w:tc>
        <w:tc>
          <w:tcPr>
            <w:tcW w:w="3484" w:type="dxa"/>
            <w:tcBorders>
              <w:top w:val="single" w:color="auto" w:sz="4" w:space="0"/>
            </w:tcBorders>
            <w:vAlign w:val="center"/>
          </w:tcPr>
          <w:p w14:paraId="3E16D801">
            <w:pPr>
              <w:widowControl/>
              <w:adjustRightInd w:val="0"/>
              <w:snapToGrid w:val="0"/>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考核标准</w:t>
            </w:r>
          </w:p>
        </w:tc>
        <w:tc>
          <w:tcPr>
            <w:tcW w:w="1456" w:type="dxa"/>
            <w:tcBorders>
              <w:top w:val="single" w:color="auto" w:sz="4" w:space="0"/>
            </w:tcBorders>
            <w:vAlign w:val="center"/>
          </w:tcPr>
          <w:p w14:paraId="24195052">
            <w:pPr>
              <w:widowControl/>
              <w:adjustRightInd w:val="0"/>
              <w:snapToGrid w:val="0"/>
              <w:spacing w:line="36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扣分项记录（问题描述+扣分）</w:t>
            </w:r>
          </w:p>
        </w:tc>
      </w:tr>
      <w:tr w14:paraId="43516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1615" w:type="dxa"/>
            <w:vMerge w:val="restart"/>
            <w:vAlign w:val="center"/>
          </w:tcPr>
          <w:p w14:paraId="7C3B7D95">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一、食材质量与合规性（35分）</w:t>
            </w:r>
          </w:p>
        </w:tc>
        <w:tc>
          <w:tcPr>
            <w:tcW w:w="956" w:type="dxa"/>
            <w:vMerge w:val="restart"/>
            <w:vAlign w:val="center"/>
          </w:tcPr>
          <w:p w14:paraId="742729BA">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35</w:t>
            </w:r>
          </w:p>
        </w:tc>
        <w:tc>
          <w:tcPr>
            <w:tcW w:w="1446" w:type="dxa"/>
            <w:vAlign w:val="center"/>
          </w:tcPr>
          <w:p w14:paraId="6BAA243C">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1.质量达标</w:t>
            </w:r>
          </w:p>
        </w:tc>
        <w:tc>
          <w:tcPr>
            <w:tcW w:w="943" w:type="dxa"/>
            <w:vAlign w:val="center"/>
          </w:tcPr>
          <w:p w14:paraId="582BDE56">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3484" w:type="dxa"/>
            <w:vAlign w:val="center"/>
          </w:tcPr>
          <w:p w14:paraId="627A6F80">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食材新鲜无变质，规格符合约定；每批次提供检验合格报告、检疫证明，缺一扣2分</w:t>
            </w:r>
          </w:p>
        </w:tc>
        <w:tc>
          <w:tcPr>
            <w:tcW w:w="1456" w:type="dxa"/>
            <w:vAlign w:val="center"/>
          </w:tcPr>
          <w:p w14:paraId="175FD1F8">
            <w:pPr>
              <w:adjustRightInd w:val="0"/>
              <w:snapToGrid w:val="0"/>
              <w:spacing w:line="360" w:lineRule="auto"/>
              <w:jc w:val="center"/>
              <w:rPr>
                <w:rFonts w:hint="eastAsia" w:ascii="宋体" w:hAnsi="宋体" w:eastAsia="宋体" w:cs="宋体"/>
                <w:color w:val="auto"/>
                <w:sz w:val="24"/>
                <w:szCs w:val="24"/>
                <w:highlight w:val="none"/>
              </w:rPr>
            </w:pPr>
          </w:p>
        </w:tc>
      </w:tr>
      <w:tr w14:paraId="0AA1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continue"/>
            <w:vAlign w:val="center"/>
          </w:tcPr>
          <w:p w14:paraId="6B62CA94">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0F3679FB">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71222E4C">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2.安全合规</w:t>
            </w:r>
          </w:p>
        </w:tc>
        <w:tc>
          <w:tcPr>
            <w:tcW w:w="943" w:type="dxa"/>
            <w:vAlign w:val="center"/>
          </w:tcPr>
          <w:p w14:paraId="61639120">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3484" w:type="dxa"/>
            <w:vAlign w:val="center"/>
          </w:tcPr>
          <w:p w14:paraId="6D2384A1">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农残、兽残等指标达标，无假冒伪劣、过期食材；发现不合格每次扣5分</w:t>
            </w:r>
          </w:p>
        </w:tc>
        <w:tc>
          <w:tcPr>
            <w:tcW w:w="1456" w:type="dxa"/>
            <w:vAlign w:val="center"/>
          </w:tcPr>
          <w:p w14:paraId="6A464D11">
            <w:pPr>
              <w:adjustRightInd w:val="0"/>
              <w:snapToGrid w:val="0"/>
              <w:spacing w:line="360" w:lineRule="auto"/>
              <w:jc w:val="center"/>
              <w:rPr>
                <w:rFonts w:hint="eastAsia" w:ascii="宋体" w:hAnsi="宋体" w:eastAsia="宋体" w:cs="宋体"/>
                <w:color w:val="auto"/>
                <w:sz w:val="24"/>
                <w:szCs w:val="24"/>
                <w:highlight w:val="none"/>
              </w:rPr>
            </w:pPr>
          </w:p>
        </w:tc>
      </w:tr>
      <w:tr w14:paraId="43FB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continue"/>
            <w:vAlign w:val="center"/>
          </w:tcPr>
          <w:p w14:paraId="435107E3">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6BEB1547">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7AEC613A">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3.包装标识</w:t>
            </w:r>
          </w:p>
        </w:tc>
        <w:tc>
          <w:tcPr>
            <w:tcW w:w="943" w:type="dxa"/>
            <w:vAlign w:val="center"/>
          </w:tcPr>
          <w:p w14:paraId="4D9D7D31">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3484" w:type="dxa"/>
            <w:vAlign w:val="center"/>
          </w:tcPr>
          <w:p w14:paraId="5F3B93C5">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包装完好，预包装食材标签完整；标识不清每次扣1分</w:t>
            </w:r>
          </w:p>
        </w:tc>
        <w:tc>
          <w:tcPr>
            <w:tcW w:w="1456" w:type="dxa"/>
            <w:vAlign w:val="center"/>
          </w:tcPr>
          <w:p w14:paraId="291C66D0">
            <w:pPr>
              <w:adjustRightInd w:val="0"/>
              <w:snapToGrid w:val="0"/>
              <w:spacing w:line="360" w:lineRule="auto"/>
              <w:jc w:val="center"/>
              <w:rPr>
                <w:rFonts w:hint="eastAsia" w:ascii="宋体" w:hAnsi="宋体" w:eastAsia="宋体" w:cs="宋体"/>
                <w:color w:val="auto"/>
                <w:sz w:val="24"/>
                <w:szCs w:val="24"/>
                <w:highlight w:val="none"/>
              </w:rPr>
            </w:pPr>
          </w:p>
        </w:tc>
      </w:tr>
      <w:tr w14:paraId="3320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1615" w:type="dxa"/>
            <w:vMerge w:val="restart"/>
            <w:vAlign w:val="center"/>
          </w:tcPr>
          <w:p w14:paraId="196E48F8">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二、配送服务与时效（25分）</w:t>
            </w:r>
          </w:p>
        </w:tc>
        <w:tc>
          <w:tcPr>
            <w:tcW w:w="956" w:type="dxa"/>
            <w:vMerge w:val="restart"/>
            <w:vAlign w:val="center"/>
          </w:tcPr>
          <w:p w14:paraId="037C6C5A">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25</w:t>
            </w:r>
          </w:p>
        </w:tc>
        <w:tc>
          <w:tcPr>
            <w:tcW w:w="1446" w:type="dxa"/>
            <w:vAlign w:val="center"/>
          </w:tcPr>
          <w:p w14:paraId="3665CC6B">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1.准时配送</w:t>
            </w:r>
          </w:p>
        </w:tc>
        <w:tc>
          <w:tcPr>
            <w:tcW w:w="943" w:type="dxa"/>
            <w:vAlign w:val="center"/>
          </w:tcPr>
          <w:p w14:paraId="04C763E1">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w:t>
            </w:r>
          </w:p>
        </w:tc>
        <w:tc>
          <w:tcPr>
            <w:tcW w:w="3484" w:type="dxa"/>
            <w:vAlign w:val="center"/>
          </w:tcPr>
          <w:p w14:paraId="11AC94A1">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按约定时间足额送达，非不可抗力延误一次扣3分；委托第三方代送不得分</w:t>
            </w:r>
          </w:p>
        </w:tc>
        <w:tc>
          <w:tcPr>
            <w:tcW w:w="1456" w:type="dxa"/>
            <w:vAlign w:val="center"/>
          </w:tcPr>
          <w:p w14:paraId="77AE8294">
            <w:pPr>
              <w:adjustRightInd w:val="0"/>
              <w:snapToGrid w:val="0"/>
              <w:spacing w:line="360" w:lineRule="auto"/>
              <w:jc w:val="center"/>
              <w:rPr>
                <w:rFonts w:hint="eastAsia" w:ascii="宋体" w:hAnsi="宋体" w:eastAsia="宋体" w:cs="宋体"/>
                <w:color w:val="auto"/>
                <w:sz w:val="24"/>
                <w:szCs w:val="24"/>
                <w:highlight w:val="none"/>
              </w:rPr>
            </w:pPr>
          </w:p>
        </w:tc>
      </w:tr>
      <w:tr w14:paraId="38E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1615" w:type="dxa"/>
            <w:vMerge w:val="continue"/>
            <w:vAlign w:val="center"/>
          </w:tcPr>
          <w:p w14:paraId="5FE086C0">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46952429">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254AE00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2.车辆与人员</w:t>
            </w:r>
          </w:p>
        </w:tc>
        <w:tc>
          <w:tcPr>
            <w:tcW w:w="943" w:type="dxa"/>
            <w:vAlign w:val="center"/>
          </w:tcPr>
          <w:p w14:paraId="55FB1B77">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3484" w:type="dxa"/>
            <w:vAlign w:val="center"/>
          </w:tcPr>
          <w:p w14:paraId="7DA5EFD9">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冷藏车温度达标、车辆整洁；配送人员统一着装、持健康证；违规每次扣2分</w:t>
            </w:r>
          </w:p>
        </w:tc>
        <w:tc>
          <w:tcPr>
            <w:tcW w:w="1456" w:type="dxa"/>
            <w:vAlign w:val="center"/>
          </w:tcPr>
          <w:p w14:paraId="71E8FF45">
            <w:pPr>
              <w:adjustRightInd w:val="0"/>
              <w:snapToGrid w:val="0"/>
              <w:spacing w:line="360" w:lineRule="auto"/>
              <w:jc w:val="center"/>
              <w:rPr>
                <w:rFonts w:hint="eastAsia" w:ascii="宋体" w:hAnsi="宋体" w:eastAsia="宋体" w:cs="宋体"/>
                <w:color w:val="auto"/>
                <w:sz w:val="24"/>
                <w:szCs w:val="24"/>
                <w:highlight w:val="none"/>
              </w:rPr>
            </w:pPr>
          </w:p>
        </w:tc>
      </w:tr>
      <w:tr w14:paraId="1995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615" w:type="dxa"/>
            <w:vMerge w:val="continue"/>
            <w:vAlign w:val="center"/>
          </w:tcPr>
          <w:p w14:paraId="521C37FC">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00CB0745">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103EC57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3.单据规范</w:t>
            </w:r>
          </w:p>
        </w:tc>
        <w:tc>
          <w:tcPr>
            <w:tcW w:w="943" w:type="dxa"/>
            <w:vAlign w:val="center"/>
          </w:tcPr>
          <w:p w14:paraId="6B1918E6">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3484" w:type="dxa"/>
            <w:vAlign w:val="center"/>
          </w:tcPr>
          <w:p w14:paraId="1D75C408">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送货单项目齐全、数据准确；单据错误每次扣1分</w:t>
            </w:r>
          </w:p>
        </w:tc>
        <w:tc>
          <w:tcPr>
            <w:tcW w:w="1456" w:type="dxa"/>
            <w:vAlign w:val="center"/>
          </w:tcPr>
          <w:p w14:paraId="7B152BD6">
            <w:pPr>
              <w:adjustRightInd w:val="0"/>
              <w:snapToGrid w:val="0"/>
              <w:spacing w:line="360" w:lineRule="auto"/>
              <w:jc w:val="center"/>
              <w:rPr>
                <w:rFonts w:hint="eastAsia" w:ascii="宋体" w:hAnsi="宋体" w:eastAsia="宋体" w:cs="宋体"/>
                <w:color w:val="auto"/>
                <w:sz w:val="24"/>
                <w:szCs w:val="24"/>
                <w:highlight w:val="none"/>
              </w:rPr>
            </w:pPr>
          </w:p>
        </w:tc>
      </w:tr>
      <w:tr w14:paraId="7620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restart"/>
            <w:vAlign w:val="center"/>
          </w:tcPr>
          <w:p w14:paraId="7B7323C3">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三、供应能力与配合度（20分）</w:t>
            </w:r>
          </w:p>
        </w:tc>
        <w:tc>
          <w:tcPr>
            <w:tcW w:w="956" w:type="dxa"/>
            <w:vMerge w:val="restart"/>
            <w:vAlign w:val="center"/>
          </w:tcPr>
          <w:p w14:paraId="475AC192">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1446" w:type="dxa"/>
            <w:vAlign w:val="center"/>
          </w:tcPr>
          <w:p w14:paraId="47AE2BCB">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1.供应稳定</w:t>
            </w:r>
          </w:p>
        </w:tc>
        <w:tc>
          <w:tcPr>
            <w:tcW w:w="943" w:type="dxa"/>
            <w:vAlign w:val="center"/>
          </w:tcPr>
          <w:p w14:paraId="726A0CBB">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3484" w:type="dxa"/>
            <w:vAlign w:val="center"/>
          </w:tcPr>
          <w:p w14:paraId="7A9B234B">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无断供，数量短缺超5%每次扣2分；应急补货24小时内到位</w:t>
            </w:r>
          </w:p>
        </w:tc>
        <w:tc>
          <w:tcPr>
            <w:tcW w:w="1456" w:type="dxa"/>
            <w:vAlign w:val="center"/>
          </w:tcPr>
          <w:p w14:paraId="7D748E38">
            <w:pPr>
              <w:adjustRightInd w:val="0"/>
              <w:snapToGrid w:val="0"/>
              <w:spacing w:line="360" w:lineRule="auto"/>
              <w:jc w:val="center"/>
              <w:rPr>
                <w:rFonts w:hint="eastAsia" w:ascii="宋体" w:hAnsi="宋体" w:eastAsia="宋体" w:cs="宋体"/>
                <w:color w:val="auto"/>
                <w:sz w:val="24"/>
                <w:szCs w:val="24"/>
                <w:highlight w:val="none"/>
              </w:rPr>
            </w:pPr>
          </w:p>
        </w:tc>
      </w:tr>
      <w:tr w14:paraId="17B8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continue"/>
            <w:vAlign w:val="center"/>
          </w:tcPr>
          <w:p w14:paraId="7D6D0A76">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04E48421">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18A7C74A">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2.沟通整改</w:t>
            </w:r>
          </w:p>
        </w:tc>
        <w:tc>
          <w:tcPr>
            <w:tcW w:w="943" w:type="dxa"/>
            <w:vAlign w:val="center"/>
          </w:tcPr>
          <w:p w14:paraId="6E2BD957">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3484" w:type="dxa"/>
            <w:vAlign w:val="center"/>
          </w:tcPr>
          <w:p w14:paraId="62303072">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2小时内响应反馈问题，整改实效达标；整改不力扣2-5分</w:t>
            </w:r>
          </w:p>
        </w:tc>
        <w:tc>
          <w:tcPr>
            <w:tcW w:w="1456" w:type="dxa"/>
            <w:vAlign w:val="center"/>
          </w:tcPr>
          <w:p w14:paraId="39DE4F3A">
            <w:pPr>
              <w:adjustRightInd w:val="0"/>
              <w:snapToGrid w:val="0"/>
              <w:spacing w:line="360" w:lineRule="auto"/>
              <w:jc w:val="center"/>
              <w:rPr>
                <w:rFonts w:hint="eastAsia" w:ascii="宋体" w:hAnsi="宋体" w:eastAsia="宋体" w:cs="宋体"/>
                <w:color w:val="auto"/>
                <w:sz w:val="24"/>
                <w:szCs w:val="24"/>
                <w:highlight w:val="none"/>
              </w:rPr>
            </w:pPr>
          </w:p>
        </w:tc>
      </w:tr>
      <w:tr w14:paraId="2435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615" w:type="dxa"/>
            <w:vMerge w:val="continue"/>
            <w:vAlign w:val="center"/>
          </w:tcPr>
          <w:p w14:paraId="455EFA35">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7455FBF2">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10C4FE8B">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3.配合检查</w:t>
            </w:r>
          </w:p>
        </w:tc>
        <w:tc>
          <w:tcPr>
            <w:tcW w:w="943" w:type="dxa"/>
            <w:vAlign w:val="center"/>
          </w:tcPr>
          <w:p w14:paraId="2D680E62">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3484" w:type="dxa"/>
            <w:vAlign w:val="center"/>
          </w:tcPr>
          <w:p w14:paraId="27573816">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积极配合抽检、提供资料；拒不配合每次扣3分</w:t>
            </w:r>
          </w:p>
        </w:tc>
        <w:tc>
          <w:tcPr>
            <w:tcW w:w="1456" w:type="dxa"/>
            <w:vAlign w:val="center"/>
          </w:tcPr>
          <w:p w14:paraId="6F7DE820">
            <w:pPr>
              <w:adjustRightInd w:val="0"/>
              <w:snapToGrid w:val="0"/>
              <w:spacing w:line="360" w:lineRule="auto"/>
              <w:jc w:val="center"/>
              <w:rPr>
                <w:rFonts w:hint="eastAsia" w:ascii="宋体" w:hAnsi="宋体" w:eastAsia="宋体" w:cs="宋体"/>
                <w:color w:val="auto"/>
                <w:sz w:val="24"/>
                <w:szCs w:val="24"/>
                <w:highlight w:val="none"/>
              </w:rPr>
            </w:pPr>
          </w:p>
        </w:tc>
      </w:tr>
      <w:tr w14:paraId="5FCB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615" w:type="dxa"/>
            <w:vMerge w:val="restart"/>
            <w:vAlign w:val="center"/>
          </w:tcPr>
          <w:p w14:paraId="047D20EE">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四、价格与廉政（20分）</w:t>
            </w:r>
          </w:p>
        </w:tc>
        <w:tc>
          <w:tcPr>
            <w:tcW w:w="956" w:type="dxa"/>
            <w:vMerge w:val="restart"/>
            <w:vAlign w:val="center"/>
          </w:tcPr>
          <w:p w14:paraId="47DADBC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1446" w:type="dxa"/>
            <w:vAlign w:val="center"/>
          </w:tcPr>
          <w:p w14:paraId="2375134E">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1.价格合理</w:t>
            </w:r>
          </w:p>
        </w:tc>
        <w:tc>
          <w:tcPr>
            <w:tcW w:w="943" w:type="dxa"/>
            <w:vAlign w:val="center"/>
          </w:tcPr>
          <w:p w14:paraId="0C5796AB">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3484" w:type="dxa"/>
            <w:vAlign w:val="center"/>
          </w:tcPr>
          <w:p w14:paraId="69983C65">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报价不高于市场均价，涨幅超3%需提前15天通知；价格异常每次扣3分</w:t>
            </w:r>
          </w:p>
        </w:tc>
        <w:tc>
          <w:tcPr>
            <w:tcW w:w="1456" w:type="dxa"/>
            <w:vAlign w:val="center"/>
          </w:tcPr>
          <w:p w14:paraId="1CF78234">
            <w:pPr>
              <w:adjustRightInd w:val="0"/>
              <w:snapToGrid w:val="0"/>
              <w:spacing w:line="360" w:lineRule="auto"/>
              <w:jc w:val="center"/>
              <w:rPr>
                <w:rFonts w:hint="eastAsia" w:ascii="宋体" w:hAnsi="宋体" w:eastAsia="宋体" w:cs="宋体"/>
                <w:color w:val="auto"/>
                <w:sz w:val="24"/>
                <w:szCs w:val="24"/>
                <w:highlight w:val="none"/>
              </w:rPr>
            </w:pPr>
          </w:p>
        </w:tc>
      </w:tr>
      <w:tr w14:paraId="380E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615" w:type="dxa"/>
            <w:vMerge w:val="continue"/>
            <w:vAlign w:val="center"/>
          </w:tcPr>
          <w:p w14:paraId="5F1A2ECA">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Merge w:val="continue"/>
            <w:vAlign w:val="center"/>
          </w:tcPr>
          <w:p w14:paraId="6BC6C676">
            <w:pPr>
              <w:adjustRightInd w:val="0"/>
              <w:snapToGrid w:val="0"/>
              <w:spacing w:line="360" w:lineRule="auto"/>
              <w:jc w:val="center"/>
              <w:rPr>
                <w:rFonts w:hint="eastAsia" w:ascii="宋体" w:hAnsi="宋体" w:eastAsia="宋体" w:cs="宋体"/>
                <w:color w:val="auto"/>
                <w:sz w:val="24"/>
                <w:szCs w:val="24"/>
                <w:highlight w:val="none"/>
              </w:rPr>
            </w:pPr>
          </w:p>
        </w:tc>
        <w:tc>
          <w:tcPr>
            <w:tcW w:w="1446" w:type="dxa"/>
            <w:vAlign w:val="center"/>
          </w:tcPr>
          <w:p w14:paraId="166A17F2">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2.廉政合规</w:t>
            </w:r>
          </w:p>
        </w:tc>
        <w:tc>
          <w:tcPr>
            <w:tcW w:w="943" w:type="dxa"/>
            <w:vAlign w:val="center"/>
          </w:tcPr>
          <w:p w14:paraId="19130255">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3484" w:type="dxa"/>
            <w:vAlign w:val="center"/>
          </w:tcPr>
          <w:p w14:paraId="70A67ED6">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无贿赂、造假等行为；发现一次扣5分，扣完为止</w:t>
            </w:r>
          </w:p>
        </w:tc>
        <w:tc>
          <w:tcPr>
            <w:tcW w:w="1456" w:type="dxa"/>
            <w:vAlign w:val="center"/>
          </w:tcPr>
          <w:p w14:paraId="31AC0156">
            <w:pPr>
              <w:adjustRightInd w:val="0"/>
              <w:snapToGrid w:val="0"/>
              <w:spacing w:line="360" w:lineRule="auto"/>
              <w:jc w:val="center"/>
              <w:rPr>
                <w:rFonts w:hint="eastAsia" w:ascii="宋体" w:hAnsi="宋体" w:eastAsia="宋体" w:cs="宋体"/>
                <w:color w:val="auto"/>
                <w:sz w:val="24"/>
                <w:szCs w:val="24"/>
                <w:highlight w:val="none"/>
              </w:rPr>
            </w:pPr>
          </w:p>
        </w:tc>
      </w:tr>
      <w:tr w14:paraId="27B2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restart"/>
            <w:vAlign w:val="center"/>
          </w:tcPr>
          <w:p w14:paraId="3F297C84">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加分项（最高加5分）</w:t>
            </w:r>
          </w:p>
        </w:tc>
        <w:tc>
          <w:tcPr>
            <w:tcW w:w="956" w:type="dxa"/>
            <w:vAlign w:val="center"/>
          </w:tcPr>
          <w:p w14:paraId="31E570FC">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1446" w:type="dxa"/>
            <w:vAlign w:val="center"/>
          </w:tcPr>
          <w:p w14:paraId="339FAB0F">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1.应急保障</w:t>
            </w:r>
          </w:p>
        </w:tc>
        <w:tc>
          <w:tcPr>
            <w:tcW w:w="943" w:type="dxa"/>
            <w:vAlign w:val="center"/>
          </w:tcPr>
          <w:p w14:paraId="3683C69D">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3484" w:type="dxa"/>
            <w:vAlign w:val="center"/>
          </w:tcPr>
          <w:p w14:paraId="44586A6C">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突发情况（如疫情、极端天气）下超额完成供应任务，加2分</w:t>
            </w:r>
          </w:p>
        </w:tc>
        <w:tc>
          <w:tcPr>
            <w:tcW w:w="1456" w:type="dxa"/>
            <w:vAlign w:val="center"/>
          </w:tcPr>
          <w:p w14:paraId="3B4C9BE2">
            <w:pPr>
              <w:adjustRightInd w:val="0"/>
              <w:snapToGrid w:val="0"/>
              <w:spacing w:line="360" w:lineRule="auto"/>
              <w:jc w:val="center"/>
              <w:rPr>
                <w:rFonts w:hint="eastAsia" w:ascii="宋体" w:hAnsi="宋体" w:eastAsia="宋体" w:cs="宋体"/>
                <w:color w:val="auto"/>
                <w:sz w:val="24"/>
                <w:szCs w:val="24"/>
                <w:highlight w:val="none"/>
              </w:rPr>
            </w:pPr>
          </w:p>
        </w:tc>
      </w:tr>
      <w:tr w14:paraId="1A58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615" w:type="dxa"/>
            <w:vMerge w:val="continue"/>
            <w:vAlign w:val="center"/>
          </w:tcPr>
          <w:p w14:paraId="49462102">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Align w:val="center"/>
          </w:tcPr>
          <w:p w14:paraId="7FF455B2">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1446" w:type="dxa"/>
            <w:vAlign w:val="center"/>
          </w:tcPr>
          <w:p w14:paraId="684B124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2.质量创新</w:t>
            </w:r>
          </w:p>
        </w:tc>
        <w:tc>
          <w:tcPr>
            <w:tcW w:w="943" w:type="dxa"/>
            <w:vAlign w:val="center"/>
          </w:tcPr>
          <w:p w14:paraId="3DB076F8">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3484" w:type="dxa"/>
            <w:vAlign w:val="center"/>
          </w:tcPr>
          <w:p w14:paraId="2B05260B">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主动升级食材质量标准、提供溯源服务，加2分</w:t>
            </w:r>
          </w:p>
        </w:tc>
        <w:tc>
          <w:tcPr>
            <w:tcW w:w="1456" w:type="dxa"/>
            <w:vAlign w:val="center"/>
          </w:tcPr>
          <w:p w14:paraId="32F86CB8">
            <w:pPr>
              <w:adjustRightInd w:val="0"/>
              <w:snapToGrid w:val="0"/>
              <w:spacing w:line="360" w:lineRule="auto"/>
              <w:jc w:val="center"/>
              <w:rPr>
                <w:rFonts w:hint="eastAsia" w:ascii="宋体" w:hAnsi="宋体" w:eastAsia="宋体" w:cs="宋体"/>
                <w:color w:val="auto"/>
                <w:sz w:val="24"/>
                <w:szCs w:val="24"/>
                <w:highlight w:val="none"/>
              </w:rPr>
            </w:pPr>
          </w:p>
        </w:tc>
      </w:tr>
      <w:tr w14:paraId="116E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615" w:type="dxa"/>
            <w:vMerge w:val="continue"/>
            <w:vAlign w:val="center"/>
          </w:tcPr>
          <w:p w14:paraId="6DC34C66">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Align w:val="center"/>
          </w:tcPr>
          <w:p w14:paraId="37D0089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1446" w:type="dxa"/>
            <w:vAlign w:val="center"/>
          </w:tcPr>
          <w:p w14:paraId="41298616">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3.服务优化</w:t>
            </w:r>
          </w:p>
        </w:tc>
        <w:tc>
          <w:tcPr>
            <w:tcW w:w="943" w:type="dxa"/>
            <w:vAlign w:val="center"/>
          </w:tcPr>
          <w:p w14:paraId="0D58B040">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484" w:type="dxa"/>
            <w:vAlign w:val="center"/>
          </w:tcPr>
          <w:p w14:paraId="47AF34CB">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主动提出合理化建议并被采纳，加1分</w:t>
            </w:r>
          </w:p>
        </w:tc>
        <w:tc>
          <w:tcPr>
            <w:tcW w:w="1456" w:type="dxa"/>
            <w:vAlign w:val="center"/>
          </w:tcPr>
          <w:p w14:paraId="1496E325">
            <w:pPr>
              <w:adjustRightInd w:val="0"/>
              <w:snapToGrid w:val="0"/>
              <w:spacing w:line="360" w:lineRule="auto"/>
              <w:jc w:val="center"/>
              <w:rPr>
                <w:rFonts w:hint="eastAsia" w:ascii="宋体" w:hAnsi="宋体" w:eastAsia="宋体" w:cs="宋体"/>
                <w:color w:val="auto"/>
                <w:sz w:val="24"/>
                <w:szCs w:val="24"/>
                <w:highlight w:val="none"/>
              </w:rPr>
            </w:pPr>
          </w:p>
        </w:tc>
      </w:tr>
      <w:tr w14:paraId="504C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restart"/>
            <w:vAlign w:val="center"/>
          </w:tcPr>
          <w:p w14:paraId="6D6E9C63">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扣分项（一票否决项）</w:t>
            </w:r>
          </w:p>
        </w:tc>
        <w:tc>
          <w:tcPr>
            <w:tcW w:w="956" w:type="dxa"/>
            <w:vAlign w:val="center"/>
          </w:tcPr>
          <w:p w14:paraId="5F594313">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1446" w:type="dxa"/>
            <w:vAlign w:val="center"/>
          </w:tcPr>
          <w:p w14:paraId="3F573388">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1.食品安全事故</w:t>
            </w:r>
          </w:p>
        </w:tc>
        <w:tc>
          <w:tcPr>
            <w:tcW w:w="943" w:type="dxa"/>
            <w:vAlign w:val="center"/>
          </w:tcPr>
          <w:p w14:paraId="41C7FC96">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3484" w:type="dxa"/>
            <w:vAlign w:val="center"/>
          </w:tcPr>
          <w:p w14:paraId="13E7FF9A">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因食材问题引发食品安全事故，直接判定为不合格，终止合作并追责</w:t>
            </w:r>
          </w:p>
        </w:tc>
        <w:tc>
          <w:tcPr>
            <w:tcW w:w="1456" w:type="dxa"/>
            <w:vAlign w:val="center"/>
          </w:tcPr>
          <w:p w14:paraId="6322149F">
            <w:pPr>
              <w:adjustRightInd w:val="0"/>
              <w:snapToGrid w:val="0"/>
              <w:spacing w:line="360" w:lineRule="auto"/>
              <w:jc w:val="center"/>
              <w:rPr>
                <w:rFonts w:hint="eastAsia" w:ascii="宋体" w:hAnsi="宋体" w:eastAsia="宋体" w:cs="宋体"/>
                <w:color w:val="auto"/>
                <w:sz w:val="24"/>
                <w:szCs w:val="24"/>
                <w:highlight w:val="none"/>
              </w:rPr>
            </w:pPr>
          </w:p>
        </w:tc>
      </w:tr>
      <w:tr w14:paraId="30DA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615" w:type="dxa"/>
            <w:vMerge w:val="continue"/>
            <w:vAlign w:val="center"/>
          </w:tcPr>
          <w:p w14:paraId="4CFC6685">
            <w:pPr>
              <w:adjustRightInd w:val="0"/>
              <w:snapToGrid w:val="0"/>
              <w:spacing w:line="360" w:lineRule="auto"/>
              <w:jc w:val="center"/>
              <w:rPr>
                <w:rFonts w:hint="eastAsia" w:ascii="宋体" w:hAnsi="宋体" w:eastAsia="宋体" w:cs="宋体"/>
                <w:color w:val="auto"/>
                <w:sz w:val="24"/>
                <w:szCs w:val="24"/>
                <w:highlight w:val="none"/>
              </w:rPr>
            </w:pPr>
          </w:p>
        </w:tc>
        <w:tc>
          <w:tcPr>
            <w:tcW w:w="956" w:type="dxa"/>
            <w:vAlign w:val="center"/>
          </w:tcPr>
          <w:p w14:paraId="222BB7EC">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1446" w:type="dxa"/>
            <w:vAlign w:val="center"/>
          </w:tcPr>
          <w:p w14:paraId="38820AB9">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2.严重违约</w:t>
            </w:r>
          </w:p>
        </w:tc>
        <w:tc>
          <w:tcPr>
            <w:tcW w:w="943" w:type="dxa"/>
            <w:vAlign w:val="center"/>
          </w:tcPr>
          <w:p w14:paraId="5FE3FFB3">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tc>
        <w:tc>
          <w:tcPr>
            <w:tcW w:w="3484" w:type="dxa"/>
            <w:vAlign w:val="center"/>
          </w:tcPr>
          <w:p w14:paraId="4E70D3C8">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恶意断供、虚假材料、商业贿赂等，直接列入负面清单</w:t>
            </w:r>
          </w:p>
        </w:tc>
        <w:tc>
          <w:tcPr>
            <w:tcW w:w="1456" w:type="dxa"/>
            <w:vAlign w:val="center"/>
          </w:tcPr>
          <w:p w14:paraId="209B2742">
            <w:pPr>
              <w:adjustRightInd w:val="0"/>
              <w:snapToGrid w:val="0"/>
              <w:spacing w:line="360" w:lineRule="auto"/>
              <w:jc w:val="center"/>
              <w:rPr>
                <w:rFonts w:hint="eastAsia" w:ascii="宋体" w:hAnsi="宋体" w:eastAsia="宋体" w:cs="宋体"/>
                <w:color w:val="auto"/>
                <w:sz w:val="24"/>
                <w:szCs w:val="24"/>
                <w:highlight w:val="none"/>
              </w:rPr>
            </w:pPr>
          </w:p>
        </w:tc>
      </w:tr>
      <w:tr w14:paraId="4AAA4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8444" w:type="dxa"/>
            <w:gridSpan w:val="5"/>
            <w:noWrap/>
            <w:vAlign w:val="center"/>
          </w:tcPr>
          <w:p w14:paraId="768F6491">
            <w:pPr>
              <w:widowControl/>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合计得分</w:t>
            </w:r>
          </w:p>
        </w:tc>
        <w:tc>
          <w:tcPr>
            <w:tcW w:w="1456" w:type="dxa"/>
            <w:noWrap/>
            <w:vAlign w:val="center"/>
          </w:tcPr>
          <w:p w14:paraId="47346749">
            <w:pPr>
              <w:widowControl/>
              <w:adjustRightInd w:val="0"/>
              <w:snapToGrid w:val="0"/>
              <w:spacing w:line="360" w:lineRule="auto"/>
              <w:jc w:val="left"/>
              <w:textAlignment w:val="center"/>
              <w:rPr>
                <w:rFonts w:hint="eastAsia" w:ascii="宋体" w:hAnsi="宋体" w:eastAsia="宋体" w:cs="宋体"/>
                <w:color w:val="auto"/>
                <w:sz w:val="24"/>
                <w:szCs w:val="24"/>
                <w:highlight w:val="none"/>
              </w:rPr>
            </w:pPr>
          </w:p>
        </w:tc>
      </w:tr>
    </w:tbl>
    <w:p w14:paraId="21D22FC9">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p>
    <w:p w14:paraId="5CA4AEEC">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p>
    <w:p w14:paraId="15AAF841">
      <w:pPr>
        <w:adjustRightInd w:val="0"/>
        <w:snapToGrid w:val="0"/>
        <w:spacing w:before="120" w:beforeLines="50" w:line="360" w:lineRule="auto"/>
        <w:ind w:firstLine="480" w:firstLineChars="200"/>
        <w:contextualSpacing/>
        <w:rPr>
          <w:rFonts w:hint="eastAsia" w:ascii="宋体" w:hAnsi="宋体" w:eastAsia="宋体" w:cs="宋体"/>
          <w:bCs/>
          <w:color w:val="auto"/>
          <w:kern w:val="0"/>
          <w:sz w:val="24"/>
          <w:szCs w:val="24"/>
          <w:highlight w:val="none"/>
        </w:rPr>
      </w:pPr>
    </w:p>
    <w:p w14:paraId="5DF235E4">
      <w:pPr>
        <w:adjustRightInd w:val="0"/>
        <w:snapToGrid w:val="0"/>
        <w:spacing w:before="120" w:beforeLines="50" w:line="360" w:lineRule="auto"/>
        <w:contextualSpacing/>
        <w:rPr>
          <w:rFonts w:hint="eastAsia" w:ascii="宋体" w:hAnsi="宋体" w:eastAsia="宋体" w:cs="宋体"/>
          <w:bCs/>
          <w:color w:val="auto"/>
          <w:kern w:val="0"/>
          <w:sz w:val="24"/>
          <w:szCs w:val="24"/>
          <w:highlight w:val="none"/>
        </w:rPr>
      </w:pPr>
    </w:p>
    <w:p w14:paraId="40C391AA">
      <w:pPr>
        <w:adjustRightInd w:val="0"/>
        <w:snapToGrid w:val="0"/>
        <w:spacing w:line="360" w:lineRule="auto"/>
        <w:ind w:firstLine="640" w:firstLineChars="200"/>
        <w:contextualSpacing/>
        <w:rPr>
          <w:rFonts w:hint="eastAsia" w:ascii="宋体" w:hAnsi="宋体" w:eastAsia="宋体" w:cs="宋体"/>
          <w:color w:val="auto"/>
          <w:sz w:val="32"/>
          <w:szCs w:val="32"/>
          <w:highlight w:val="none"/>
        </w:rPr>
        <w:sectPr>
          <w:footerReference r:id="rId6" w:type="default"/>
          <w:pgSz w:w="11906" w:h="16838"/>
          <w:pgMar w:top="1134" w:right="1134" w:bottom="1134" w:left="1134" w:header="851" w:footer="850" w:gutter="0"/>
          <w:cols w:space="720" w:num="1"/>
          <w:docGrid w:linePitch="312" w:charSpace="0"/>
        </w:sectPr>
      </w:pPr>
    </w:p>
    <w:bookmarkEnd w:id="0"/>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14:paraId="69081E62">
      <w:pPr>
        <w:pStyle w:val="2"/>
        <w:adjustRightInd w:val="0"/>
        <w:snapToGrid w:val="0"/>
        <w:spacing w:before="0" w:after="0" w:line="360" w:lineRule="auto"/>
        <w:jc w:val="center"/>
        <w:rPr>
          <w:rFonts w:hint="eastAsia" w:eastAsia="宋体"/>
          <w:color w:val="auto"/>
          <w:sz w:val="32"/>
          <w:szCs w:val="32"/>
          <w:highlight w:val="none"/>
        </w:rPr>
      </w:pPr>
      <w:bookmarkStart w:id="110" w:name="_Toc6644"/>
      <w:r>
        <w:rPr>
          <w:rFonts w:hint="eastAsia" w:eastAsia="宋体"/>
          <w:color w:val="auto"/>
          <w:sz w:val="32"/>
          <w:szCs w:val="32"/>
          <w:highlight w:val="none"/>
        </w:rPr>
        <w:t>第五章  合同书样式及主要条款</w:t>
      </w:r>
      <w:bookmarkEnd w:id="110"/>
    </w:p>
    <w:p w14:paraId="2EE52A45">
      <w:pPr>
        <w:adjustRightInd w:val="0"/>
        <w:snapToGrid w:val="0"/>
        <w:spacing w:line="360" w:lineRule="auto"/>
        <w:ind w:firstLine="960" w:firstLineChars="400"/>
        <w:jc w:val="lef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（本合同书为参考格式，具体以采购人与成交人双方按磋商文件和投标文件并结合本项目实际情况协商签订的为准）</w:t>
      </w:r>
      <w:r>
        <w:rPr>
          <w:rFonts w:hint="eastAsia" w:ascii="宋体" w:hAnsi="宋体" w:eastAsia="宋体" w:cs="宋体"/>
          <w:color w:val="auto"/>
          <w:sz w:val="24"/>
          <w:szCs w:val="24"/>
          <w:highlight w:val="none"/>
        </w:rPr>
        <w:t>合同编号：                 合同自编号:                     招标编号:</w:t>
      </w:r>
    </w:p>
    <w:p w14:paraId="2EE656FB">
      <w:pPr>
        <w:adjustRightInd w:val="0"/>
        <w:snapToGrid w:val="0"/>
        <w:spacing w:line="360" w:lineRule="auto"/>
        <w:jc w:val="center"/>
        <w:rPr>
          <w:rFonts w:hint="eastAsia" w:ascii="宋体" w:hAnsi="宋体" w:eastAsia="宋体" w:cs="宋体"/>
          <w:b/>
          <w:color w:val="auto"/>
          <w:sz w:val="24"/>
          <w:szCs w:val="24"/>
          <w:highlight w:val="none"/>
        </w:rPr>
      </w:pPr>
    </w:p>
    <w:p w14:paraId="694BD905">
      <w:pPr>
        <w:adjustRightInd w:val="0"/>
        <w:snapToGrid w:val="0"/>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云南省省级政府采购</w:t>
      </w:r>
    </w:p>
    <w:p w14:paraId="4B163A43">
      <w:pPr>
        <w:adjustRightInd w:val="0"/>
        <w:snapToGrid w:val="0"/>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（委托采购）</w:t>
      </w:r>
    </w:p>
    <w:p w14:paraId="64D5B4B9">
      <w:pPr>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合</w:t>
      </w:r>
    </w:p>
    <w:p w14:paraId="0123F1D9">
      <w:pPr>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同</w:t>
      </w:r>
    </w:p>
    <w:p w14:paraId="6CA50AAC">
      <w:pPr>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书</w:t>
      </w:r>
    </w:p>
    <w:p w14:paraId="1A44E52C">
      <w:pPr>
        <w:adjustRightInd w:val="0"/>
        <w:snapToGrid w:val="0"/>
        <w:spacing w:line="360" w:lineRule="auto"/>
        <w:jc w:val="center"/>
        <w:rPr>
          <w:rFonts w:hint="eastAsia" w:ascii="宋体" w:hAnsi="宋体" w:eastAsia="宋体" w:cs="宋体"/>
          <w:b/>
          <w:color w:val="auto"/>
          <w:sz w:val="72"/>
          <w:szCs w:val="72"/>
          <w:highlight w:val="none"/>
        </w:rPr>
      </w:pPr>
    </w:p>
    <w:p w14:paraId="3C6125D6">
      <w:pPr>
        <w:adjustRightInd w:val="0"/>
        <w:snapToGrid w:val="0"/>
        <w:spacing w:line="360" w:lineRule="auto"/>
        <w:ind w:firstLine="3654" w:firstLineChars="13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签订地点:</w:t>
      </w:r>
    </w:p>
    <w:p w14:paraId="189C9259">
      <w:pPr>
        <w:adjustRightInd w:val="0"/>
        <w:snapToGrid w:val="0"/>
        <w:spacing w:line="360" w:lineRule="auto"/>
        <w:ind w:firstLine="3092" w:firstLineChars="1100"/>
        <w:rPr>
          <w:rFonts w:hint="eastAsia" w:ascii="宋体" w:hAnsi="宋体" w:eastAsia="宋体" w:cs="宋体"/>
          <w:b/>
          <w:bCs/>
          <w:color w:val="auto"/>
          <w:sz w:val="28"/>
          <w:szCs w:val="28"/>
          <w:highlight w:val="none"/>
        </w:rPr>
      </w:pPr>
    </w:p>
    <w:p w14:paraId="5FB2F61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云南省财政厅　制</w:t>
      </w:r>
    </w:p>
    <w:p w14:paraId="0CB3EBED">
      <w:pPr>
        <w:adjustRightInd w:val="0"/>
        <w:snapToGrid w:val="0"/>
        <w:spacing w:line="360" w:lineRule="auto"/>
        <w:jc w:val="center"/>
        <w:rPr>
          <w:rFonts w:hint="eastAsia" w:ascii="宋体" w:hAnsi="宋体" w:eastAsia="宋体" w:cs="宋体"/>
          <w:bCs/>
          <w:color w:val="auto"/>
          <w:sz w:val="24"/>
          <w:szCs w:val="24"/>
          <w:highlight w:val="none"/>
        </w:rPr>
      </w:pPr>
    </w:p>
    <w:p w14:paraId="4B079A30">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pacing w:val="-1"/>
          <w:sz w:val="28"/>
          <w:szCs w:val="28"/>
          <w:highlight w:val="none"/>
        </w:rPr>
        <w:br w:type="page"/>
      </w:r>
    </w:p>
    <w:p w14:paraId="28FCBF70">
      <w:pPr>
        <w:adjustRightInd w:val="0"/>
        <w:snapToGrid w:val="0"/>
        <w:spacing w:line="360" w:lineRule="auto"/>
        <w:jc w:val="center"/>
        <w:rPr>
          <w:rFonts w:hint="eastAsia" w:ascii="宋体" w:hAnsi="宋体" w:eastAsia="宋体" w:cs="宋体"/>
          <w:bCs/>
          <w:color w:val="auto"/>
          <w:sz w:val="24"/>
          <w:szCs w:val="24"/>
          <w:highlight w:val="none"/>
        </w:rPr>
      </w:pPr>
    </w:p>
    <w:p w14:paraId="716E7677">
      <w:pPr>
        <w:pStyle w:val="16"/>
        <w:widowControl/>
        <w:kinsoku w:val="0"/>
        <w:autoSpaceDE w:val="0"/>
        <w:autoSpaceDN w:val="0"/>
        <w:adjustRightInd w:val="0"/>
        <w:snapToGrid w:val="0"/>
        <w:spacing w:before="90" w:line="360" w:lineRule="auto"/>
        <w:ind w:right="17"/>
        <w:jc w:val="center"/>
        <w:textAlignment w:val="baseline"/>
        <w:rPr>
          <w:rFonts w:hint="eastAsia" w:eastAsia="宋体"/>
          <w:color w:val="auto"/>
          <w:spacing w:val="-15"/>
          <w:w w:val="98"/>
          <w:sz w:val="36"/>
          <w:szCs w:val="36"/>
          <w:highlight w:val="none"/>
        </w:rPr>
      </w:pPr>
      <w:r>
        <w:rPr>
          <w:rFonts w:hint="eastAsia" w:eastAsia="宋体"/>
          <w:b/>
          <w:bCs/>
          <w:color w:val="auto"/>
          <w:spacing w:val="-1"/>
          <w:sz w:val="36"/>
          <w:szCs w:val="36"/>
          <w:highlight w:val="none"/>
        </w:rPr>
        <w:t>学校食堂食材采购合同</w:t>
      </w:r>
    </w:p>
    <w:p w14:paraId="15CB5558">
      <w:pPr>
        <w:pStyle w:val="16"/>
        <w:widowControl/>
        <w:kinsoku w:val="0"/>
        <w:autoSpaceDE w:val="0"/>
        <w:autoSpaceDN w:val="0"/>
        <w:adjustRightInd w:val="0"/>
        <w:snapToGrid w:val="0"/>
        <w:spacing w:before="91" w:line="360" w:lineRule="auto"/>
        <w:ind w:left="10" w:right="4489" w:firstLine="20"/>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甲方名称（学校）：</w:t>
      </w:r>
      <w:r>
        <w:rPr>
          <w:rFonts w:hint="eastAsia" w:eastAsia="宋体"/>
          <w:color w:val="auto"/>
          <w:spacing w:val="1"/>
          <w:sz w:val="24"/>
          <w:szCs w:val="24"/>
          <w:highlight w:val="none"/>
          <w:u w:val="single"/>
        </w:rPr>
        <w:t xml:space="preserve">                       </w:t>
      </w:r>
      <w:r>
        <w:rPr>
          <w:rFonts w:hint="eastAsia" w:eastAsia="宋体"/>
          <w:color w:val="auto"/>
          <w:sz w:val="24"/>
          <w:szCs w:val="24"/>
          <w:highlight w:val="none"/>
          <w:u w:val="single"/>
        </w:rPr>
        <w:t xml:space="preserve">     </w:t>
      </w:r>
      <w:r>
        <w:rPr>
          <w:rFonts w:hint="eastAsia" w:eastAsia="宋体"/>
          <w:color w:val="auto"/>
          <w:spacing w:val="-1"/>
          <w:sz w:val="24"/>
          <w:szCs w:val="24"/>
          <w:highlight w:val="none"/>
        </w:rPr>
        <w:t>统一社会信用代码：</w:t>
      </w:r>
      <w:r>
        <w:rPr>
          <w:rFonts w:hint="eastAsia" w:eastAsia="宋体"/>
          <w:color w:val="auto"/>
          <w:spacing w:val="-1"/>
          <w:sz w:val="24"/>
          <w:szCs w:val="24"/>
          <w:highlight w:val="none"/>
          <w:u w:val="single"/>
        </w:rPr>
        <w:t xml:space="preserve">                          </w:t>
      </w:r>
    </w:p>
    <w:p w14:paraId="1145DA58">
      <w:pPr>
        <w:pStyle w:val="16"/>
        <w:widowControl/>
        <w:kinsoku w:val="0"/>
        <w:autoSpaceDE w:val="0"/>
        <w:autoSpaceDN w:val="0"/>
        <w:adjustRightInd w:val="0"/>
        <w:snapToGrid w:val="0"/>
        <w:spacing w:before="2" w:line="360" w:lineRule="auto"/>
        <w:ind w:left="8"/>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 xml:space="preserve">法定代表人（负责人）： </w:t>
      </w:r>
      <w:r>
        <w:rPr>
          <w:rFonts w:hint="eastAsia" w:eastAsia="宋体"/>
          <w:color w:val="auto"/>
          <w:sz w:val="24"/>
          <w:szCs w:val="24"/>
          <w:highlight w:val="none"/>
          <w:u w:val="single"/>
        </w:rPr>
        <w:t xml:space="preserve">                             </w:t>
      </w:r>
    </w:p>
    <w:p w14:paraId="57B7F53A">
      <w:pPr>
        <w:pStyle w:val="16"/>
        <w:widowControl/>
        <w:kinsoku w:val="0"/>
        <w:autoSpaceDE w:val="0"/>
        <w:autoSpaceDN w:val="0"/>
        <w:adjustRightInd w:val="0"/>
        <w:snapToGrid w:val="0"/>
        <w:spacing w:before="162" w:line="360" w:lineRule="auto"/>
        <w:ind w:left="4" w:right="4070"/>
        <w:jc w:val="left"/>
        <w:textAlignment w:val="baseline"/>
        <w:rPr>
          <w:rFonts w:hint="eastAsia" w:eastAsia="宋体"/>
          <w:color w:val="auto"/>
          <w:sz w:val="24"/>
          <w:szCs w:val="24"/>
          <w:highlight w:val="none"/>
        </w:rPr>
      </w:pPr>
      <w:r>
        <w:rPr>
          <w:rFonts w:hint="eastAsia" w:eastAsia="宋体"/>
          <w:color w:val="auto"/>
          <w:spacing w:val="-2"/>
          <w:sz w:val="24"/>
          <w:szCs w:val="24"/>
          <w:highlight w:val="none"/>
        </w:rPr>
        <w:t>食品经营许可证编号</w:t>
      </w:r>
      <w:r>
        <w:rPr>
          <w:rFonts w:hint="eastAsia" w:eastAsia="宋体"/>
          <w:color w:val="auto"/>
          <w:spacing w:val="1"/>
          <w:sz w:val="24"/>
          <w:szCs w:val="24"/>
          <w:highlight w:val="none"/>
          <w:u w:val="single"/>
        </w:rPr>
        <w:t xml:space="preserve">                            </w:t>
      </w:r>
      <w:r>
        <w:rPr>
          <w:rFonts w:hint="eastAsia" w:eastAsia="宋体"/>
          <w:color w:val="auto"/>
          <w:spacing w:val="-2"/>
          <w:sz w:val="24"/>
          <w:szCs w:val="24"/>
          <w:highlight w:val="none"/>
        </w:rPr>
        <w:t>住所或经营场所地址：</w:t>
      </w:r>
      <w:r>
        <w:rPr>
          <w:rFonts w:hint="eastAsia" w:eastAsia="宋体"/>
          <w:color w:val="auto"/>
          <w:sz w:val="24"/>
          <w:szCs w:val="24"/>
          <w:highlight w:val="none"/>
          <w:u w:val="single"/>
        </w:rPr>
        <w:t xml:space="preserve">                           </w:t>
      </w:r>
    </w:p>
    <w:p w14:paraId="104E66C0">
      <w:pPr>
        <w:pStyle w:val="16"/>
        <w:widowControl/>
        <w:kinsoku w:val="0"/>
        <w:autoSpaceDE w:val="0"/>
        <w:autoSpaceDN w:val="0"/>
        <w:adjustRightInd w:val="0"/>
        <w:snapToGrid w:val="0"/>
        <w:spacing w:before="3" w:line="360" w:lineRule="auto"/>
        <w:ind w:right="6063"/>
        <w:jc w:val="left"/>
        <w:textAlignment w:val="baseline"/>
        <w:rPr>
          <w:rFonts w:hint="eastAsia" w:eastAsia="宋体"/>
          <w:color w:val="auto"/>
          <w:sz w:val="24"/>
          <w:szCs w:val="24"/>
          <w:highlight w:val="none"/>
        </w:rPr>
      </w:pPr>
      <w:r>
        <w:rPr>
          <w:rFonts w:hint="eastAsia" w:eastAsia="宋体"/>
          <w:color w:val="auto"/>
          <w:spacing w:val="-2"/>
          <w:sz w:val="24"/>
          <w:szCs w:val="24"/>
          <w:highlight w:val="none"/>
        </w:rPr>
        <w:t>联系人：</w:t>
      </w:r>
      <w:r>
        <w:rPr>
          <w:rFonts w:hint="eastAsia" w:eastAsia="宋体"/>
          <w:color w:val="auto"/>
          <w:sz w:val="24"/>
          <w:szCs w:val="24"/>
          <w:highlight w:val="none"/>
          <w:u w:val="single"/>
        </w:rPr>
        <w:t xml:space="preserve">                               </w:t>
      </w:r>
      <w:r>
        <w:rPr>
          <w:rFonts w:hint="eastAsia" w:eastAsia="宋体"/>
          <w:color w:val="auto"/>
          <w:spacing w:val="14"/>
          <w:sz w:val="24"/>
          <w:szCs w:val="24"/>
          <w:highlight w:val="none"/>
        </w:rPr>
        <w:t xml:space="preserve"> </w:t>
      </w:r>
      <w:r>
        <w:rPr>
          <w:rFonts w:hint="eastAsia" w:eastAsia="宋体"/>
          <w:color w:val="auto"/>
          <w:spacing w:val="-2"/>
          <w:sz w:val="24"/>
          <w:szCs w:val="24"/>
          <w:highlight w:val="none"/>
        </w:rPr>
        <w:t>联系电话：</w:t>
      </w:r>
      <w:r>
        <w:rPr>
          <w:rFonts w:hint="eastAsia" w:eastAsia="宋体"/>
          <w:color w:val="auto"/>
          <w:sz w:val="24"/>
          <w:szCs w:val="24"/>
          <w:highlight w:val="none"/>
          <w:u w:val="single"/>
        </w:rPr>
        <w:t xml:space="preserve">                            </w:t>
      </w:r>
    </w:p>
    <w:p w14:paraId="39348BC1">
      <w:pPr>
        <w:widowControl/>
        <w:kinsoku w:val="0"/>
        <w:autoSpaceDE w:val="0"/>
        <w:autoSpaceDN w:val="0"/>
        <w:adjustRightInd w:val="0"/>
        <w:snapToGrid w:val="0"/>
        <w:spacing w:line="360" w:lineRule="auto"/>
        <w:jc w:val="left"/>
        <w:textAlignment w:val="baseline"/>
        <w:rPr>
          <w:rFonts w:hint="eastAsia" w:ascii="宋体" w:hAnsi="宋体" w:eastAsia="宋体" w:cs="宋体"/>
          <w:color w:val="auto"/>
          <w:sz w:val="24"/>
          <w:szCs w:val="24"/>
          <w:highlight w:val="none"/>
        </w:rPr>
      </w:pPr>
    </w:p>
    <w:p w14:paraId="3BF8D54E">
      <w:pPr>
        <w:pStyle w:val="16"/>
        <w:widowControl/>
        <w:kinsoku w:val="0"/>
        <w:autoSpaceDE w:val="0"/>
        <w:autoSpaceDN w:val="0"/>
        <w:adjustRightInd w:val="0"/>
        <w:snapToGrid w:val="0"/>
        <w:spacing w:before="90" w:line="360" w:lineRule="auto"/>
        <w:ind w:left="10" w:right="4383" w:firstLine="18"/>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乙方名称（供货人）</w:t>
      </w:r>
      <w:r>
        <w:rPr>
          <w:rFonts w:hint="eastAsia" w:eastAsia="宋体"/>
          <w:color w:val="auto"/>
          <w:spacing w:val="-2"/>
          <w:sz w:val="24"/>
          <w:szCs w:val="24"/>
          <w:highlight w:val="none"/>
        </w:rPr>
        <w:t>：</w:t>
      </w:r>
      <w:r>
        <w:rPr>
          <w:rFonts w:hint="eastAsia" w:eastAsia="宋体"/>
          <w:color w:val="auto"/>
          <w:spacing w:val="1"/>
          <w:sz w:val="24"/>
          <w:szCs w:val="24"/>
          <w:highlight w:val="none"/>
          <w:u w:val="single"/>
        </w:rPr>
        <w:t xml:space="preserve">                          </w:t>
      </w:r>
      <w:r>
        <w:rPr>
          <w:rFonts w:hint="eastAsia" w:eastAsia="宋体"/>
          <w:color w:val="auto"/>
          <w:spacing w:val="-1"/>
          <w:sz w:val="24"/>
          <w:szCs w:val="24"/>
          <w:highlight w:val="none"/>
        </w:rPr>
        <w:t>统一社会信用代码：</w:t>
      </w:r>
      <w:r>
        <w:rPr>
          <w:rFonts w:hint="eastAsia" w:eastAsia="宋体"/>
          <w:color w:val="auto"/>
          <w:spacing w:val="-1"/>
          <w:sz w:val="24"/>
          <w:szCs w:val="24"/>
          <w:highlight w:val="none"/>
          <w:u w:val="single"/>
        </w:rPr>
        <w:t xml:space="preserve">                      </w:t>
      </w:r>
      <w:r>
        <w:rPr>
          <w:rFonts w:hint="eastAsia" w:eastAsia="宋体"/>
          <w:color w:val="auto"/>
          <w:spacing w:val="-2"/>
          <w:sz w:val="24"/>
          <w:szCs w:val="24"/>
          <w:highlight w:val="none"/>
          <w:u w:val="single"/>
        </w:rPr>
        <w:t xml:space="preserve">     </w:t>
      </w:r>
    </w:p>
    <w:p w14:paraId="6AE48032">
      <w:pPr>
        <w:pStyle w:val="16"/>
        <w:widowControl/>
        <w:kinsoku w:val="0"/>
        <w:autoSpaceDE w:val="0"/>
        <w:autoSpaceDN w:val="0"/>
        <w:adjustRightInd w:val="0"/>
        <w:snapToGrid w:val="0"/>
        <w:spacing w:before="2" w:line="360" w:lineRule="auto"/>
        <w:ind w:left="8"/>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法定代表人（负责人）：</w:t>
      </w:r>
      <w:r>
        <w:rPr>
          <w:rFonts w:hint="eastAsia" w:eastAsia="宋体"/>
          <w:color w:val="auto"/>
          <w:sz w:val="24"/>
          <w:szCs w:val="24"/>
          <w:highlight w:val="none"/>
          <w:u w:val="single"/>
        </w:rPr>
        <w:t xml:space="preserve">                                </w:t>
      </w:r>
    </w:p>
    <w:p w14:paraId="1DA5C98A">
      <w:pPr>
        <w:pStyle w:val="16"/>
        <w:widowControl/>
        <w:kinsoku w:val="0"/>
        <w:autoSpaceDE w:val="0"/>
        <w:autoSpaceDN w:val="0"/>
        <w:adjustRightInd w:val="0"/>
        <w:snapToGrid w:val="0"/>
        <w:spacing w:before="163" w:line="360" w:lineRule="auto"/>
        <w:ind w:left="4" w:right="1288"/>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食品生产许可证或食品经营许可证编号：</w:t>
      </w:r>
      <w:r>
        <w:rPr>
          <w:rFonts w:hint="eastAsia" w:eastAsia="宋体"/>
          <w:color w:val="auto"/>
          <w:spacing w:val="1"/>
          <w:sz w:val="24"/>
          <w:szCs w:val="24"/>
          <w:highlight w:val="none"/>
          <w:u w:val="single"/>
        </w:rPr>
        <w:t xml:space="preserve">                  </w:t>
      </w:r>
      <w:r>
        <w:rPr>
          <w:rFonts w:hint="eastAsia" w:eastAsia="宋体"/>
          <w:color w:val="auto"/>
          <w:sz w:val="24"/>
          <w:szCs w:val="24"/>
          <w:highlight w:val="none"/>
          <w:u w:val="single"/>
        </w:rPr>
        <w:t xml:space="preserve">               </w:t>
      </w:r>
      <w:r>
        <w:rPr>
          <w:rFonts w:hint="eastAsia" w:eastAsia="宋体"/>
          <w:color w:val="auto"/>
          <w:spacing w:val="-1"/>
          <w:sz w:val="24"/>
          <w:szCs w:val="24"/>
          <w:highlight w:val="none"/>
        </w:rPr>
        <w:t>住所或经营场所地址：</w:t>
      </w:r>
      <w:r>
        <w:rPr>
          <w:rFonts w:hint="eastAsia" w:eastAsia="宋体"/>
          <w:color w:val="auto"/>
          <w:spacing w:val="-1"/>
          <w:sz w:val="24"/>
          <w:szCs w:val="24"/>
          <w:highlight w:val="none"/>
          <w:u w:val="single"/>
        </w:rPr>
        <w:t xml:space="preserve">                                        </w:t>
      </w:r>
    </w:p>
    <w:p w14:paraId="21BFCEE8">
      <w:pPr>
        <w:pStyle w:val="16"/>
        <w:widowControl/>
        <w:kinsoku w:val="0"/>
        <w:autoSpaceDE w:val="0"/>
        <w:autoSpaceDN w:val="0"/>
        <w:adjustRightInd w:val="0"/>
        <w:snapToGrid w:val="0"/>
        <w:spacing w:before="1" w:line="360" w:lineRule="auto"/>
        <w:jc w:val="left"/>
        <w:textAlignment w:val="baseline"/>
        <w:rPr>
          <w:rFonts w:hint="eastAsia" w:eastAsia="宋体"/>
          <w:color w:val="auto"/>
          <w:sz w:val="24"/>
          <w:szCs w:val="24"/>
          <w:highlight w:val="none"/>
        </w:rPr>
      </w:pPr>
      <w:r>
        <w:rPr>
          <w:rFonts w:hint="eastAsia" w:eastAsia="宋体"/>
          <w:color w:val="auto"/>
          <w:spacing w:val="-2"/>
          <w:sz w:val="24"/>
          <w:szCs w:val="24"/>
          <w:highlight w:val="none"/>
        </w:rPr>
        <w:t>联系人：</w:t>
      </w:r>
      <w:r>
        <w:rPr>
          <w:rFonts w:hint="eastAsia" w:eastAsia="宋体"/>
          <w:color w:val="auto"/>
          <w:sz w:val="24"/>
          <w:szCs w:val="24"/>
          <w:highlight w:val="none"/>
          <w:u w:val="single"/>
        </w:rPr>
        <w:t xml:space="preserve">                                      </w:t>
      </w:r>
    </w:p>
    <w:p w14:paraId="008D35A4">
      <w:pPr>
        <w:widowControl/>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rPr>
      </w:pPr>
    </w:p>
    <w:p w14:paraId="6FE9FC8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3EC97DF">
      <w:pPr>
        <w:pStyle w:val="16"/>
        <w:widowControl/>
        <w:kinsoku w:val="0"/>
        <w:autoSpaceDE w:val="0"/>
        <w:autoSpaceDN w:val="0"/>
        <w:adjustRightInd w:val="0"/>
        <w:snapToGrid w:val="0"/>
        <w:spacing w:after="0" w:line="360" w:lineRule="auto"/>
        <w:ind w:firstLine="460" w:firstLineChars="200"/>
        <w:textAlignment w:val="baseline"/>
        <w:rPr>
          <w:rFonts w:hint="eastAsia" w:eastAsia="宋体"/>
          <w:color w:val="auto"/>
          <w:sz w:val="24"/>
          <w:szCs w:val="24"/>
          <w:highlight w:val="none"/>
        </w:rPr>
      </w:pPr>
      <w:r>
        <w:rPr>
          <w:rFonts w:hint="eastAsia" w:eastAsia="宋体"/>
          <w:color w:val="auto"/>
          <w:spacing w:val="-5"/>
          <w:sz w:val="24"/>
          <w:szCs w:val="24"/>
          <w:highlight w:val="none"/>
        </w:rPr>
        <w:t>依据《中华人民共和国民法典》《中华人民共和国食品安全法》《中华人民共和国农产</w:t>
      </w:r>
      <w:r>
        <w:rPr>
          <w:rFonts w:hint="eastAsia" w:eastAsia="宋体"/>
          <w:color w:val="auto"/>
          <w:spacing w:val="-6"/>
          <w:sz w:val="24"/>
          <w:szCs w:val="24"/>
          <w:highlight w:val="none"/>
        </w:rPr>
        <w:t>品质量</w:t>
      </w:r>
      <w:r>
        <w:rPr>
          <w:rFonts w:hint="eastAsia" w:eastAsia="宋体"/>
          <w:color w:val="auto"/>
          <w:spacing w:val="-9"/>
          <w:sz w:val="24"/>
          <w:szCs w:val="24"/>
          <w:highlight w:val="none"/>
        </w:rPr>
        <w:t>安全法》《学校食品安全与营养健康规定》等</w:t>
      </w:r>
      <w:r>
        <w:rPr>
          <w:rFonts w:hint="eastAsia" w:eastAsia="宋体"/>
          <w:color w:val="auto"/>
          <w:spacing w:val="-10"/>
          <w:sz w:val="24"/>
          <w:szCs w:val="24"/>
          <w:highlight w:val="none"/>
        </w:rPr>
        <w:t>有关法律法规、规章规定，甲乙双方遵循平等、自愿、</w:t>
      </w:r>
      <w:r>
        <w:rPr>
          <w:rFonts w:hint="eastAsia" w:eastAsia="宋体"/>
          <w:color w:val="auto"/>
          <w:spacing w:val="-2"/>
          <w:sz w:val="24"/>
          <w:szCs w:val="24"/>
          <w:highlight w:val="none"/>
        </w:rPr>
        <w:t>公平和诚信原则，经协商一致，就学校食堂食材采购事宜签订本合同。</w:t>
      </w:r>
    </w:p>
    <w:p w14:paraId="2F4CC235">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pacing w:val="-2"/>
          <w:sz w:val="24"/>
          <w:szCs w:val="24"/>
          <w:highlight w:val="none"/>
        </w:rPr>
      </w:pPr>
      <w:bookmarkStart w:id="111" w:name="_Toc218692275"/>
      <w:bookmarkStart w:id="112" w:name="_Toc20720"/>
      <w:r>
        <w:rPr>
          <w:rFonts w:hint="eastAsia" w:ascii="宋体" w:hAnsi="宋体" w:eastAsia="宋体" w:cs="宋体"/>
          <w:color w:val="auto"/>
          <w:spacing w:val="-2"/>
          <w:sz w:val="24"/>
          <w:szCs w:val="24"/>
          <w:highlight w:val="none"/>
        </w:rPr>
        <w:t>一、合同文件构成</w:t>
      </w:r>
      <w:bookmarkEnd w:id="111"/>
      <w:bookmarkEnd w:id="112"/>
    </w:p>
    <w:p w14:paraId="27F7332A">
      <w:pPr>
        <w:pStyle w:val="16"/>
        <w:widowControl/>
        <w:kinsoku w:val="0"/>
        <w:autoSpaceDE w:val="0"/>
        <w:autoSpaceDN w:val="0"/>
        <w:adjustRightInd w:val="0"/>
        <w:snapToGrid w:val="0"/>
        <w:spacing w:after="0" w:line="360" w:lineRule="auto"/>
        <w:ind w:firstLine="456" w:firstLineChars="200"/>
        <w:textAlignment w:val="baseline"/>
        <w:rPr>
          <w:rFonts w:hint="eastAsia" w:eastAsia="宋体"/>
          <w:color w:val="auto"/>
          <w:sz w:val="24"/>
          <w:szCs w:val="24"/>
          <w:highlight w:val="none"/>
        </w:rPr>
      </w:pPr>
      <w:r>
        <w:rPr>
          <w:rFonts w:hint="eastAsia" w:eastAsia="宋体"/>
          <w:color w:val="auto"/>
          <w:spacing w:val="-6"/>
          <w:sz w:val="24"/>
          <w:szCs w:val="24"/>
          <w:highlight w:val="none"/>
        </w:rPr>
        <w:t>构成本合同的文件包括：</w:t>
      </w:r>
    </w:p>
    <w:p w14:paraId="4171CC0A">
      <w:pPr>
        <w:pStyle w:val="16"/>
        <w:widowControl/>
        <w:kinsoku w:val="0"/>
        <w:autoSpaceDE w:val="0"/>
        <w:autoSpaceDN w:val="0"/>
        <w:adjustRightInd w:val="0"/>
        <w:snapToGrid w:val="0"/>
        <w:spacing w:after="0" w:line="360" w:lineRule="auto"/>
        <w:ind w:firstLine="432" w:firstLineChars="200"/>
        <w:textAlignment w:val="baseline"/>
        <w:rPr>
          <w:rFonts w:hint="eastAsia" w:eastAsia="宋体"/>
          <w:color w:val="auto"/>
          <w:sz w:val="24"/>
          <w:szCs w:val="24"/>
          <w:highlight w:val="none"/>
        </w:rPr>
      </w:pPr>
      <w:r>
        <w:rPr>
          <w:rFonts w:hint="eastAsia" w:eastAsia="宋体"/>
          <w:color w:val="auto"/>
          <w:spacing w:val="-12"/>
          <w:sz w:val="24"/>
          <w:szCs w:val="24"/>
          <w:highlight w:val="none"/>
        </w:rPr>
        <w:t>（一）本合同、补充协议；</w:t>
      </w:r>
    </w:p>
    <w:p w14:paraId="2F2342EA">
      <w:pPr>
        <w:pStyle w:val="16"/>
        <w:widowControl/>
        <w:kinsoku w:val="0"/>
        <w:autoSpaceDE w:val="0"/>
        <w:autoSpaceDN w:val="0"/>
        <w:adjustRightInd w:val="0"/>
        <w:snapToGrid w:val="0"/>
        <w:spacing w:after="0" w:line="360" w:lineRule="auto"/>
        <w:ind w:firstLine="452" w:firstLineChars="200"/>
        <w:textAlignment w:val="baseline"/>
        <w:rPr>
          <w:rFonts w:hint="eastAsia" w:eastAsia="宋体"/>
          <w:color w:val="auto"/>
          <w:sz w:val="24"/>
          <w:szCs w:val="24"/>
          <w:highlight w:val="none"/>
        </w:rPr>
      </w:pPr>
      <w:r>
        <w:rPr>
          <w:rFonts w:hint="eastAsia" w:eastAsia="宋体"/>
          <w:color w:val="auto"/>
          <w:spacing w:val="-7"/>
          <w:sz w:val="24"/>
          <w:szCs w:val="24"/>
          <w:highlight w:val="none"/>
        </w:rPr>
        <w:t>（二）中标通知书（含乙方承诺函等</w:t>
      </w:r>
      <w:r>
        <w:rPr>
          <w:rFonts w:hint="eastAsia" w:eastAsia="宋体"/>
          <w:color w:val="auto"/>
          <w:spacing w:val="2"/>
          <w:sz w:val="24"/>
          <w:szCs w:val="24"/>
          <w:highlight w:val="none"/>
        </w:rPr>
        <w:t>）；</w:t>
      </w:r>
    </w:p>
    <w:p w14:paraId="770A8265">
      <w:pPr>
        <w:pStyle w:val="16"/>
        <w:widowControl/>
        <w:kinsoku w:val="0"/>
        <w:autoSpaceDE w:val="0"/>
        <w:autoSpaceDN w:val="0"/>
        <w:adjustRightInd w:val="0"/>
        <w:snapToGrid w:val="0"/>
        <w:spacing w:after="0" w:line="360" w:lineRule="auto"/>
        <w:ind w:firstLine="452" w:firstLineChars="200"/>
        <w:textAlignment w:val="baseline"/>
        <w:rPr>
          <w:rFonts w:hint="eastAsia" w:eastAsia="宋体"/>
          <w:color w:val="auto"/>
          <w:spacing w:val="-7"/>
          <w:sz w:val="24"/>
          <w:szCs w:val="24"/>
          <w:highlight w:val="none"/>
        </w:rPr>
      </w:pPr>
      <w:r>
        <w:rPr>
          <w:rFonts w:hint="eastAsia" w:eastAsia="宋体"/>
          <w:color w:val="auto"/>
          <w:spacing w:val="-7"/>
          <w:sz w:val="24"/>
          <w:szCs w:val="24"/>
          <w:highlight w:val="none"/>
        </w:rPr>
        <w:t>（三）甲方发出的招标文件（项目编号</w:t>
      </w:r>
      <w:r>
        <w:rPr>
          <w:rFonts w:hint="eastAsia" w:eastAsia="宋体"/>
          <w:color w:val="auto"/>
          <w:spacing w:val="-15"/>
          <w:sz w:val="24"/>
          <w:szCs w:val="24"/>
          <w:highlight w:val="none"/>
        </w:rPr>
        <w:t>：</w:t>
      </w:r>
      <w:r>
        <w:rPr>
          <w:rFonts w:hint="eastAsia" w:eastAsia="宋体"/>
          <w:color w:val="auto"/>
          <w:spacing w:val="1"/>
          <w:sz w:val="24"/>
          <w:szCs w:val="24"/>
          <w:highlight w:val="none"/>
          <w:u w:val="single"/>
        </w:rPr>
        <w:t xml:space="preserve">         </w:t>
      </w:r>
      <w:r>
        <w:rPr>
          <w:rFonts w:hint="eastAsia" w:eastAsia="宋体"/>
          <w:color w:val="auto"/>
          <w:spacing w:val="-15"/>
          <w:sz w:val="24"/>
          <w:szCs w:val="24"/>
          <w:highlight w:val="none"/>
        </w:rPr>
        <w:t xml:space="preserve"> ）（</w:t>
      </w:r>
      <w:r>
        <w:rPr>
          <w:rFonts w:hint="eastAsia" w:eastAsia="宋体"/>
          <w:color w:val="auto"/>
          <w:spacing w:val="-7"/>
          <w:sz w:val="24"/>
          <w:szCs w:val="24"/>
          <w:highlight w:val="none"/>
        </w:rPr>
        <w:t>含招标补充文件等）；</w:t>
      </w:r>
    </w:p>
    <w:p w14:paraId="7CD02F30">
      <w:pPr>
        <w:pStyle w:val="16"/>
        <w:widowControl/>
        <w:kinsoku w:val="0"/>
        <w:autoSpaceDE w:val="0"/>
        <w:autoSpaceDN w:val="0"/>
        <w:adjustRightInd w:val="0"/>
        <w:snapToGrid w:val="0"/>
        <w:spacing w:after="0" w:line="360" w:lineRule="auto"/>
        <w:ind w:firstLine="460" w:firstLineChars="200"/>
        <w:textAlignment w:val="baseline"/>
        <w:rPr>
          <w:rFonts w:hint="eastAsia" w:eastAsia="宋体"/>
          <w:color w:val="auto"/>
          <w:sz w:val="24"/>
          <w:szCs w:val="24"/>
          <w:highlight w:val="none"/>
        </w:rPr>
      </w:pPr>
      <w:r>
        <w:rPr>
          <w:rFonts w:hint="eastAsia" w:eastAsia="宋体"/>
          <w:color w:val="auto"/>
          <w:spacing w:val="-5"/>
          <w:sz w:val="24"/>
          <w:szCs w:val="24"/>
          <w:highlight w:val="none"/>
        </w:rPr>
        <w:t>（四）乙方提供的投标文件（含澄清文件及承诺等</w:t>
      </w:r>
      <w:r>
        <w:rPr>
          <w:rFonts w:hint="eastAsia" w:eastAsia="宋体"/>
          <w:color w:val="auto"/>
          <w:spacing w:val="1"/>
          <w:sz w:val="24"/>
          <w:szCs w:val="24"/>
          <w:highlight w:val="none"/>
        </w:rPr>
        <w:t>）；</w:t>
      </w:r>
    </w:p>
    <w:p w14:paraId="34CD818B">
      <w:pPr>
        <w:pStyle w:val="16"/>
        <w:widowControl/>
        <w:kinsoku w:val="0"/>
        <w:autoSpaceDE w:val="0"/>
        <w:autoSpaceDN w:val="0"/>
        <w:adjustRightInd w:val="0"/>
        <w:snapToGrid w:val="0"/>
        <w:spacing w:after="0" w:line="360" w:lineRule="auto"/>
        <w:ind w:firstLine="468" w:firstLineChars="200"/>
        <w:textAlignment w:val="baseline"/>
        <w:rPr>
          <w:rFonts w:hint="eastAsia" w:eastAsia="宋体"/>
          <w:color w:val="auto"/>
          <w:sz w:val="24"/>
          <w:szCs w:val="24"/>
          <w:highlight w:val="none"/>
        </w:rPr>
      </w:pPr>
      <w:r>
        <w:rPr>
          <w:rFonts w:hint="eastAsia" w:eastAsia="宋体"/>
          <w:color w:val="auto"/>
          <w:spacing w:val="-3"/>
          <w:sz w:val="24"/>
          <w:szCs w:val="24"/>
          <w:highlight w:val="none"/>
        </w:rPr>
        <w:t>（五）本合同的附件或经双方确认的采购清单。</w:t>
      </w:r>
    </w:p>
    <w:p w14:paraId="4E0BE1D3">
      <w:pPr>
        <w:widowControl/>
        <w:kinsoku w:val="0"/>
        <w:autoSpaceDE w:val="0"/>
        <w:autoSpaceDN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在合同订立及履行过程中形成的与合同有关的文件均构成合同文件组成部分，属于同一类内</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4"/>
          <w:sz w:val="24"/>
          <w:szCs w:val="24"/>
          <w:highlight w:val="none"/>
        </w:rPr>
        <w:t>容的文件，应以最新签署的为准。</w:t>
      </w:r>
    </w:p>
    <w:p w14:paraId="34C74BD6">
      <w:pPr>
        <w:pStyle w:val="16"/>
        <w:widowControl/>
        <w:kinsoku w:val="0"/>
        <w:autoSpaceDE w:val="0"/>
        <w:autoSpaceDN w:val="0"/>
        <w:adjustRightInd w:val="0"/>
        <w:snapToGrid w:val="0"/>
        <w:spacing w:after="0" w:line="360" w:lineRule="auto"/>
        <w:ind w:firstLine="460" w:firstLineChars="200"/>
        <w:textAlignment w:val="baseline"/>
        <w:rPr>
          <w:rFonts w:hint="eastAsia" w:eastAsia="宋体"/>
          <w:color w:val="auto"/>
          <w:sz w:val="24"/>
          <w:szCs w:val="24"/>
          <w:highlight w:val="none"/>
        </w:rPr>
      </w:pPr>
      <w:r>
        <w:rPr>
          <w:rFonts w:hint="eastAsia" w:eastAsia="宋体"/>
          <w:color w:val="auto"/>
          <w:spacing w:val="-5"/>
          <w:sz w:val="24"/>
          <w:szCs w:val="24"/>
          <w:highlight w:val="none"/>
        </w:rPr>
        <w:t>附件须经合同当事人签名并盖章。</w:t>
      </w:r>
    </w:p>
    <w:p w14:paraId="212CE7FF">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z w:val="24"/>
          <w:szCs w:val="24"/>
          <w:highlight w:val="none"/>
        </w:rPr>
      </w:pPr>
      <w:bookmarkStart w:id="113" w:name="_Toc218692276"/>
      <w:bookmarkStart w:id="114" w:name="_Toc13248"/>
      <w:r>
        <w:rPr>
          <w:rFonts w:hint="eastAsia" w:ascii="宋体" w:hAnsi="宋体" w:eastAsia="宋体" w:cs="宋体"/>
          <w:color w:val="auto"/>
          <w:spacing w:val="-2"/>
          <w:sz w:val="24"/>
          <w:szCs w:val="24"/>
          <w:highlight w:val="none"/>
        </w:rPr>
        <w:t>二、</w:t>
      </w:r>
      <w:bookmarkEnd w:id="113"/>
      <w:r>
        <w:rPr>
          <w:rFonts w:hint="eastAsia" w:ascii="宋体" w:hAnsi="宋体" w:eastAsia="宋体" w:cs="宋体"/>
          <w:b/>
          <w:color w:val="auto"/>
          <w:kern w:val="0"/>
          <w:sz w:val="24"/>
          <w:szCs w:val="24"/>
          <w:highlight w:val="none"/>
        </w:rPr>
        <w:t>合同履行期限及履约保证金</w:t>
      </w:r>
      <w:bookmarkEnd w:id="114"/>
    </w:p>
    <w:p w14:paraId="7ED64261">
      <w:pPr>
        <w:widowControl/>
        <w:shd w:val="clear" w:color="auto" w:fill="FFFFFF"/>
        <w:spacing w:line="360" w:lineRule="auto"/>
        <w:ind w:firstLine="436"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（一）供货服务期</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1"/>
          <w:sz w:val="24"/>
          <w:szCs w:val="24"/>
          <w:highlight w:val="none"/>
        </w:rPr>
        <w:t>年，即：</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1"/>
          <w:sz w:val="24"/>
          <w:szCs w:val="24"/>
          <w:highlight w:val="none"/>
        </w:rPr>
        <w:t>月</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1"/>
          <w:sz w:val="24"/>
          <w:szCs w:val="24"/>
          <w:highlight w:val="none"/>
        </w:rPr>
        <w:t>至</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u w:val="single"/>
        </w:rPr>
        <w:t xml:space="preserve">    </w:t>
      </w:r>
      <w:r>
        <w:rPr>
          <w:rFonts w:hint="eastAsia" w:ascii="宋体" w:hAnsi="宋体" w:eastAsia="宋体" w:cs="宋体"/>
          <w:color w:val="auto"/>
          <w:spacing w:val="-11"/>
          <w:sz w:val="24"/>
          <w:szCs w:val="24"/>
          <w:highlight w:val="none"/>
        </w:rPr>
        <w:t>月</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1"/>
          <w:sz w:val="24"/>
          <w:szCs w:val="24"/>
          <w:highlight w:val="none"/>
        </w:rPr>
        <w:t>日止。</w:t>
      </w:r>
      <w:r>
        <w:rPr>
          <w:rFonts w:hint="eastAsia" w:ascii="宋体" w:hAnsi="宋体" w:eastAsia="宋体" w:cs="宋体"/>
          <w:color w:val="auto"/>
          <w:sz w:val="24"/>
          <w:szCs w:val="24"/>
          <w:highlight w:val="none"/>
        </w:rPr>
        <w:t>本次合同履行期限为三年，合同一年一签。（根据上一服务周期供应配送服务考核情况续签。）</w:t>
      </w:r>
    </w:p>
    <w:p w14:paraId="3A20C93E">
      <w:pPr>
        <w:widowControl/>
        <w:shd w:val="clear" w:color="auto" w:fill="FFFFFF"/>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履约保证金金额：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万元。合同履行完毕且不存在任何违约情形，</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一次性无息退还。  </w:t>
      </w:r>
    </w:p>
    <w:p w14:paraId="3D243BF8">
      <w:pPr>
        <w:widowControl/>
        <w:shd w:val="clear" w:color="auto" w:fill="FFFFFF"/>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履约保证金形式： 支票、汇票、本票、或者金融机构、担保机构出具的保函、银行转账等非现金形式提交。</w:t>
      </w:r>
    </w:p>
    <w:p w14:paraId="43AD2153">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三</w:t>
      </w:r>
      <w:r>
        <w:rPr>
          <w:rFonts w:hint="eastAsia" w:ascii="宋体" w:hAnsi="宋体" w:eastAsia="宋体" w:cs="宋体"/>
          <w:color w:val="auto"/>
          <w:spacing w:val="-3"/>
          <w:sz w:val="24"/>
          <w:szCs w:val="24"/>
          <w:highlight w:val="none"/>
        </w:rPr>
        <w:t>）服务期内，如遇规章或相关政策调整，导致本合同无法继续履行的，乙方应无条件配合</w:t>
      </w:r>
      <w:r>
        <w:rPr>
          <w:rFonts w:hint="eastAsia" w:ascii="宋体" w:hAnsi="宋体" w:eastAsia="宋体" w:cs="宋体"/>
          <w:color w:val="auto"/>
          <w:spacing w:val="-1"/>
          <w:sz w:val="24"/>
          <w:szCs w:val="24"/>
          <w:highlight w:val="none"/>
        </w:rPr>
        <w:t>甲方提前终止本合同，甲方提前终止本合同的行为不视为违约，不按照本合同相关约定承担违约</w:t>
      </w:r>
      <w:r>
        <w:rPr>
          <w:rFonts w:hint="eastAsia" w:ascii="宋体" w:hAnsi="宋体" w:eastAsia="宋体" w:cs="宋体"/>
          <w:color w:val="auto"/>
          <w:spacing w:val="-13"/>
          <w:sz w:val="24"/>
          <w:szCs w:val="24"/>
          <w:highlight w:val="none"/>
        </w:rPr>
        <w:t>责任。</w:t>
      </w:r>
    </w:p>
    <w:p w14:paraId="76BBA7D5">
      <w:pPr>
        <w:widowControl/>
        <w:kinsoku w:val="0"/>
        <w:autoSpaceDE w:val="0"/>
        <w:autoSpaceDN w:val="0"/>
        <w:adjustRightInd w:val="0"/>
        <w:snapToGrid w:val="0"/>
        <w:spacing w:line="360" w:lineRule="auto"/>
        <w:ind w:firstLine="476" w:firstLineChars="200"/>
        <w:textAlignment w:val="baseline"/>
        <w:outlineLvl w:val="1"/>
        <w:rPr>
          <w:rFonts w:hint="eastAsia" w:ascii="宋体" w:hAnsi="宋体" w:eastAsia="宋体" w:cs="宋体"/>
          <w:color w:val="auto"/>
          <w:sz w:val="24"/>
          <w:szCs w:val="24"/>
          <w:highlight w:val="none"/>
        </w:rPr>
      </w:pPr>
      <w:bookmarkStart w:id="115" w:name="_Toc218692277"/>
      <w:bookmarkStart w:id="116" w:name="_Toc3701"/>
      <w:r>
        <w:rPr>
          <w:rFonts w:hint="eastAsia" w:ascii="宋体" w:hAnsi="宋体" w:eastAsia="宋体" w:cs="宋体"/>
          <w:color w:val="auto"/>
          <w:spacing w:val="-1"/>
          <w:sz w:val="24"/>
          <w:szCs w:val="24"/>
          <w:highlight w:val="none"/>
        </w:rPr>
        <w:t>三、合同金额、食材供应的品种及单价</w:t>
      </w:r>
      <w:bookmarkEnd w:id="115"/>
      <w:bookmarkEnd w:id="116"/>
    </w:p>
    <w:p w14:paraId="0147CC09">
      <w:pPr>
        <w:pStyle w:val="16"/>
        <w:widowControl/>
        <w:kinsoku w:val="0"/>
        <w:autoSpaceDE w:val="0"/>
        <w:autoSpaceDN w:val="0"/>
        <w:adjustRightInd w:val="0"/>
        <w:snapToGrid w:val="0"/>
        <w:spacing w:after="0" w:line="360" w:lineRule="auto"/>
        <w:ind w:firstLine="460"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5"/>
          <w:sz w:val="24"/>
          <w:szCs w:val="24"/>
          <w:highlight w:val="none"/>
        </w:rPr>
        <w:t>（一）预计年采购金额为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万元（本合同实际金额以双方结算为准）。乙方在供应甲</w:t>
      </w:r>
      <w:r>
        <w:rPr>
          <w:rFonts w:hint="eastAsia" w:ascii="宋体" w:hAnsi="宋体" w:eastAsia="宋体" w:cs="宋体"/>
          <w:color w:val="auto"/>
          <w:spacing w:val="-6"/>
          <w:sz w:val="24"/>
          <w:szCs w:val="24"/>
          <w:highlight w:val="none"/>
        </w:rPr>
        <w:t>方食品</w:t>
      </w:r>
      <w:r>
        <w:rPr>
          <w:rFonts w:hint="eastAsia" w:ascii="宋体" w:hAnsi="宋体" w:eastAsia="宋体" w:cs="宋体"/>
          <w:color w:val="auto"/>
          <w:spacing w:val="-3"/>
          <w:sz w:val="24"/>
          <w:szCs w:val="24"/>
          <w:highlight w:val="none"/>
        </w:rPr>
        <w:t>过程中所报价格应根据市场供需及经营成本合理定价，实际食材价格以本合</w:t>
      </w:r>
      <w:r>
        <w:rPr>
          <w:rFonts w:hint="eastAsia" w:ascii="宋体" w:hAnsi="宋体" w:eastAsia="宋体" w:cs="宋体"/>
          <w:color w:val="auto"/>
          <w:spacing w:val="-4"/>
          <w:sz w:val="24"/>
          <w:szCs w:val="24"/>
          <w:highlight w:val="none"/>
        </w:rPr>
        <w:t>同附件所列单价为准。</w:t>
      </w:r>
    </w:p>
    <w:p w14:paraId="5B654095">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（二）食材种类：包括但不限于蔬菜水果类、肉制品类、蛋奶类、米面粮油类、调味品类等。</w:t>
      </w:r>
    </w:p>
    <w:p w14:paraId="7C5E2CA8">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（三）采购食材的具体品种、单价及交货时间：详见本合同附件。</w:t>
      </w:r>
    </w:p>
    <w:p w14:paraId="6A2DC8A6">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（四）食材价格调整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甲乙双方均知悉并理解食材价格受市场因素影响的基本规则，因此，双方按照如下方式对采购食材的价格进行</w:t>
      </w:r>
      <w:r>
        <w:rPr>
          <w:rFonts w:hint="eastAsia" w:ascii="宋体" w:hAnsi="宋体" w:eastAsia="宋体" w:cs="宋体"/>
          <w:color w:val="auto"/>
          <w:sz w:val="24"/>
          <w:szCs w:val="24"/>
          <w:highlight w:val="none"/>
          <w:lang w:val="en-US" w:eastAsia="zh-CN"/>
        </w:rPr>
        <w:t>调度</w:t>
      </w:r>
      <w:r>
        <w:rPr>
          <w:rFonts w:hint="eastAsia" w:ascii="宋体" w:hAnsi="宋体" w:eastAsia="宋体" w:cs="宋体"/>
          <w:color w:val="auto"/>
          <w:sz w:val="24"/>
          <w:szCs w:val="24"/>
          <w:highlight w:val="none"/>
        </w:rPr>
        <w:t>：</w:t>
      </w:r>
    </w:p>
    <w:p w14:paraId="17041EAD">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（1）单价定价：①</w:t>
      </w:r>
      <w:r>
        <w:rPr>
          <w:rFonts w:hint="eastAsia" w:ascii="宋体" w:hAnsi="宋体" w:eastAsia="宋体" w:cs="宋体"/>
          <w:color w:val="auto"/>
          <w:kern w:val="0"/>
          <w:sz w:val="24"/>
          <w:szCs w:val="24"/>
          <w:highlight w:val="none"/>
          <w:lang w:val="en-US" w:eastAsia="zh-CN"/>
        </w:rPr>
        <w:t>定价</w:t>
      </w:r>
      <w:r>
        <w:rPr>
          <w:rFonts w:hint="eastAsia" w:ascii="宋体" w:hAnsi="宋体" w:eastAsia="宋体" w:cs="宋体"/>
          <w:color w:val="auto"/>
          <w:kern w:val="0"/>
          <w:sz w:val="24"/>
          <w:szCs w:val="24"/>
          <w:highlight w:val="none"/>
        </w:rPr>
        <w:t>采用按实际市场平均价优惠下浮。②实际市场平均价：大米、食用油、面粉、面条、奶制品、米线（含卷粉、饵丝等）、烘焙糕点、干菜调料、干果、糖果类、预包装食品等价格波动不大的食材一学年询价一次，肉类（含猪、牛、羊、禽、水产品等）、蔬菜（含豆制品类）、水果等价格波动大的食材每月询价一次。由学校、膳食监督委员会家委、</w:t>
      </w:r>
      <w:r>
        <w:rPr>
          <w:rFonts w:hint="eastAsia" w:ascii="宋体" w:hAnsi="宋体" w:eastAsia="宋体" w:cs="宋体"/>
          <w:color w:val="auto"/>
          <w:kern w:val="0"/>
          <w:sz w:val="24"/>
          <w:szCs w:val="24"/>
          <w:highlight w:val="none"/>
          <w:lang w:val="en-US" w:eastAsia="zh-CN"/>
        </w:rPr>
        <w:t>中标供应商</w:t>
      </w:r>
      <w:r>
        <w:rPr>
          <w:rFonts w:hint="eastAsia" w:ascii="宋体" w:hAnsi="宋体" w:eastAsia="宋体" w:cs="宋体"/>
          <w:color w:val="auto"/>
          <w:kern w:val="0"/>
          <w:sz w:val="24"/>
          <w:szCs w:val="24"/>
          <w:highlight w:val="none"/>
        </w:rPr>
        <w:t>等相关部门组成询价小组每月到澄江市辖区内市场或商铺不少于三家的均值及市场询价后定价</w:t>
      </w:r>
      <w:r>
        <w:rPr>
          <w:rFonts w:hint="eastAsia" w:ascii="宋体" w:hAnsi="宋体" w:eastAsia="宋体" w:cs="宋体"/>
          <w:color w:val="auto"/>
          <w:kern w:val="0"/>
          <w:sz w:val="24"/>
          <w:szCs w:val="24"/>
          <w:highlight w:val="none"/>
          <w:lang w:eastAsia="zh-CN"/>
        </w:rPr>
        <w:t>。</w:t>
      </w:r>
    </w:p>
    <w:p w14:paraId="00BFFC15">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结算方式：食品食材总价=结算单价×实际供应数量，其中结算单价=（1—中标下浮率）×询价后的确定的单价，价格包含了供应商货物的价格、人工费、配送车辆的使用费、运杂费、堆放食材的仓库使用费、物资装卸费、食品安全质量必备检测费、利润、税金以及国家规定的各项费用等一切费用，并按要求提供增值税发票，</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不再另行支付其他费用。</w:t>
      </w:r>
    </w:p>
    <w:p w14:paraId="40B47EA2">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）如遇特殊情况需调整价格执行周期，</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与供应商提前三天协商解决，供货商须配合。</w:t>
      </w:r>
    </w:p>
    <w:p w14:paraId="1D4FCC99">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送货价格包含税费、货物运输和搬运过程中产生的所有费用，甲方在此过程中不再支付其它任何费用。</w:t>
      </w:r>
    </w:p>
    <w:p w14:paraId="6CD92CDB">
      <w:pPr>
        <w:pStyle w:val="16"/>
        <w:widowControl/>
        <w:kinsoku w:val="0"/>
        <w:autoSpaceDE w:val="0"/>
        <w:autoSpaceDN w:val="0"/>
        <w:adjustRightInd w:val="0"/>
        <w:snapToGrid w:val="0"/>
        <w:spacing w:after="0" w:line="360" w:lineRule="auto"/>
        <w:ind w:firstLine="480" w:firstLineChars="200"/>
        <w:textAlignment w:val="baseline"/>
        <w:rPr>
          <w:rFonts w:hint="default" w:ascii="宋体" w:hAnsi="宋体" w:eastAsia="宋体" w:cs="宋体"/>
          <w:color w:val="auto"/>
          <w:sz w:val="24"/>
          <w:szCs w:val="24"/>
          <w:highlight w:val="none"/>
          <w:u w:val="single"/>
          <w:lang w:val="en-US" w:eastAsia="zh-CN"/>
        </w:rPr>
      </w:pPr>
      <w:r>
        <w:rPr>
          <w:rFonts w:hint="eastAsia" w:eastAsia="宋体" w:cs="宋体"/>
          <w:color w:val="auto"/>
          <w:sz w:val="24"/>
          <w:szCs w:val="24"/>
          <w:highlight w:val="none"/>
          <w:lang w:eastAsia="zh-CN"/>
        </w:rPr>
        <w:t>（</w:t>
      </w:r>
      <w:r>
        <w:rPr>
          <w:rFonts w:hint="eastAsia" w:eastAsia="宋体" w:cs="宋体"/>
          <w:color w:val="auto"/>
          <w:sz w:val="24"/>
          <w:szCs w:val="24"/>
          <w:highlight w:val="none"/>
          <w:lang w:val="en-US" w:eastAsia="zh-CN"/>
        </w:rPr>
        <w:t>5</w:t>
      </w:r>
      <w:r>
        <w:rPr>
          <w:rFonts w:hint="eastAsia" w:eastAsia="宋体" w:cs="宋体"/>
          <w:color w:val="auto"/>
          <w:sz w:val="24"/>
          <w:szCs w:val="24"/>
          <w:highlight w:val="none"/>
          <w:lang w:eastAsia="zh-CN"/>
        </w:rPr>
        <w:t>）</w:t>
      </w:r>
      <w:r>
        <w:rPr>
          <w:rFonts w:hint="eastAsia" w:eastAsia="宋体" w:cs="宋体"/>
          <w:color w:val="auto"/>
          <w:sz w:val="24"/>
          <w:szCs w:val="24"/>
          <w:highlight w:val="none"/>
          <w:lang w:val="en-US" w:eastAsia="zh-CN"/>
        </w:rPr>
        <w:t>其他：</w:t>
      </w:r>
      <w:r>
        <w:rPr>
          <w:rFonts w:hint="eastAsia" w:eastAsia="宋体" w:cs="宋体"/>
          <w:color w:val="auto"/>
          <w:sz w:val="24"/>
          <w:szCs w:val="24"/>
          <w:highlight w:val="none"/>
          <w:u w:val="single"/>
          <w:lang w:val="en-US" w:eastAsia="zh-CN"/>
        </w:rPr>
        <w:t xml:space="preserve">                                            </w:t>
      </w:r>
    </w:p>
    <w:p w14:paraId="2D94D660">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z w:val="24"/>
          <w:szCs w:val="24"/>
          <w:highlight w:val="none"/>
        </w:rPr>
      </w:pPr>
      <w:bookmarkStart w:id="117" w:name="_Toc218692278"/>
      <w:bookmarkStart w:id="118" w:name="_Toc26009"/>
      <w:r>
        <w:rPr>
          <w:rFonts w:hint="eastAsia" w:ascii="宋体" w:hAnsi="宋体" w:eastAsia="宋体" w:cs="宋体"/>
          <w:color w:val="auto"/>
          <w:spacing w:val="-2"/>
          <w:sz w:val="24"/>
          <w:szCs w:val="24"/>
          <w:highlight w:val="none"/>
        </w:rPr>
        <w:t>四、资质及票证索取要求</w:t>
      </w:r>
      <w:bookmarkEnd w:id="117"/>
      <w:bookmarkEnd w:id="118"/>
    </w:p>
    <w:p w14:paraId="443CD2F0">
      <w:pPr>
        <w:pStyle w:val="16"/>
        <w:widowControl/>
        <w:kinsoku w:val="0"/>
        <w:autoSpaceDE w:val="0"/>
        <w:autoSpaceDN w:val="0"/>
        <w:adjustRightInd w:val="0"/>
        <w:snapToGrid w:val="0"/>
        <w:spacing w:after="0" w:line="360" w:lineRule="auto"/>
        <w:ind w:firstLine="48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（一）资质要求：乙方应于本协议签订前</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
          <w:sz w:val="24"/>
          <w:szCs w:val="24"/>
          <w:highlight w:val="none"/>
        </w:rPr>
        <w:t>个工作日</w:t>
      </w:r>
      <w:r>
        <w:rPr>
          <w:rFonts w:hint="eastAsia" w:ascii="宋体" w:hAnsi="宋体" w:eastAsia="宋体" w:cs="宋体"/>
          <w:color w:val="auto"/>
          <w:sz w:val="24"/>
          <w:szCs w:val="24"/>
          <w:highlight w:val="none"/>
        </w:rPr>
        <w:t>内提供的相关证件：□《营业执照》</w:t>
      </w:r>
      <w:r>
        <w:rPr>
          <w:rFonts w:hint="eastAsia" w:ascii="宋体" w:hAnsi="宋体" w:eastAsia="宋体" w:cs="宋体"/>
          <w:color w:val="auto"/>
          <w:spacing w:val="3"/>
          <w:sz w:val="24"/>
          <w:szCs w:val="24"/>
          <w:highlight w:val="none"/>
        </w:rPr>
        <w:t>□《食品经营许可证》□《开户许可证</w:t>
      </w:r>
      <w:r>
        <w:rPr>
          <w:rFonts w:hint="eastAsia" w:ascii="宋体" w:hAnsi="宋体" w:eastAsia="宋体" w:cs="宋体"/>
          <w:color w:val="auto"/>
          <w:spacing w:val="2"/>
          <w:sz w:val="24"/>
          <w:szCs w:val="24"/>
          <w:highlight w:val="none"/>
        </w:rPr>
        <w:t>》□《食品生产许可证》□《检验报告》□《检疫</w:t>
      </w:r>
      <w:r>
        <w:rPr>
          <w:rFonts w:hint="eastAsia" w:ascii="宋体" w:hAnsi="宋体" w:eastAsia="宋体" w:cs="宋体"/>
          <w:color w:val="auto"/>
          <w:spacing w:val="1"/>
          <w:sz w:val="24"/>
          <w:szCs w:val="24"/>
          <w:highlight w:val="none"/>
        </w:rPr>
        <w:t>证明》□其他</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
          <w:sz w:val="24"/>
          <w:szCs w:val="24"/>
          <w:highlight w:val="none"/>
        </w:rPr>
        <w:t>。</w:t>
      </w:r>
    </w:p>
    <w:p w14:paraId="123B61C8">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（二）乙方必须提供采购点经营者的相关证件及食品质量的相关证件，供应蔬菜水果、肉制品</w:t>
      </w:r>
      <w:r>
        <w:rPr>
          <w:rFonts w:hint="eastAsia" w:ascii="宋体" w:hAnsi="宋体" w:eastAsia="宋体" w:cs="宋体"/>
          <w:color w:val="auto"/>
          <w:spacing w:val="-2"/>
          <w:sz w:val="24"/>
          <w:szCs w:val="24"/>
          <w:highlight w:val="none"/>
        </w:rPr>
        <w:t>类的，还应提供食用农产品</w:t>
      </w:r>
      <w:r>
        <w:rPr>
          <w:rFonts w:hint="eastAsia" w:eastAsia="宋体" w:cs="宋体"/>
          <w:color w:val="auto"/>
          <w:spacing w:val="-2"/>
          <w:sz w:val="24"/>
          <w:szCs w:val="24"/>
          <w:highlight w:val="none"/>
          <w:lang w:val="en-US" w:eastAsia="zh-CN"/>
        </w:rPr>
        <w:t>来源</w:t>
      </w:r>
      <w:r>
        <w:rPr>
          <w:rFonts w:hint="eastAsia" w:ascii="宋体" w:hAnsi="宋体" w:eastAsia="宋体" w:cs="宋体"/>
          <w:color w:val="auto"/>
          <w:spacing w:val="-2"/>
          <w:sz w:val="24"/>
          <w:szCs w:val="24"/>
          <w:highlight w:val="none"/>
        </w:rPr>
        <w:t>证明、农残检测报告、检验检疫报告等。</w:t>
      </w:r>
    </w:p>
    <w:p w14:paraId="5C08D709">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（三）乙方必须提供本次所供应食材的相关票证（包括但不限于发票、收据等购货凭证以及产</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2"/>
          <w:sz w:val="24"/>
          <w:szCs w:val="24"/>
          <w:highlight w:val="none"/>
        </w:rPr>
        <w:t>品合格证明文件等）。</w:t>
      </w:r>
    </w:p>
    <w:p w14:paraId="7C9C0EDC">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（四）甲方有权随时对乙方供应的食材进行抽查、抽检，发现食材不符合标准的，甲方有权退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回且不支付对应款项，发现</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次以上的，甲方有权解除</w:t>
      </w:r>
      <w:r>
        <w:rPr>
          <w:rFonts w:hint="eastAsia" w:ascii="宋体" w:hAnsi="宋体" w:eastAsia="宋体" w:cs="宋体"/>
          <w:color w:val="auto"/>
          <w:spacing w:val="-4"/>
          <w:sz w:val="24"/>
          <w:szCs w:val="24"/>
          <w:highlight w:val="none"/>
        </w:rPr>
        <w:t>合同。</w:t>
      </w:r>
    </w:p>
    <w:p w14:paraId="62C55FBF">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z w:val="24"/>
          <w:szCs w:val="24"/>
          <w:highlight w:val="none"/>
        </w:rPr>
      </w:pPr>
      <w:bookmarkStart w:id="119" w:name="_Toc218692279"/>
      <w:bookmarkStart w:id="120" w:name="_Toc6230"/>
      <w:r>
        <w:rPr>
          <w:rFonts w:hint="eastAsia" w:ascii="宋体" w:hAnsi="宋体" w:eastAsia="宋体" w:cs="宋体"/>
          <w:color w:val="auto"/>
          <w:spacing w:val="-2"/>
          <w:sz w:val="24"/>
          <w:szCs w:val="24"/>
          <w:highlight w:val="none"/>
        </w:rPr>
        <w:t>五、食材质量要求</w:t>
      </w:r>
      <w:bookmarkEnd w:id="119"/>
      <w:bookmarkEnd w:id="120"/>
    </w:p>
    <w:p w14:paraId="412D549C">
      <w:pPr>
        <w:spacing w:line="360" w:lineRule="auto"/>
        <w:ind w:firstLine="470" w:firstLineChars="196"/>
        <w:rPr>
          <w:rFonts w:hint="eastAsia" w:ascii="宋体" w:hAnsi="宋体" w:eastAsia="宋体" w:cs="宋体"/>
          <w:color w:val="auto"/>
          <w:sz w:val="24"/>
          <w:szCs w:val="20"/>
          <w:highlight w:val="none"/>
        </w:rPr>
      </w:pPr>
      <w:bookmarkStart w:id="121" w:name="_Toc218692280"/>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一</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大米：达到国标一级及以上等级粳米，符合《中华人民共和国食品安全法》、《中华人民共和国农产品质量安全法》、GB/T1354-2018《中华人民共和国国家标准(大米)》、GB2715-2016《食品安全国家标准（粮食）》、国家相关质量检验标准、卫生标准及地方的相关法律法规要求，所供粮食质保期不少于产品所规定质保期的80%，且为非转基因制品。</w:t>
      </w:r>
    </w:p>
    <w:p w14:paraId="480A0077">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二</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面（含面粉、面条）</w:t>
      </w:r>
    </w:p>
    <w:p w14:paraId="6A31E321">
      <w:pPr>
        <w:spacing w:line="360" w:lineRule="auto"/>
        <w:ind w:firstLine="710" w:firstLineChars="2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面粉： 达到国标一级及以上等级面粉（标准粉），符合《中华人民共和国食品安全法》、《中华人民共和国农产品质量安全法》、《GB/T 1355-2021（小麦粉）》标准。所供货物质保期不少于产品所规定质保期的80%，且为非转基因植物制品。</w:t>
      </w:r>
    </w:p>
    <w:p w14:paraId="7D5B89A4">
      <w:pPr>
        <w:spacing w:line="360" w:lineRule="auto"/>
        <w:ind w:firstLine="710" w:firstLineChars="2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面条：必须符合《中华人民共和国食品安全法》、《中华人民共和国农产品质量安全法》、《GB/T 40636-2021（挂面）》标准和国家相关质量检验标准、卫生标准及地方的相关法律法规要求。所供货物质保期不少于产品所规定质保期的80%，且为非转基因植物制品。</w:t>
      </w:r>
    </w:p>
    <w:p w14:paraId="26BA64FF">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三</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食用油：供应的食用植物油（国标一级及以上纯菜籽油）必须符合GB/T1536-2021《中华人民共和国国家标准（植物油）》或GB2716《食品安全国家标准（植物油）》和国家相关质量检验标准、卫生标准及地方的相关法律法规要求，且所供食用植物油质保期不少于产品所规定质保期的80%。每批次食用植物油无变质，符合国家食品卫生有关规定并取得卫生许可证、生产或经营许可证和质检报告，所供应食用植物油为非转基因物理压榨纯菜籽油。</w:t>
      </w:r>
    </w:p>
    <w:p w14:paraId="2B69F57D">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四</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干菜调料（含鸡蛋、海带、花生等）</w:t>
      </w:r>
    </w:p>
    <w:p w14:paraId="27770166">
      <w:pPr>
        <w:spacing w:line="360" w:lineRule="auto"/>
        <w:ind w:firstLine="710" w:firstLineChars="296"/>
        <w:rPr>
          <w:rFonts w:hint="eastAsia" w:ascii="宋体" w:hAnsi="宋体" w:eastAsia="宋体" w:cs="宋体"/>
          <w:color w:val="auto"/>
          <w:sz w:val="24"/>
          <w:szCs w:val="20"/>
          <w:highlight w:val="none"/>
        </w:rPr>
      </w:pPr>
      <w:bookmarkStart w:id="122" w:name="OLE_LINK16"/>
      <w:bookmarkStart w:id="123" w:name="OLE_LINK21"/>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干菜类：必须符合《中华人民共和国食品安全法》和国家相关质量检验标准、卫生标准及地方的相关法律法规要求，农药残留、重金属、亚硝酸盐不得超过国家限定范围标准。</w:t>
      </w:r>
    </w:p>
    <w:p w14:paraId="753A5AFD">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酱油、醋、料酒：必须符合《中华人民共和国食品安全法》、GB2717-2018《酱油》标准、GB2719-2018《食醋》标准、SB/T10416-2007《调味料酒》标准或国家最新相关质量检验标准、卫生标准及地方的相关法律法规要求。</w:t>
      </w:r>
    </w:p>
    <w:p w14:paraId="7B3D928F">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腌菜：必须符合《中华人民共和国食品安全法》或国家最新相关质量检验标准、卫生标准及地方的相关法律法规要求，须为包装食品。</w:t>
      </w:r>
    </w:p>
    <w:p w14:paraId="1D447226">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食盐：必须符合《中华人民共和国食品安全法》、GB/T5461-2016《食用盐》标准或国家最新相关质量检验标准、卫生标准及地方的相关法律法规要求。</w:t>
      </w:r>
    </w:p>
    <w:p w14:paraId="009BD5FE">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味精：必须符合《中华人民共和国食品安全法》、GB 2720-2015《味精》或国家最新相关质量检验标准、卫生标准及地方的相关法律法规要求。</w:t>
      </w:r>
    </w:p>
    <w:p w14:paraId="034581CF">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糖：必须符合《中华人民共和国食品安全法》、GB13104-2014《食品安全国家标准-食糖》或国家最新相关质量检验标准、卫生标准及地方的相关法律法规要求。</w:t>
      </w:r>
    </w:p>
    <w:p w14:paraId="00856753">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蛋类：符合《GB 2749-2015 食品安全国家标准（蛋与蛋制品）》标准或国家最新相关质量检验标准、卫生标准及地方的相关法律法规要求。具有长期产品质量合格的信誉保证，产蛋的蛋禽经农业部门检疫合格，提供检疫合格证明材料，能提供质监部门出具的合格的各批次产品质量检测报告。</w:t>
      </w:r>
    </w:p>
    <w:p w14:paraId="7A96D45E">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其它调味品：必须符合《中华人民共和国食品安全法》或国家最新相关质量检验标准、卫生标准及地方的相关法律法规要求。</w:t>
      </w:r>
    </w:p>
    <w:bookmarkEnd w:id="122"/>
    <w:bookmarkEnd w:id="123"/>
    <w:p w14:paraId="65579DA2">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五</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其它食品食材及食堂相关用品：符合所采购货品的国家及行业标准。</w:t>
      </w:r>
    </w:p>
    <w:p w14:paraId="57D50BA7">
      <w:pPr>
        <w:spacing w:line="360" w:lineRule="auto"/>
        <w:ind w:firstLine="470" w:firstLineChars="196"/>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六</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牛奶、奶制品及糕点类</w:t>
      </w:r>
    </w:p>
    <w:p w14:paraId="6F780C04">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（1）牛奶：保质期</w:t>
      </w:r>
      <w:r>
        <w:rPr>
          <w:rFonts w:hint="eastAsia" w:ascii="宋体" w:hAnsi="宋体" w:eastAsia="宋体" w:cs="宋体"/>
          <w:color w:val="auto"/>
          <w:sz w:val="24"/>
          <w:szCs w:val="20"/>
          <w:highlight w:val="none"/>
          <w:lang w:val="en-US" w:eastAsia="zh-CN"/>
        </w:rPr>
        <w:t>不超过1/2</w:t>
      </w:r>
      <w:r>
        <w:rPr>
          <w:rFonts w:hint="eastAsia" w:ascii="宋体" w:hAnsi="宋体" w:eastAsia="宋体" w:cs="宋体"/>
          <w:color w:val="auto"/>
          <w:sz w:val="24"/>
          <w:szCs w:val="20"/>
          <w:highlight w:val="none"/>
        </w:rPr>
        <w:t>；必须符合GB19645-2010《食品安全国家标准巴氏杀菌乳》标准或GB25190-2010《食品安全国家标准灭菌乳》标准。</w:t>
      </w:r>
    </w:p>
    <w:p w14:paraId="244E05E0">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面包、糕点等必须符合GB28050-2011《产品安全国家标准》或GB7099-2015食品安全国家标准》(糕点、面包)、《预包装产品营养标签通则》和GB/T20981-2007的规定。</w:t>
      </w:r>
    </w:p>
    <w:p w14:paraId="0653663B">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七</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 xml:space="preserve">猪肉类：必须符合《中华人民共和国食品安全法》、动物检验检疫管理办法和国家相关质量检验标准、卫生标准及地方的相关法律法规要求。所有猪肉类必须为当天宰杀，并由取得国家定点屠宰许可的屠宰场提供，经动物卫生检疫机构检疫合格，加盖检疫合格印章和屠宰场印章。出具供货企业或乙方名称相符的《动物检验检疫证明》《肉品品质检验报告》。 </w:t>
      </w:r>
    </w:p>
    <w:p w14:paraId="2B712E33">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其它肉禽及水产类：必须符合《中华人民共和国食品安全法》、动物检验检疫管理办法和国家相关质量检验标准、卫生标准及地方的相关法律法规要求。所有肉类必须为当天宰杀，并符合检疫要求。提供给回族学生的肉类食品必须是清真肉类食品。</w:t>
      </w:r>
    </w:p>
    <w:p w14:paraId="4804421A">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九</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蔬菜类:叶菜：外形正常，叶梗光滑幼嫩，不干瘪凋萎，无过多黄叶色泽正常，去除根须，不含土，无虫害。配菜类(根茎、果类):无虫咬、发芽、发霉现象，成熟度良好、新鲜。货物合格率应达 95%。农药残留应符合国家标准。接受市场监督管理局的定期、不定期抽查。采购尽量以本地为主，尽量缩短运输时间及里程，所供应的蔬菜类产品在运送、存储过程中必须做好防污染工作。蔬菜类农药残留限量须符合GB 2763-2021《食品安全国家标准 食品中农药最大残留限量》规定要求，污染物限量须符合GB 2762-2022《食品安全国家标准食品中污染物限量》规定要求。并且提供配送批次的农药残留检测报告。</w:t>
      </w:r>
    </w:p>
    <w:p w14:paraId="24A40590">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十</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米线、卷粉、饵丝（块）：必须符合《食品安全地方标准-鲜米线》DBS53017-2014、DBS53/017-2023食品安全地方标准及国家相关质量检验标准、卫生标准及地方的相关法律法规要求。供应商必须供应由正规厂家生产的制品，杜绝黑作坊商品，提供货源来源渠道证明。</w:t>
      </w:r>
    </w:p>
    <w:p w14:paraId="7A842442">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十一</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对所供产品的质量负责，所提供的产品必须达到国家及有关部门的相关标准,如因产品质量问题造成学生安全事故，投标人必须在一小时内到达现场处理，并由投标人承担全部经济责任和法律责任，甲方可单方解除合同，要求投标人承担违约责任及赔偿责任。</w:t>
      </w:r>
    </w:p>
    <w:p w14:paraId="104ABB52">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十二</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保证产品完好率100%。如出现与样品不一致或瑕疵产品，投标人无条件及时更换，所产生的一切费用由投标人全部承担。</w:t>
      </w:r>
    </w:p>
    <w:p w14:paraId="185A74DE">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注：（1）如乙方配送物资达不到上述对应物资质量要求，甲方有权拒收，并扣除乙方单批次货物总价的10%-20%作为处罚。</w:t>
      </w:r>
    </w:p>
    <w:p w14:paraId="509C049A">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（2）为切实保障学生用餐的质量安全，</w:t>
      </w:r>
      <w:r>
        <w:rPr>
          <w:rFonts w:hint="eastAsia" w:ascii="宋体" w:hAnsi="宋体" w:eastAsia="宋体" w:cs="宋体"/>
          <w:color w:val="auto"/>
          <w:sz w:val="24"/>
          <w:szCs w:val="20"/>
          <w:highlight w:val="none"/>
          <w:lang w:val="en-US" w:eastAsia="zh-CN"/>
        </w:rPr>
        <w:t>澄江市机关幼儿园</w:t>
      </w:r>
      <w:r>
        <w:rPr>
          <w:rFonts w:hint="eastAsia" w:ascii="宋体" w:hAnsi="宋体" w:eastAsia="宋体" w:cs="宋体"/>
          <w:color w:val="auto"/>
          <w:sz w:val="24"/>
          <w:szCs w:val="20"/>
          <w:highlight w:val="none"/>
        </w:rPr>
        <w:t>可向第三方检测单位申请对供应商所供食品进行抽样检测（检测费由供货商承担），检测单位向供应商出具食品质量检验报告，同时将检验结果报送领导小组备案，如食品检测不符合报告不符合上述质量要求，甲方有权拒收，并扣除乙方已配送货物总价的10%-20%作为处罚。</w:t>
      </w:r>
    </w:p>
    <w:p w14:paraId="10CBB98E">
      <w:pPr>
        <w:spacing w:line="360" w:lineRule="auto"/>
        <w:ind w:firstLine="470" w:firstLineChars="19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（3）在合同履行过程中，如国家相关质量检验标准、卫生标准及地方的相关法律法规有新标准出台，按新标准执行。</w:t>
      </w:r>
    </w:p>
    <w:p w14:paraId="4FD573C0">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（4）中标人供应的所有食堂食材均需要制作、签署《云南省食用农产品承诺达标合格证》一二联，并加盖公章。</w:t>
      </w:r>
    </w:p>
    <w:p w14:paraId="33B3793F">
      <w:pPr>
        <w:widowControl/>
        <w:kinsoku w:val="0"/>
        <w:autoSpaceDE w:val="0"/>
        <w:autoSpaceDN w:val="0"/>
        <w:adjustRightInd w:val="0"/>
        <w:snapToGrid w:val="0"/>
        <w:spacing w:line="360" w:lineRule="auto"/>
        <w:ind w:firstLine="476" w:firstLineChars="200"/>
        <w:textAlignment w:val="baseline"/>
        <w:outlineLvl w:val="1"/>
        <w:rPr>
          <w:rFonts w:hint="eastAsia" w:ascii="宋体" w:hAnsi="宋体" w:eastAsia="宋体" w:cs="宋体"/>
          <w:color w:val="auto"/>
          <w:spacing w:val="-4"/>
          <w:sz w:val="24"/>
          <w:szCs w:val="24"/>
          <w:highlight w:val="none"/>
        </w:rPr>
      </w:pPr>
      <w:bookmarkStart w:id="124" w:name="_Toc19926"/>
      <w:r>
        <w:rPr>
          <w:rFonts w:hint="eastAsia" w:ascii="宋体" w:hAnsi="宋体" w:eastAsia="宋体" w:cs="宋体"/>
          <w:color w:val="auto"/>
          <w:spacing w:val="-1"/>
          <w:sz w:val="24"/>
          <w:szCs w:val="24"/>
          <w:highlight w:val="none"/>
        </w:rPr>
        <w:t>六、交货地点、时间、数量及验收</w:t>
      </w:r>
      <w:bookmarkEnd w:id="121"/>
      <w:r>
        <w:rPr>
          <w:rFonts w:hint="eastAsia" w:ascii="宋体" w:hAnsi="宋体" w:eastAsia="宋体" w:cs="宋体"/>
          <w:color w:val="auto"/>
          <w:spacing w:val="-1"/>
          <w:sz w:val="24"/>
          <w:szCs w:val="24"/>
          <w:highlight w:val="none"/>
          <w:lang w:val="en-US" w:eastAsia="zh-CN"/>
        </w:rPr>
        <w:t>要求</w:t>
      </w:r>
      <w:bookmarkEnd w:id="124"/>
    </w:p>
    <w:p w14:paraId="31613A41">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严格按甲方需求，提供合格、优质并符合中华人民共和国有关质量标准及卫生标准和达到采购清单中技术规格要求。确保其供应的货物质量达到合同买方要求，如不能满足买方要求，则买方有权向卖方提出退换或索赔的要求，情节严重的提前终止采购合同，并承担相应经济及法律责任。</w:t>
      </w:r>
    </w:p>
    <w:p w14:paraId="2832824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严格遵守《食品卫生法》、《产品质量法》、《消费者权益保护法》等相关规定，一经发现供应商供应的货物存在质量问题的，除全部退货外，将取消供应商的供货资格，没收全部履约保证金，并承担由此造成的经济责任和法律责任。</w:t>
      </w:r>
    </w:p>
    <w:p w14:paraId="597A8081">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交货地点：</w:t>
      </w:r>
    </w:p>
    <w:p w14:paraId="533E96CA">
      <w:pPr>
        <w:widowControl/>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第一片区：澄江市机关幼儿园、澄江市机关幼儿园（立昌园区）、澄江市九村中心幼儿园</w:t>
      </w:r>
    </w:p>
    <w:p w14:paraId="56E96DA6">
      <w:pPr>
        <w:widowControl/>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第二片区：</w:t>
      </w:r>
      <w:r>
        <w:rPr>
          <w:rFonts w:hint="eastAsia" w:ascii="宋体" w:hAnsi="宋体" w:eastAsia="宋体" w:cs="宋体"/>
          <w:color w:val="auto"/>
          <w:sz w:val="24"/>
          <w:szCs w:val="24"/>
          <w:highlight w:val="none"/>
          <w:lang w:val="en-US" w:eastAsia="zh-CN"/>
        </w:rPr>
        <w:t>澄江市凤麓中心幼儿园、澄江市右所中心幼儿园、澄江市路居中心幼儿园、澄江市海口中心幼儿园</w:t>
      </w:r>
    </w:p>
    <w:p w14:paraId="02AEFF2C">
      <w:pPr>
        <w:widowControl/>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交货方式：</w:t>
      </w:r>
    </w:p>
    <w:p w14:paraId="2873C402">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严格按甲方需求，提供合格、优质并符合中华人民共和国有关质量标准及卫生标准和达到采购清单中技术规格要求。确保其供应的货物质量达到合同买方要求，如不能满足买方要求，则买方有权向卖方提出退换或索赔的要求，情节严重的提前终止采购合同，并承担相应经济及法律责任。</w:t>
      </w:r>
    </w:p>
    <w:p w14:paraId="71E9691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严格遵守《食品卫生法》、《产品质量法》、《消费者权益保护法》等相关规定，一经发现供应商供应的货物存在质量问题的，除全部退货外，将取消供应商的供货资格，没收全部履约保证金，并承担由此造成的经济责任和法律责任。</w:t>
      </w:r>
    </w:p>
    <w:p w14:paraId="78C3780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交货方式：按照订货量分批次交货。</w:t>
      </w:r>
    </w:p>
    <w:p w14:paraId="65053DA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、配送要求：</w:t>
      </w:r>
    </w:p>
    <w:p w14:paraId="67957CD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w:t>
      </w:r>
      <w:r>
        <w:rPr>
          <w:rFonts w:hint="eastAsia" w:ascii="宋体" w:hAnsi="宋体" w:eastAsia="宋体" w:cs="宋体"/>
          <w:color w:val="auto"/>
          <w:sz w:val="24"/>
          <w:szCs w:val="24"/>
          <w:highlight w:val="none"/>
          <w:lang w:val="en-US" w:eastAsia="zh-CN"/>
        </w:rPr>
        <w:t>在送货前一天下午15:00</w:t>
      </w:r>
      <w:r>
        <w:rPr>
          <w:rFonts w:hint="eastAsia" w:ascii="宋体" w:hAnsi="宋体" w:eastAsia="宋体" w:cs="宋体"/>
          <w:color w:val="auto"/>
          <w:sz w:val="24"/>
          <w:szCs w:val="24"/>
          <w:highlight w:val="none"/>
        </w:rPr>
        <w:t>前，通过传真或电话、电子邮件、微信等方式将明日食堂 “食堂食材配送明细表”（包含需配送的食堂名称及需求食材的名称、种类、规格、数量、运送时间、送达地点、订单联系人等具体要求。）通知食堂食材乙方以便分装配送。</w:t>
      </w:r>
    </w:p>
    <w:p w14:paraId="03F92196">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（2）乙方收到明日各食堂 “食堂食材配送明细表”后，须通过电话告知甲方予以确认。</w:t>
      </w:r>
    </w:p>
    <w:p w14:paraId="7EBC9DFE">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（3）甲方次日上午</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点前有权调整食堂食材的需求数量，乙方须满足要求，并以确认的本周期食堂 《食品食材价格执行表》的价格结算调整需求量。</w:t>
      </w:r>
    </w:p>
    <w:p w14:paraId="26EA24F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食品食材应按学校食堂要求时间供货，要求乙方对学校食堂所需物资保证能做到日配送，特殊情况下需临时增加配送任务时，20分钟内响应，1小时内将所需物资配送至指定校点。如乙方漏单则须无条件补货，补货物资必须在规定时间内补货至食堂。如因货物未按时送达，影响食堂正常工作，甲方有权给予供应配送服务方每次扣款</w:t>
      </w:r>
      <w:r>
        <w:rPr>
          <w:rFonts w:hint="eastAsia" w:ascii="宋体" w:hAnsi="宋体" w:eastAsia="宋体" w:cs="宋体"/>
          <w:color w:val="auto"/>
          <w:sz w:val="24"/>
          <w:szCs w:val="24"/>
          <w:highlight w:val="none"/>
          <w:lang w:val="en-US" w:eastAsia="zh-CN"/>
        </w:rPr>
        <w:t>货款三倍</w:t>
      </w:r>
      <w:r>
        <w:rPr>
          <w:rFonts w:hint="eastAsia" w:ascii="宋体" w:hAnsi="宋体" w:eastAsia="宋体" w:cs="宋体"/>
          <w:color w:val="auto"/>
          <w:sz w:val="24"/>
          <w:szCs w:val="24"/>
          <w:highlight w:val="none"/>
        </w:rPr>
        <w:t>违约金，每月不得超过</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次，否则甲方有权单方面解除合同。</w:t>
      </w:r>
    </w:p>
    <w:p w14:paraId="315AF34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（5）配送车辆、人员：配送车辆、人员应相对固定；运输车辆为厢式冷藏货车,车体内外干净、整洁；不得人货混装；配送人员有健康证。</w:t>
      </w:r>
    </w:p>
    <w:p w14:paraId="53CEBB3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应根据甲方的分装要求（食堂、品种、数量）进行独立分装。盛装容器必须使用食品专用袋、白色编织袋、竹筐、塑料筐、网袋、纸箱，确保配送的食材包装完好、干净、无破损污染。否则，甲方有权拒收。</w:t>
      </w:r>
    </w:p>
    <w:p w14:paraId="59E8803C">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（7）如遇特殊情况甲方需调整配送时间，甲、乙双方提前一天协商解决，乙方须配合。</w:t>
      </w:r>
    </w:p>
    <w:p w14:paraId="5FEBBEDB">
      <w:pPr>
        <w:widowControl/>
        <w:spacing w:line="360" w:lineRule="auto"/>
        <w:ind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8）乙方接到订单后，个别品种因天气、季节等客观原因缺货而无法提供或质量无法保证的，乙方应在接到订单当天及时知会甲方，并协商好解决方法，经甲方同意修改订单，严禁未经甲方同意私自调换品种或部分品种、数量而不响应。</w:t>
      </w:r>
    </w:p>
    <w:p w14:paraId="41E0C1A7">
      <w:pPr>
        <w:pStyle w:val="16"/>
        <w:widowControl/>
        <w:kinsoku w:val="0"/>
        <w:autoSpaceDE w:val="0"/>
        <w:autoSpaceDN w:val="0"/>
        <w:adjustRightInd w:val="0"/>
        <w:snapToGrid w:val="0"/>
        <w:spacing w:after="0" w:line="360" w:lineRule="auto"/>
        <w:ind w:firstLine="44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w:t>
      </w:r>
      <w:r>
        <w:rPr>
          <w:rFonts w:hint="eastAsia" w:eastAsia="宋体" w:cs="宋体"/>
          <w:color w:val="auto"/>
          <w:spacing w:val="-8"/>
          <w:sz w:val="24"/>
          <w:szCs w:val="24"/>
          <w:highlight w:val="none"/>
          <w:lang w:eastAsia="zh-CN"/>
        </w:rPr>
        <w:t>五</w:t>
      </w:r>
      <w:r>
        <w:rPr>
          <w:rFonts w:hint="eastAsia" w:ascii="宋体" w:hAnsi="宋体" w:eastAsia="宋体" w:cs="宋体"/>
          <w:color w:val="auto"/>
          <w:spacing w:val="-8"/>
          <w:sz w:val="24"/>
          <w:szCs w:val="24"/>
          <w:highlight w:val="none"/>
        </w:rPr>
        <w:t>）验收</w:t>
      </w:r>
    </w:p>
    <w:p w14:paraId="56B44B0E">
      <w:pPr>
        <w:spacing w:line="360" w:lineRule="auto"/>
        <w:ind w:firstLine="420"/>
        <w:rPr>
          <w:rFonts w:hint="eastAsia" w:ascii="宋体" w:hAnsi="宋体" w:eastAsia="宋体" w:cs="宋体"/>
          <w:color w:val="auto"/>
          <w:sz w:val="24"/>
          <w:szCs w:val="24"/>
          <w:highlight w:val="none"/>
        </w:rPr>
      </w:pPr>
      <w:bookmarkStart w:id="125" w:name="_Toc218692281"/>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甲方食堂采购员、食堂保管共同到场验收，合格的签收验收单作为结算依据，不合格的拒收。</w:t>
      </w:r>
    </w:p>
    <w:p w14:paraId="6E65F21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甲方严格按照招标文件进行品种、质量验收:</w:t>
      </w:r>
    </w:p>
    <w:p w14:paraId="1C45518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A.乙方出具《云南省食用农产品承诺达标合格证》《农药残留检验合格报告》《动物检疫合格证》</w:t>
      </w:r>
      <w:r>
        <w:rPr>
          <w:rFonts w:hint="eastAsia" w:ascii="宋体" w:hAnsi="宋体" w:eastAsia="宋体" w:cs="宋体"/>
          <w:color w:val="auto"/>
          <w:sz w:val="24"/>
          <w:szCs w:val="24"/>
          <w:highlight w:val="none"/>
          <w:lang w:eastAsia="zh-CN"/>
        </w:rPr>
        <w:t>等食品质检报告或合格证</w:t>
      </w:r>
      <w:r>
        <w:rPr>
          <w:rFonts w:hint="eastAsia" w:ascii="宋体" w:hAnsi="宋体" w:eastAsia="宋体" w:cs="宋体"/>
          <w:color w:val="auto"/>
          <w:sz w:val="24"/>
          <w:szCs w:val="24"/>
          <w:highlight w:val="none"/>
        </w:rPr>
        <w:t>；甲方验收人员对照</w:t>
      </w:r>
      <w:r>
        <w:rPr>
          <w:rFonts w:hint="eastAsia" w:ascii="宋体" w:hAnsi="宋体" w:eastAsia="宋体" w:cs="宋体"/>
          <w:color w:val="auto"/>
          <w:sz w:val="24"/>
          <w:szCs w:val="24"/>
          <w:highlight w:val="none"/>
          <w:lang w:eastAsia="zh-CN"/>
        </w:rPr>
        <w:t>质检报告</w:t>
      </w:r>
      <w:r>
        <w:rPr>
          <w:rFonts w:hint="eastAsia" w:ascii="宋体" w:hAnsi="宋体" w:eastAsia="宋体" w:cs="宋体"/>
          <w:color w:val="auto"/>
          <w:sz w:val="24"/>
          <w:szCs w:val="24"/>
          <w:highlight w:val="none"/>
        </w:rPr>
        <w:t>逐一对食堂食材进行验收；无</w:t>
      </w:r>
      <w:r>
        <w:rPr>
          <w:rFonts w:hint="eastAsia" w:ascii="宋体" w:hAnsi="宋体" w:eastAsia="宋体" w:cs="宋体"/>
          <w:color w:val="auto"/>
          <w:sz w:val="24"/>
          <w:szCs w:val="24"/>
          <w:highlight w:val="none"/>
          <w:lang w:eastAsia="zh-CN"/>
        </w:rPr>
        <w:t>质检报告</w:t>
      </w:r>
      <w:r>
        <w:rPr>
          <w:rFonts w:hint="eastAsia" w:ascii="宋体" w:hAnsi="宋体" w:eastAsia="宋体" w:cs="宋体"/>
          <w:color w:val="auto"/>
          <w:sz w:val="24"/>
          <w:szCs w:val="24"/>
          <w:highlight w:val="none"/>
        </w:rPr>
        <w:t>的食堂食材，甲方有权拒收。</w:t>
      </w:r>
    </w:p>
    <w:p w14:paraId="2A5CEF6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B.食堂食材数量以到达指定配送地点验收合格的食堂食材净重或数量为准</w:t>
      </w:r>
      <w:r>
        <w:rPr>
          <w:rFonts w:hint="eastAsia" w:ascii="宋体" w:hAnsi="宋体" w:eastAsia="宋体" w:cs="宋体"/>
          <w:color w:val="auto"/>
          <w:sz w:val="24"/>
          <w:szCs w:val="24"/>
          <w:highlight w:val="none"/>
          <w:lang w:eastAsia="zh-CN"/>
        </w:rPr>
        <w:t>，经双方签字后作为结算依据。</w:t>
      </w:r>
    </w:p>
    <w:p w14:paraId="5AC1D66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rPr>
        <w:t>.验收完毕时，甲方验收人员必须收取乙方出具的《云南省食用农产品承诺达标合格证》第二联、《农药残留检验合格报告》和《动物检疫合格证》</w:t>
      </w:r>
      <w:r>
        <w:rPr>
          <w:rFonts w:hint="eastAsia" w:ascii="宋体" w:hAnsi="宋体" w:eastAsia="宋体" w:cs="宋体"/>
          <w:color w:val="auto"/>
          <w:sz w:val="24"/>
          <w:szCs w:val="24"/>
          <w:highlight w:val="none"/>
          <w:lang w:eastAsia="zh-CN"/>
        </w:rPr>
        <w:t>等食品质检报告或合格证材料</w:t>
      </w:r>
      <w:r>
        <w:rPr>
          <w:rFonts w:hint="eastAsia" w:ascii="宋体" w:hAnsi="宋体" w:eastAsia="宋体" w:cs="宋体"/>
          <w:color w:val="auto"/>
          <w:sz w:val="24"/>
          <w:szCs w:val="24"/>
          <w:highlight w:val="none"/>
        </w:rPr>
        <w:t>。</w:t>
      </w:r>
    </w:p>
    <w:p w14:paraId="1A606A64">
      <w:pPr>
        <w:widowControl/>
        <w:kinsoku w:val="0"/>
        <w:autoSpaceDE w:val="0"/>
        <w:autoSpaceDN w:val="0"/>
        <w:adjustRightInd w:val="0"/>
        <w:snapToGrid w:val="0"/>
        <w:spacing w:line="360" w:lineRule="auto"/>
        <w:ind w:firstLine="476" w:firstLineChars="200"/>
        <w:textAlignment w:val="baseline"/>
        <w:outlineLvl w:val="1"/>
        <w:rPr>
          <w:rFonts w:hint="eastAsia" w:ascii="宋体" w:hAnsi="宋体" w:eastAsia="宋体" w:cs="宋体"/>
          <w:color w:val="auto"/>
          <w:sz w:val="24"/>
          <w:szCs w:val="24"/>
          <w:highlight w:val="none"/>
        </w:rPr>
      </w:pPr>
      <w:bookmarkStart w:id="126" w:name="_Toc8604"/>
      <w:r>
        <w:rPr>
          <w:rFonts w:hint="eastAsia" w:ascii="宋体" w:hAnsi="宋体" w:eastAsia="宋体" w:cs="宋体"/>
          <w:color w:val="auto"/>
          <w:spacing w:val="-1"/>
          <w:sz w:val="24"/>
          <w:szCs w:val="24"/>
          <w:highlight w:val="none"/>
        </w:rPr>
        <w:t>七、结算及付款方式</w:t>
      </w:r>
      <w:bookmarkEnd w:id="125"/>
      <w:bookmarkEnd w:id="126"/>
    </w:p>
    <w:p w14:paraId="16F4510A">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（一）甲乙双方按月进行货款结算，双方应在</w:t>
      </w:r>
      <w:r>
        <w:rPr>
          <w:rFonts w:hint="eastAsia" w:ascii="宋体" w:hAnsi="宋体" w:eastAsia="宋体" w:cs="宋体"/>
          <w:color w:val="auto"/>
          <w:spacing w:val="-2"/>
          <w:sz w:val="24"/>
          <w:szCs w:val="24"/>
          <w:highlight w:val="none"/>
          <w:lang w:val="en-US" w:eastAsia="zh-CN"/>
        </w:rPr>
        <w:t>当月25号</w:t>
      </w:r>
      <w:r>
        <w:rPr>
          <w:rFonts w:hint="eastAsia" w:ascii="宋体" w:hAnsi="宋体" w:eastAsia="宋体" w:cs="宋体"/>
          <w:color w:val="auto"/>
          <w:spacing w:val="-2"/>
          <w:sz w:val="24"/>
          <w:szCs w:val="24"/>
          <w:highlight w:val="none"/>
        </w:rPr>
        <w:t>（如遇周末及法定节假日则顺延）对上月供货情况及对应价款进行核对确认（以甲方授权委托代理人签字确认的配送验收清单所载内 容为准）并确定上月最终结算价款。</w:t>
      </w:r>
    </w:p>
    <w:p w14:paraId="70C60515">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（二）最终结算价款</w:t>
      </w:r>
      <w:r>
        <w:rPr>
          <w:rFonts w:hint="eastAsia" w:ascii="宋体" w:hAnsi="宋体" w:eastAsia="宋体" w:cs="宋体"/>
          <w:color w:val="auto"/>
          <w:spacing w:val="-2"/>
          <w:sz w:val="24"/>
          <w:szCs w:val="24"/>
          <w:highlight w:val="none"/>
          <w:lang w:val="en-US" w:eastAsia="zh-CN"/>
        </w:rPr>
        <w:t>的</w:t>
      </w:r>
      <w:r>
        <w:rPr>
          <w:rFonts w:hint="eastAsia" w:ascii="宋体" w:hAnsi="宋体" w:eastAsia="宋体" w:cs="宋体"/>
          <w:color w:val="auto"/>
          <w:sz w:val="24"/>
          <w:szCs w:val="24"/>
          <w:highlight w:val="none"/>
        </w:rPr>
        <w:t>价格均为含税价格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双方</w:t>
      </w:r>
      <w:r>
        <w:rPr>
          <w:rFonts w:hint="eastAsia" w:ascii="宋体" w:hAnsi="宋体" w:eastAsia="宋体" w:cs="宋体"/>
          <w:color w:val="auto"/>
          <w:spacing w:val="-2"/>
          <w:sz w:val="24"/>
          <w:szCs w:val="24"/>
          <w:highlight w:val="none"/>
        </w:rPr>
        <w:t>确认后，乙方应按照甲方的要求</w:t>
      </w:r>
      <w:r>
        <w:rPr>
          <w:rFonts w:hint="eastAsia" w:ascii="宋体" w:hAnsi="宋体" w:eastAsia="宋体" w:cs="宋体"/>
          <w:color w:val="auto"/>
          <w:spacing w:val="-2"/>
          <w:sz w:val="24"/>
          <w:szCs w:val="24"/>
          <w:highlight w:val="none"/>
          <w:lang w:val="en-US" w:eastAsia="zh-CN"/>
        </w:rPr>
        <w:t>在当月28日前</w:t>
      </w:r>
      <w:r>
        <w:rPr>
          <w:rFonts w:hint="eastAsia" w:ascii="宋体" w:hAnsi="宋体" w:eastAsia="宋体" w:cs="宋体"/>
          <w:color w:val="auto"/>
          <w:spacing w:val="-2"/>
          <w:sz w:val="24"/>
          <w:szCs w:val="24"/>
          <w:highlight w:val="none"/>
        </w:rPr>
        <w:t>向甲方</w:t>
      </w:r>
      <w:r>
        <w:rPr>
          <w:rFonts w:hint="eastAsia" w:ascii="宋体" w:hAnsi="宋体" w:eastAsia="宋体" w:cs="宋体"/>
          <w:color w:val="auto"/>
          <w:sz w:val="24"/>
          <w:szCs w:val="24"/>
          <w:highlight w:val="none"/>
        </w:rPr>
        <w:t>出</w:t>
      </w:r>
      <w:r>
        <w:rPr>
          <w:rFonts w:hint="eastAsia" w:ascii="宋体" w:hAnsi="宋体" w:eastAsia="宋体" w:cs="宋体"/>
          <w:color w:val="auto"/>
          <w:spacing w:val="-2"/>
          <w:sz w:val="24"/>
          <w:szCs w:val="24"/>
          <w:highlight w:val="none"/>
        </w:rPr>
        <w:t>具票款一致的正式税务发票，付款方式为银行对公转账方式支付。甲方经核实无异议后，在收到发票</w:t>
      </w: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rPr>
        <w:t>个工作日内将上月最终结算价款一次性支付至乙方指定银行账户。</w:t>
      </w:r>
    </w:p>
    <w:p w14:paraId="2068CD57">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pacing w:val="2"/>
          <w:sz w:val="24"/>
          <w:szCs w:val="24"/>
          <w:highlight w:val="none"/>
          <w:u w:val="single"/>
        </w:rPr>
      </w:pPr>
      <w:r>
        <w:rPr>
          <w:rFonts w:hint="eastAsia" w:ascii="宋体" w:hAnsi="宋体" w:eastAsia="宋体" w:cs="宋体"/>
          <w:color w:val="auto"/>
          <w:spacing w:val="-2"/>
          <w:sz w:val="24"/>
          <w:szCs w:val="24"/>
          <w:highlight w:val="none"/>
        </w:rPr>
        <w:t xml:space="preserve">（三）付款方式（银行转账）：         </w:t>
      </w:r>
      <w:r>
        <w:rPr>
          <w:rFonts w:hint="eastAsia" w:ascii="宋体" w:hAnsi="宋体" w:eastAsia="宋体" w:cs="宋体"/>
          <w:color w:val="auto"/>
          <w:spacing w:val="2"/>
          <w:sz w:val="24"/>
          <w:szCs w:val="24"/>
          <w:highlight w:val="none"/>
          <w:u w:val="single"/>
        </w:rPr>
        <w:t xml:space="preserve">       </w:t>
      </w:r>
    </w:p>
    <w:p w14:paraId="6BCC3549">
      <w:pPr>
        <w:pStyle w:val="16"/>
        <w:widowControl/>
        <w:kinsoku w:val="0"/>
        <w:autoSpaceDE w:val="0"/>
        <w:autoSpaceDN w:val="0"/>
        <w:adjustRightInd w:val="0"/>
        <w:snapToGrid w:val="0"/>
        <w:spacing w:after="0" w:line="360" w:lineRule="auto"/>
        <w:ind w:firstLine="476" w:firstLineChars="200"/>
        <w:jc w:val="left"/>
        <w:textAlignment w:val="baseline"/>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乙方银行账户名称：</w:t>
      </w:r>
      <w:r>
        <w:rPr>
          <w:rFonts w:hint="eastAsia" w:ascii="宋体" w:hAnsi="宋体" w:eastAsia="宋体" w:cs="宋体"/>
          <w:color w:val="auto"/>
          <w:spacing w:val="-1"/>
          <w:sz w:val="24"/>
          <w:szCs w:val="24"/>
          <w:highlight w:val="none"/>
          <w:u w:val="single"/>
        </w:rPr>
        <w:t xml:space="preserve">                       </w:t>
      </w:r>
    </w:p>
    <w:p w14:paraId="1F844536">
      <w:pPr>
        <w:pStyle w:val="16"/>
        <w:widowControl/>
        <w:kinsoku w:val="0"/>
        <w:autoSpaceDE w:val="0"/>
        <w:autoSpaceDN w:val="0"/>
        <w:adjustRightInd w:val="0"/>
        <w:snapToGrid w:val="0"/>
        <w:spacing w:after="0" w:line="360" w:lineRule="auto"/>
        <w:ind w:firstLine="476"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开户行：</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p>
    <w:p w14:paraId="034DFCAE">
      <w:pPr>
        <w:pStyle w:val="16"/>
        <w:widowControl/>
        <w:kinsoku w:val="0"/>
        <w:autoSpaceDE w:val="0"/>
        <w:autoSpaceDN w:val="0"/>
        <w:adjustRightInd w:val="0"/>
        <w:snapToGrid w:val="0"/>
        <w:spacing w:after="0" w:line="360" w:lineRule="auto"/>
        <w:ind w:firstLine="472"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账号：</w:t>
      </w:r>
      <w:r>
        <w:rPr>
          <w:rFonts w:hint="eastAsia" w:ascii="宋体" w:hAnsi="宋体" w:eastAsia="宋体" w:cs="宋体"/>
          <w:color w:val="auto"/>
          <w:sz w:val="24"/>
          <w:szCs w:val="24"/>
          <w:highlight w:val="none"/>
          <w:u w:val="single"/>
        </w:rPr>
        <w:t xml:space="preserve">                                   </w:t>
      </w:r>
    </w:p>
    <w:p w14:paraId="403F7E99">
      <w:pPr>
        <w:widowControl/>
        <w:kinsoku w:val="0"/>
        <w:autoSpaceDE w:val="0"/>
        <w:autoSpaceDN w:val="0"/>
        <w:adjustRightInd w:val="0"/>
        <w:snapToGrid w:val="0"/>
        <w:spacing w:line="360" w:lineRule="auto"/>
        <w:ind w:firstLine="476" w:firstLineChars="200"/>
        <w:textAlignment w:val="baseline"/>
        <w:outlineLvl w:val="1"/>
        <w:rPr>
          <w:rFonts w:hint="eastAsia" w:ascii="宋体" w:hAnsi="宋体" w:eastAsia="宋体" w:cs="宋体"/>
          <w:color w:val="auto"/>
          <w:sz w:val="24"/>
          <w:szCs w:val="24"/>
          <w:highlight w:val="none"/>
        </w:rPr>
      </w:pPr>
      <w:bookmarkStart w:id="127" w:name="_Toc218692282"/>
      <w:bookmarkStart w:id="128" w:name="_Toc28968"/>
      <w:r>
        <w:rPr>
          <w:rFonts w:hint="eastAsia" w:ascii="宋体" w:hAnsi="宋体" w:eastAsia="宋体" w:cs="宋体"/>
          <w:color w:val="auto"/>
          <w:spacing w:val="-1"/>
          <w:sz w:val="24"/>
          <w:szCs w:val="24"/>
          <w:highlight w:val="none"/>
        </w:rPr>
        <w:t>八、双方权利义务</w:t>
      </w:r>
      <w:bookmarkEnd w:id="127"/>
      <w:bookmarkEnd w:id="128"/>
    </w:p>
    <w:p w14:paraId="452230D1">
      <w:pPr>
        <w:pStyle w:val="16"/>
        <w:widowControl/>
        <w:kinsoku w:val="0"/>
        <w:autoSpaceDE w:val="0"/>
        <w:autoSpaceDN w:val="0"/>
        <w:adjustRightInd w:val="0"/>
        <w:snapToGrid w:val="0"/>
        <w:spacing w:after="0" w:line="360" w:lineRule="auto"/>
        <w:ind w:firstLine="44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（一）甲方权利义务</w:t>
      </w:r>
    </w:p>
    <w:p w14:paraId="1D6A8770">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rPr>
        <w:t>1.甲方应按约定时间向乙方下达次日或次周订单，以便乙方提前安排准备。乙方未按约定时间将食材运送到指定地点，甲方不予支付货款</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并对乙方进行该次货款三倍的处罚。</w:t>
      </w:r>
    </w:p>
    <w:p w14:paraId="45274CA8">
      <w:pPr>
        <w:pStyle w:val="16"/>
        <w:widowControl/>
        <w:kinsoku w:val="0"/>
        <w:autoSpaceDE w:val="0"/>
        <w:autoSpaceDN w:val="0"/>
        <w:adjustRightInd w:val="0"/>
        <w:snapToGrid w:val="0"/>
        <w:spacing w:after="0" w:line="360" w:lineRule="auto"/>
        <w:ind w:firstLine="45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6"/>
          <w:sz w:val="24"/>
          <w:szCs w:val="24"/>
          <w:highlight w:val="none"/>
        </w:rPr>
        <w:t>甲方应依据订单和供货清单对食材进行清点验收。对不符合甲方订单要求的食材</w:t>
      </w:r>
      <w:r>
        <w:rPr>
          <w:rFonts w:hint="eastAsia" w:ascii="宋体" w:hAnsi="宋体" w:eastAsia="宋体" w:cs="宋体"/>
          <w:color w:val="auto"/>
          <w:spacing w:val="-7"/>
          <w:sz w:val="24"/>
          <w:szCs w:val="24"/>
          <w:highlight w:val="none"/>
        </w:rPr>
        <w:t>，甲方</w:t>
      </w:r>
      <w:r>
        <w:rPr>
          <w:rFonts w:hint="eastAsia" w:ascii="宋体" w:hAnsi="宋体" w:eastAsia="宋体" w:cs="宋体"/>
          <w:color w:val="auto"/>
          <w:spacing w:val="-5"/>
          <w:sz w:val="24"/>
          <w:szCs w:val="24"/>
          <w:highlight w:val="none"/>
        </w:rPr>
        <w:t>有</w:t>
      </w:r>
      <w:r>
        <w:rPr>
          <w:rFonts w:hint="eastAsia" w:ascii="宋体" w:hAnsi="宋体" w:eastAsia="宋体" w:cs="宋体"/>
          <w:color w:val="auto"/>
          <w:spacing w:val="-4"/>
          <w:sz w:val="24"/>
          <w:szCs w:val="24"/>
          <w:highlight w:val="none"/>
        </w:rPr>
        <w:t>权拒收，由此产生的损失由乙方承担。</w:t>
      </w:r>
    </w:p>
    <w:p w14:paraId="696DFF1D">
      <w:pPr>
        <w:pStyle w:val="16"/>
        <w:widowControl/>
        <w:kinsoku w:val="0"/>
        <w:autoSpaceDE w:val="0"/>
        <w:autoSpaceDN w:val="0"/>
        <w:adjustRightInd w:val="0"/>
        <w:snapToGrid w:val="0"/>
        <w:spacing w:after="0" w:line="360" w:lineRule="auto"/>
        <w:ind w:firstLine="45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3.甲方</w:t>
      </w:r>
      <w:r>
        <w:rPr>
          <w:rFonts w:hint="eastAsia" w:ascii="宋体" w:hAnsi="宋体" w:eastAsia="宋体" w:cs="宋体"/>
          <w:color w:val="auto"/>
          <w:spacing w:val="-6"/>
          <w:sz w:val="24"/>
          <w:szCs w:val="24"/>
          <w:highlight w:val="none"/>
        </w:rPr>
        <w:t>有权将乙方供应食材送到相关质检部门进行质量检验。经检验，如存在质量达不到</w:t>
      </w:r>
      <w:r>
        <w:rPr>
          <w:rFonts w:hint="eastAsia" w:ascii="宋体" w:hAnsi="宋体" w:eastAsia="宋体" w:cs="宋体"/>
          <w:color w:val="auto"/>
          <w:spacing w:val="-2"/>
          <w:sz w:val="24"/>
          <w:szCs w:val="24"/>
          <w:highlight w:val="none"/>
        </w:rPr>
        <w:t>标准的，货款不予结算；</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如存在严重质量问题的，不予结算货款外，</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甲方有权单方终止本合同并要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求乙方承担相应经济赔偿责任。</w:t>
      </w:r>
    </w:p>
    <w:p w14:paraId="4E630B20">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4.甲方依据订单和供货清单进行验收，验收合格后，应当场在供货清单上签字确认，甲方应</w:t>
      </w:r>
      <w:r>
        <w:rPr>
          <w:rFonts w:hint="eastAsia" w:ascii="宋体" w:hAnsi="宋体" w:eastAsia="宋体" w:cs="宋体"/>
          <w:color w:val="auto"/>
          <w:spacing w:val="-2"/>
          <w:sz w:val="24"/>
          <w:szCs w:val="24"/>
          <w:highlight w:val="none"/>
        </w:rPr>
        <w:t>在乙方提供发票信息与实际发生信息一致时，按时向乙方支付费用。</w:t>
      </w:r>
    </w:p>
    <w:p w14:paraId="4FA4BDE0">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5.甲方验收食材后，应当按照保证食品安全的</w:t>
      </w:r>
      <w:r>
        <w:rPr>
          <w:rFonts w:hint="eastAsia" w:ascii="宋体" w:hAnsi="宋体" w:eastAsia="宋体" w:cs="宋体"/>
          <w:color w:val="auto"/>
          <w:spacing w:val="-3"/>
          <w:sz w:val="24"/>
          <w:szCs w:val="24"/>
          <w:highlight w:val="none"/>
        </w:rPr>
        <w:t>要求贮存食品，防止食品污染，定期检查库存</w:t>
      </w:r>
      <w:r>
        <w:rPr>
          <w:rFonts w:hint="eastAsia" w:ascii="宋体" w:hAnsi="宋体" w:eastAsia="宋体" w:cs="宋体"/>
          <w:color w:val="auto"/>
          <w:spacing w:val="-13"/>
          <w:sz w:val="24"/>
          <w:szCs w:val="24"/>
          <w:highlight w:val="none"/>
        </w:rPr>
        <w:t>食品。</w:t>
      </w:r>
    </w:p>
    <w:p w14:paraId="5BE32C3C">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6.甲方应当在食品（食材）贮存、加工区域配齐防蝇、防尘、防鼠等“三防”设备设施，做</w:t>
      </w:r>
      <w:r>
        <w:rPr>
          <w:rFonts w:hint="eastAsia" w:ascii="宋体" w:hAnsi="宋体" w:eastAsia="宋体" w:cs="宋体"/>
          <w:color w:val="auto"/>
          <w:spacing w:val="-1"/>
          <w:sz w:val="24"/>
          <w:szCs w:val="24"/>
          <w:highlight w:val="none"/>
        </w:rPr>
        <w:t>好老鼠、蟑螂、蝇（虫）等病媒生物防护工</w:t>
      </w:r>
      <w:r>
        <w:rPr>
          <w:rFonts w:hint="eastAsia" w:ascii="宋体" w:hAnsi="宋体" w:eastAsia="宋体" w:cs="宋体"/>
          <w:color w:val="auto"/>
          <w:spacing w:val="-2"/>
          <w:sz w:val="24"/>
          <w:szCs w:val="24"/>
          <w:highlight w:val="none"/>
        </w:rPr>
        <w:t>作，采取有效措施消除四害孽生条件。</w:t>
      </w:r>
    </w:p>
    <w:p w14:paraId="1308143B">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7.甲方膳食监督委员会应不定期对乙方经营的</w:t>
      </w:r>
      <w:r>
        <w:rPr>
          <w:rFonts w:hint="eastAsia" w:ascii="宋体" w:hAnsi="宋体" w:eastAsia="宋体" w:cs="宋体"/>
          <w:color w:val="auto"/>
          <w:spacing w:val="-3"/>
          <w:sz w:val="24"/>
          <w:szCs w:val="24"/>
          <w:highlight w:val="none"/>
        </w:rPr>
        <w:t>食材品质及来源进行检查。</w:t>
      </w:r>
    </w:p>
    <w:p w14:paraId="65118B19">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（二）乙方权利义务</w:t>
      </w:r>
    </w:p>
    <w:p w14:paraId="47E388E1">
      <w:pPr>
        <w:pStyle w:val="16"/>
        <w:widowControl/>
        <w:kinsoku w:val="0"/>
        <w:autoSpaceDE w:val="0"/>
        <w:autoSpaceDN w:val="0"/>
        <w:adjustRightInd w:val="0"/>
        <w:snapToGrid w:val="0"/>
        <w:spacing w:after="0" w:line="360" w:lineRule="auto"/>
        <w:ind w:firstLine="472" w:firstLineChars="200"/>
        <w:jc w:val="left"/>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1.乙方应严格按照《中华人民共和国食品安全法》《中华人民共和国农产品质量安全法》《中华人民共和国产品质量法》等法律和食品安全规范要求，向甲方提供符合质量标准和安全要求的 食品。建立健全食品进货查验记录、销售记录，并保存相关凭证。乙方属食品生产企业的，应建立产品（含名称、执行标准及标准内容、配料、生产工艺、标  签标识等）、原辅料、生产、销售、设备、设施、人员、召回、销毁、投诉等信息以供甲方备查。乙方属食品销售企业的，应建立进货、贮存、销售等信息以供甲方备</w:t>
      </w:r>
      <w:r>
        <w:rPr>
          <w:rFonts w:hint="eastAsia" w:ascii="宋体" w:hAnsi="宋体" w:eastAsia="宋体" w:cs="宋体"/>
          <w:color w:val="auto"/>
          <w:spacing w:val="-2"/>
          <w:sz w:val="24"/>
          <w:szCs w:val="24"/>
          <w:highlight w:val="none"/>
          <w:lang w:val="en-US" w:eastAsia="zh-CN"/>
        </w:rPr>
        <w:t>查</w:t>
      </w:r>
      <w:r>
        <w:rPr>
          <w:rFonts w:hint="eastAsia" w:ascii="宋体" w:hAnsi="宋体" w:eastAsia="宋体" w:cs="宋体"/>
          <w:color w:val="auto"/>
          <w:spacing w:val="-2"/>
          <w:sz w:val="24"/>
          <w:szCs w:val="24"/>
          <w:highlight w:val="none"/>
        </w:rPr>
        <w:t>。</w:t>
      </w:r>
    </w:p>
    <w:p w14:paraId="2C706090">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2.乙方应按照《企业落实食品安全主体责任监督管理办法》规定配备食品安全总监/食品安全员，落实“日管控、周排查、月调度”制度要求。</w:t>
      </w:r>
    </w:p>
    <w:p w14:paraId="33E68677">
      <w:pPr>
        <w:widowControl/>
        <w:kinsoku w:val="0"/>
        <w:autoSpaceDE w:val="0"/>
        <w:autoSpaceDN w:val="0"/>
        <w:adjustRightInd w:val="0"/>
        <w:snapToGrid w:val="0"/>
        <w:spacing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3.乙方应当在食品（食材）贮存、加工区域配齐防蝇、防尘、防鼠等“三防”设备设施，做</w:t>
      </w:r>
      <w:r>
        <w:rPr>
          <w:rFonts w:hint="eastAsia" w:ascii="宋体" w:hAnsi="宋体" w:eastAsia="宋体" w:cs="宋体"/>
          <w:color w:val="auto"/>
          <w:spacing w:val="-1"/>
          <w:sz w:val="24"/>
          <w:szCs w:val="24"/>
          <w:highlight w:val="none"/>
        </w:rPr>
        <w:t>好老鼠、蟑螂、蝇（虫）等病媒生物防护工</w:t>
      </w:r>
      <w:r>
        <w:rPr>
          <w:rFonts w:hint="eastAsia" w:ascii="宋体" w:hAnsi="宋体" w:eastAsia="宋体" w:cs="宋体"/>
          <w:color w:val="auto"/>
          <w:spacing w:val="-2"/>
          <w:sz w:val="24"/>
          <w:szCs w:val="24"/>
          <w:highlight w:val="none"/>
        </w:rPr>
        <w:t>作，采取有效措施消除四害孽生条件。</w:t>
      </w:r>
    </w:p>
    <w:p w14:paraId="4A32A010">
      <w:pPr>
        <w:spacing w:line="360" w:lineRule="auto"/>
        <w:ind w:firstLine="46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4.乙方应严格按照甲方订单中的品类、规格、质量及</w:t>
      </w:r>
      <w:r>
        <w:rPr>
          <w:rFonts w:hint="eastAsia" w:ascii="宋体" w:hAnsi="宋体" w:eastAsia="宋体" w:cs="宋体"/>
          <w:color w:val="auto"/>
          <w:spacing w:val="-6"/>
          <w:sz w:val="24"/>
          <w:szCs w:val="24"/>
          <w:highlight w:val="none"/>
        </w:rPr>
        <w:t>数量等进行配送，验收时甲方若发现食</w:t>
      </w:r>
      <w:r>
        <w:rPr>
          <w:rFonts w:hint="eastAsia" w:ascii="宋体" w:hAnsi="宋体" w:eastAsia="宋体" w:cs="宋体"/>
          <w:color w:val="auto"/>
          <w:spacing w:val="-1"/>
          <w:sz w:val="24"/>
          <w:szCs w:val="24"/>
          <w:highlight w:val="none"/>
        </w:rPr>
        <w:t>材质量不达标、重量不足或出现缺货漏货等情况，乙方应按</w:t>
      </w:r>
      <w:r>
        <w:rPr>
          <w:rFonts w:hint="eastAsia" w:ascii="宋体" w:hAnsi="宋体" w:eastAsia="宋体" w:cs="宋体"/>
          <w:color w:val="auto"/>
          <w:spacing w:val="-2"/>
          <w:sz w:val="24"/>
          <w:szCs w:val="24"/>
          <w:highlight w:val="none"/>
        </w:rPr>
        <w:t>照甲方的要求立即更换及补货。</w:t>
      </w:r>
    </w:p>
    <w:p w14:paraId="51012E55">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5.乙方</w:t>
      </w:r>
      <w:r>
        <w:rPr>
          <w:rFonts w:hint="eastAsia" w:ascii="宋体" w:hAnsi="宋体" w:eastAsia="宋体" w:cs="宋体"/>
          <w:color w:val="auto"/>
          <w:sz w:val="24"/>
          <w:szCs w:val="24"/>
          <w:highlight w:val="none"/>
        </w:rPr>
        <w:t>送货人员必须指定专人，不得随意调换，持有健康证，</w:t>
      </w:r>
      <w:r>
        <w:rPr>
          <w:rFonts w:hint="eastAsia" w:ascii="宋体" w:hAnsi="宋体" w:eastAsia="宋体" w:cs="宋体"/>
          <w:color w:val="auto"/>
          <w:spacing w:val="-6"/>
          <w:sz w:val="24"/>
          <w:szCs w:val="24"/>
          <w:highlight w:val="none"/>
        </w:rPr>
        <w:t>应保证送货车辆内外整洁，防止食品污染</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在运输货物过程</w:t>
      </w:r>
      <w:r>
        <w:rPr>
          <w:rFonts w:hint="eastAsia" w:ascii="宋体" w:hAnsi="宋体" w:eastAsia="宋体" w:cs="宋体"/>
          <w:color w:val="auto"/>
          <w:spacing w:val="-7"/>
          <w:sz w:val="24"/>
          <w:szCs w:val="24"/>
          <w:highlight w:val="none"/>
        </w:rPr>
        <w:t>中，严禁踩、踏、抛、摔</w:t>
      </w:r>
      <w:r>
        <w:rPr>
          <w:rFonts w:hint="eastAsia" w:ascii="宋体" w:hAnsi="宋体" w:eastAsia="宋体" w:cs="宋体"/>
          <w:color w:val="auto"/>
          <w:spacing w:val="-5"/>
          <w:sz w:val="24"/>
          <w:szCs w:val="24"/>
          <w:highlight w:val="none"/>
        </w:rPr>
        <w:t>货物，保持货物的完整性。</w:t>
      </w:r>
    </w:p>
    <w:p w14:paraId="4BE42B9F">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6.乙方承担从开始运输至经甲方验收合格前的一切损毁、变质风险，以及运输货</w:t>
      </w:r>
      <w:r>
        <w:rPr>
          <w:rFonts w:hint="eastAsia" w:ascii="宋体" w:hAnsi="宋体" w:eastAsia="宋体" w:cs="宋体"/>
          <w:color w:val="auto"/>
          <w:spacing w:val="-7"/>
          <w:sz w:val="24"/>
          <w:szCs w:val="24"/>
          <w:highlight w:val="none"/>
        </w:rPr>
        <w:t>物过程中所</w:t>
      </w:r>
      <w:r>
        <w:rPr>
          <w:rFonts w:hint="eastAsia" w:ascii="宋体" w:hAnsi="宋体" w:eastAsia="宋体" w:cs="宋体"/>
          <w:color w:val="auto"/>
          <w:spacing w:val="-5"/>
          <w:sz w:val="24"/>
          <w:szCs w:val="24"/>
          <w:highlight w:val="none"/>
        </w:rPr>
        <w:t>产生的一切费用和责任。</w:t>
      </w:r>
    </w:p>
    <w:p w14:paraId="686F486D">
      <w:pPr>
        <w:spacing w:line="360" w:lineRule="auto"/>
        <w:ind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w:t>
      </w:r>
      <w:r>
        <w:rPr>
          <w:rFonts w:hint="eastAsia" w:ascii="宋体" w:hAnsi="宋体" w:eastAsia="宋体" w:cs="宋体"/>
          <w:color w:val="auto"/>
          <w:sz w:val="24"/>
          <w:szCs w:val="24"/>
          <w:highlight w:val="none"/>
        </w:rPr>
        <w:t>乙方送货人员及运输工具等进入学校后所须服从学校安全管理规定，不得影响学校内正常教学秩序，不准将违禁品带入校区，若乙方送货人员不服从管理、违反规定，甲方接到校方反映后，经甲方核实情况属实的可立即解除合同，造成的人身安全责任、法律责任由乙方承担。如乙方运货人员及运输工具在运输过程中发生安全事故，乙方负全部责任，甲方和校方不负任何责任。</w:t>
      </w:r>
    </w:p>
    <w:p w14:paraId="72AB6300">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8.乙方将货物运抵甲方，须随货提供当批次有效检验检疫合格证明、产品合格证、进货查验</w:t>
      </w:r>
      <w:r>
        <w:rPr>
          <w:rFonts w:hint="eastAsia" w:ascii="宋体" w:hAnsi="宋体" w:eastAsia="宋体" w:cs="宋体"/>
          <w:color w:val="auto"/>
          <w:spacing w:val="-5"/>
          <w:sz w:val="24"/>
          <w:szCs w:val="24"/>
          <w:highlight w:val="none"/>
        </w:rPr>
        <w:t>记录等文件，经甲方相关人员验收合格并签字确认后，乙方应将货物按规范摆放到甲方指定位置，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5"/>
          <w:sz w:val="24"/>
          <w:szCs w:val="24"/>
          <w:highlight w:val="none"/>
        </w:rPr>
        <w:t>并向甲方提供合规发票。</w:t>
      </w:r>
    </w:p>
    <w:p w14:paraId="096651F2">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9.乙方将货物送达甲方指定收货点后，若给甲方场地造成污</w:t>
      </w:r>
      <w:r>
        <w:rPr>
          <w:rFonts w:hint="eastAsia" w:ascii="宋体" w:hAnsi="宋体" w:eastAsia="宋体" w:cs="宋体"/>
          <w:color w:val="auto"/>
          <w:spacing w:val="-3"/>
          <w:sz w:val="24"/>
          <w:szCs w:val="24"/>
          <w:highlight w:val="none"/>
        </w:rPr>
        <w:t>染的，乙方须及时清理。</w:t>
      </w:r>
    </w:p>
    <w:p w14:paraId="2EF4F3EC">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z w:val="24"/>
          <w:szCs w:val="24"/>
          <w:highlight w:val="none"/>
        </w:rPr>
      </w:pPr>
      <w:bookmarkStart w:id="129" w:name="_Toc218692283"/>
      <w:bookmarkStart w:id="130" w:name="_Toc27355"/>
      <w:r>
        <w:rPr>
          <w:rFonts w:hint="eastAsia" w:ascii="宋体" w:hAnsi="宋体" w:eastAsia="宋体" w:cs="宋体"/>
          <w:color w:val="auto"/>
          <w:spacing w:val="-2"/>
          <w:sz w:val="24"/>
          <w:szCs w:val="24"/>
          <w:highlight w:val="none"/>
        </w:rPr>
        <w:t>九、违约责任及合同解除</w:t>
      </w:r>
      <w:bookmarkEnd w:id="129"/>
      <w:bookmarkEnd w:id="130"/>
    </w:p>
    <w:p w14:paraId="3C06791E">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1.甲乙双方协商一致可以解除本合同。</w:t>
      </w:r>
    </w:p>
    <w:p w14:paraId="24617B34">
      <w:pPr>
        <w:pStyle w:val="16"/>
        <w:widowControl/>
        <w:kinsoku w:val="0"/>
        <w:autoSpaceDE w:val="0"/>
        <w:autoSpaceDN w:val="0"/>
        <w:adjustRightInd w:val="0"/>
        <w:snapToGrid w:val="0"/>
        <w:spacing w:after="0" w:line="360" w:lineRule="auto"/>
        <w:ind w:firstLine="488"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2.乙方未按合同约定时间供货的，每延迟一次按</w:t>
      </w:r>
      <w:r>
        <w:rPr>
          <w:rFonts w:hint="eastAsia" w:eastAsia="宋体" w:cs="宋体"/>
          <w:color w:val="auto"/>
          <w:spacing w:val="2"/>
          <w:sz w:val="24"/>
          <w:szCs w:val="24"/>
          <w:highlight w:val="none"/>
          <w:lang w:eastAsia="zh-CN"/>
        </w:rPr>
        <w:t>延迟</w:t>
      </w:r>
      <w:r>
        <w:rPr>
          <w:rFonts w:hint="eastAsia" w:ascii="宋体" w:hAnsi="宋体" w:eastAsia="宋体" w:cs="宋体"/>
          <w:color w:val="auto"/>
          <w:spacing w:val="2"/>
          <w:sz w:val="24"/>
          <w:szCs w:val="24"/>
          <w:highlight w:val="none"/>
        </w:rPr>
        <w:t>供货</w:t>
      </w:r>
      <w:r>
        <w:rPr>
          <w:rFonts w:hint="eastAsia" w:eastAsia="宋体" w:cs="宋体"/>
          <w:color w:val="auto"/>
          <w:spacing w:val="2"/>
          <w:sz w:val="24"/>
          <w:szCs w:val="24"/>
          <w:highlight w:val="none"/>
          <w:lang w:eastAsia="zh-CN"/>
        </w:rPr>
        <w:t>货款的</w:t>
      </w:r>
      <w:r>
        <w:rPr>
          <w:rFonts w:hint="eastAsia" w:eastAsia="宋体" w:cs="宋体"/>
          <w:color w:val="auto"/>
          <w:spacing w:val="2"/>
          <w:sz w:val="24"/>
          <w:szCs w:val="24"/>
          <w:highlight w:val="none"/>
          <w:lang w:val="en-US" w:eastAsia="zh-CN"/>
        </w:rPr>
        <w:t>3倍</w:t>
      </w:r>
      <w:r>
        <w:rPr>
          <w:rFonts w:hint="eastAsia" w:ascii="宋体" w:hAnsi="宋体" w:eastAsia="宋体" w:cs="宋体"/>
          <w:color w:val="auto"/>
          <w:spacing w:val="2"/>
          <w:sz w:val="24"/>
          <w:szCs w:val="24"/>
          <w:highlight w:val="none"/>
        </w:rPr>
        <w:t>金额</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2"/>
          <w:sz w:val="24"/>
          <w:szCs w:val="24"/>
          <w:highlight w:val="none"/>
        </w:rPr>
        <w:t>支付</w:t>
      </w:r>
      <w:r>
        <w:rPr>
          <w:rFonts w:hint="eastAsia" w:eastAsia="宋体" w:cs="宋体"/>
          <w:color w:val="auto"/>
          <w:spacing w:val="2"/>
          <w:sz w:val="24"/>
          <w:szCs w:val="24"/>
          <w:highlight w:val="none"/>
          <w:lang w:eastAsia="zh-CN"/>
        </w:rPr>
        <w:t>处罚</w:t>
      </w:r>
      <w:r>
        <w:rPr>
          <w:rFonts w:hint="eastAsia" w:ascii="宋体" w:hAnsi="宋体" w:eastAsia="宋体" w:cs="宋体"/>
          <w:color w:val="auto"/>
          <w:spacing w:val="2"/>
          <w:sz w:val="24"/>
          <w:szCs w:val="24"/>
          <w:highlight w:val="none"/>
        </w:rPr>
        <w:t>，</w:t>
      </w:r>
      <w:r>
        <w:rPr>
          <w:rFonts w:hint="eastAsia" w:ascii="宋体" w:hAnsi="宋体" w:eastAsia="宋体" w:cs="宋体"/>
          <w:color w:val="auto"/>
          <w:kern w:val="44"/>
          <w:sz w:val="24"/>
          <w:szCs w:val="24"/>
          <w:highlight w:val="none"/>
        </w:rPr>
        <w:t>每</w:t>
      </w:r>
      <w:r>
        <w:rPr>
          <w:rFonts w:hint="eastAsia" w:ascii="宋体" w:hAnsi="宋体" w:eastAsia="宋体" w:cs="宋体"/>
          <w:color w:val="auto"/>
          <w:kern w:val="44"/>
          <w:sz w:val="24"/>
          <w:szCs w:val="24"/>
          <w:highlight w:val="none"/>
          <w:lang w:eastAsia="zh-CN"/>
        </w:rPr>
        <w:t>学期</w:t>
      </w:r>
      <w:r>
        <w:rPr>
          <w:rFonts w:hint="eastAsia" w:ascii="宋体" w:hAnsi="宋体" w:eastAsia="宋体" w:cs="宋体"/>
          <w:color w:val="auto"/>
          <w:kern w:val="44"/>
          <w:sz w:val="24"/>
          <w:szCs w:val="24"/>
          <w:highlight w:val="none"/>
        </w:rPr>
        <w:t>不得超过</w:t>
      </w:r>
      <w:r>
        <w:rPr>
          <w:rFonts w:hint="eastAsia" w:ascii="宋体" w:hAnsi="宋体" w:eastAsia="宋体" w:cs="宋体"/>
          <w:color w:val="auto"/>
          <w:kern w:val="44"/>
          <w:sz w:val="24"/>
          <w:szCs w:val="24"/>
          <w:highlight w:val="none"/>
          <w:lang w:val="en-US" w:eastAsia="zh-CN"/>
        </w:rPr>
        <w:t>3</w:t>
      </w:r>
      <w:r>
        <w:rPr>
          <w:rFonts w:hint="eastAsia" w:ascii="宋体" w:hAnsi="宋体" w:eastAsia="宋体" w:cs="宋体"/>
          <w:color w:val="auto"/>
          <w:kern w:val="44"/>
          <w:sz w:val="24"/>
          <w:szCs w:val="24"/>
          <w:highlight w:val="none"/>
        </w:rPr>
        <w:t>次，否则</w:t>
      </w:r>
      <w:r>
        <w:rPr>
          <w:rFonts w:hint="eastAsia" w:ascii="宋体" w:hAnsi="宋体" w:eastAsia="宋体" w:cs="宋体"/>
          <w:color w:val="auto"/>
          <w:spacing w:val="-2"/>
          <w:sz w:val="24"/>
          <w:szCs w:val="24"/>
          <w:highlight w:val="none"/>
        </w:rPr>
        <w:t>甲方有权解除合同，并要求乙方承担违约</w:t>
      </w:r>
      <w:r>
        <w:rPr>
          <w:rFonts w:hint="eastAsia" w:ascii="宋体" w:hAnsi="宋体" w:eastAsia="宋体" w:cs="宋体"/>
          <w:color w:val="auto"/>
          <w:spacing w:val="-3"/>
          <w:sz w:val="24"/>
          <w:szCs w:val="24"/>
          <w:highlight w:val="none"/>
        </w:rPr>
        <w:t>责任。</w:t>
      </w:r>
    </w:p>
    <w:p w14:paraId="4988B82E">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rPr>
        <w:t>3.甲方未按合同约定时间支付价款的，自逾期之日起，每日按逾期支付货款的</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1</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%向乙方</w:t>
      </w:r>
      <w:r>
        <w:rPr>
          <w:rFonts w:hint="eastAsia" w:ascii="宋体" w:hAnsi="宋体" w:eastAsia="宋体" w:cs="宋体"/>
          <w:color w:val="auto"/>
          <w:spacing w:val="-2"/>
          <w:sz w:val="24"/>
          <w:szCs w:val="24"/>
          <w:highlight w:val="none"/>
        </w:rPr>
        <w:t>支付违约金，如发生</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3</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次逾期支付，乙方有权解除合同，并要求甲方返还保证金及承担违约责</w:t>
      </w:r>
      <w:r>
        <w:rPr>
          <w:rFonts w:hint="eastAsia" w:ascii="宋体" w:hAnsi="宋体" w:eastAsia="宋体" w:cs="宋体"/>
          <w:color w:val="auto"/>
          <w:spacing w:val="-14"/>
          <w:sz w:val="24"/>
          <w:szCs w:val="24"/>
          <w:highlight w:val="none"/>
        </w:rPr>
        <w:t>任。</w:t>
      </w:r>
    </w:p>
    <w:p w14:paraId="02285742">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4.合同履行期限届满前，如乙方提出解除合同，需要提前</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3</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个月以书面方式向甲方提出。</w:t>
      </w:r>
      <w:r>
        <w:rPr>
          <w:rFonts w:hint="eastAsia" w:ascii="宋体" w:hAnsi="宋体" w:eastAsia="宋体" w:cs="宋体"/>
          <w:color w:val="auto"/>
          <w:spacing w:val="-2"/>
          <w:sz w:val="24"/>
          <w:szCs w:val="24"/>
          <w:highlight w:val="none"/>
        </w:rPr>
        <w:t>甲方重新组织招标采购或者集中定点采购。同时，乙方应向甲方支付</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招标金额的3%</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违约金。在未接到甲方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书面同意解除合同前，乙方仍须按照本合同条款继续履行。</w:t>
      </w:r>
    </w:p>
    <w:p w14:paraId="40BBB4E2">
      <w:pPr>
        <w:widowControl/>
        <w:kinsoku w:val="0"/>
        <w:autoSpaceDE w:val="0"/>
        <w:autoSpaceDN w:val="0"/>
        <w:adjustRightInd w:val="0"/>
        <w:snapToGrid w:val="0"/>
        <w:spacing w:line="360" w:lineRule="auto"/>
        <w:ind w:firstLine="476"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5.如乙方所提供的食品经国家认证的检测机构检测不符合食品安全标准，甲方有权解除合同</w:t>
      </w:r>
      <w:r>
        <w:rPr>
          <w:rFonts w:hint="eastAsia" w:ascii="宋体" w:hAnsi="宋体" w:eastAsia="宋体" w:cs="宋体"/>
          <w:color w:val="auto"/>
          <w:spacing w:val="-4"/>
          <w:sz w:val="24"/>
          <w:szCs w:val="24"/>
          <w:highlight w:val="none"/>
        </w:rPr>
        <w:t>并</w:t>
      </w:r>
      <w:r>
        <w:rPr>
          <w:rFonts w:hint="eastAsia" w:ascii="宋体" w:hAnsi="宋体" w:eastAsia="宋体" w:cs="宋体"/>
          <w:color w:val="auto"/>
          <w:spacing w:val="-4"/>
          <w:sz w:val="24"/>
          <w:szCs w:val="24"/>
          <w:highlight w:val="none"/>
          <w:lang w:val="en-US" w:eastAsia="zh-CN"/>
        </w:rPr>
        <w:t>承担由此给采购人带来的损失</w:t>
      </w:r>
      <w:r>
        <w:rPr>
          <w:rFonts w:hint="eastAsia" w:ascii="宋体" w:hAnsi="宋体" w:eastAsia="宋体" w:cs="宋体"/>
          <w:color w:val="auto"/>
          <w:spacing w:val="-4"/>
          <w:sz w:val="24"/>
          <w:szCs w:val="24"/>
          <w:highlight w:val="none"/>
        </w:rPr>
        <w:t>。</w:t>
      </w:r>
    </w:p>
    <w:p w14:paraId="19D836CB">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6.若发生食品安全事故，甲方人员因食用食堂饭菜致使食物中毒，经卫生检疫部门确认因乙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方提供的食材质量问题所引发，乙方除承担医药费外还需承担其他法律责任，且甲方有权解除合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同。如果由于甲方加工过程所导致，由甲方承担全部责</w:t>
      </w:r>
      <w:r>
        <w:rPr>
          <w:rFonts w:hint="eastAsia" w:ascii="宋体" w:hAnsi="宋体" w:eastAsia="宋体" w:cs="宋体"/>
          <w:color w:val="auto"/>
          <w:spacing w:val="-3"/>
          <w:sz w:val="24"/>
          <w:szCs w:val="24"/>
          <w:highlight w:val="none"/>
        </w:rPr>
        <w:t>任。</w:t>
      </w:r>
    </w:p>
    <w:p w14:paraId="30CACED2">
      <w:pPr>
        <w:pStyle w:val="16"/>
        <w:widowControl/>
        <w:kinsoku w:val="0"/>
        <w:autoSpaceDE w:val="0"/>
        <w:autoSpaceDN w:val="0"/>
        <w:adjustRightInd w:val="0"/>
        <w:snapToGrid w:val="0"/>
        <w:spacing w:after="0" w:line="360" w:lineRule="auto"/>
        <w:ind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7.如乙方所提供的食材经甲方进行抽检不合格的，该批次产品一律无条件退回且乙方无权要</w:t>
      </w:r>
      <w:r>
        <w:rPr>
          <w:rFonts w:hint="eastAsia" w:ascii="宋体" w:hAnsi="宋体" w:eastAsia="宋体" w:cs="宋体"/>
          <w:color w:val="auto"/>
          <w:spacing w:val="-8"/>
          <w:sz w:val="24"/>
          <w:szCs w:val="24"/>
          <w:highlight w:val="none"/>
        </w:rPr>
        <w:t>求甲方支付该批次产品费用。如果</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3</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8"/>
          <w:sz w:val="24"/>
          <w:szCs w:val="24"/>
          <w:highlight w:val="none"/>
        </w:rPr>
        <w:t>次抽检不合格，甲方有权解除合同，乙方应承担违约责任，</w:t>
      </w:r>
      <w:r>
        <w:rPr>
          <w:rFonts w:hint="eastAsia" w:ascii="宋体" w:hAnsi="宋体" w:eastAsia="宋体" w:cs="宋体"/>
          <w:color w:val="auto"/>
          <w:spacing w:val="-1"/>
          <w:sz w:val="24"/>
          <w:szCs w:val="24"/>
          <w:highlight w:val="none"/>
        </w:rPr>
        <w:t>向甲方支付</w:t>
      </w:r>
      <w:r>
        <w:rPr>
          <w:rFonts w:hint="eastAsia" w:ascii="宋体" w:hAnsi="宋体" w:eastAsia="宋体" w:cs="宋体"/>
          <w:color w:val="auto"/>
          <w:spacing w:val="-1"/>
          <w:sz w:val="24"/>
          <w:szCs w:val="24"/>
          <w:highlight w:val="none"/>
          <w:u w:val="single"/>
        </w:rPr>
        <w:t xml:space="preserve">  </w:t>
      </w:r>
      <w:r>
        <w:rPr>
          <w:rFonts w:hint="eastAsia" w:eastAsia="宋体" w:cs="宋体"/>
          <w:color w:val="auto"/>
          <w:spacing w:val="-2"/>
          <w:sz w:val="24"/>
          <w:szCs w:val="24"/>
          <w:highlight w:val="none"/>
          <w:u w:val="single"/>
          <w:lang w:val="en-US" w:eastAsia="zh-CN"/>
        </w:rPr>
        <w:t>采购预算</w:t>
      </w:r>
      <w:r>
        <w:rPr>
          <w:rFonts w:hint="eastAsia" w:ascii="宋体" w:hAnsi="宋体" w:eastAsia="宋体" w:cs="宋体"/>
          <w:color w:val="auto"/>
          <w:spacing w:val="-2"/>
          <w:sz w:val="24"/>
          <w:szCs w:val="24"/>
          <w:highlight w:val="none"/>
          <w:u w:val="single"/>
          <w:lang w:val="en-US" w:eastAsia="zh-CN"/>
        </w:rPr>
        <w:t>金额的3%</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违约金，若造成甲方损失的，还应</w:t>
      </w:r>
      <w:r>
        <w:rPr>
          <w:rFonts w:hint="eastAsia" w:ascii="宋体" w:hAnsi="宋体" w:eastAsia="宋体" w:cs="宋体"/>
          <w:color w:val="auto"/>
          <w:spacing w:val="-2"/>
          <w:sz w:val="24"/>
          <w:szCs w:val="24"/>
          <w:highlight w:val="none"/>
        </w:rPr>
        <w:t>承担赔偿责任。</w:t>
      </w:r>
    </w:p>
    <w:p w14:paraId="0276B73A">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8.如甲、乙双方中有一方不接受调整价格，可提出解除合同，不属于违约行为。如解除合同</w:t>
      </w:r>
      <w:r>
        <w:rPr>
          <w:rFonts w:hint="eastAsia" w:ascii="宋体" w:hAnsi="宋体" w:eastAsia="宋体" w:cs="宋体"/>
          <w:color w:val="auto"/>
          <w:spacing w:val="-3"/>
          <w:sz w:val="24"/>
          <w:szCs w:val="24"/>
          <w:highlight w:val="none"/>
        </w:rPr>
        <w:t>乙方仍需按照本合同的标准，以上一个供货周期的价格为甲方供货</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1</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个月，如因乙方无法供货</w:t>
      </w:r>
      <w:r>
        <w:rPr>
          <w:rFonts w:hint="eastAsia" w:ascii="宋体" w:hAnsi="宋体" w:eastAsia="宋体" w:cs="宋体"/>
          <w:color w:val="auto"/>
          <w:spacing w:val="-4"/>
          <w:sz w:val="24"/>
          <w:szCs w:val="24"/>
          <w:highlight w:val="none"/>
        </w:rPr>
        <w:t>给甲方造成损失，则视为违约行为。</w:t>
      </w:r>
    </w:p>
    <w:p w14:paraId="1EA135E9">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9.乙方具有下列情形之一的，甲方可以单方面解除本合同：</w:t>
      </w:r>
    </w:p>
    <w:p w14:paraId="40EF506D">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（1）使用非食品原料生产的食品或者添加食品添加剂以外的化学物质和其他可能危害人体健</w:t>
      </w:r>
      <w:r>
        <w:rPr>
          <w:rFonts w:hint="eastAsia" w:ascii="宋体" w:hAnsi="宋体" w:eastAsia="宋体" w:cs="宋体"/>
          <w:color w:val="auto"/>
          <w:spacing w:val="-2"/>
          <w:sz w:val="24"/>
          <w:szCs w:val="24"/>
          <w:highlight w:val="none"/>
        </w:rPr>
        <w:t>康物质的食品，或者使用回收食品作为原料</w:t>
      </w:r>
      <w:r>
        <w:rPr>
          <w:rFonts w:hint="eastAsia" w:ascii="宋体" w:hAnsi="宋体" w:eastAsia="宋体" w:cs="宋体"/>
          <w:color w:val="auto"/>
          <w:spacing w:val="-3"/>
          <w:sz w:val="24"/>
          <w:szCs w:val="24"/>
          <w:highlight w:val="none"/>
        </w:rPr>
        <w:t>生产的食品；</w:t>
      </w:r>
    </w:p>
    <w:p w14:paraId="4406F6F0">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（2）使用含有致病性微生物，农药残留、兽药残留、生物毒素、重金属等污染物质以及其他</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
          <w:sz w:val="24"/>
          <w:szCs w:val="24"/>
          <w:highlight w:val="none"/>
        </w:rPr>
        <w:t>危害人体健康的物质含量超过食品安全标准限量的食品、食品添加剂、食品相关产品；</w:t>
      </w:r>
    </w:p>
    <w:p w14:paraId="0311407E">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（3）使用超过保质期的食品原料、食品添加剂生产的食品、食品添</w:t>
      </w:r>
      <w:r>
        <w:rPr>
          <w:rFonts w:hint="eastAsia" w:ascii="宋体" w:hAnsi="宋体" w:eastAsia="宋体" w:cs="宋体"/>
          <w:color w:val="auto"/>
          <w:spacing w:val="-3"/>
          <w:sz w:val="24"/>
          <w:szCs w:val="24"/>
          <w:highlight w:val="none"/>
        </w:rPr>
        <w:t>加剂；</w:t>
      </w:r>
    </w:p>
    <w:p w14:paraId="514C153E">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（4）超范围、超限量使用食品添加剂的食品；</w:t>
      </w:r>
    </w:p>
    <w:p w14:paraId="7D372D0C">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（5）使用腐败变质、油脂酸败、霉变生虫、污秽不洁、混有异物、掺假掺杂或者感官性状异</w:t>
      </w:r>
      <w:r>
        <w:rPr>
          <w:rFonts w:hint="eastAsia" w:ascii="宋体" w:hAnsi="宋体" w:eastAsia="宋体" w:cs="宋体"/>
          <w:color w:val="auto"/>
          <w:spacing w:val="-7"/>
          <w:sz w:val="24"/>
          <w:szCs w:val="24"/>
          <w:highlight w:val="none"/>
        </w:rPr>
        <w:t>常的食品、食品添加剂；</w:t>
      </w:r>
    </w:p>
    <w:p w14:paraId="2171DE10">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（6）采购、使用病死、毒死或者死因不明的禽、畜、兽、水产动物肉类及其制品；</w:t>
      </w:r>
    </w:p>
    <w:p w14:paraId="72CF6084">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（7）采购、使用未按规定进行检疫或者检疫不合格的肉类，或者未经检验或者检验不合格的</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5"/>
          <w:sz w:val="24"/>
          <w:szCs w:val="24"/>
          <w:highlight w:val="none"/>
        </w:rPr>
        <w:t>肉类制品；</w:t>
      </w:r>
    </w:p>
    <w:p w14:paraId="321653E5">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（8）使用被污染的包装材料、容器、运输工具等包装、贮存、运输食品、食品添加剂；</w:t>
      </w:r>
    </w:p>
    <w:p w14:paraId="00221DCA">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（9）篡改、标注虚假食品、食品添加剂生产日期、</w:t>
      </w:r>
      <w:r>
        <w:rPr>
          <w:rFonts w:hint="eastAsia" w:ascii="宋体" w:hAnsi="宋体" w:eastAsia="宋体" w:cs="宋体"/>
          <w:color w:val="auto"/>
          <w:spacing w:val="-1"/>
          <w:sz w:val="24"/>
          <w:szCs w:val="24"/>
          <w:highlight w:val="none"/>
        </w:rPr>
        <w:t>保质期，</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1"/>
          <w:sz w:val="24"/>
          <w:szCs w:val="24"/>
          <w:highlight w:val="none"/>
        </w:rPr>
        <w:t>或者使用超过保质期的食品、食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5"/>
          <w:sz w:val="24"/>
          <w:szCs w:val="24"/>
          <w:highlight w:val="none"/>
        </w:rPr>
        <w:t>品添加剂；</w:t>
      </w:r>
    </w:p>
    <w:p w14:paraId="3E59D045">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（10）使用无标签的预包装食品、食品添加</w:t>
      </w:r>
      <w:r>
        <w:rPr>
          <w:rFonts w:hint="eastAsia" w:ascii="宋体" w:hAnsi="宋体" w:eastAsia="宋体" w:cs="宋体"/>
          <w:color w:val="auto"/>
          <w:spacing w:val="-4"/>
          <w:sz w:val="24"/>
          <w:szCs w:val="24"/>
          <w:highlight w:val="none"/>
        </w:rPr>
        <w:t>剂；</w:t>
      </w:r>
    </w:p>
    <w:p w14:paraId="44400786">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（11）使用国家为防病等特殊需要明令禁止生产经营的食品；</w:t>
      </w:r>
    </w:p>
    <w:p w14:paraId="1F8C2E1B">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（12）采购、使用其他不符合法律、法规或者食品安全标准的</w:t>
      </w:r>
      <w:r>
        <w:rPr>
          <w:rFonts w:hint="eastAsia" w:ascii="宋体" w:hAnsi="宋体" w:eastAsia="宋体" w:cs="宋体"/>
          <w:color w:val="auto"/>
          <w:spacing w:val="-3"/>
          <w:sz w:val="24"/>
          <w:szCs w:val="24"/>
          <w:highlight w:val="none"/>
        </w:rPr>
        <w:t>食品、食品添加剂、食品相关产</w:t>
      </w:r>
      <w:r>
        <w:rPr>
          <w:rFonts w:hint="eastAsia" w:ascii="宋体" w:hAnsi="宋体" w:eastAsia="宋体" w:cs="宋体"/>
          <w:color w:val="auto"/>
          <w:spacing w:val="-23"/>
          <w:sz w:val="24"/>
          <w:szCs w:val="24"/>
          <w:highlight w:val="none"/>
        </w:rPr>
        <w:t>品；</w:t>
      </w:r>
    </w:p>
    <w:p w14:paraId="5CEEBA92">
      <w:pPr>
        <w:widowControl/>
        <w:kinsoku w:val="0"/>
        <w:autoSpaceDE w:val="0"/>
        <w:autoSpaceDN w:val="0"/>
        <w:adjustRightInd w:val="0"/>
        <w:snapToGrid w:val="0"/>
        <w:spacing w:line="360" w:lineRule="auto"/>
        <w:ind w:firstLine="472"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（13）在</w:t>
      </w:r>
      <w:r>
        <w:rPr>
          <w:rFonts w:hint="eastAsia" w:ascii="宋体" w:hAnsi="宋体" w:eastAsia="宋体" w:cs="宋体"/>
          <w:color w:val="auto"/>
          <w:spacing w:val="-2"/>
          <w:sz w:val="24"/>
          <w:szCs w:val="24"/>
          <w:highlight w:val="none"/>
          <w:lang w:eastAsia="zh-CN"/>
        </w:rPr>
        <w:t>供货期间</w:t>
      </w:r>
      <w:r>
        <w:rPr>
          <w:rFonts w:hint="eastAsia" w:ascii="宋体" w:hAnsi="宋体" w:eastAsia="宋体" w:cs="宋体"/>
          <w:color w:val="auto"/>
          <w:spacing w:val="-2"/>
          <w:sz w:val="24"/>
          <w:szCs w:val="24"/>
          <w:highlight w:val="none"/>
        </w:rPr>
        <w:t>因违反食品安全法规定受到行政处罚</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甲方有权解除合同</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因食品安全犯罪被判处有期徒刑的，甲方立即解除合同。由此造成甲方的损失和影响，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
          <w:sz w:val="24"/>
          <w:szCs w:val="24"/>
          <w:highlight w:val="none"/>
        </w:rPr>
        <w:t>由乙方承担全</w:t>
      </w:r>
      <w:r>
        <w:rPr>
          <w:rFonts w:hint="eastAsia" w:ascii="宋体" w:hAnsi="宋体" w:eastAsia="宋体" w:cs="宋体"/>
          <w:color w:val="auto"/>
          <w:spacing w:val="-10"/>
          <w:sz w:val="24"/>
          <w:szCs w:val="24"/>
          <w:highlight w:val="none"/>
        </w:rPr>
        <w:t>部责任</w:t>
      </w:r>
      <w:r>
        <w:rPr>
          <w:rFonts w:hint="eastAsia" w:ascii="宋体" w:hAnsi="宋体" w:eastAsia="宋体" w:cs="宋体"/>
          <w:color w:val="auto"/>
          <w:spacing w:val="-10"/>
          <w:sz w:val="24"/>
          <w:szCs w:val="24"/>
          <w:highlight w:val="none"/>
          <w:lang w:eastAsia="zh-CN"/>
        </w:rPr>
        <w:t>；</w:t>
      </w:r>
    </w:p>
    <w:p w14:paraId="0386AB2A">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（14）发生转包、分包，或擅自更换履约人</w:t>
      </w:r>
      <w:r>
        <w:rPr>
          <w:rFonts w:hint="eastAsia" w:ascii="宋体" w:hAnsi="宋体" w:eastAsia="宋体" w:cs="宋体"/>
          <w:color w:val="auto"/>
          <w:spacing w:val="-4"/>
          <w:sz w:val="24"/>
          <w:szCs w:val="24"/>
          <w:highlight w:val="none"/>
        </w:rPr>
        <w:t>的；</w:t>
      </w:r>
    </w:p>
    <w:p w14:paraId="4134D96B">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（15）发生食品安全事件（舆情）影响恶劣</w:t>
      </w:r>
      <w:r>
        <w:rPr>
          <w:rFonts w:hint="eastAsia" w:ascii="宋体" w:hAnsi="宋体" w:eastAsia="宋体" w:cs="宋体"/>
          <w:color w:val="auto"/>
          <w:spacing w:val="-4"/>
          <w:sz w:val="24"/>
          <w:szCs w:val="24"/>
          <w:highlight w:val="none"/>
        </w:rPr>
        <w:t>的；</w:t>
      </w:r>
    </w:p>
    <w:p w14:paraId="2F1D95A2">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（16）其他：</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违法行为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2"/>
          <w:sz w:val="24"/>
          <w:szCs w:val="24"/>
          <w:highlight w:val="none"/>
        </w:rPr>
        <w:t>。</w:t>
      </w:r>
    </w:p>
    <w:p w14:paraId="71D381F2">
      <w:pPr>
        <w:widowControl/>
        <w:shd w:val="clear" w:color="auto" w:fill="FFFFFF"/>
        <w:spacing w:line="360" w:lineRule="auto"/>
        <w:ind w:firstLine="472" w:firstLineChars="200"/>
        <w:jc w:val="lef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kern w:val="0"/>
          <w:sz w:val="24"/>
          <w:szCs w:val="24"/>
          <w:highlight w:val="none"/>
        </w:rPr>
        <w:t>乙方在给甲方配送过程中如出现交通事故或其他经济损失由乙方自行承担。</w:t>
      </w:r>
    </w:p>
    <w:p w14:paraId="0147FE6E">
      <w:pPr>
        <w:spacing w:line="360" w:lineRule="auto"/>
        <w:ind w:firstLine="472" w:firstLineChars="200"/>
        <w:rPr>
          <w:rFonts w:hint="eastAsia" w:ascii="宋体" w:hAnsi="宋体" w:eastAsia="宋体" w:cs="宋体"/>
          <w:b/>
          <w:bCs/>
          <w:color w:val="auto"/>
          <w:sz w:val="24"/>
          <w:szCs w:val="24"/>
          <w:highlight w:val="none"/>
        </w:rPr>
      </w:pPr>
      <w:r>
        <w:rPr>
          <w:rFonts w:hint="eastAsia" w:ascii="宋体" w:hAnsi="宋体" w:eastAsia="宋体" w:cs="宋体"/>
          <w:color w:val="auto"/>
          <w:spacing w:val="-2"/>
          <w:sz w:val="24"/>
          <w:szCs w:val="24"/>
          <w:highlight w:val="none"/>
          <w:lang w:val="en-US" w:eastAsia="zh-CN"/>
        </w:rPr>
        <w:t>十、</w:t>
      </w:r>
      <w:r>
        <w:rPr>
          <w:rFonts w:hint="eastAsia" w:ascii="宋体" w:hAnsi="宋体" w:eastAsia="宋体" w:cs="宋体"/>
          <w:b/>
          <w:bCs/>
          <w:color w:val="auto"/>
          <w:sz w:val="24"/>
          <w:szCs w:val="24"/>
          <w:highlight w:val="none"/>
        </w:rPr>
        <w:t>实行供应商资格退出机制</w:t>
      </w:r>
    </w:p>
    <w:p w14:paraId="728C7B2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（一）不按要求整改退出</w:t>
      </w:r>
    </w:p>
    <w:p w14:paraId="09D179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出现下列情况之一的，甲方协调各职能部门调查核实相关情况，情节轻微或未造成重大损害事实的，应责令限期整改；情节严重或造成重大损害事实的，及时终止其供应资格，终止合同履行；涉嫌违法犯罪的，要及时移交行政、司法机关依法处理：</w:t>
      </w:r>
    </w:p>
    <w:p w14:paraId="6F0E0B4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1．乙方资质条件发生重大变化，未如实报告相关部门的；</w:t>
      </w:r>
    </w:p>
    <w:p w14:paraId="1C415C2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2．乙方资质出现质量问题，采取隐瞒手段继续供应的；</w:t>
      </w:r>
    </w:p>
    <w:p w14:paraId="098C607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3．以次充好，短斤少两，骗取差价的；</w:t>
      </w:r>
    </w:p>
    <w:p w14:paraId="4F7893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4．虚开税务发票，发生偷税、漏税行为的；</w:t>
      </w:r>
    </w:p>
    <w:p w14:paraId="058F149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5．有掺杂使假、短斤少两等违法违规行为的；</w:t>
      </w:r>
    </w:p>
    <w:p w14:paraId="175EC1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6．未经有关部门批准，擅自提高供应价格的；</w:t>
      </w:r>
    </w:p>
    <w:p w14:paraId="19B18F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7．有故意迟供、拒供、断供行为的；</w:t>
      </w:r>
    </w:p>
    <w:p w14:paraId="22E56A1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8．私自串换供应品种或降低供应质量的；</w:t>
      </w:r>
    </w:p>
    <w:p w14:paraId="13FEDC1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9．与甲方相关人员勾结谋取不正当利益的；</w:t>
      </w:r>
    </w:p>
    <w:p w14:paraId="667290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10．向甲方供应超过约定保质期的食品的；</w:t>
      </w:r>
    </w:p>
    <w:p w14:paraId="4072124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11．向甲方供应无生产许可证、产品说明书食品的。</w:t>
      </w:r>
    </w:p>
    <w:p w14:paraId="68E16A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（二）直接退出</w:t>
      </w:r>
    </w:p>
    <w:p w14:paraId="7748A0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出现包括但不限于以下五种情况，学校、资助中心根据合同或法律法规解除合同协议：</w:t>
      </w:r>
    </w:p>
    <w:p w14:paraId="784730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1、严重违约。</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未按照合同约定履行其义务，未能提供符合卫生标准、营养要求的餐食，或者未能按时供餐等，且上述违约行为已经严重影响到了学校的正常运作或学生的健康；</w:t>
      </w:r>
    </w:p>
    <w:p w14:paraId="4C08894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2、不可抗力因素。因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自身原因，导致出现宣布停业、破产，或者因为政策、法律等不可抗力因素导致无法继续履行合同；</w:t>
      </w:r>
    </w:p>
    <w:p w14:paraId="1B596D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3、服务质量下降。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提供的餐食质量持续下降，或者服务态度恶劣，导致学生或教师普遍不满，且未能及时改进，符合合同约定或法律法规规定解除条件的；</w:t>
      </w:r>
    </w:p>
    <w:p w14:paraId="0347809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4、食品安全问题。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在食品采购、加工、储存等过程中，使用农残超标、过期食材、违规添加化学添加剂等导致发生食品安全事件事故的；</w:t>
      </w:r>
    </w:p>
    <w:p w14:paraId="39DE65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5、违反法律法规要求。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违反了相关的法律法规，被吊销食品经营许可证或不遵守食品安全标准等导致严重影响学校的声誉或学生的健康。</w:t>
      </w:r>
    </w:p>
    <w:p w14:paraId="330A93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乙方出现上述（一）（二）所列情形的，甲方将列入“黑名单”，对列入“黑名单”的乙方进行通报，并禁止参与甲方食品供应有关工作。</w:t>
      </w:r>
    </w:p>
    <w:p w14:paraId="464F99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（三）考核退出</w:t>
      </w:r>
    </w:p>
    <w:p w14:paraId="16277C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1、考核人员组成。各校在考核时必须成立考核小组，考核小组由学校分管领导、责任教师、教师代表等不少于 3 人的单数组成，考核小组应广泛听取家长、教师的意见及合理诉求。</w:t>
      </w:r>
    </w:p>
    <w:p w14:paraId="19F3E9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2、考核周期。根据需要定期或不定期进行考核，原则上每学期不少于 1 次。按照学生资助管理中心不定期发出的考核通知，根据考核周期内记录的资料对附件《澄江市农村义务教育学生营养改善计划及学校食堂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考核评分表》进行客观、公正的评价，相关资料规范整理存档备查。</w:t>
      </w:r>
    </w:p>
    <w:p w14:paraId="7210E09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3、考核程序</w:t>
      </w:r>
    </w:p>
    <w:p w14:paraId="07E80F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（1）日常工作要求</w:t>
      </w:r>
    </w:p>
    <w:p w14:paraId="2A145E0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营养改善计划、学校食堂采购实施过程中根据供货合同及附件《澄江市农村义务教育学生营养改善计划及学校食堂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考核评分表》1-10项收集记录相关信息，并进行双方签字确认，做到有据可查。</w:t>
      </w:r>
    </w:p>
    <w:p w14:paraId="223EB4D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）考核结论运用</w:t>
      </w:r>
    </w:p>
    <w:p w14:paraId="733D8E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考核得分90 分以上为优秀，80-90 分为合格，80 分以下为不合格。考核为优秀、合格的继续供货，不合格的解除合同协议，重新按照程序组织招标。</w:t>
      </w:r>
    </w:p>
    <w:p w14:paraId="7D12B1CB">
      <w:pPr>
        <w:widowControl/>
        <w:shd w:val="clear" w:color="auto" w:fill="FFFFFF"/>
        <w:spacing w:line="360" w:lineRule="auto"/>
        <w:ind w:firstLine="480"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lang w:val="en-US" w:eastAsia="zh-CN"/>
        </w:rPr>
        <w:t>十一、</w:t>
      </w:r>
      <w:r>
        <w:rPr>
          <w:rFonts w:hint="eastAsia" w:ascii="宋体" w:hAnsi="宋体" w:eastAsia="宋体" w:cs="宋体"/>
          <w:b/>
          <w:bCs/>
          <w:color w:val="auto"/>
          <w:kern w:val="0"/>
          <w:sz w:val="24"/>
          <w:szCs w:val="24"/>
          <w:highlight w:val="none"/>
        </w:rPr>
        <w:t>特别约定</w:t>
      </w:r>
    </w:p>
    <w:p w14:paraId="2B126B13">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1、留样及检验：乙方供应的每批次产品需留样并提供产品的质量检测报告送甲方备查。乙方主动接受相关职能部门定期或不定期抽样检验和检查，并按要求提供有关材料。</w:t>
      </w:r>
    </w:p>
    <w:p w14:paraId="3066CEBE">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2、在合同期内乙方必须确保食材质量符合国家标准，承担因质量问题引发的全部责任。乙方必须购买食品安全责任保险（年累计赔偿限额不低于</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万元），并向甲方提供相关保险的凭证。遵守校园安全管理规定，配送人员及车辆不得影响教学秩序。</w:t>
      </w:r>
    </w:p>
    <w:p w14:paraId="05B1A544">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3、乙方在澄江市内设立不小于</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面积的配送中心，接受甲方及相关监督部门进行实地核查验收，及时配合、及时整改、及时投入使用，完善配送设施、设备，实施集中配送服务，不跨县区及以上配送；配置农残检测设备，满足所送的果蔬产品自检农残，并出具相关检测结果报告，出具的自检报告随当批次果蔬产品交付甲方验收，自检报告必须真实有效。</w:t>
      </w:r>
    </w:p>
    <w:p w14:paraId="689BF234">
      <w:pPr>
        <w:widowControl/>
        <w:shd w:val="clear" w:color="auto" w:fill="FFFFFF"/>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4、该合同中所有权利和义务乙方不得转让或分包他人，或以其他方式转予他人。如果乙方转予他人，甲方有权立即解除合同，并要求乙方承担转包、分包总额30%的违约金，并赔偿损失。</w:t>
      </w:r>
    </w:p>
    <w:p w14:paraId="5AC39129">
      <w:pPr>
        <w:widowControl/>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z w:val="24"/>
          <w:szCs w:val="24"/>
          <w:highlight w:val="none"/>
        </w:rPr>
      </w:pPr>
      <w:bookmarkStart w:id="131" w:name="_Toc218692284"/>
      <w:bookmarkStart w:id="132" w:name="_Toc10732"/>
      <w:r>
        <w:rPr>
          <w:rFonts w:hint="eastAsia" w:ascii="宋体" w:hAnsi="宋体" w:eastAsia="宋体" w:cs="宋体"/>
          <w:color w:val="auto"/>
          <w:spacing w:val="-2"/>
          <w:sz w:val="24"/>
          <w:szCs w:val="24"/>
          <w:highlight w:val="none"/>
        </w:rPr>
        <w:t>十</w:t>
      </w:r>
      <w:r>
        <w:rPr>
          <w:rFonts w:hint="eastAsia" w:ascii="宋体" w:hAnsi="宋体" w:eastAsia="宋体" w:cs="宋体"/>
          <w:color w:val="auto"/>
          <w:spacing w:val="-2"/>
          <w:sz w:val="24"/>
          <w:szCs w:val="24"/>
          <w:highlight w:val="none"/>
          <w:lang w:val="en-US" w:eastAsia="zh-CN"/>
        </w:rPr>
        <w:t>二</w:t>
      </w:r>
      <w:r>
        <w:rPr>
          <w:rFonts w:hint="eastAsia" w:ascii="宋体" w:hAnsi="宋体" w:eastAsia="宋体" w:cs="宋体"/>
          <w:color w:val="auto"/>
          <w:spacing w:val="-2"/>
          <w:sz w:val="24"/>
          <w:szCs w:val="24"/>
          <w:highlight w:val="none"/>
        </w:rPr>
        <w:t>、不可抗力</w:t>
      </w:r>
      <w:bookmarkEnd w:id="131"/>
      <w:bookmarkEnd w:id="132"/>
    </w:p>
    <w:p w14:paraId="4F240BF3">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（一）甲乙任何一方因不可抗力不能履行合同的，根据不可抗力的影响，部分或者全部免</w:t>
      </w:r>
      <w:r>
        <w:rPr>
          <w:rFonts w:hint="eastAsia" w:ascii="宋体" w:hAnsi="宋体" w:eastAsia="宋体" w:cs="宋体"/>
          <w:color w:val="auto"/>
          <w:spacing w:val="-3"/>
          <w:sz w:val="24"/>
          <w:szCs w:val="24"/>
          <w:highlight w:val="none"/>
        </w:rPr>
        <w:t>除责</w:t>
      </w:r>
      <w:r>
        <w:rPr>
          <w:rFonts w:hint="eastAsia" w:ascii="宋体" w:hAnsi="宋体" w:eastAsia="宋体" w:cs="宋体"/>
          <w:color w:val="auto"/>
          <w:spacing w:val="-4"/>
          <w:sz w:val="24"/>
          <w:szCs w:val="24"/>
          <w:highlight w:val="none"/>
        </w:rPr>
        <w:t>任，但法律另有规定的除外。</w:t>
      </w:r>
    </w:p>
    <w:p w14:paraId="620067E4">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（二）甲乙任何一方遇到不可抗力使其履行合同义务受到阻碍的，应及时通知合同另一方</w:t>
      </w:r>
      <w:r>
        <w:rPr>
          <w:rFonts w:hint="eastAsia" w:ascii="宋体" w:hAnsi="宋体" w:eastAsia="宋体" w:cs="宋体"/>
          <w:color w:val="auto"/>
          <w:spacing w:val="-3"/>
          <w:sz w:val="24"/>
          <w:szCs w:val="24"/>
          <w:highlight w:val="none"/>
        </w:rPr>
        <w:t>，书</w:t>
      </w:r>
      <w:r>
        <w:rPr>
          <w:rFonts w:hint="eastAsia" w:ascii="宋体" w:hAnsi="宋体" w:eastAsia="宋体" w:cs="宋体"/>
          <w:color w:val="auto"/>
          <w:spacing w:val="-2"/>
          <w:sz w:val="24"/>
          <w:szCs w:val="24"/>
          <w:highlight w:val="none"/>
        </w:rPr>
        <w:t>面说明不可抗力和受阻碍的详细情况，并在合理期限内提供必要的证明。</w:t>
      </w:r>
    </w:p>
    <w:p w14:paraId="56B64B75">
      <w:pPr>
        <w:pStyle w:val="16"/>
        <w:widowControl/>
        <w:kinsoku w:val="0"/>
        <w:autoSpaceDE w:val="0"/>
        <w:autoSpaceDN w:val="0"/>
        <w:adjustRightInd w:val="0"/>
        <w:snapToGrid w:val="0"/>
        <w:spacing w:after="0" w:line="360" w:lineRule="auto"/>
        <w:ind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2"/>
          <w:sz w:val="24"/>
          <w:szCs w:val="24"/>
          <w:highlight w:val="none"/>
        </w:rPr>
        <w:t>三）不可抗力发生后，甲乙双方均应采取措施尽量避免和减少损失的扩大，任何一方没</w:t>
      </w:r>
      <w:r>
        <w:rPr>
          <w:rFonts w:hint="eastAsia" w:ascii="宋体" w:hAnsi="宋体" w:eastAsia="宋体" w:cs="宋体"/>
          <w:color w:val="auto"/>
          <w:spacing w:val="-3"/>
          <w:sz w:val="24"/>
          <w:szCs w:val="24"/>
          <w:highlight w:val="none"/>
        </w:rPr>
        <w:t>有</w:t>
      </w:r>
      <w:r>
        <w:rPr>
          <w:rFonts w:hint="eastAsia" w:ascii="宋体" w:hAnsi="宋体" w:eastAsia="宋体" w:cs="宋体"/>
          <w:color w:val="auto"/>
          <w:spacing w:val="-2"/>
          <w:sz w:val="24"/>
          <w:szCs w:val="24"/>
          <w:highlight w:val="none"/>
        </w:rPr>
        <w:t>采取适当措施导致损失扩大的，应对扩大的损失承担</w:t>
      </w:r>
      <w:r>
        <w:rPr>
          <w:rFonts w:hint="eastAsia" w:ascii="宋体" w:hAnsi="宋体" w:eastAsia="宋体" w:cs="宋体"/>
          <w:color w:val="auto"/>
          <w:spacing w:val="-3"/>
          <w:sz w:val="24"/>
          <w:szCs w:val="24"/>
          <w:highlight w:val="none"/>
        </w:rPr>
        <w:t>责任。</w:t>
      </w:r>
    </w:p>
    <w:p w14:paraId="4A141F4A">
      <w:pPr>
        <w:pStyle w:val="16"/>
        <w:widowControl/>
        <w:kinsoku w:val="0"/>
        <w:autoSpaceDE w:val="0"/>
        <w:autoSpaceDN w:val="0"/>
        <w:adjustRightInd w:val="0"/>
        <w:snapToGrid w:val="0"/>
        <w:spacing w:after="0"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（四）因一方迟延履行合同义务，在迟延履行期间遭遇不可抗力的，不免除迟延履行方的</w:t>
      </w:r>
      <w:r>
        <w:rPr>
          <w:rFonts w:hint="eastAsia" w:ascii="宋体" w:hAnsi="宋体" w:eastAsia="宋体" w:cs="宋体"/>
          <w:color w:val="auto"/>
          <w:spacing w:val="-3"/>
          <w:sz w:val="24"/>
          <w:szCs w:val="24"/>
          <w:highlight w:val="none"/>
        </w:rPr>
        <w:t>违约</w:t>
      </w:r>
      <w:r>
        <w:rPr>
          <w:rFonts w:hint="eastAsia" w:ascii="宋体" w:hAnsi="宋体" w:eastAsia="宋体" w:cs="宋体"/>
          <w:color w:val="auto"/>
          <w:spacing w:val="-13"/>
          <w:sz w:val="24"/>
          <w:szCs w:val="24"/>
          <w:highlight w:val="none"/>
        </w:rPr>
        <w:t>责任。</w:t>
      </w:r>
    </w:p>
    <w:p w14:paraId="2BC67D5A">
      <w:pPr>
        <w:pStyle w:val="16"/>
        <w:widowControl/>
        <w:kinsoku w:val="0"/>
        <w:autoSpaceDE w:val="0"/>
        <w:autoSpaceDN w:val="0"/>
        <w:adjustRightInd w:val="0"/>
        <w:snapToGrid w:val="0"/>
        <w:spacing w:after="0" w:line="360" w:lineRule="auto"/>
        <w:ind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（五）不可抗力发生前已完成的供货服务应按</w:t>
      </w:r>
      <w:r>
        <w:rPr>
          <w:rFonts w:hint="eastAsia" w:ascii="宋体" w:hAnsi="宋体" w:eastAsia="宋体" w:cs="宋体"/>
          <w:color w:val="auto"/>
          <w:spacing w:val="-2"/>
          <w:sz w:val="24"/>
          <w:szCs w:val="24"/>
          <w:highlight w:val="none"/>
        </w:rPr>
        <w:t>照合同约定进行货款支付。</w:t>
      </w:r>
    </w:p>
    <w:p w14:paraId="55B01FB7">
      <w:pPr>
        <w:widowControl/>
        <w:kinsoku w:val="0"/>
        <w:autoSpaceDE w:val="0"/>
        <w:autoSpaceDN w:val="0"/>
        <w:adjustRightInd w:val="0"/>
        <w:snapToGrid w:val="0"/>
        <w:spacing w:line="360" w:lineRule="auto"/>
        <w:ind w:firstLine="468" w:firstLineChars="200"/>
        <w:textAlignment w:val="baseline"/>
        <w:outlineLvl w:val="1"/>
        <w:rPr>
          <w:rFonts w:hint="eastAsia" w:ascii="宋体" w:hAnsi="宋体" w:eastAsia="宋体" w:cs="宋体"/>
          <w:color w:val="auto"/>
          <w:sz w:val="24"/>
          <w:szCs w:val="24"/>
          <w:highlight w:val="none"/>
        </w:rPr>
      </w:pPr>
      <w:bookmarkStart w:id="133" w:name="_Toc218692285"/>
      <w:bookmarkStart w:id="134" w:name="_Toc30894"/>
      <w:r>
        <w:rPr>
          <w:rFonts w:hint="eastAsia" w:ascii="宋体" w:hAnsi="宋体" w:eastAsia="宋体" w:cs="宋体"/>
          <w:color w:val="auto"/>
          <w:spacing w:val="-3"/>
          <w:sz w:val="24"/>
          <w:szCs w:val="24"/>
          <w:highlight w:val="none"/>
        </w:rPr>
        <w:t>十</w:t>
      </w:r>
      <w:r>
        <w:rPr>
          <w:rFonts w:hint="eastAsia" w:ascii="宋体" w:hAnsi="宋体" w:eastAsia="宋体" w:cs="宋体"/>
          <w:color w:val="auto"/>
          <w:spacing w:val="-3"/>
          <w:sz w:val="24"/>
          <w:szCs w:val="24"/>
          <w:highlight w:val="none"/>
          <w:lang w:val="en-US" w:eastAsia="zh-CN"/>
        </w:rPr>
        <w:t>三</w:t>
      </w:r>
      <w:r>
        <w:rPr>
          <w:rFonts w:hint="eastAsia" w:ascii="宋体" w:hAnsi="宋体" w:eastAsia="宋体" w:cs="宋体"/>
          <w:color w:val="auto"/>
          <w:spacing w:val="-3"/>
          <w:sz w:val="24"/>
          <w:szCs w:val="24"/>
          <w:highlight w:val="none"/>
        </w:rPr>
        <w:t>、争议解决</w:t>
      </w:r>
      <w:bookmarkEnd w:id="133"/>
      <w:bookmarkEnd w:id="134"/>
    </w:p>
    <w:p w14:paraId="37113184">
      <w:pPr>
        <w:pStyle w:val="16"/>
        <w:widowControl/>
        <w:kinsoku w:val="0"/>
        <w:autoSpaceDE w:val="0"/>
        <w:autoSpaceDN w:val="0"/>
        <w:adjustRightInd w:val="0"/>
        <w:snapToGrid w:val="0"/>
        <w:spacing w:after="0"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合同履行过程中发生争议的，双方协商解决，协商不成或不愿协商的，任何一方均应向甲方所在地人民法院提起诉讼。</w:t>
      </w:r>
      <w:r>
        <w:rPr>
          <w:rFonts w:hint="eastAsia" w:ascii="宋体" w:hAnsi="宋体" w:eastAsia="宋体" w:cs="宋体"/>
          <w:color w:val="auto"/>
          <w:spacing w:val="-2"/>
          <w:sz w:val="24"/>
          <w:szCs w:val="24"/>
          <w:highlight w:val="none"/>
        </w:rPr>
        <w:t>在诉讼或仲裁期间，本合同不涉及争议的条款仍然有效，双方应继续履行。</w:t>
      </w:r>
    </w:p>
    <w:p w14:paraId="350A94BF">
      <w:pPr>
        <w:widowControl/>
        <w:numPr>
          <w:ilvl w:val="0"/>
          <w:numId w:val="3"/>
        </w:numPr>
        <w:kinsoku w:val="0"/>
        <w:autoSpaceDE w:val="0"/>
        <w:autoSpaceDN w:val="0"/>
        <w:adjustRightInd w:val="0"/>
        <w:snapToGrid w:val="0"/>
        <w:spacing w:line="360" w:lineRule="auto"/>
        <w:ind w:firstLine="472" w:firstLineChars="200"/>
        <w:textAlignment w:val="baseline"/>
        <w:outlineLvl w:val="1"/>
        <w:rPr>
          <w:rFonts w:hint="eastAsia" w:ascii="宋体" w:hAnsi="宋体" w:eastAsia="宋体" w:cs="宋体"/>
          <w:color w:val="auto"/>
          <w:spacing w:val="-2"/>
          <w:sz w:val="24"/>
          <w:szCs w:val="24"/>
          <w:highlight w:val="none"/>
        </w:rPr>
      </w:pPr>
      <w:bookmarkStart w:id="135" w:name="_Toc218692286"/>
      <w:bookmarkStart w:id="136" w:name="_Toc30524"/>
      <w:r>
        <w:rPr>
          <w:rFonts w:hint="eastAsia" w:ascii="宋体" w:hAnsi="宋体" w:eastAsia="宋体" w:cs="宋体"/>
          <w:color w:val="auto"/>
          <w:spacing w:val="-2"/>
          <w:sz w:val="24"/>
          <w:szCs w:val="24"/>
          <w:highlight w:val="none"/>
        </w:rPr>
        <w:t>合同生效方式</w:t>
      </w:r>
      <w:bookmarkEnd w:id="135"/>
      <w:bookmarkEnd w:id="136"/>
    </w:p>
    <w:p w14:paraId="09527A85">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（一）本合同经双方法定代表人或者委托</w:t>
      </w:r>
      <w:r>
        <w:rPr>
          <w:rFonts w:hint="eastAsia" w:ascii="宋体" w:hAnsi="宋体" w:eastAsia="宋体" w:cs="宋体"/>
          <w:color w:val="auto"/>
          <w:spacing w:val="-5"/>
          <w:sz w:val="24"/>
          <w:szCs w:val="24"/>
          <w:highlight w:val="none"/>
        </w:rPr>
        <w:t>代理人签名并加盖公章后生效。</w:t>
      </w:r>
    </w:p>
    <w:p w14:paraId="365530A1">
      <w:pPr>
        <w:pStyle w:val="16"/>
        <w:widowControl/>
        <w:kinsoku w:val="0"/>
        <w:autoSpaceDE w:val="0"/>
        <w:autoSpaceDN w:val="0"/>
        <w:adjustRightInd w:val="0"/>
        <w:snapToGrid w:val="0"/>
        <w:spacing w:after="0" w:line="360" w:lineRule="auto"/>
        <w:ind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（二）本合同一式</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1"/>
          <w:sz w:val="24"/>
          <w:szCs w:val="24"/>
          <w:highlight w:val="none"/>
        </w:rPr>
        <w:t>份，具有同等法律效力；其中甲方执</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1"/>
          <w:sz w:val="24"/>
          <w:szCs w:val="24"/>
          <w:highlight w:val="none"/>
        </w:rPr>
        <w:t>份，乙</w:t>
      </w:r>
      <w:r>
        <w:rPr>
          <w:rFonts w:hint="eastAsia" w:ascii="宋体" w:hAnsi="宋体" w:eastAsia="宋体" w:cs="宋体"/>
          <w:color w:val="auto"/>
          <w:spacing w:val="-2"/>
          <w:sz w:val="24"/>
          <w:szCs w:val="24"/>
          <w:highlight w:val="none"/>
        </w:rPr>
        <w:t>方执</w:t>
      </w:r>
      <w:r>
        <w:rPr>
          <w:rFonts w:hint="eastAsia" w:ascii="宋体" w:hAnsi="宋体" w:eastAsia="宋体" w:cs="宋体"/>
          <w:color w:val="auto"/>
          <w:spacing w:val="-61"/>
          <w:sz w:val="24"/>
          <w:szCs w:val="24"/>
          <w:highlight w:val="non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rPr>
        <w:t>份，均具</w:t>
      </w:r>
      <w:r>
        <w:rPr>
          <w:rFonts w:hint="eastAsia" w:ascii="宋体" w:hAnsi="宋体" w:eastAsia="宋体" w:cs="宋体"/>
          <w:color w:val="auto"/>
          <w:spacing w:val="-6"/>
          <w:sz w:val="24"/>
          <w:szCs w:val="24"/>
          <w:highlight w:val="none"/>
        </w:rPr>
        <w:t>有相同的法律效力。</w:t>
      </w:r>
    </w:p>
    <w:p w14:paraId="5065D163">
      <w:pPr>
        <w:pStyle w:val="16"/>
        <w:widowControl/>
        <w:kinsoku w:val="0"/>
        <w:autoSpaceDE w:val="0"/>
        <w:autoSpaceDN w:val="0"/>
        <w:adjustRightInd w:val="0"/>
        <w:snapToGrid w:val="0"/>
        <w:spacing w:after="0" w:line="360" w:lineRule="auto"/>
        <w:ind w:firstLine="46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（三）本合同包含如下附件：</w:t>
      </w:r>
    </w:p>
    <w:p w14:paraId="626C5FB5">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1.蔬菜水果类供货及验收清单。</w:t>
      </w:r>
    </w:p>
    <w:p w14:paraId="29A75A7C">
      <w:pPr>
        <w:pStyle w:val="16"/>
        <w:widowControl/>
        <w:kinsoku w:val="0"/>
        <w:autoSpaceDE w:val="0"/>
        <w:autoSpaceDN w:val="0"/>
        <w:adjustRightInd w:val="0"/>
        <w:snapToGrid w:val="0"/>
        <w:spacing w:after="0" w:line="360" w:lineRule="auto"/>
        <w:ind w:firstLine="45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2.肉制品供货及验收清单。</w:t>
      </w:r>
    </w:p>
    <w:p w14:paraId="5D639599">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3.蛋奶类供货及验收清单。</w:t>
      </w:r>
    </w:p>
    <w:p w14:paraId="42C4314B">
      <w:pPr>
        <w:widowControl/>
        <w:kinsoku w:val="0"/>
        <w:autoSpaceDE w:val="0"/>
        <w:autoSpaceDN w:val="0"/>
        <w:adjustRightInd w:val="0"/>
        <w:snapToGrid w:val="0"/>
        <w:spacing w:line="360" w:lineRule="auto"/>
        <w:ind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4.米面粮油供货及验收清单。</w:t>
      </w:r>
    </w:p>
    <w:p w14:paraId="240A4119">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5.调味品供货及验收清单。</w:t>
      </w:r>
    </w:p>
    <w:p w14:paraId="050954DC">
      <w:pPr>
        <w:pStyle w:val="16"/>
        <w:widowControl/>
        <w:kinsoku w:val="0"/>
        <w:autoSpaceDE w:val="0"/>
        <w:autoSpaceDN w:val="0"/>
        <w:adjustRightInd w:val="0"/>
        <w:snapToGrid w:val="0"/>
        <w:spacing w:after="0" w:line="360" w:lineRule="auto"/>
        <w:ind w:firstLine="464"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pacing w:val="-4"/>
          <w:sz w:val="24"/>
          <w:szCs w:val="24"/>
          <w:highlight w:val="none"/>
        </w:rPr>
        <w:t>6.供货时间进度表。</w:t>
      </w:r>
    </w:p>
    <w:p w14:paraId="4F454F0C">
      <w:pPr>
        <w:widowControl/>
        <w:shd w:val="clear" w:color="auto" w:fill="FFFFFF"/>
        <w:spacing w:line="360" w:lineRule="auto"/>
        <w:ind w:firstLine="460" w:firstLineChars="200"/>
        <w:jc w:val="left"/>
        <w:rPr>
          <w:rFonts w:hint="eastAsia" w:ascii="宋体" w:hAnsi="宋体" w:eastAsia="宋体" w:cs="宋体"/>
          <w:color w:val="auto"/>
          <w:spacing w:val="-5"/>
          <w:kern w:val="2"/>
          <w:sz w:val="24"/>
          <w:szCs w:val="24"/>
          <w:highlight w:val="none"/>
          <w:lang w:val="en-US" w:eastAsia="zh-CN" w:bidi="ar-SA"/>
        </w:rPr>
      </w:pPr>
      <w:r>
        <w:rPr>
          <w:rFonts w:hint="eastAsia" w:ascii="宋体" w:hAnsi="宋体" w:eastAsia="宋体" w:cs="宋体"/>
          <w:color w:val="auto"/>
          <w:spacing w:val="-5"/>
          <w:kern w:val="2"/>
          <w:sz w:val="24"/>
          <w:szCs w:val="24"/>
          <w:highlight w:val="none"/>
          <w:lang w:val="en-US" w:eastAsia="zh-CN" w:bidi="ar-SA"/>
        </w:rPr>
        <w:t>（四）本协议书与下列文件一起构成合同文件：</w:t>
      </w:r>
    </w:p>
    <w:p w14:paraId="4531EDE0">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中标通知书；</w:t>
      </w:r>
    </w:p>
    <w:p w14:paraId="3BFDEA9F">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招标文件；</w:t>
      </w:r>
    </w:p>
    <w:p w14:paraId="40E97FFF">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投标文件；</w:t>
      </w:r>
    </w:p>
    <w:p w14:paraId="56CBA300">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甲乙双方签订补充协议；</w:t>
      </w:r>
    </w:p>
    <w:p w14:paraId="64C71D57">
      <w:pPr>
        <w:widowControl/>
        <w:shd w:val="clear" w:color="auto" w:fill="FFFFFF"/>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5.食堂食材配送供应商季度考核评分表</w:t>
      </w:r>
      <w:r>
        <w:rPr>
          <w:rFonts w:hint="eastAsia" w:ascii="宋体" w:hAnsi="宋体" w:eastAsia="宋体" w:cs="宋体"/>
          <w:color w:val="auto"/>
          <w:kern w:val="0"/>
          <w:sz w:val="24"/>
          <w:szCs w:val="24"/>
          <w:highlight w:val="none"/>
        </w:rPr>
        <w:t>；</w:t>
      </w:r>
    </w:p>
    <w:p w14:paraId="3D577BF0">
      <w:pPr>
        <w:widowControl/>
        <w:shd w:val="clear" w:color="auto" w:fill="FFFFFF"/>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其他合同文件。</w:t>
      </w:r>
    </w:p>
    <w:p w14:paraId="6CE4CC64">
      <w:pPr>
        <w:widowControl/>
        <w:kinsoku w:val="0"/>
        <w:autoSpaceDE w:val="0"/>
        <w:autoSpaceDN w:val="0"/>
        <w:adjustRightInd w:val="0"/>
        <w:snapToGrid w:val="0"/>
        <w:spacing w:line="360" w:lineRule="auto"/>
        <w:textAlignment w:val="baseline"/>
        <w:rPr>
          <w:rFonts w:hint="eastAsia" w:ascii="宋体" w:hAnsi="宋体" w:eastAsia="宋体" w:cs="宋体"/>
          <w:color w:val="auto"/>
          <w:sz w:val="28"/>
          <w:szCs w:val="28"/>
          <w:highlight w:val="none"/>
          <w:lang w:eastAsia="zh-CN"/>
        </w:rPr>
        <w:sectPr>
          <w:footerReference r:id="rId7" w:type="default"/>
          <w:pgSz w:w="11905" w:h="16840"/>
          <w:pgMar w:top="1134" w:right="1134" w:bottom="1134" w:left="1134" w:header="850" w:footer="850" w:gutter="0"/>
          <w:cols w:space="720" w:num="1"/>
        </w:sectPr>
      </w:pPr>
    </w:p>
    <w:p w14:paraId="2157A583">
      <w:pPr>
        <w:widowControl/>
        <w:kinsoku w:val="0"/>
        <w:autoSpaceDE w:val="0"/>
        <w:autoSpaceDN w:val="0"/>
        <w:adjustRightInd w:val="0"/>
        <w:snapToGrid w:val="0"/>
        <w:spacing w:before="68" w:line="360" w:lineRule="auto"/>
        <w:ind w:left="24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本页无正文，为签字页</w:t>
      </w:r>
    </w:p>
    <w:p w14:paraId="74D5A7A8">
      <w:pPr>
        <w:widowControl/>
        <w:kinsoku w:val="0"/>
        <w:autoSpaceDE w:val="0"/>
        <w:autoSpaceDN w:val="0"/>
        <w:adjustRightInd w:val="0"/>
        <w:snapToGrid w:val="0"/>
        <w:spacing w:line="360" w:lineRule="auto"/>
        <w:textAlignment w:val="baseline"/>
        <w:rPr>
          <w:rFonts w:hint="eastAsia" w:ascii="宋体" w:hAnsi="宋体" w:eastAsia="宋体" w:cs="宋体"/>
          <w:color w:val="auto"/>
          <w:sz w:val="28"/>
          <w:szCs w:val="28"/>
          <w:highlight w:val="none"/>
        </w:rPr>
      </w:pPr>
    </w:p>
    <w:p w14:paraId="74BC0DE2">
      <w:pPr>
        <w:pStyle w:val="16"/>
        <w:widowControl/>
        <w:kinsoku w:val="0"/>
        <w:autoSpaceDE w:val="0"/>
        <w:autoSpaceDN w:val="0"/>
        <w:adjustRightInd w:val="0"/>
        <w:snapToGrid w:val="0"/>
        <w:spacing w:before="90" w:line="360" w:lineRule="auto"/>
        <w:ind w:left="696"/>
        <w:textAlignment w:val="baseline"/>
        <w:rPr>
          <w:rFonts w:hint="eastAsia" w:eastAsia="宋体"/>
          <w:color w:val="auto"/>
          <w:sz w:val="24"/>
          <w:szCs w:val="24"/>
          <w:highlight w:val="none"/>
        </w:rPr>
      </w:pPr>
      <w:r>
        <w:rPr>
          <w:rFonts w:hint="eastAsia" w:eastAsia="宋体"/>
          <w:color w:val="auto"/>
          <w:spacing w:val="-5"/>
          <w:w w:val="98"/>
          <w:sz w:val="24"/>
          <w:szCs w:val="24"/>
          <w:highlight w:val="none"/>
        </w:rPr>
        <w:t>甲方（盖章）：</w:t>
      </w:r>
      <w:r>
        <w:rPr>
          <w:rFonts w:hint="eastAsia" w:eastAsia="宋体"/>
          <w:color w:val="auto"/>
          <w:sz w:val="24"/>
          <w:szCs w:val="24"/>
          <w:highlight w:val="none"/>
          <w:u w:val="single"/>
        </w:rPr>
        <w:t xml:space="preserve">                                  </w:t>
      </w:r>
    </w:p>
    <w:p w14:paraId="4FDC1A62">
      <w:pPr>
        <w:pStyle w:val="16"/>
        <w:widowControl/>
        <w:kinsoku w:val="0"/>
        <w:autoSpaceDE w:val="0"/>
        <w:autoSpaceDN w:val="0"/>
        <w:adjustRightInd w:val="0"/>
        <w:snapToGrid w:val="0"/>
        <w:spacing w:before="191" w:line="360" w:lineRule="auto"/>
        <w:ind w:left="664" w:right="2965" w:firstLine="9"/>
        <w:jc w:val="left"/>
        <w:textAlignment w:val="baseline"/>
        <w:rPr>
          <w:rFonts w:hint="eastAsia" w:eastAsia="宋体"/>
          <w:color w:val="auto"/>
          <w:spacing w:val="1"/>
          <w:sz w:val="24"/>
          <w:szCs w:val="24"/>
          <w:highlight w:val="none"/>
          <w:u w:val="single"/>
        </w:rPr>
      </w:pPr>
      <w:r>
        <w:rPr>
          <w:rFonts w:hint="eastAsia" w:eastAsia="宋体"/>
          <w:color w:val="auto"/>
          <w:spacing w:val="-5"/>
          <w:w w:val="98"/>
          <w:sz w:val="24"/>
          <w:szCs w:val="24"/>
          <w:highlight w:val="none"/>
        </w:rPr>
        <w:t>法定代表人/委托代理人（签字</w:t>
      </w:r>
      <w:r>
        <w:rPr>
          <w:rFonts w:hint="eastAsia" w:eastAsia="宋体"/>
          <w:color w:val="auto"/>
          <w:spacing w:val="2"/>
          <w:sz w:val="24"/>
          <w:szCs w:val="24"/>
          <w:highlight w:val="none"/>
        </w:rPr>
        <w:t>）：</w:t>
      </w:r>
      <w:r>
        <w:rPr>
          <w:rFonts w:hint="eastAsia" w:eastAsia="宋体"/>
          <w:color w:val="auto"/>
          <w:spacing w:val="1"/>
          <w:sz w:val="24"/>
          <w:szCs w:val="24"/>
          <w:highlight w:val="none"/>
          <w:u w:val="single"/>
        </w:rPr>
        <w:t xml:space="preserve">               </w:t>
      </w:r>
    </w:p>
    <w:p w14:paraId="1618FE09">
      <w:pPr>
        <w:pStyle w:val="16"/>
        <w:widowControl/>
        <w:kinsoku w:val="0"/>
        <w:autoSpaceDE w:val="0"/>
        <w:autoSpaceDN w:val="0"/>
        <w:adjustRightInd w:val="0"/>
        <w:snapToGrid w:val="0"/>
        <w:spacing w:before="191" w:line="360" w:lineRule="auto"/>
        <w:ind w:left="664" w:right="2965" w:firstLine="9"/>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银行账户：</w:t>
      </w:r>
      <w:r>
        <w:rPr>
          <w:rFonts w:hint="eastAsia" w:eastAsia="宋体"/>
          <w:color w:val="auto"/>
          <w:spacing w:val="-1"/>
          <w:sz w:val="24"/>
          <w:szCs w:val="24"/>
          <w:highlight w:val="none"/>
          <w:u w:val="single"/>
        </w:rPr>
        <w:t xml:space="preserve">                                  </w:t>
      </w:r>
    </w:p>
    <w:p w14:paraId="17486878">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8"/>
          <w:sz w:val="24"/>
          <w:szCs w:val="24"/>
          <w:highlight w:val="none"/>
        </w:rPr>
        <w:t>开户行：</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56C35A95">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u w:val="single"/>
        </w:rPr>
      </w:pPr>
      <w:r>
        <w:rPr>
          <w:rFonts w:hint="eastAsia" w:eastAsia="宋体"/>
          <w:color w:val="auto"/>
          <w:spacing w:val="-8"/>
          <w:sz w:val="24"/>
          <w:szCs w:val="24"/>
          <w:highlight w:val="none"/>
        </w:rPr>
        <w:t>税号：</w:t>
      </w:r>
      <w:r>
        <w:rPr>
          <w:rFonts w:hint="eastAsia" w:eastAsia="宋体"/>
          <w:color w:val="auto"/>
          <w:sz w:val="24"/>
          <w:szCs w:val="24"/>
          <w:highlight w:val="none"/>
          <w:u w:val="single"/>
        </w:rPr>
        <w:tab/>
      </w:r>
    </w:p>
    <w:p w14:paraId="2D3554C0">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3"/>
          <w:sz w:val="24"/>
          <w:szCs w:val="24"/>
          <w:highlight w:val="none"/>
        </w:rPr>
        <w:t>住所：</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494B71DA">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7"/>
          <w:sz w:val="24"/>
          <w:szCs w:val="24"/>
          <w:highlight w:val="none"/>
        </w:rPr>
        <w:t>联系人：</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71A4C53E">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1"/>
          <w:sz w:val="24"/>
          <w:szCs w:val="24"/>
          <w:highlight w:val="none"/>
        </w:rPr>
        <w:t>联系电话：</w:t>
      </w:r>
      <w:r>
        <w:rPr>
          <w:rFonts w:hint="eastAsia" w:eastAsia="宋体"/>
          <w:color w:val="auto"/>
          <w:spacing w:val="-1"/>
          <w:sz w:val="24"/>
          <w:szCs w:val="24"/>
          <w:highlight w:val="none"/>
          <w:u w:val="single"/>
        </w:rPr>
        <w:t xml:space="preserve">                   </w:t>
      </w:r>
    </w:p>
    <w:p w14:paraId="1A52E50E">
      <w:pPr>
        <w:widowControl/>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rPr>
      </w:pPr>
    </w:p>
    <w:p w14:paraId="5344F480">
      <w:pPr>
        <w:pStyle w:val="16"/>
        <w:widowControl/>
        <w:kinsoku w:val="0"/>
        <w:autoSpaceDE w:val="0"/>
        <w:autoSpaceDN w:val="0"/>
        <w:adjustRightInd w:val="0"/>
        <w:snapToGrid w:val="0"/>
        <w:spacing w:before="90" w:line="360" w:lineRule="auto"/>
        <w:ind w:left="694"/>
        <w:textAlignment w:val="baseline"/>
        <w:rPr>
          <w:rFonts w:hint="eastAsia" w:eastAsia="宋体"/>
          <w:color w:val="auto"/>
          <w:sz w:val="24"/>
          <w:szCs w:val="24"/>
          <w:highlight w:val="none"/>
        </w:rPr>
      </w:pPr>
      <w:r>
        <w:rPr>
          <w:rFonts w:hint="eastAsia" w:eastAsia="宋体"/>
          <w:color w:val="auto"/>
          <w:spacing w:val="-5"/>
          <w:w w:val="98"/>
          <w:sz w:val="24"/>
          <w:szCs w:val="24"/>
          <w:highlight w:val="none"/>
        </w:rPr>
        <w:t>乙方（盖章）：</w:t>
      </w:r>
      <w:r>
        <w:rPr>
          <w:rFonts w:hint="eastAsia" w:eastAsia="宋体"/>
          <w:color w:val="auto"/>
          <w:sz w:val="24"/>
          <w:szCs w:val="24"/>
          <w:highlight w:val="none"/>
          <w:u w:val="single"/>
        </w:rPr>
        <w:t xml:space="preserve">                                                 </w:t>
      </w:r>
    </w:p>
    <w:p w14:paraId="093B5C8E">
      <w:pPr>
        <w:pStyle w:val="16"/>
        <w:widowControl/>
        <w:kinsoku w:val="0"/>
        <w:autoSpaceDE w:val="0"/>
        <w:autoSpaceDN w:val="0"/>
        <w:adjustRightInd w:val="0"/>
        <w:snapToGrid w:val="0"/>
        <w:spacing w:before="192" w:line="360" w:lineRule="auto"/>
        <w:ind w:left="664" w:right="2394" w:firstLine="9"/>
        <w:jc w:val="left"/>
        <w:textAlignment w:val="baseline"/>
        <w:rPr>
          <w:rFonts w:hint="eastAsia" w:eastAsia="宋体"/>
          <w:color w:val="auto"/>
          <w:spacing w:val="1"/>
          <w:sz w:val="24"/>
          <w:szCs w:val="24"/>
          <w:highlight w:val="none"/>
          <w:u w:val="single"/>
        </w:rPr>
      </w:pPr>
      <w:r>
        <w:rPr>
          <w:rFonts w:hint="eastAsia" w:eastAsia="宋体"/>
          <w:color w:val="auto"/>
          <w:spacing w:val="-5"/>
          <w:w w:val="98"/>
          <w:sz w:val="24"/>
          <w:szCs w:val="24"/>
          <w:highlight w:val="none"/>
        </w:rPr>
        <w:t>法定代表人委托代理人（签字</w:t>
      </w:r>
      <w:r>
        <w:rPr>
          <w:rFonts w:hint="eastAsia" w:eastAsia="宋体"/>
          <w:color w:val="auto"/>
          <w:spacing w:val="-1"/>
          <w:sz w:val="24"/>
          <w:szCs w:val="24"/>
          <w:highlight w:val="none"/>
        </w:rPr>
        <w:t>）：</w:t>
      </w:r>
      <w:r>
        <w:rPr>
          <w:rFonts w:hint="eastAsia" w:eastAsia="宋体"/>
          <w:color w:val="auto"/>
          <w:spacing w:val="1"/>
          <w:sz w:val="24"/>
          <w:szCs w:val="24"/>
          <w:highlight w:val="none"/>
          <w:u w:val="single"/>
        </w:rPr>
        <w:t xml:space="preserve">                   </w:t>
      </w:r>
    </w:p>
    <w:p w14:paraId="799487E4">
      <w:pPr>
        <w:pStyle w:val="16"/>
        <w:widowControl/>
        <w:kinsoku w:val="0"/>
        <w:autoSpaceDE w:val="0"/>
        <w:autoSpaceDN w:val="0"/>
        <w:adjustRightInd w:val="0"/>
        <w:snapToGrid w:val="0"/>
        <w:spacing w:before="192" w:line="360" w:lineRule="auto"/>
        <w:ind w:left="664" w:right="2394" w:firstLine="9"/>
        <w:jc w:val="left"/>
        <w:textAlignment w:val="baseline"/>
        <w:rPr>
          <w:rFonts w:hint="eastAsia" w:eastAsia="宋体"/>
          <w:color w:val="auto"/>
          <w:sz w:val="24"/>
          <w:szCs w:val="24"/>
          <w:highlight w:val="none"/>
        </w:rPr>
      </w:pPr>
      <w:r>
        <w:rPr>
          <w:rFonts w:hint="eastAsia" w:eastAsia="宋体"/>
          <w:color w:val="auto"/>
          <w:spacing w:val="-1"/>
          <w:sz w:val="24"/>
          <w:szCs w:val="24"/>
          <w:highlight w:val="none"/>
        </w:rPr>
        <w:t>银行账户：</w:t>
      </w:r>
      <w:r>
        <w:rPr>
          <w:rFonts w:hint="eastAsia" w:eastAsia="宋体"/>
          <w:color w:val="auto"/>
          <w:spacing w:val="-1"/>
          <w:sz w:val="24"/>
          <w:szCs w:val="24"/>
          <w:highlight w:val="none"/>
          <w:u w:val="single"/>
        </w:rPr>
        <w:t xml:space="preserve">                                  </w:t>
      </w:r>
    </w:p>
    <w:p w14:paraId="1DA5E8C6">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8"/>
          <w:sz w:val="24"/>
          <w:szCs w:val="24"/>
          <w:highlight w:val="none"/>
        </w:rPr>
        <w:t>开户行：</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10FDA765">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8"/>
          <w:sz w:val="24"/>
          <w:szCs w:val="24"/>
          <w:highlight w:val="none"/>
        </w:rPr>
        <w:t>税号：</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7B937831">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3"/>
          <w:sz w:val="24"/>
          <w:szCs w:val="24"/>
          <w:highlight w:val="none"/>
        </w:rPr>
        <w:t>住所：</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297392A0">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pPr>
      <w:r>
        <w:rPr>
          <w:rFonts w:hint="eastAsia" w:eastAsia="宋体"/>
          <w:color w:val="auto"/>
          <w:spacing w:val="-7"/>
          <w:sz w:val="24"/>
          <w:szCs w:val="24"/>
          <w:highlight w:val="none"/>
        </w:rPr>
        <w:t>联系人：</w:t>
      </w:r>
      <w:r>
        <w:rPr>
          <w:rFonts w:hint="eastAsia" w:eastAsia="宋体"/>
          <w:color w:val="auto"/>
          <w:sz w:val="24"/>
          <w:szCs w:val="24"/>
          <w:highlight w:val="none"/>
          <w:u w:val="single"/>
        </w:rPr>
        <w:tab/>
      </w:r>
      <w:r>
        <w:rPr>
          <w:rFonts w:hint="eastAsia" w:eastAsia="宋体"/>
          <w:color w:val="auto"/>
          <w:sz w:val="24"/>
          <w:szCs w:val="24"/>
          <w:highlight w:val="none"/>
        </w:rPr>
        <w:t xml:space="preserve"> </w:t>
      </w:r>
    </w:p>
    <w:p w14:paraId="55A84C82">
      <w:pPr>
        <w:pStyle w:val="16"/>
        <w:widowControl/>
        <w:tabs>
          <w:tab w:val="left" w:pos="3806"/>
        </w:tabs>
        <w:kinsoku w:val="0"/>
        <w:autoSpaceDE w:val="0"/>
        <w:autoSpaceDN w:val="0"/>
        <w:adjustRightInd w:val="0"/>
        <w:snapToGrid w:val="0"/>
        <w:spacing w:before="6" w:line="360" w:lineRule="auto"/>
        <w:ind w:left="664" w:right="5018" w:firstLine="8"/>
        <w:textAlignment w:val="baseline"/>
        <w:rPr>
          <w:rFonts w:hint="eastAsia" w:eastAsia="宋体"/>
          <w:color w:val="auto"/>
          <w:sz w:val="24"/>
          <w:szCs w:val="24"/>
          <w:highlight w:val="none"/>
        </w:rPr>
        <w:sectPr>
          <w:pgSz w:w="11905" w:h="16840"/>
          <w:pgMar w:top="1134" w:right="1134" w:bottom="1134" w:left="1134" w:header="850" w:footer="850" w:gutter="0"/>
          <w:cols w:space="720" w:num="1"/>
        </w:sectPr>
      </w:pPr>
      <w:r>
        <w:rPr>
          <w:rFonts w:hint="eastAsia" w:eastAsia="宋体"/>
          <w:color w:val="auto"/>
          <w:spacing w:val="-1"/>
          <w:sz w:val="24"/>
          <w:szCs w:val="24"/>
          <w:highlight w:val="none"/>
        </w:rPr>
        <w:t>联系电话：</w:t>
      </w:r>
      <w:r>
        <w:rPr>
          <w:rFonts w:hint="eastAsia" w:eastAsia="宋体"/>
          <w:color w:val="auto"/>
          <w:spacing w:val="-1"/>
          <w:sz w:val="24"/>
          <w:szCs w:val="24"/>
          <w:highlight w:val="none"/>
          <w:u w:val="single"/>
        </w:rPr>
        <w:t xml:space="preserve">                  </w:t>
      </w:r>
    </w:p>
    <w:p w14:paraId="0F4B3647">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表1</w:t>
      </w:r>
    </w:p>
    <w:p w14:paraId="7E3E12C9">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蔬菜水果类供货及验收清单</w:t>
      </w:r>
    </w:p>
    <w:tbl>
      <w:tblPr>
        <w:tblStyle w:val="215"/>
        <w:tblW w:w="992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788"/>
        <w:gridCol w:w="1006"/>
        <w:gridCol w:w="839"/>
        <w:gridCol w:w="1014"/>
        <w:gridCol w:w="1160"/>
        <w:gridCol w:w="1034"/>
        <w:gridCol w:w="743"/>
        <w:gridCol w:w="951"/>
        <w:gridCol w:w="846"/>
        <w:gridCol w:w="885"/>
      </w:tblGrid>
      <w:tr w14:paraId="7834C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663" w:type="dxa"/>
            <w:tcBorders>
              <w:top w:val="single" w:color="000000" w:sz="12" w:space="0"/>
              <w:left w:val="single" w:color="000000" w:sz="12" w:space="0"/>
            </w:tcBorders>
          </w:tcPr>
          <w:p w14:paraId="019CBA4D">
            <w:pPr>
              <w:spacing w:before="277" w:line="223" w:lineRule="auto"/>
              <w:ind w:left="136"/>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788" w:type="dxa"/>
            <w:tcBorders>
              <w:top w:val="single" w:color="000000" w:sz="12" w:space="0"/>
            </w:tcBorders>
          </w:tcPr>
          <w:p w14:paraId="04908219">
            <w:pPr>
              <w:spacing w:before="277" w:line="222" w:lineRule="auto"/>
              <w:ind w:left="21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品名</w:t>
            </w:r>
          </w:p>
        </w:tc>
        <w:tc>
          <w:tcPr>
            <w:tcW w:w="1006" w:type="dxa"/>
            <w:tcBorders>
              <w:top w:val="single" w:color="000000" w:sz="12" w:space="0"/>
            </w:tcBorders>
          </w:tcPr>
          <w:p w14:paraId="767314CC">
            <w:pPr>
              <w:spacing w:before="156" w:line="235" w:lineRule="auto"/>
              <w:ind w:left="122" w:right="140" w:firstLine="19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数量</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8"/>
                <w:sz w:val="18"/>
                <w:szCs w:val="18"/>
                <w:highlight w:val="none"/>
              </w:rPr>
              <w:t>（斤/个）</w:t>
            </w:r>
          </w:p>
        </w:tc>
        <w:tc>
          <w:tcPr>
            <w:tcW w:w="839" w:type="dxa"/>
            <w:tcBorders>
              <w:top w:val="single" w:color="000000" w:sz="12" w:space="0"/>
            </w:tcBorders>
          </w:tcPr>
          <w:p w14:paraId="11AC9DD1">
            <w:pPr>
              <w:spacing w:before="277" w:line="223" w:lineRule="auto"/>
              <w:ind w:left="233"/>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产地</w:t>
            </w:r>
          </w:p>
        </w:tc>
        <w:tc>
          <w:tcPr>
            <w:tcW w:w="1014" w:type="dxa"/>
            <w:tcBorders>
              <w:top w:val="single" w:color="000000" w:sz="12" w:space="0"/>
            </w:tcBorders>
          </w:tcPr>
          <w:p w14:paraId="70AD2AE3">
            <w:pPr>
              <w:spacing w:before="157" w:line="234" w:lineRule="auto"/>
              <w:ind w:left="326" w:right="235" w:hanging="9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生产者</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名称</w:t>
            </w:r>
          </w:p>
        </w:tc>
        <w:tc>
          <w:tcPr>
            <w:tcW w:w="1160" w:type="dxa"/>
            <w:tcBorders>
              <w:top w:val="single" w:color="000000" w:sz="12" w:space="0"/>
            </w:tcBorders>
          </w:tcPr>
          <w:p w14:paraId="2782B308">
            <w:pPr>
              <w:spacing w:before="157" w:line="238" w:lineRule="auto"/>
              <w:ind w:left="403" w:right="304" w:hanging="9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生产者</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2"/>
                <w:sz w:val="18"/>
                <w:szCs w:val="18"/>
                <w:highlight w:val="none"/>
              </w:rPr>
              <w:t>地址</w:t>
            </w:r>
          </w:p>
        </w:tc>
        <w:tc>
          <w:tcPr>
            <w:tcW w:w="1034" w:type="dxa"/>
            <w:tcBorders>
              <w:top w:val="single" w:color="000000" w:sz="12" w:space="0"/>
            </w:tcBorders>
          </w:tcPr>
          <w:p w14:paraId="12B9EDD7">
            <w:pPr>
              <w:spacing w:before="157" w:line="234" w:lineRule="auto"/>
              <w:ind w:left="251" w:right="149" w:hanging="9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包装标准</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及要求</w:t>
            </w:r>
          </w:p>
        </w:tc>
        <w:tc>
          <w:tcPr>
            <w:tcW w:w="743" w:type="dxa"/>
            <w:tcBorders>
              <w:top w:val="single" w:color="000000" w:sz="12" w:space="0"/>
            </w:tcBorders>
          </w:tcPr>
          <w:p w14:paraId="107C29B9">
            <w:pPr>
              <w:spacing w:before="36" w:line="232" w:lineRule="auto"/>
              <w:ind w:left="199" w:right="179" w:firstLine="3"/>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运输</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保管</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条件</w:t>
            </w:r>
          </w:p>
        </w:tc>
        <w:tc>
          <w:tcPr>
            <w:tcW w:w="951" w:type="dxa"/>
            <w:tcBorders>
              <w:top w:val="single" w:color="000000" w:sz="12" w:space="0"/>
            </w:tcBorders>
          </w:tcPr>
          <w:p w14:paraId="3DCFF423">
            <w:pPr>
              <w:spacing w:before="157" w:line="236" w:lineRule="auto"/>
              <w:ind w:left="305" w:right="101" w:hanging="179"/>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农残检测</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2"/>
                <w:sz w:val="18"/>
                <w:szCs w:val="18"/>
                <w:highlight w:val="none"/>
              </w:rPr>
              <w:t>结果</w:t>
            </w:r>
          </w:p>
        </w:tc>
        <w:tc>
          <w:tcPr>
            <w:tcW w:w="846" w:type="dxa"/>
            <w:tcBorders>
              <w:top w:val="single" w:color="000000" w:sz="12" w:space="0"/>
            </w:tcBorders>
          </w:tcPr>
          <w:p w14:paraId="556A9FCF">
            <w:pPr>
              <w:spacing w:before="157" w:line="235" w:lineRule="auto"/>
              <w:ind w:left="178" w:right="155" w:firstLine="82"/>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单价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c>
          <w:tcPr>
            <w:tcW w:w="885" w:type="dxa"/>
            <w:tcBorders>
              <w:top w:val="single" w:color="000000" w:sz="12" w:space="0"/>
              <w:right w:val="single" w:color="000000" w:sz="12" w:space="0"/>
            </w:tcBorders>
          </w:tcPr>
          <w:p w14:paraId="5157C80E">
            <w:pPr>
              <w:spacing w:before="157" w:line="235" w:lineRule="auto"/>
              <w:ind w:left="193" w:right="168" w:firstLine="81"/>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总价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r>
      <w:tr w14:paraId="1BC7A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7BC4987B">
            <w:pPr>
              <w:pStyle w:val="214"/>
              <w:rPr>
                <w:rFonts w:hint="eastAsia"/>
                <w:color w:val="auto"/>
                <w:highlight w:val="none"/>
              </w:rPr>
            </w:pPr>
          </w:p>
        </w:tc>
        <w:tc>
          <w:tcPr>
            <w:tcW w:w="788" w:type="dxa"/>
          </w:tcPr>
          <w:p w14:paraId="1C985777">
            <w:pPr>
              <w:pStyle w:val="214"/>
              <w:rPr>
                <w:rFonts w:hint="eastAsia"/>
                <w:color w:val="auto"/>
                <w:highlight w:val="none"/>
              </w:rPr>
            </w:pPr>
          </w:p>
        </w:tc>
        <w:tc>
          <w:tcPr>
            <w:tcW w:w="1006" w:type="dxa"/>
          </w:tcPr>
          <w:p w14:paraId="725534DF">
            <w:pPr>
              <w:pStyle w:val="214"/>
              <w:rPr>
                <w:rFonts w:hint="eastAsia"/>
                <w:color w:val="auto"/>
                <w:highlight w:val="none"/>
              </w:rPr>
            </w:pPr>
          </w:p>
        </w:tc>
        <w:tc>
          <w:tcPr>
            <w:tcW w:w="839" w:type="dxa"/>
          </w:tcPr>
          <w:p w14:paraId="79E78A9C">
            <w:pPr>
              <w:pStyle w:val="214"/>
              <w:rPr>
                <w:rFonts w:hint="eastAsia"/>
                <w:color w:val="auto"/>
                <w:highlight w:val="none"/>
              </w:rPr>
            </w:pPr>
          </w:p>
        </w:tc>
        <w:tc>
          <w:tcPr>
            <w:tcW w:w="1014" w:type="dxa"/>
          </w:tcPr>
          <w:p w14:paraId="3F59550F">
            <w:pPr>
              <w:pStyle w:val="214"/>
              <w:rPr>
                <w:rFonts w:hint="eastAsia"/>
                <w:color w:val="auto"/>
                <w:highlight w:val="none"/>
              </w:rPr>
            </w:pPr>
          </w:p>
        </w:tc>
        <w:tc>
          <w:tcPr>
            <w:tcW w:w="1160" w:type="dxa"/>
          </w:tcPr>
          <w:p w14:paraId="3BDC1CA4">
            <w:pPr>
              <w:pStyle w:val="214"/>
              <w:rPr>
                <w:rFonts w:hint="eastAsia"/>
                <w:color w:val="auto"/>
                <w:highlight w:val="none"/>
              </w:rPr>
            </w:pPr>
          </w:p>
        </w:tc>
        <w:tc>
          <w:tcPr>
            <w:tcW w:w="1034" w:type="dxa"/>
          </w:tcPr>
          <w:p w14:paraId="3A9AE620">
            <w:pPr>
              <w:pStyle w:val="214"/>
              <w:rPr>
                <w:rFonts w:hint="eastAsia"/>
                <w:color w:val="auto"/>
                <w:highlight w:val="none"/>
              </w:rPr>
            </w:pPr>
          </w:p>
        </w:tc>
        <w:tc>
          <w:tcPr>
            <w:tcW w:w="743" w:type="dxa"/>
          </w:tcPr>
          <w:p w14:paraId="130B48B6">
            <w:pPr>
              <w:pStyle w:val="214"/>
              <w:rPr>
                <w:rFonts w:hint="eastAsia"/>
                <w:color w:val="auto"/>
                <w:highlight w:val="none"/>
              </w:rPr>
            </w:pPr>
          </w:p>
        </w:tc>
        <w:tc>
          <w:tcPr>
            <w:tcW w:w="951" w:type="dxa"/>
          </w:tcPr>
          <w:p w14:paraId="470F5E55">
            <w:pPr>
              <w:pStyle w:val="214"/>
              <w:rPr>
                <w:rFonts w:hint="eastAsia"/>
                <w:color w:val="auto"/>
                <w:highlight w:val="none"/>
              </w:rPr>
            </w:pPr>
          </w:p>
        </w:tc>
        <w:tc>
          <w:tcPr>
            <w:tcW w:w="846" w:type="dxa"/>
          </w:tcPr>
          <w:p w14:paraId="78BB5B2C">
            <w:pPr>
              <w:pStyle w:val="214"/>
              <w:rPr>
                <w:rFonts w:hint="eastAsia"/>
                <w:color w:val="auto"/>
                <w:highlight w:val="none"/>
              </w:rPr>
            </w:pPr>
          </w:p>
        </w:tc>
        <w:tc>
          <w:tcPr>
            <w:tcW w:w="885" w:type="dxa"/>
            <w:tcBorders>
              <w:right w:val="single" w:color="000000" w:sz="12" w:space="0"/>
            </w:tcBorders>
          </w:tcPr>
          <w:p w14:paraId="68195423">
            <w:pPr>
              <w:pStyle w:val="214"/>
              <w:rPr>
                <w:rFonts w:hint="eastAsia"/>
                <w:color w:val="auto"/>
                <w:highlight w:val="none"/>
              </w:rPr>
            </w:pPr>
          </w:p>
        </w:tc>
      </w:tr>
      <w:tr w14:paraId="72EFB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0C066FE5">
            <w:pPr>
              <w:pStyle w:val="214"/>
              <w:rPr>
                <w:rFonts w:hint="eastAsia"/>
                <w:color w:val="auto"/>
                <w:highlight w:val="none"/>
              </w:rPr>
            </w:pPr>
          </w:p>
        </w:tc>
        <w:tc>
          <w:tcPr>
            <w:tcW w:w="788" w:type="dxa"/>
          </w:tcPr>
          <w:p w14:paraId="14F61A7F">
            <w:pPr>
              <w:pStyle w:val="214"/>
              <w:rPr>
                <w:rFonts w:hint="eastAsia"/>
                <w:color w:val="auto"/>
                <w:highlight w:val="none"/>
              </w:rPr>
            </w:pPr>
          </w:p>
        </w:tc>
        <w:tc>
          <w:tcPr>
            <w:tcW w:w="1006" w:type="dxa"/>
          </w:tcPr>
          <w:p w14:paraId="2CD24379">
            <w:pPr>
              <w:pStyle w:val="214"/>
              <w:rPr>
                <w:rFonts w:hint="eastAsia"/>
                <w:color w:val="auto"/>
                <w:highlight w:val="none"/>
              </w:rPr>
            </w:pPr>
          </w:p>
        </w:tc>
        <w:tc>
          <w:tcPr>
            <w:tcW w:w="839" w:type="dxa"/>
          </w:tcPr>
          <w:p w14:paraId="2E5180DC">
            <w:pPr>
              <w:pStyle w:val="214"/>
              <w:rPr>
                <w:rFonts w:hint="eastAsia"/>
                <w:color w:val="auto"/>
                <w:highlight w:val="none"/>
              </w:rPr>
            </w:pPr>
          </w:p>
        </w:tc>
        <w:tc>
          <w:tcPr>
            <w:tcW w:w="1014" w:type="dxa"/>
          </w:tcPr>
          <w:p w14:paraId="2D17B956">
            <w:pPr>
              <w:pStyle w:val="214"/>
              <w:rPr>
                <w:rFonts w:hint="eastAsia"/>
                <w:color w:val="auto"/>
                <w:highlight w:val="none"/>
              </w:rPr>
            </w:pPr>
          </w:p>
        </w:tc>
        <w:tc>
          <w:tcPr>
            <w:tcW w:w="1160" w:type="dxa"/>
          </w:tcPr>
          <w:p w14:paraId="76749A33">
            <w:pPr>
              <w:pStyle w:val="214"/>
              <w:rPr>
                <w:rFonts w:hint="eastAsia"/>
                <w:color w:val="auto"/>
                <w:highlight w:val="none"/>
              </w:rPr>
            </w:pPr>
          </w:p>
        </w:tc>
        <w:tc>
          <w:tcPr>
            <w:tcW w:w="1034" w:type="dxa"/>
          </w:tcPr>
          <w:p w14:paraId="6A0D1A00">
            <w:pPr>
              <w:pStyle w:val="214"/>
              <w:rPr>
                <w:rFonts w:hint="eastAsia"/>
                <w:color w:val="auto"/>
                <w:highlight w:val="none"/>
              </w:rPr>
            </w:pPr>
          </w:p>
        </w:tc>
        <w:tc>
          <w:tcPr>
            <w:tcW w:w="743" w:type="dxa"/>
          </w:tcPr>
          <w:p w14:paraId="60FDA9B7">
            <w:pPr>
              <w:pStyle w:val="214"/>
              <w:rPr>
                <w:rFonts w:hint="eastAsia"/>
                <w:color w:val="auto"/>
                <w:highlight w:val="none"/>
              </w:rPr>
            </w:pPr>
          </w:p>
        </w:tc>
        <w:tc>
          <w:tcPr>
            <w:tcW w:w="951" w:type="dxa"/>
          </w:tcPr>
          <w:p w14:paraId="64EA3E84">
            <w:pPr>
              <w:pStyle w:val="214"/>
              <w:rPr>
                <w:rFonts w:hint="eastAsia"/>
                <w:color w:val="auto"/>
                <w:highlight w:val="none"/>
              </w:rPr>
            </w:pPr>
          </w:p>
        </w:tc>
        <w:tc>
          <w:tcPr>
            <w:tcW w:w="846" w:type="dxa"/>
          </w:tcPr>
          <w:p w14:paraId="28E42536">
            <w:pPr>
              <w:pStyle w:val="214"/>
              <w:rPr>
                <w:rFonts w:hint="eastAsia"/>
                <w:color w:val="auto"/>
                <w:highlight w:val="none"/>
              </w:rPr>
            </w:pPr>
          </w:p>
        </w:tc>
        <w:tc>
          <w:tcPr>
            <w:tcW w:w="885" w:type="dxa"/>
            <w:tcBorders>
              <w:right w:val="single" w:color="000000" w:sz="12" w:space="0"/>
            </w:tcBorders>
          </w:tcPr>
          <w:p w14:paraId="41A3D996">
            <w:pPr>
              <w:pStyle w:val="214"/>
              <w:rPr>
                <w:rFonts w:hint="eastAsia"/>
                <w:color w:val="auto"/>
                <w:highlight w:val="none"/>
              </w:rPr>
            </w:pPr>
          </w:p>
        </w:tc>
      </w:tr>
      <w:tr w14:paraId="7634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090A2612">
            <w:pPr>
              <w:pStyle w:val="214"/>
              <w:rPr>
                <w:rFonts w:hint="eastAsia"/>
                <w:color w:val="auto"/>
                <w:highlight w:val="none"/>
              </w:rPr>
            </w:pPr>
          </w:p>
        </w:tc>
        <w:tc>
          <w:tcPr>
            <w:tcW w:w="788" w:type="dxa"/>
          </w:tcPr>
          <w:p w14:paraId="4B83FDBB">
            <w:pPr>
              <w:pStyle w:val="214"/>
              <w:rPr>
                <w:rFonts w:hint="eastAsia"/>
                <w:color w:val="auto"/>
                <w:highlight w:val="none"/>
              </w:rPr>
            </w:pPr>
          </w:p>
        </w:tc>
        <w:tc>
          <w:tcPr>
            <w:tcW w:w="1006" w:type="dxa"/>
          </w:tcPr>
          <w:p w14:paraId="259C035D">
            <w:pPr>
              <w:pStyle w:val="214"/>
              <w:rPr>
                <w:rFonts w:hint="eastAsia"/>
                <w:color w:val="auto"/>
                <w:highlight w:val="none"/>
              </w:rPr>
            </w:pPr>
          </w:p>
        </w:tc>
        <w:tc>
          <w:tcPr>
            <w:tcW w:w="839" w:type="dxa"/>
          </w:tcPr>
          <w:p w14:paraId="442ED417">
            <w:pPr>
              <w:pStyle w:val="214"/>
              <w:rPr>
                <w:rFonts w:hint="eastAsia"/>
                <w:color w:val="auto"/>
                <w:highlight w:val="none"/>
              </w:rPr>
            </w:pPr>
          </w:p>
        </w:tc>
        <w:tc>
          <w:tcPr>
            <w:tcW w:w="1014" w:type="dxa"/>
          </w:tcPr>
          <w:p w14:paraId="572B755F">
            <w:pPr>
              <w:pStyle w:val="214"/>
              <w:rPr>
                <w:rFonts w:hint="eastAsia"/>
                <w:color w:val="auto"/>
                <w:highlight w:val="none"/>
              </w:rPr>
            </w:pPr>
          </w:p>
        </w:tc>
        <w:tc>
          <w:tcPr>
            <w:tcW w:w="1160" w:type="dxa"/>
          </w:tcPr>
          <w:p w14:paraId="2305EA08">
            <w:pPr>
              <w:pStyle w:val="214"/>
              <w:rPr>
                <w:rFonts w:hint="eastAsia"/>
                <w:color w:val="auto"/>
                <w:highlight w:val="none"/>
              </w:rPr>
            </w:pPr>
          </w:p>
        </w:tc>
        <w:tc>
          <w:tcPr>
            <w:tcW w:w="1034" w:type="dxa"/>
          </w:tcPr>
          <w:p w14:paraId="5435B9EB">
            <w:pPr>
              <w:pStyle w:val="214"/>
              <w:rPr>
                <w:rFonts w:hint="eastAsia"/>
                <w:color w:val="auto"/>
                <w:highlight w:val="none"/>
              </w:rPr>
            </w:pPr>
          </w:p>
        </w:tc>
        <w:tc>
          <w:tcPr>
            <w:tcW w:w="743" w:type="dxa"/>
          </w:tcPr>
          <w:p w14:paraId="396565D1">
            <w:pPr>
              <w:pStyle w:val="214"/>
              <w:rPr>
                <w:rFonts w:hint="eastAsia"/>
                <w:color w:val="auto"/>
                <w:highlight w:val="none"/>
              </w:rPr>
            </w:pPr>
          </w:p>
        </w:tc>
        <w:tc>
          <w:tcPr>
            <w:tcW w:w="951" w:type="dxa"/>
          </w:tcPr>
          <w:p w14:paraId="1231EB60">
            <w:pPr>
              <w:pStyle w:val="214"/>
              <w:rPr>
                <w:rFonts w:hint="eastAsia"/>
                <w:color w:val="auto"/>
                <w:highlight w:val="none"/>
              </w:rPr>
            </w:pPr>
          </w:p>
        </w:tc>
        <w:tc>
          <w:tcPr>
            <w:tcW w:w="846" w:type="dxa"/>
          </w:tcPr>
          <w:p w14:paraId="55EDF0A6">
            <w:pPr>
              <w:pStyle w:val="214"/>
              <w:rPr>
                <w:rFonts w:hint="eastAsia"/>
                <w:color w:val="auto"/>
                <w:highlight w:val="none"/>
              </w:rPr>
            </w:pPr>
          </w:p>
        </w:tc>
        <w:tc>
          <w:tcPr>
            <w:tcW w:w="885" w:type="dxa"/>
            <w:tcBorders>
              <w:right w:val="single" w:color="000000" w:sz="12" w:space="0"/>
            </w:tcBorders>
          </w:tcPr>
          <w:p w14:paraId="783E1151">
            <w:pPr>
              <w:pStyle w:val="214"/>
              <w:rPr>
                <w:rFonts w:hint="eastAsia"/>
                <w:color w:val="auto"/>
                <w:highlight w:val="none"/>
              </w:rPr>
            </w:pPr>
          </w:p>
        </w:tc>
      </w:tr>
      <w:tr w14:paraId="54C6F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21FD9FF5">
            <w:pPr>
              <w:pStyle w:val="214"/>
              <w:rPr>
                <w:rFonts w:hint="eastAsia"/>
                <w:color w:val="auto"/>
                <w:highlight w:val="none"/>
              </w:rPr>
            </w:pPr>
          </w:p>
        </w:tc>
        <w:tc>
          <w:tcPr>
            <w:tcW w:w="788" w:type="dxa"/>
          </w:tcPr>
          <w:p w14:paraId="24E2BE44">
            <w:pPr>
              <w:pStyle w:val="214"/>
              <w:rPr>
                <w:rFonts w:hint="eastAsia"/>
                <w:color w:val="auto"/>
                <w:highlight w:val="none"/>
              </w:rPr>
            </w:pPr>
          </w:p>
        </w:tc>
        <w:tc>
          <w:tcPr>
            <w:tcW w:w="1006" w:type="dxa"/>
          </w:tcPr>
          <w:p w14:paraId="252849BF">
            <w:pPr>
              <w:pStyle w:val="214"/>
              <w:rPr>
                <w:rFonts w:hint="eastAsia"/>
                <w:color w:val="auto"/>
                <w:highlight w:val="none"/>
              </w:rPr>
            </w:pPr>
          </w:p>
        </w:tc>
        <w:tc>
          <w:tcPr>
            <w:tcW w:w="839" w:type="dxa"/>
          </w:tcPr>
          <w:p w14:paraId="5E0FC270">
            <w:pPr>
              <w:pStyle w:val="214"/>
              <w:rPr>
                <w:rFonts w:hint="eastAsia"/>
                <w:color w:val="auto"/>
                <w:highlight w:val="none"/>
              </w:rPr>
            </w:pPr>
          </w:p>
        </w:tc>
        <w:tc>
          <w:tcPr>
            <w:tcW w:w="1014" w:type="dxa"/>
          </w:tcPr>
          <w:p w14:paraId="7ABDDE8B">
            <w:pPr>
              <w:pStyle w:val="214"/>
              <w:rPr>
                <w:rFonts w:hint="eastAsia"/>
                <w:color w:val="auto"/>
                <w:highlight w:val="none"/>
              </w:rPr>
            </w:pPr>
          </w:p>
        </w:tc>
        <w:tc>
          <w:tcPr>
            <w:tcW w:w="1160" w:type="dxa"/>
          </w:tcPr>
          <w:p w14:paraId="18E20850">
            <w:pPr>
              <w:pStyle w:val="214"/>
              <w:rPr>
                <w:rFonts w:hint="eastAsia"/>
                <w:color w:val="auto"/>
                <w:highlight w:val="none"/>
              </w:rPr>
            </w:pPr>
          </w:p>
        </w:tc>
        <w:tc>
          <w:tcPr>
            <w:tcW w:w="1034" w:type="dxa"/>
          </w:tcPr>
          <w:p w14:paraId="5F0B51E2">
            <w:pPr>
              <w:pStyle w:val="214"/>
              <w:rPr>
                <w:rFonts w:hint="eastAsia"/>
                <w:color w:val="auto"/>
                <w:highlight w:val="none"/>
              </w:rPr>
            </w:pPr>
          </w:p>
        </w:tc>
        <w:tc>
          <w:tcPr>
            <w:tcW w:w="743" w:type="dxa"/>
          </w:tcPr>
          <w:p w14:paraId="2431AD13">
            <w:pPr>
              <w:pStyle w:val="214"/>
              <w:rPr>
                <w:rFonts w:hint="eastAsia"/>
                <w:color w:val="auto"/>
                <w:highlight w:val="none"/>
              </w:rPr>
            </w:pPr>
          </w:p>
        </w:tc>
        <w:tc>
          <w:tcPr>
            <w:tcW w:w="951" w:type="dxa"/>
          </w:tcPr>
          <w:p w14:paraId="5D20D615">
            <w:pPr>
              <w:pStyle w:val="214"/>
              <w:rPr>
                <w:rFonts w:hint="eastAsia"/>
                <w:color w:val="auto"/>
                <w:highlight w:val="none"/>
              </w:rPr>
            </w:pPr>
          </w:p>
        </w:tc>
        <w:tc>
          <w:tcPr>
            <w:tcW w:w="846" w:type="dxa"/>
          </w:tcPr>
          <w:p w14:paraId="42F2BC13">
            <w:pPr>
              <w:pStyle w:val="214"/>
              <w:rPr>
                <w:rFonts w:hint="eastAsia"/>
                <w:color w:val="auto"/>
                <w:highlight w:val="none"/>
              </w:rPr>
            </w:pPr>
          </w:p>
        </w:tc>
        <w:tc>
          <w:tcPr>
            <w:tcW w:w="885" w:type="dxa"/>
            <w:tcBorders>
              <w:right w:val="single" w:color="000000" w:sz="12" w:space="0"/>
            </w:tcBorders>
          </w:tcPr>
          <w:p w14:paraId="5EAD5302">
            <w:pPr>
              <w:pStyle w:val="214"/>
              <w:rPr>
                <w:rFonts w:hint="eastAsia"/>
                <w:color w:val="auto"/>
                <w:highlight w:val="none"/>
              </w:rPr>
            </w:pPr>
          </w:p>
        </w:tc>
      </w:tr>
      <w:tr w14:paraId="62F58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01CEA05D">
            <w:pPr>
              <w:pStyle w:val="214"/>
              <w:rPr>
                <w:rFonts w:hint="eastAsia"/>
                <w:color w:val="auto"/>
                <w:highlight w:val="none"/>
              </w:rPr>
            </w:pPr>
          </w:p>
        </w:tc>
        <w:tc>
          <w:tcPr>
            <w:tcW w:w="788" w:type="dxa"/>
          </w:tcPr>
          <w:p w14:paraId="42CFDCD5">
            <w:pPr>
              <w:pStyle w:val="214"/>
              <w:rPr>
                <w:rFonts w:hint="eastAsia"/>
                <w:color w:val="auto"/>
                <w:highlight w:val="none"/>
              </w:rPr>
            </w:pPr>
          </w:p>
        </w:tc>
        <w:tc>
          <w:tcPr>
            <w:tcW w:w="1006" w:type="dxa"/>
          </w:tcPr>
          <w:p w14:paraId="1B6CF9BC">
            <w:pPr>
              <w:pStyle w:val="214"/>
              <w:rPr>
                <w:rFonts w:hint="eastAsia"/>
                <w:color w:val="auto"/>
                <w:highlight w:val="none"/>
              </w:rPr>
            </w:pPr>
          </w:p>
        </w:tc>
        <w:tc>
          <w:tcPr>
            <w:tcW w:w="839" w:type="dxa"/>
          </w:tcPr>
          <w:p w14:paraId="056FEB0C">
            <w:pPr>
              <w:pStyle w:val="214"/>
              <w:rPr>
                <w:rFonts w:hint="eastAsia"/>
                <w:color w:val="auto"/>
                <w:highlight w:val="none"/>
              </w:rPr>
            </w:pPr>
          </w:p>
        </w:tc>
        <w:tc>
          <w:tcPr>
            <w:tcW w:w="1014" w:type="dxa"/>
          </w:tcPr>
          <w:p w14:paraId="7DC80591">
            <w:pPr>
              <w:pStyle w:val="214"/>
              <w:rPr>
                <w:rFonts w:hint="eastAsia"/>
                <w:color w:val="auto"/>
                <w:highlight w:val="none"/>
              </w:rPr>
            </w:pPr>
          </w:p>
        </w:tc>
        <w:tc>
          <w:tcPr>
            <w:tcW w:w="1160" w:type="dxa"/>
          </w:tcPr>
          <w:p w14:paraId="71ABC6A2">
            <w:pPr>
              <w:pStyle w:val="214"/>
              <w:rPr>
                <w:rFonts w:hint="eastAsia"/>
                <w:color w:val="auto"/>
                <w:highlight w:val="none"/>
              </w:rPr>
            </w:pPr>
          </w:p>
        </w:tc>
        <w:tc>
          <w:tcPr>
            <w:tcW w:w="1034" w:type="dxa"/>
          </w:tcPr>
          <w:p w14:paraId="7DF62BB4">
            <w:pPr>
              <w:pStyle w:val="214"/>
              <w:rPr>
                <w:rFonts w:hint="eastAsia"/>
                <w:color w:val="auto"/>
                <w:highlight w:val="none"/>
              </w:rPr>
            </w:pPr>
          </w:p>
        </w:tc>
        <w:tc>
          <w:tcPr>
            <w:tcW w:w="743" w:type="dxa"/>
          </w:tcPr>
          <w:p w14:paraId="78AB387D">
            <w:pPr>
              <w:pStyle w:val="214"/>
              <w:rPr>
                <w:rFonts w:hint="eastAsia"/>
                <w:color w:val="auto"/>
                <w:highlight w:val="none"/>
              </w:rPr>
            </w:pPr>
          </w:p>
        </w:tc>
        <w:tc>
          <w:tcPr>
            <w:tcW w:w="951" w:type="dxa"/>
          </w:tcPr>
          <w:p w14:paraId="2D1768F1">
            <w:pPr>
              <w:pStyle w:val="214"/>
              <w:rPr>
                <w:rFonts w:hint="eastAsia"/>
                <w:color w:val="auto"/>
                <w:highlight w:val="none"/>
              </w:rPr>
            </w:pPr>
          </w:p>
        </w:tc>
        <w:tc>
          <w:tcPr>
            <w:tcW w:w="846" w:type="dxa"/>
          </w:tcPr>
          <w:p w14:paraId="5769443A">
            <w:pPr>
              <w:pStyle w:val="214"/>
              <w:rPr>
                <w:rFonts w:hint="eastAsia"/>
                <w:color w:val="auto"/>
                <w:highlight w:val="none"/>
              </w:rPr>
            </w:pPr>
          </w:p>
        </w:tc>
        <w:tc>
          <w:tcPr>
            <w:tcW w:w="885" w:type="dxa"/>
            <w:tcBorders>
              <w:right w:val="single" w:color="000000" w:sz="12" w:space="0"/>
            </w:tcBorders>
          </w:tcPr>
          <w:p w14:paraId="2189E8A9">
            <w:pPr>
              <w:pStyle w:val="214"/>
              <w:rPr>
                <w:rFonts w:hint="eastAsia"/>
                <w:color w:val="auto"/>
                <w:highlight w:val="none"/>
              </w:rPr>
            </w:pPr>
          </w:p>
        </w:tc>
      </w:tr>
      <w:tr w14:paraId="29EEE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39AF0DCB">
            <w:pPr>
              <w:pStyle w:val="214"/>
              <w:rPr>
                <w:rFonts w:hint="eastAsia"/>
                <w:color w:val="auto"/>
                <w:highlight w:val="none"/>
              </w:rPr>
            </w:pPr>
          </w:p>
        </w:tc>
        <w:tc>
          <w:tcPr>
            <w:tcW w:w="788" w:type="dxa"/>
          </w:tcPr>
          <w:p w14:paraId="0B5EF840">
            <w:pPr>
              <w:pStyle w:val="214"/>
              <w:rPr>
                <w:rFonts w:hint="eastAsia"/>
                <w:color w:val="auto"/>
                <w:highlight w:val="none"/>
              </w:rPr>
            </w:pPr>
          </w:p>
        </w:tc>
        <w:tc>
          <w:tcPr>
            <w:tcW w:w="1006" w:type="dxa"/>
          </w:tcPr>
          <w:p w14:paraId="07DB662A">
            <w:pPr>
              <w:pStyle w:val="214"/>
              <w:rPr>
                <w:rFonts w:hint="eastAsia"/>
                <w:color w:val="auto"/>
                <w:highlight w:val="none"/>
              </w:rPr>
            </w:pPr>
          </w:p>
        </w:tc>
        <w:tc>
          <w:tcPr>
            <w:tcW w:w="839" w:type="dxa"/>
          </w:tcPr>
          <w:p w14:paraId="030A92E8">
            <w:pPr>
              <w:pStyle w:val="214"/>
              <w:rPr>
                <w:rFonts w:hint="eastAsia"/>
                <w:color w:val="auto"/>
                <w:highlight w:val="none"/>
              </w:rPr>
            </w:pPr>
          </w:p>
        </w:tc>
        <w:tc>
          <w:tcPr>
            <w:tcW w:w="1014" w:type="dxa"/>
          </w:tcPr>
          <w:p w14:paraId="54CB4372">
            <w:pPr>
              <w:pStyle w:val="214"/>
              <w:rPr>
                <w:rFonts w:hint="eastAsia"/>
                <w:color w:val="auto"/>
                <w:highlight w:val="none"/>
              </w:rPr>
            </w:pPr>
          </w:p>
        </w:tc>
        <w:tc>
          <w:tcPr>
            <w:tcW w:w="1160" w:type="dxa"/>
          </w:tcPr>
          <w:p w14:paraId="2C5F9333">
            <w:pPr>
              <w:pStyle w:val="214"/>
              <w:rPr>
                <w:rFonts w:hint="eastAsia"/>
                <w:color w:val="auto"/>
                <w:highlight w:val="none"/>
              </w:rPr>
            </w:pPr>
          </w:p>
        </w:tc>
        <w:tc>
          <w:tcPr>
            <w:tcW w:w="1034" w:type="dxa"/>
          </w:tcPr>
          <w:p w14:paraId="6A529D67">
            <w:pPr>
              <w:pStyle w:val="214"/>
              <w:rPr>
                <w:rFonts w:hint="eastAsia"/>
                <w:color w:val="auto"/>
                <w:highlight w:val="none"/>
              </w:rPr>
            </w:pPr>
          </w:p>
        </w:tc>
        <w:tc>
          <w:tcPr>
            <w:tcW w:w="743" w:type="dxa"/>
          </w:tcPr>
          <w:p w14:paraId="4C06F893">
            <w:pPr>
              <w:pStyle w:val="214"/>
              <w:rPr>
                <w:rFonts w:hint="eastAsia"/>
                <w:color w:val="auto"/>
                <w:highlight w:val="none"/>
              </w:rPr>
            </w:pPr>
          </w:p>
        </w:tc>
        <w:tc>
          <w:tcPr>
            <w:tcW w:w="951" w:type="dxa"/>
          </w:tcPr>
          <w:p w14:paraId="5B81B91E">
            <w:pPr>
              <w:pStyle w:val="214"/>
              <w:rPr>
                <w:rFonts w:hint="eastAsia"/>
                <w:color w:val="auto"/>
                <w:highlight w:val="none"/>
              </w:rPr>
            </w:pPr>
          </w:p>
        </w:tc>
        <w:tc>
          <w:tcPr>
            <w:tcW w:w="846" w:type="dxa"/>
          </w:tcPr>
          <w:p w14:paraId="238DEA23">
            <w:pPr>
              <w:pStyle w:val="214"/>
              <w:rPr>
                <w:rFonts w:hint="eastAsia"/>
                <w:color w:val="auto"/>
                <w:highlight w:val="none"/>
              </w:rPr>
            </w:pPr>
          </w:p>
        </w:tc>
        <w:tc>
          <w:tcPr>
            <w:tcW w:w="885" w:type="dxa"/>
            <w:tcBorders>
              <w:right w:val="single" w:color="000000" w:sz="12" w:space="0"/>
            </w:tcBorders>
          </w:tcPr>
          <w:p w14:paraId="53670CD8">
            <w:pPr>
              <w:pStyle w:val="214"/>
              <w:rPr>
                <w:rFonts w:hint="eastAsia"/>
                <w:color w:val="auto"/>
                <w:highlight w:val="none"/>
              </w:rPr>
            </w:pPr>
          </w:p>
        </w:tc>
      </w:tr>
      <w:tr w14:paraId="21A81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5986FA39">
            <w:pPr>
              <w:pStyle w:val="214"/>
              <w:rPr>
                <w:rFonts w:hint="eastAsia"/>
                <w:color w:val="auto"/>
                <w:highlight w:val="none"/>
              </w:rPr>
            </w:pPr>
          </w:p>
        </w:tc>
        <w:tc>
          <w:tcPr>
            <w:tcW w:w="788" w:type="dxa"/>
          </w:tcPr>
          <w:p w14:paraId="02BFCD19">
            <w:pPr>
              <w:pStyle w:val="214"/>
              <w:rPr>
                <w:rFonts w:hint="eastAsia"/>
                <w:color w:val="auto"/>
                <w:highlight w:val="none"/>
              </w:rPr>
            </w:pPr>
          </w:p>
        </w:tc>
        <w:tc>
          <w:tcPr>
            <w:tcW w:w="1006" w:type="dxa"/>
          </w:tcPr>
          <w:p w14:paraId="3C96DC19">
            <w:pPr>
              <w:pStyle w:val="214"/>
              <w:rPr>
                <w:rFonts w:hint="eastAsia"/>
                <w:color w:val="auto"/>
                <w:highlight w:val="none"/>
              </w:rPr>
            </w:pPr>
          </w:p>
        </w:tc>
        <w:tc>
          <w:tcPr>
            <w:tcW w:w="839" w:type="dxa"/>
          </w:tcPr>
          <w:p w14:paraId="7A52B808">
            <w:pPr>
              <w:pStyle w:val="214"/>
              <w:rPr>
                <w:rFonts w:hint="eastAsia"/>
                <w:color w:val="auto"/>
                <w:highlight w:val="none"/>
              </w:rPr>
            </w:pPr>
          </w:p>
        </w:tc>
        <w:tc>
          <w:tcPr>
            <w:tcW w:w="1014" w:type="dxa"/>
          </w:tcPr>
          <w:p w14:paraId="295045C8">
            <w:pPr>
              <w:pStyle w:val="214"/>
              <w:rPr>
                <w:rFonts w:hint="eastAsia"/>
                <w:color w:val="auto"/>
                <w:highlight w:val="none"/>
              </w:rPr>
            </w:pPr>
          </w:p>
        </w:tc>
        <w:tc>
          <w:tcPr>
            <w:tcW w:w="1160" w:type="dxa"/>
          </w:tcPr>
          <w:p w14:paraId="0B2FEA9A">
            <w:pPr>
              <w:pStyle w:val="214"/>
              <w:rPr>
                <w:rFonts w:hint="eastAsia"/>
                <w:color w:val="auto"/>
                <w:highlight w:val="none"/>
              </w:rPr>
            </w:pPr>
          </w:p>
        </w:tc>
        <w:tc>
          <w:tcPr>
            <w:tcW w:w="1034" w:type="dxa"/>
          </w:tcPr>
          <w:p w14:paraId="07A15FB6">
            <w:pPr>
              <w:pStyle w:val="214"/>
              <w:rPr>
                <w:rFonts w:hint="eastAsia"/>
                <w:color w:val="auto"/>
                <w:highlight w:val="none"/>
              </w:rPr>
            </w:pPr>
          </w:p>
        </w:tc>
        <w:tc>
          <w:tcPr>
            <w:tcW w:w="743" w:type="dxa"/>
          </w:tcPr>
          <w:p w14:paraId="16AE6578">
            <w:pPr>
              <w:pStyle w:val="214"/>
              <w:rPr>
                <w:rFonts w:hint="eastAsia"/>
                <w:color w:val="auto"/>
                <w:highlight w:val="none"/>
              </w:rPr>
            </w:pPr>
          </w:p>
        </w:tc>
        <w:tc>
          <w:tcPr>
            <w:tcW w:w="951" w:type="dxa"/>
          </w:tcPr>
          <w:p w14:paraId="2DCED4F4">
            <w:pPr>
              <w:pStyle w:val="214"/>
              <w:rPr>
                <w:rFonts w:hint="eastAsia"/>
                <w:color w:val="auto"/>
                <w:highlight w:val="none"/>
              </w:rPr>
            </w:pPr>
          </w:p>
        </w:tc>
        <w:tc>
          <w:tcPr>
            <w:tcW w:w="846" w:type="dxa"/>
          </w:tcPr>
          <w:p w14:paraId="167050CD">
            <w:pPr>
              <w:pStyle w:val="214"/>
              <w:rPr>
                <w:rFonts w:hint="eastAsia"/>
                <w:color w:val="auto"/>
                <w:highlight w:val="none"/>
              </w:rPr>
            </w:pPr>
          </w:p>
        </w:tc>
        <w:tc>
          <w:tcPr>
            <w:tcW w:w="885" w:type="dxa"/>
            <w:tcBorders>
              <w:right w:val="single" w:color="000000" w:sz="12" w:space="0"/>
            </w:tcBorders>
          </w:tcPr>
          <w:p w14:paraId="7CB7906F">
            <w:pPr>
              <w:pStyle w:val="214"/>
              <w:rPr>
                <w:rFonts w:hint="eastAsia"/>
                <w:color w:val="auto"/>
                <w:highlight w:val="none"/>
              </w:rPr>
            </w:pPr>
          </w:p>
        </w:tc>
      </w:tr>
      <w:tr w14:paraId="0210D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24358831">
            <w:pPr>
              <w:pStyle w:val="214"/>
              <w:rPr>
                <w:rFonts w:hint="eastAsia"/>
                <w:color w:val="auto"/>
                <w:highlight w:val="none"/>
              </w:rPr>
            </w:pPr>
          </w:p>
        </w:tc>
        <w:tc>
          <w:tcPr>
            <w:tcW w:w="788" w:type="dxa"/>
          </w:tcPr>
          <w:p w14:paraId="5CD4A305">
            <w:pPr>
              <w:pStyle w:val="214"/>
              <w:rPr>
                <w:rFonts w:hint="eastAsia"/>
                <w:color w:val="auto"/>
                <w:highlight w:val="none"/>
              </w:rPr>
            </w:pPr>
          </w:p>
        </w:tc>
        <w:tc>
          <w:tcPr>
            <w:tcW w:w="1006" w:type="dxa"/>
          </w:tcPr>
          <w:p w14:paraId="388768F5">
            <w:pPr>
              <w:pStyle w:val="214"/>
              <w:rPr>
                <w:rFonts w:hint="eastAsia"/>
                <w:color w:val="auto"/>
                <w:highlight w:val="none"/>
              </w:rPr>
            </w:pPr>
          </w:p>
        </w:tc>
        <w:tc>
          <w:tcPr>
            <w:tcW w:w="839" w:type="dxa"/>
          </w:tcPr>
          <w:p w14:paraId="3A21DCC2">
            <w:pPr>
              <w:pStyle w:val="214"/>
              <w:rPr>
                <w:rFonts w:hint="eastAsia"/>
                <w:color w:val="auto"/>
                <w:highlight w:val="none"/>
              </w:rPr>
            </w:pPr>
          </w:p>
        </w:tc>
        <w:tc>
          <w:tcPr>
            <w:tcW w:w="1014" w:type="dxa"/>
          </w:tcPr>
          <w:p w14:paraId="3AD84754">
            <w:pPr>
              <w:pStyle w:val="214"/>
              <w:rPr>
                <w:rFonts w:hint="eastAsia"/>
                <w:color w:val="auto"/>
                <w:highlight w:val="none"/>
              </w:rPr>
            </w:pPr>
          </w:p>
        </w:tc>
        <w:tc>
          <w:tcPr>
            <w:tcW w:w="1160" w:type="dxa"/>
          </w:tcPr>
          <w:p w14:paraId="3123E313">
            <w:pPr>
              <w:pStyle w:val="214"/>
              <w:rPr>
                <w:rFonts w:hint="eastAsia"/>
                <w:color w:val="auto"/>
                <w:highlight w:val="none"/>
              </w:rPr>
            </w:pPr>
          </w:p>
        </w:tc>
        <w:tc>
          <w:tcPr>
            <w:tcW w:w="1034" w:type="dxa"/>
          </w:tcPr>
          <w:p w14:paraId="528DD1E6">
            <w:pPr>
              <w:pStyle w:val="214"/>
              <w:rPr>
                <w:rFonts w:hint="eastAsia"/>
                <w:color w:val="auto"/>
                <w:highlight w:val="none"/>
              </w:rPr>
            </w:pPr>
          </w:p>
        </w:tc>
        <w:tc>
          <w:tcPr>
            <w:tcW w:w="743" w:type="dxa"/>
          </w:tcPr>
          <w:p w14:paraId="318D0709">
            <w:pPr>
              <w:pStyle w:val="214"/>
              <w:rPr>
                <w:rFonts w:hint="eastAsia"/>
                <w:color w:val="auto"/>
                <w:highlight w:val="none"/>
              </w:rPr>
            </w:pPr>
          </w:p>
        </w:tc>
        <w:tc>
          <w:tcPr>
            <w:tcW w:w="951" w:type="dxa"/>
          </w:tcPr>
          <w:p w14:paraId="338F850C">
            <w:pPr>
              <w:pStyle w:val="214"/>
              <w:rPr>
                <w:rFonts w:hint="eastAsia"/>
                <w:color w:val="auto"/>
                <w:highlight w:val="none"/>
              </w:rPr>
            </w:pPr>
          </w:p>
        </w:tc>
        <w:tc>
          <w:tcPr>
            <w:tcW w:w="846" w:type="dxa"/>
          </w:tcPr>
          <w:p w14:paraId="37C14BDC">
            <w:pPr>
              <w:pStyle w:val="214"/>
              <w:rPr>
                <w:rFonts w:hint="eastAsia"/>
                <w:color w:val="auto"/>
                <w:highlight w:val="none"/>
              </w:rPr>
            </w:pPr>
          </w:p>
        </w:tc>
        <w:tc>
          <w:tcPr>
            <w:tcW w:w="885" w:type="dxa"/>
            <w:tcBorders>
              <w:right w:val="single" w:color="000000" w:sz="12" w:space="0"/>
            </w:tcBorders>
          </w:tcPr>
          <w:p w14:paraId="48537C52">
            <w:pPr>
              <w:pStyle w:val="214"/>
              <w:rPr>
                <w:rFonts w:hint="eastAsia"/>
                <w:color w:val="auto"/>
                <w:highlight w:val="none"/>
              </w:rPr>
            </w:pPr>
          </w:p>
        </w:tc>
      </w:tr>
      <w:tr w14:paraId="2FD26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48E33ABE">
            <w:pPr>
              <w:pStyle w:val="214"/>
              <w:rPr>
                <w:rFonts w:hint="eastAsia"/>
                <w:color w:val="auto"/>
                <w:highlight w:val="none"/>
              </w:rPr>
            </w:pPr>
          </w:p>
        </w:tc>
        <w:tc>
          <w:tcPr>
            <w:tcW w:w="788" w:type="dxa"/>
          </w:tcPr>
          <w:p w14:paraId="683531F6">
            <w:pPr>
              <w:pStyle w:val="214"/>
              <w:rPr>
                <w:rFonts w:hint="eastAsia"/>
                <w:color w:val="auto"/>
                <w:highlight w:val="none"/>
              </w:rPr>
            </w:pPr>
          </w:p>
        </w:tc>
        <w:tc>
          <w:tcPr>
            <w:tcW w:w="1006" w:type="dxa"/>
          </w:tcPr>
          <w:p w14:paraId="53A062BF">
            <w:pPr>
              <w:pStyle w:val="214"/>
              <w:rPr>
                <w:rFonts w:hint="eastAsia"/>
                <w:color w:val="auto"/>
                <w:highlight w:val="none"/>
              </w:rPr>
            </w:pPr>
          </w:p>
        </w:tc>
        <w:tc>
          <w:tcPr>
            <w:tcW w:w="839" w:type="dxa"/>
          </w:tcPr>
          <w:p w14:paraId="320EF7DC">
            <w:pPr>
              <w:pStyle w:val="214"/>
              <w:rPr>
                <w:rFonts w:hint="eastAsia"/>
                <w:color w:val="auto"/>
                <w:highlight w:val="none"/>
              </w:rPr>
            </w:pPr>
          </w:p>
        </w:tc>
        <w:tc>
          <w:tcPr>
            <w:tcW w:w="1014" w:type="dxa"/>
          </w:tcPr>
          <w:p w14:paraId="486B9D64">
            <w:pPr>
              <w:pStyle w:val="214"/>
              <w:rPr>
                <w:rFonts w:hint="eastAsia"/>
                <w:color w:val="auto"/>
                <w:highlight w:val="none"/>
              </w:rPr>
            </w:pPr>
          </w:p>
        </w:tc>
        <w:tc>
          <w:tcPr>
            <w:tcW w:w="1160" w:type="dxa"/>
          </w:tcPr>
          <w:p w14:paraId="09F2EB0A">
            <w:pPr>
              <w:pStyle w:val="214"/>
              <w:rPr>
                <w:rFonts w:hint="eastAsia"/>
                <w:color w:val="auto"/>
                <w:highlight w:val="none"/>
              </w:rPr>
            </w:pPr>
          </w:p>
        </w:tc>
        <w:tc>
          <w:tcPr>
            <w:tcW w:w="1034" w:type="dxa"/>
          </w:tcPr>
          <w:p w14:paraId="2111CC32">
            <w:pPr>
              <w:pStyle w:val="214"/>
              <w:rPr>
                <w:rFonts w:hint="eastAsia"/>
                <w:color w:val="auto"/>
                <w:highlight w:val="none"/>
              </w:rPr>
            </w:pPr>
          </w:p>
        </w:tc>
        <w:tc>
          <w:tcPr>
            <w:tcW w:w="743" w:type="dxa"/>
          </w:tcPr>
          <w:p w14:paraId="703CBBC2">
            <w:pPr>
              <w:pStyle w:val="214"/>
              <w:rPr>
                <w:rFonts w:hint="eastAsia"/>
                <w:color w:val="auto"/>
                <w:highlight w:val="none"/>
              </w:rPr>
            </w:pPr>
          </w:p>
        </w:tc>
        <w:tc>
          <w:tcPr>
            <w:tcW w:w="951" w:type="dxa"/>
          </w:tcPr>
          <w:p w14:paraId="1C65BF96">
            <w:pPr>
              <w:pStyle w:val="214"/>
              <w:rPr>
                <w:rFonts w:hint="eastAsia"/>
                <w:color w:val="auto"/>
                <w:highlight w:val="none"/>
              </w:rPr>
            </w:pPr>
          </w:p>
        </w:tc>
        <w:tc>
          <w:tcPr>
            <w:tcW w:w="846" w:type="dxa"/>
          </w:tcPr>
          <w:p w14:paraId="370E8594">
            <w:pPr>
              <w:pStyle w:val="214"/>
              <w:rPr>
                <w:rFonts w:hint="eastAsia"/>
                <w:color w:val="auto"/>
                <w:highlight w:val="none"/>
              </w:rPr>
            </w:pPr>
          </w:p>
        </w:tc>
        <w:tc>
          <w:tcPr>
            <w:tcW w:w="885" w:type="dxa"/>
            <w:tcBorders>
              <w:right w:val="single" w:color="000000" w:sz="12" w:space="0"/>
            </w:tcBorders>
          </w:tcPr>
          <w:p w14:paraId="6C35D8BB">
            <w:pPr>
              <w:pStyle w:val="214"/>
              <w:rPr>
                <w:rFonts w:hint="eastAsia"/>
                <w:color w:val="auto"/>
                <w:highlight w:val="none"/>
              </w:rPr>
            </w:pPr>
          </w:p>
        </w:tc>
      </w:tr>
      <w:tr w14:paraId="69D2E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653E1057">
            <w:pPr>
              <w:pStyle w:val="214"/>
              <w:rPr>
                <w:rFonts w:hint="eastAsia"/>
                <w:color w:val="auto"/>
                <w:highlight w:val="none"/>
              </w:rPr>
            </w:pPr>
          </w:p>
        </w:tc>
        <w:tc>
          <w:tcPr>
            <w:tcW w:w="788" w:type="dxa"/>
          </w:tcPr>
          <w:p w14:paraId="0B3D7262">
            <w:pPr>
              <w:pStyle w:val="214"/>
              <w:rPr>
                <w:rFonts w:hint="eastAsia"/>
                <w:color w:val="auto"/>
                <w:highlight w:val="none"/>
              </w:rPr>
            </w:pPr>
          </w:p>
        </w:tc>
        <w:tc>
          <w:tcPr>
            <w:tcW w:w="1006" w:type="dxa"/>
          </w:tcPr>
          <w:p w14:paraId="0FF77044">
            <w:pPr>
              <w:pStyle w:val="214"/>
              <w:rPr>
                <w:rFonts w:hint="eastAsia"/>
                <w:color w:val="auto"/>
                <w:highlight w:val="none"/>
              </w:rPr>
            </w:pPr>
          </w:p>
        </w:tc>
        <w:tc>
          <w:tcPr>
            <w:tcW w:w="839" w:type="dxa"/>
          </w:tcPr>
          <w:p w14:paraId="04A49D5B">
            <w:pPr>
              <w:pStyle w:val="214"/>
              <w:rPr>
                <w:rFonts w:hint="eastAsia"/>
                <w:color w:val="auto"/>
                <w:highlight w:val="none"/>
              </w:rPr>
            </w:pPr>
          </w:p>
        </w:tc>
        <w:tc>
          <w:tcPr>
            <w:tcW w:w="1014" w:type="dxa"/>
          </w:tcPr>
          <w:p w14:paraId="2D8E7E18">
            <w:pPr>
              <w:pStyle w:val="214"/>
              <w:rPr>
                <w:rFonts w:hint="eastAsia"/>
                <w:color w:val="auto"/>
                <w:highlight w:val="none"/>
              </w:rPr>
            </w:pPr>
          </w:p>
        </w:tc>
        <w:tc>
          <w:tcPr>
            <w:tcW w:w="1160" w:type="dxa"/>
          </w:tcPr>
          <w:p w14:paraId="059EBF82">
            <w:pPr>
              <w:pStyle w:val="214"/>
              <w:rPr>
                <w:rFonts w:hint="eastAsia"/>
                <w:color w:val="auto"/>
                <w:highlight w:val="none"/>
              </w:rPr>
            </w:pPr>
          </w:p>
        </w:tc>
        <w:tc>
          <w:tcPr>
            <w:tcW w:w="1034" w:type="dxa"/>
          </w:tcPr>
          <w:p w14:paraId="3017F7C6">
            <w:pPr>
              <w:pStyle w:val="214"/>
              <w:rPr>
                <w:rFonts w:hint="eastAsia"/>
                <w:color w:val="auto"/>
                <w:highlight w:val="none"/>
              </w:rPr>
            </w:pPr>
          </w:p>
        </w:tc>
        <w:tc>
          <w:tcPr>
            <w:tcW w:w="743" w:type="dxa"/>
          </w:tcPr>
          <w:p w14:paraId="04800130">
            <w:pPr>
              <w:pStyle w:val="214"/>
              <w:rPr>
                <w:rFonts w:hint="eastAsia"/>
                <w:color w:val="auto"/>
                <w:highlight w:val="none"/>
              </w:rPr>
            </w:pPr>
          </w:p>
        </w:tc>
        <w:tc>
          <w:tcPr>
            <w:tcW w:w="951" w:type="dxa"/>
          </w:tcPr>
          <w:p w14:paraId="758E815A">
            <w:pPr>
              <w:pStyle w:val="214"/>
              <w:rPr>
                <w:rFonts w:hint="eastAsia"/>
                <w:color w:val="auto"/>
                <w:highlight w:val="none"/>
              </w:rPr>
            </w:pPr>
          </w:p>
        </w:tc>
        <w:tc>
          <w:tcPr>
            <w:tcW w:w="846" w:type="dxa"/>
          </w:tcPr>
          <w:p w14:paraId="03D78647">
            <w:pPr>
              <w:pStyle w:val="214"/>
              <w:rPr>
                <w:rFonts w:hint="eastAsia"/>
                <w:color w:val="auto"/>
                <w:highlight w:val="none"/>
              </w:rPr>
            </w:pPr>
          </w:p>
        </w:tc>
        <w:tc>
          <w:tcPr>
            <w:tcW w:w="885" w:type="dxa"/>
            <w:tcBorders>
              <w:right w:val="single" w:color="000000" w:sz="12" w:space="0"/>
            </w:tcBorders>
          </w:tcPr>
          <w:p w14:paraId="4F4D467C">
            <w:pPr>
              <w:pStyle w:val="214"/>
              <w:rPr>
                <w:rFonts w:hint="eastAsia"/>
                <w:color w:val="auto"/>
                <w:highlight w:val="none"/>
              </w:rPr>
            </w:pPr>
          </w:p>
        </w:tc>
      </w:tr>
      <w:tr w14:paraId="5A49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07B146AB">
            <w:pPr>
              <w:pStyle w:val="214"/>
              <w:rPr>
                <w:rFonts w:hint="eastAsia"/>
                <w:color w:val="auto"/>
                <w:highlight w:val="none"/>
              </w:rPr>
            </w:pPr>
          </w:p>
        </w:tc>
        <w:tc>
          <w:tcPr>
            <w:tcW w:w="788" w:type="dxa"/>
          </w:tcPr>
          <w:p w14:paraId="5BFABAEE">
            <w:pPr>
              <w:pStyle w:val="214"/>
              <w:rPr>
                <w:rFonts w:hint="eastAsia"/>
                <w:color w:val="auto"/>
                <w:highlight w:val="none"/>
              </w:rPr>
            </w:pPr>
          </w:p>
        </w:tc>
        <w:tc>
          <w:tcPr>
            <w:tcW w:w="1006" w:type="dxa"/>
          </w:tcPr>
          <w:p w14:paraId="206571D2">
            <w:pPr>
              <w:pStyle w:val="214"/>
              <w:rPr>
                <w:rFonts w:hint="eastAsia"/>
                <w:color w:val="auto"/>
                <w:highlight w:val="none"/>
              </w:rPr>
            </w:pPr>
          </w:p>
        </w:tc>
        <w:tc>
          <w:tcPr>
            <w:tcW w:w="839" w:type="dxa"/>
          </w:tcPr>
          <w:p w14:paraId="17C94F12">
            <w:pPr>
              <w:pStyle w:val="214"/>
              <w:rPr>
                <w:rFonts w:hint="eastAsia"/>
                <w:color w:val="auto"/>
                <w:highlight w:val="none"/>
              </w:rPr>
            </w:pPr>
          </w:p>
        </w:tc>
        <w:tc>
          <w:tcPr>
            <w:tcW w:w="1014" w:type="dxa"/>
          </w:tcPr>
          <w:p w14:paraId="3D9B3688">
            <w:pPr>
              <w:pStyle w:val="214"/>
              <w:rPr>
                <w:rFonts w:hint="eastAsia"/>
                <w:color w:val="auto"/>
                <w:highlight w:val="none"/>
              </w:rPr>
            </w:pPr>
          </w:p>
        </w:tc>
        <w:tc>
          <w:tcPr>
            <w:tcW w:w="1160" w:type="dxa"/>
          </w:tcPr>
          <w:p w14:paraId="0B0822FA">
            <w:pPr>
              <w:pStyle w:val="214"/>
              <w:rPr>
                <w:rFonts w:hint="eastAsia"/>
                <w:color w:val="auto"/>
                <w:highlight w:val="none"/>
              </w:rPr>
            </w:pPr>
          </w:p>
        </w:tc>
        <w:tc>
          <w:tcPr>
            <w:tcW w:w="1034" w:type="dxa"/>
          </w:tcPr>
          <w:p w14:paraId="31A136C3">
            <w:pPr>
              <w:pStyle w:val="214"/>
              <w:rPr>
                <w:rFonts w:hint="eastAsia"/>
                <w:color w:val="auto"/>
                <w:highlight w:val="none"/>
              </w:rPr>
            </w:pPr>
          </w:p>
        </w:tc>
        <w:tc>
          <w:tcPr>
            <w:tcW w:w="743" w:type="dxa"/>
          </w:tcPr>
          <w:p w14:paraId="668B3B66">
            <w:pPr>
              <w:pStyle w:val="214"/>
              <w:rPr>
                <w:rFonts w:hint="eastAsia"/>
                <w:color w:val="auto"/>
                <w:highlight w:val="none"/>
              </w:rPr>
            </w:pPr>
          </w:p>
        </w:tc>
        <w:tc>
          <w:tcPr>
            <w:tcW w:w="951" w:type="dxa"/>
          </w:tcPr>
          <w:p w14:paraId="218293D6">
            <w:pPr>
              <w:pStyle w:val="214"/>
              <w:rPr>
                <w:rFonts w:hint="eastAsia"/>
                <w:color w:val="auto"/>
                <w:highlight w:val="none"/>
              </w:rPr>
            </w:pPr>
          </w:p>
        </w:tc>
        <w:tc>
          <w:tcPr>
            <w:tcW w:w="846" w:type="dxa"/>
          </w:tcPr>
          <w:p w14:paraId="5D03D0F8">
            <w:pPr>
              <w:pStyle w:val="214"/>
              <w:rPr>
                <w:rFonts w:hint="eastAsia"/>
                <w:color w:val="auto"/>
                <w:highlight w:val="none"/>
              </w:rPr>
            </w:pPr>
          </w:p>
        </w:tc>
        <w:tc>
          <w:tcPr>
            <w:tcW w:w="885" w:type="dxa"/>
            <w:tcBorders>
              <w:right w:val="single" w:color="000000" w:sz="12" w:space="0"/>
            </w:tcBorders>
          </w:tcPr>
          <w:p w14:paraId="74F5C588">
            <w:pPr>
              <w:pStyle w:val="214"/>
              <w:rPr>
                <w:rFonts w:hint="eastAsia"/>
                <w:color w:val="auto"/>
                <w:highlight w:val="none"/>
              </w:rPr>
            </w:pPr>
          </w:p>
        </w:tc>
      </w:tr>
      <w:tr w14:paraId="7EC7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5109A177">
            <w:pPr>
              <w:pStyle w:val="214"/>
              <w:rPr>
                <w:rFonts w:hint="eastAsia"/>
                <w:color w:val="auto"/>
                <w:highlight w:val="none"/>
              </w:rPr>
            </w:pPr>
          </w:p>
        </w:tc>
        <w:tc>
          <w:tcPr>
            <w:tcW w:w="788" w:type="dxa"/>
          </w:tcPr>
          <w:p w14:paraId="59DB5F2A">
            <w:pPr>
              <w:pStyle w:val="214"/>
              <w:rPr>
                <w:rFonts w:hint="eastAsia"/>
                <w:color w:val="auto"/>
                <w:highlight w:val="none"/>
              </w:rPr>
            </w:pPr>
          </w:p>
        </w:tc>
        <w:tc>
          <w:tcPr>
            <w:tcW w:w="1006" w:type="dxa"/>
          </w:tcPr>
          <w:p w14:paraId="3987A991">
            <w:pPr>
              <w:pStyle w:val="214"/>
              <w:rPr>
                <w:rFonts w:hint="eastAsia"/>
                <w:color w:val="auto"/>
                <w:highlight w:val="none"/>
              </w:rPr>
            </w:pPr>
          </w:p>
        </w:tc>
        <w:tc>
          <w:tcPr>
            <w:tcW w:w="839" w:type="dxa"/>
          </w:tcPr>
          <w:p w14:paraId="2BA45C39">
            <w:pPr>
              <w:pStyle w:val="214"/>
              <w:rPr>
                <w:rFonts w:hint="eastAsia"/>
                <w:color w:val="auto"/>
                <w:highlight w:val="none"/>
              </w:rPr>
            </w:pPr>
          </w:p>
        </w:tc>
        <w:tc>
          <w:tcPr>
            <w:tcW w:w="1014" w:type="dxa"/>
          </w:tcPr>
          <w:p w14:paraId="159616DD">
            <w:pPr>
              <w:pStyle w:val="214"/>
              <w:rPr>
                <w:rFonts w:hint="eastAsia"/>
                <w:color w:val="auto"/>
                <w:highlight w:val="none"/>
              </w:rPr>
            </w:pPr>
          </w:p>
        </w:tc>
        <w:tc>
          <w:tcPr>
            <w:tcW w:w="1160" w:type="dxa"/>
          </w:tcPr>
          <w:p w14:paraId="57F9DA4F">
            <w:pPr>
              <w:pStyle w:val="214"/>
              <w:rPr>
                <w:rFonts w:hint="eastAsia"/>
                <w:color w:val="auto"/>
                <w:highlight w:val="none"/>
              </w:rPr>
            </w:pPr>
          </w:p>
        </w:tc>
        <w:tc>
          <w:tcPr>
            <w:tcW w:w="1034" w:type="dxa"/>
          </w:tcPr>
          <w:p w14:paraId="48DA87E3">
            <w:pPr>
              <w:pStyle w:val="214"/>
              <w:rPr>
                <w:rFonts w:hint="eastAsia"/>
                <w:color w:val="auto"/>
                <w:highlight w:val="none"/>
              </w:rPr>
            </w:pPr>
          </w:p>
        </w:tc>
        <w:tc>
          <w:tcPr>
            <w:tcW w:w="743" w:type="dxa"/>
          </w:tcPr>
          <w:p w14:paraId="2C211C74">
            <w:pPr>
              <w:pStyle w:val="214"/>
              <w:rPr>
                <w:rFonts w:hint="eastAsia"/>
                <w:color w:val="auto"/>
                <w:highlight w:val="none"/>
              </w:rPr>
            </w:pPr>
          </w:p>
        </w:tc>
        <w:tc>
          <w:tcPr>
            <w:tcW w:w="951" w:type="dxa"/>
          </w:tcPr>
          <w:p w14:paraId="100B1C49">
            <w:pPr>
              <w:pStyle w:val="214"/>
              <w:rPr>
                <w:rFonts w:hint="eastAsia"/>
                <w:color w:val="auto"/>
                <w:highlight w:val="none"/>
              </w:rPr>
            </w:pPr>
          </w:p>
        </w:tc>
        <w:tc>
          <w:tcPr>
            <w:tcW w:w="846" w:type="dxa"/>
          </w:tcPr>
          <w:p w14:paraId="371C9B53">
            <w:pPr>
              <w:pStyle w:val="214"/>
              <w:rPr>
                <w:rFonts w:hint="eastAsia"/>
                <w:color w:val="auto"/>
                <w:highlight w:val="none"/>
              </w:rPr>
            </w:pPr>
          </w:p>
        </w:tc>
        <w:tc>
          <w:tcPr>
            <w:tcW w:w="885" w:type="dxa"/>
            <w:tcBorders>
              <w:right w:val="single" w:color="000000" w:sz="12" w:space="0"/>
            </w:tcBorders>
          </w:tcPr>
          <w:p w14:paraId="641829D1">
            <w:pPr>
              <w:pStyle w:val="214"/>
              <w:rPr>
                <w:rFonts w:hint="eastAsia"/>
                <w:color w:val="auto"/>
                <w:highlight w:val="none"/>
              </w:rPr>
            </w:pPr>
          </w:p>
        </w:tc>
      </w:tr>
      <w:tr w14:paraId="514D6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31E24906">
            <w:pPr>
              <w:pStyle w:val="214"/>
              <w:rPr>
                <w:rFonts w:hint="eastAsia"/>
                <w:color w:val="auto"/>
                <w:highlight w:val="none"/>
              </w:rPr>
            </w:pPr>
          </w:p>
        </w:tc>
        <w:tc>
          <w:tcPr>
            <w:tcW w:w="788" w:type="dxa"/>
          </w:tcPr>
          <w:p w14:paraId="10D3DA45">
            <w:pPr>
              <w:pStyle w:val="214"/>
              <w:rPr>
                <w:rFonts w:hint="eastAsia"/>
                <w:color w:val="auto"/>
                <w:highlight w:val="none"/>
              </w:rPr>
            </w:pPr>
          </w:p>
        </w:tc>
        <w:tc>
          <w:tcPr>
            <w:tcW w:w="1006" w:type="dxa"/>
          </w:tcPr>
          <w:p w14:paraId="48D90443">
            <w:pPr>
              <w:pStyle w:val="214"/>
              <w:rPr>
                <w:rFonts w:hint="eastAsia"/>
                <w:color w:val="auto"/>
                <w:highlight w:val="none"/>
              </w:rPr>
            </w:pPr>
          </w:p>
        </w:tc>
        <w:tc>
          <w:tcPr>
            <w:tcW w:w="839" w:type="dxa"/>
          </w:tcPr>
          <w:p w14:paraId="09501B4E">
            <w:pPr>
              <w:pStyle w:val="214"/>
              <w:rPr>
                <w:rFonts w:hint="eastAsia"/>
                <w:color w:val="auto"/>
                <w:highlight w:val="none"/>
              </w:rPr>
            </w:pPr>
          </w:p>
        </w:tc>
        <w:tc>
          <w:tcPr>
            <w:tcW w:w="1014" w:type="dxa"/>
          </w:tcPr>
          <w:p w14:paraId="20AE63DF">
            <w:pPr>
              <w:pStyle w:val="214"/>
              <w:rPr>
                <w:rFonts w:hint="eastAsia"/>
                <w:color w:val="auto"/>
                <w:highlight w:val="none"/>
              </w:rPr>
            </w:pPr>
          </w:p>
        </w:tc>
        <w:tc>
          <w:tcPr>
            <w:tcW w:w="1160" w:type="dxa"/>
          </w:tcPr>
          <w:p w14:paraId="01229E66">
            <w:pPr>
              <w:pStyle w:val="214"/>
              <w:rPr>
                <w:rFonts w:hint="eastAsia"/>
                <w:color w:val="auto"/>
                <w:highlight w:val="none"/>
              </w:rPr>
            </w:pPr>
          </w:p>
        </w:tc>
        <w:tc>
          <w:tcPr>
            <w:tcW w:w="1034" w:type="dxa"/>
          </w:tcPr>
          <w:p w14:paraId="275FED6C">
            <w:pPr>
              <w:pStyle w:val="214"/>
              <w:rPr>
                <w:rFonts w:hint="eastAsia"/>
                <w:color w:val="auto"/>
                <w:highlight w:val="none"/>
              </w:rPr>
            </w:pPr>
          </w:p>
        </w:tc>
        <w:tc>
          <w:tcPr>
            <w:tcW w:w="743" w:type="dxa"/>
          </w:tcPr>
          <w:p w14:paraId="2D3C066C">
            <w:pPr>
              <w:pStyle w:val="214"/>
              <w:rPr>
                <w:rFonts w:hint="eastAsia"/>
                <w:color w:val="auto"/>
                <w:highlight w:val="none"/>
              </w:rPr>
            </w:pPr>
          </w:p>
        </w:tc>
        <w:tc>
          <w:tcPr>
            <w:tcW w:w="951" w:type="dxa"/>
          </w:tcPr>
          <w:p w14:paraId="0CC134B2">
            <w:pPr>
              <w:pStyle w:val="214"/>
              <w:rPr>
                <w:rFonts w:hint="eastAsia"/>
                <w:color w:val="auto"/>
                <w:highlight w:val="none"/>
              </w:rPr>
            </w:pPr>
          </w:p>
        </w:tc>
        <w:tc>
          <w:tcPr>
            <w:tcW w:w="846" w:type="dxa"/>
          </w:tcPr>
          <w:p w14:paraId="4AC5C688">
            <w:pPr>
              <w:pStyle w:val="214"/>
              <w:rPr>
                <w:rFonts w:hint="eastAsia"/>
                <w:color w:val="auto"/>
                <w:highlight w:val="none"/>
              </w:rPr>
            </w:pPr>
          </w:p>
        </w:tc>
        <w:tc>
          <w:tcPr>
            <w:tcW w:w="885" w:type="dxa"/>
            <w:tcBorders>
              <w:right w:val="single" w:color="000000" w:sz="12" w:space="0"/>
            </w:tcBorders>
          </w:tcPr>
          <w:p w14:paraId="379682DC">
            <w:pPr>
              <w:pStyle w:val="214"/>
              <w:rPr>
                <w:rFonts w:hint="eastAsia"/>
                <w:color w:val="auto"/>
                <w:highlight w:val="none"/>
              </w:rPr>
            </w:pPr>
          </w:p>
        </w:tc>
      </w:tr>
      <w:tr w14:paraId="04C33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1BD137C5">
            <w:pPr>
              <w:pStyle w:val="214"/>
              <w:rPr>
                <w:rFonts w:hint="eastAsia"/>
                <w:color w:val="auto"/>
                <w:highlight w:val="none"/>
              </w:rPr>
            </w:pPr>
          </w:p>
        </w:tc>
        <w:tc>
          <w:tcPr>
            <w:tcW w:w="788" w:type="dxa"/>
          </w:tcPr>
          <w:p w14:paraId="133AEBE0">
            <w:pPr>
              <w:pStyle w:val="214"/>
              <w:rPr>
                <w:rFonts w:hint="eastAsia"/>
                <w:color w:val="auto"/>
                <w:highlight w:val="none"/>
              </w:rPr>
            </w:pPr>
          </w:p>
        </w:tc>
        <w:tc>
          <w:tcPr>
            <w:tcW w:w="1006" w:type="dxa"/>
          </w:tcPr>
          <w:p w14:paraId="10BDD401">
            <w:pPr>
              <w:pStyle w:val="214"/>
              <w:rPr>
                <w:rFonts w:hint="eastAsia"/>
                <w:color w:val="auto"/>
                <w:highlight w:val="none"/>
              </w:rPr>
            </w:pPr>
          </w:p>
        </w:tc>
        <w:tc>
          <w:tcPr>
            <w:tcW w:w="839" w:type="dxa"/>
          </w:tcPr>
          <w:p w14:paraId="67AE1271">
            <w:pPr>
              <w:pStyle w:val="214"/>
              <w:rPr>
                <w:rFonts w:hint="eastAsia"/>
                <w:color w:val="auto"/>
                <w:highlight w:val="none"/>
              </w:rPr>
            </w:pPr>
          </w:p>
        </w:tc>
        <w:tc>
          <w:tcPr>
            <w:tcW w:w="1014" w:type="dxa"/>
          </w:tcPr>
          <w:p w14:paraId="4B0312BC">
            <w:pPr>
              <w:pStyle w:val="214"/>
              <w:rPr>
                <w:rFonts w:hint="eastAsia"/>
                <w:color w:val="auto"/>
                <w:highlight w:val="none"/>
              </w:rPr>
            </w:pPr>
          </w:p>
        </w:tc>
        <w:tc>
          <w:tcPr>
            <w:tcW w:w="1160" w:type="dxa"/>
          </w:tcPr>
          <w:p w14:paraId="14FFC724">
            <w:pPr>
              <w:pStyle w:val="214"/>
              <w:rPr>
                <w:rFonts w:hint="eastAsia"/>
                <w:color w:val="auto"/>
                <w:highlight w:val="none"/>
              </w:rPr>
            </w:pPr>
          </w:p>
        </w:tc>
        <w:tc>
          <w:tcPr>
            <w:tcW w:w="1034" w:type="dxa"/>
          </w:tcPr>
          <w:p w14:paraId="6E1FBB41">
            <w:pPr>
              <w:pStyle w:val="214"/>
              <w:rPr>
                <w:rFonts w:hint="eastAsia"/>
                <w:color w:val="auto"/>
                <w:highlight w:val="none"/>
              </w:rPr>
            </w:pPr>
          </w:p>
        </w:tc>
        <w:tc>
          <w:tcPr>
            <w:tcW w:w="743" w:type="dxa"/>
          </w:tcPr>
          <w:p w14:paraId="162AA3A9">
            <w:pPr>
              <w:pStyle w:val="214"/>
              <w:rPr>
                <w:rFonts w:hint="eastAsia"/>
                <w:color w:val="auto"/>
                <w:highlight w:val="none"/>
              </w:rPr>
            </w:pPr>
          </w:p>
        </w:tc>
        <w:tc>
          <w:tcPr>
            <w:tcW w:w="951" w:type="dxa"/>
          </w:tcPr>
          <w:p w14:paraId="1B7DF50E">
            <w:pPr>
              <w:pStyle w:val="214"/>
              <w:rPr>
                <w:rFonts w:hint="eastAsia"/>
                <w:color w:val="auto"/>
                <w:highlight w:val="none"/>
              </w:rPr>
            </w:pPr>
          </w:p>
        </w:tc>
        <w:tc>
          <w:tcPr>
            <w:tcW w:w="846" w:type="dxa"/>
          </w:tcPr>
          <w:p w14:paraId="6A61A586">
            <w:pPr>
              <w:pStyle w:val="214"/>
              <w:rPr>
                <w:rFonts w:hint="eastAsia"/>
                <w:color w:val="auto"/>
                <w:highlight w:val="none"/>
              </w:rPr>
            </w:pPr>
          </w:p>
        </w:tc>
        <w:tc>
          <w:tcPr>
            <w:tcW w:w="885" w:type="dxa"/>
            <w:tcBorders>
              <w:right w:val="single" w:color="000000" w:sz="12" w:space="0"/>
            </w:tcBorders>
          </w:tcPr>
          <w:p w14:paraId="64327B53">
            <w:pPr>
              <w:pStyle w:val="214"/>
              <w:rPr>
                <w:rFonts w:hint="eastAsia"/>
                <w:color w:val="auto"/>
                <w:highlight w:val="none"/>
              </w:rPr>
            </w:pPr>
          </w:p>
        </w:tc>
      </w:tr>
      <w:tr w14:paraId="539E1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54FA51CF">
            <w:pPr>
              <w:pStyle w:val="214"/>
              <w:rPr>
                <w:rFonts w:hint="eastAsia"/>
                <w:color w:val="auto"/>
                <w:highlight w:val="none"/>
              </w:rPr>
            </w:pPr>
          </w:p>
        </w:tc>
        <w:tc>
          <w:tcPr>
            <w:tcW w:w="788" w:type="dxa"/>
          </w:tcPr>
          <w:p w14:paraId="3EFEFF45">
            <w:pPr>
              <w:pStyle w:val="214"/>
              <w:rPr>
                <w:rFonts w:hint="eastAsia"/>
                <w:color w:val="auto"/>
                <w:highlight w:val="none"/>
              </w:rPr>
            </w:pPr>
          </w:p>
        </w:tc>
        <w:tc>
          <w:tcPr>
            <w:tcW w:w="1006" w:type="dxa"/>
          </w:tcPr>
          <w:p w14:paraId="660D2CC2">
            <w:pPr>
              <w:pStyle w:val="214"/>
              <w:rPr>
                <w:rFonts w:hint="eastAsia"/>
                <w:color w:val="auto"/>
                <w:highlight w:val="none"/>
              </w:rPr>
            </w:pPr>
          </w:p>
        </w:tc>
        <w:tc>
          <w:tcPr>
            <w:tcW w:w="839" w:type="dxa"/>
          </w:tcPr>
          <w:p w14:paraId="54C6CD0D">
            <w:pPr>
              <w:pStyle w:val="214"/>
              <w:rPr>
                <w:rFonts w:hint="eastAsia"/>
                <w:color w:val="auto"/>
                <w:highlight w:val="none"/>
              </w:rPr>
            </w:pPr>
          </w:p>
        </w:tc>
        <w:tc>
          <w:tcPr>
            <w:tcW w:w="1014" w:type="dxa"/>
          </w:tcPr>
          <w:p w14:paraId="078CA699">
            <w:pPr>
              <w:pStyle w:val="214"/>
              <w:rPr>
                <w:rFonts w:hint="eastAsia"/>
                <w:color w:val="auto"/>
                <w:highlight w:val="none"/>
              </w:rPr>
            </w:pPr>
          </w:p>
        </w:tc>
        <w:tc>
          <w:tcPr>
            <w:tcW w:w="1160" w:type="dxa"/>
          </w:tcPr>
          <w:p w14:paraId="2C3EEE0D">
            <w:pPr>
              <w:pStyle w:val="214"/>
              <w:rPr>
                <w:rFonts w:hint="eastAsia"/>
                <w:color w:val="auto"/>
                <w:highlight w:val="none"/>
              </w:rPr>
            </w:pPr>
          </w:p>
        </w:tc>
        <w:tc>
          <w:tcPr>
            <w:tcW w:w="1034" w:type="dxa"/>
          </w:tcPr>
          <w:p w14:paraId="3489DC73">
            <w:pPr>
              <w:pStyle w:val="214"/>
              <w:rPr>
                <w:rFonts w:hint="eastAsia"/>
                <w:color w:val="auto"/>
                <w:highlight w:val="none"/>
              </w:rPr>
            </w:pPr>
          </w:p>
        </w:tc>
        <w:tc>
          <w:tcPr>
            <w:tcW w:w="743" w:type="dxa"/>
          </w:tcPr>
          <w:p w14:paraId="21E1B432">
            <w:pPr>
              <w:pStyle w:val="214"/>
              <w:rPr>
                <w:rFonts w:hint="eastAsia"/>
                <w:color w:val="auto"/>
                <w:highlight w:val="none"/>
              </w:rPr>
            </w:pPr>
          </w:p>
        </w:tc>
        <w:tc>
          <w:tcPr>
            <w:tcW w:w="951" w:type="dxa"/>
          </w:tcPr>
          <w:p w14:paraId="4BE7081B">
            <w:pPr>
              <w:pStyle w:val="214"/>
              <w:rPr>
                <w:rFonts w:hint="eastAsia"/>
                <w:color w:val="auto"/>
                <w:highlight w:val="none"/>
              </w:rPr>
            </w:pPr>
          </w:p>
        </w:tc>
        <w:tc>
          <w:tcPr>
            <w:tcW w:w="846" w:type="dxa"/>
          </w:tcPr>
          <w:p w14:paraId="0E4FD128">
            <w:pPr>
              <w:pStyle w:val="214"/>
              <w:rPr>
                <w:rFonts w:hint="eastAsia"/>
                <w:color w:val="auto"/>
                <w:highlight w:val="none"/>
              </w:rPr>
            </w:pPr>
          </w:p>
        </w:tc>
        <w:tc>
          <w:tcPr>
            <w:tcW w:w="885" w:type="dxa"/>
            <w:tcBorders>
              <w:right w:val="single" w:color="000000" w:sz="12" w:space="0"/>
            </w:tcBorders>
          </w:tcPr>
          <w:p w14:paraId="4A2F71C3">
            <w:pPr>
              <w:pStyle w:val="214"/>
              <w:rPr>
                <w:rFonts w:hint="eastAsia"/>
                <w:color w:val="auto"/>
                <w:highlight w:val="none"/>
              </w:rPr>
            </w:pPr>
          </w:p>
        </w:tc>
      </w:tr>
      <w:tr w14:paraId="4ED9A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37C625B0">
            <w:pPr>
              <w:pStyle w:val="214"/>
              <w:rPr>
                <w:rFonts w:hint="eastAsia"/>
                <w:color w:val="auto"/>
                <w:highlight w:val="none"/>
              </w:rPr>
            </w:pPr>
          </w:p>
        </w:tc>
        <w:tc>
          <w:tcPr>
            <w:tcW w:w="788" w:type="dxa"/>
          </w:tcPr>
          <w:p w14:paraId="5B391C69">
            <w:pPr>
              <w:pStyle w:val="214"/>
              <w:rPr>
                <w:rFonts w:hint="eastAsia"/>
                <w:color w:val="auto"/>
                <w:highlight w:val="none"/>
              </w:rPr>
            </w:pPr>
          </w:p>
        </w:tc>
        <w:tc>
          <w:tcPr>
            <w:tcW w:w="1006" w:type="dxa"/>
          </w:tcPr>
          <w:p w14:paraId="45830371">
            <w:pPr>
              <w:pStyle w:val="214"/>
              <w:rPr>
                <w:rFonts w:hint="eastAsia"/>
                <w:color w:val="auto"/>
                <w:highlight w:val="none"/>
              </w:rPr>
            </w:pPr>
          </w:p>
        </w:tc>
        <w:tc>
          <w:tcPr>
            <w:tcW w:w="839" w:type="dxa"/>
          </w:tcPr>
          <w:p w14:paraId="23542FB6">
            <w:pPr>
              <w:pStyle w:val="214"/>
              <w:rPr>
                <w:rFonts w:hint="eastAsia"/>
                <w:color w:val="auto"/>
                <w:highlight w:val="none"/>
              </w:rPr>
            </w:pPr>
          </w:p>
        </w:tc>
        <w:tc>
          <w:tcPr>
            <w:tcW w:w="1014" w:type="dxa"/>
          </w:tcPr>
          <w:p w14:paraId="52799982">
            <w:pPr>
              <w:pStyle w:val="214"/>
              <w:rPr>
                <w:rFonts w:hint="eastAsia"/>
                <w:color w:val="auto"/>
                <w:highlight w:val="none"/>
              </w:rPr>
            </w:pPr>
          </w:p>
        </w:tc>
        <w:tc>
          <w:tcPr>
            <w:tcW w:w="1160" w:type="dxa"/>
          </w:tcPr>
          <w:p w14:paraId="23AB0D5B">
            <w:pPr>
              <w:pStyle w:val="214"/>
              <w:rPr>
                <w:rFonts w:hint="eastAsia"/>
                <w:color w:val="auto"/>
                <w:highlight w:val="none"/>
              </w:rPr>
            </w:pPr>
          </w:p>
        </w:tc>
        <w:tc>
          <w:tcPr>
            <w:tcW w:w="1034" w:type="dxa"/>
          </w:tcPr>
          <w:p w14:paraId="18757FA5">
            <w:pPr>
              <w:pStyle w:val="214"/>
              <w:rPr>
                <w:rFonts w:hint="eastAsia"/>
                <w:color w:val="auto"/>
                <w:highlight w:val="none"/>
              </w:rPr>
            </w:pPr>
          </w:p>
        </w:tc>
        <w:tc>
          <w:tcPr>
            <w:tcW w:w="743" w:type="dxa"/>
          </w:tcPr>
          <w:p w14:paraId="7A55CA6E">
            <w:pPr>
              <w:pStyle w:val="214"/>
              <w:rPr>
                <w:rFonts w:hint="eastAsia"/>
                <w:color w:val="auto"/>
                <w:highlight w:val="none"/>
              </w:rPr>
            </w:pPr>
          </w:p>
        </w:tc>
        <w:tc>
          <w:tcPr>
            <w:tcW w:w="951" w:type="dxa"/>
          </w:tcPr>
          <w:p w14:paraId="5EB3C896">
            <w:pPr>
              <w:pStyle w:val="214"/>
              <w:rPr>
                <w:rFonts w:hint="eastAsia"/>
                <w:color w:val="auto"/>
                <w:highlight w:val="none"/>
              </w:rPr>
            </w:pPr>
          </w:p>
        </w:tc>
        <w:tc>
          <w:tcPr>
            <w:tcW w:w="846" w:type="dxa"/>
          </w:tcPr>
          <w:p w14:paraId="1E44773A">
            <w:pPr>
              <w:pStyle w:val="214"/>
              <w:rPr>
                <w:rFonts w:hint="eastAsia"/>
                <w:color w:val="auto"/>
                <w:highlight w:val="none"/>
              </w:rPr>
            </w:pPr>
          </w:p>
        </w:tc>
        <w:tc>
          <w:tcPr>
            <w:tcW w:w="885" w:type="dxa"/>
            <w:tcBorders>
              <w:right w:val="single" w:color="000000" w:sz="12" w:space="0"/>
            </w:tcBorders>
          </w:tcPr>
          <w:p w14:paraId="40943E72">
            <w:pPr>
              <w:pStyle w:val="214"/>
              <w:rPr>
                <w:rFonts w:hint="eastAsia"/>
                <w:color w:val="auto"/>
                <w:highlight w:val="none"/>
              </w:rPr>
            </w:pPr>
          </w:p>
        </w:tc>
      </w:tr>
      <w:tr w14:paraId="523C0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663" w:type="dxa"/>
            <w:tcBorders>
              <w:left w:val="single" w:color="000000" w:sz="12" w:space="0"/>
              <w:bottom w:val="single" w:color="000000" w:sz="12" w:space="0"/>
            </w:tcBorders>
          </w:tcPr>
          <w:p w14:paraId="4359FBBD">
            <w:pPr>
              <w:pStyle w:val="214"/>
              <w:rPr>
                <w:rFonts w:hint="eastAsia"/>
                <w:color w:val="auto"/>
                <w:highlight w:val="none"/>
              </w:rPr>
            </w:pPr>
          </w:p>
        </w:tc>
        <w:tc>
          <w:tcPr>
            <w:tcW w:w="788" w:type="dxa"/>
            <w:tcBorders>
              <w:bottom w:val="single" w:color="000000" w:sz="12" w:space="0"/>
            </w:tcBorders>
          </w:tcPr>
          <w:p w14:paraId="6E701873">
            <w:pPr>
              <w:pStyle w:val="214"/>
              <w:rPr>
                <w:rFonts w:hint="eastAsia"/>
                <w:color w:val="auto"/>
                <w:highlight w:val="none"/>
              </w:rPr>
            </w:pPr>
          </w:p>
        </w:tc>
        <w:tc>
          <w:tcPr>
            <w:tcW w:w="1006" w:type="dxa"/>
            <w:tcBorders>
              <w:bottom w:val="single" w:color="000000" w:sz="12" w:space="0"/>
            </w:tcBorders>
          </w:tcPr>
          <w:p w14:paraId="602299AC">
            <w:pPr>
              <w:pStyle w:val="214"/>
              <w:rPr>
                <w:rFonts w:hint="eastAsia"/>
                <w:color w:val="auto"/>
                <w:highlight w:val="none"/>
              </w:rPr>
            </w:pPr>
          </w:p>
        </w:tc>
        <w:tc>
          <w:tcPr>
            <w:tcW w:w="839" w:type="dxa"/>
            <w:tcBorders>
              <w:bottom w:val="single" w:color="000000" w:sz="12" w:space="0"/>
            </w:tcBorders>
          </w:tcPr>
          <w:p w14:paraId="3F622F02">
            <w:pPr>
              <w:pStyle w:val="214"/>
              <w:rPr>
                <w:rFonts w:hint="eastAsia"/>
                <w:color w:val="auto"/>
                <w:highlight w:val="none"/>
              </w:rPr>
            </w:pPr>
          </w:p>
        </w:tc>
        <w:tc>
          <w:tcPr>
            <w:tcW w:w="1014" w:type="dxa"/>
            <w:tcBorders>
              <w:bottom w:val="single" w:color="000000" w:sz="12" w:space="0"/>
            </w:tcBorders>
          </w:tcPr>
          <w:p w14:paraId="491C6AFC">
            <w:pPr>
              <w:pStyle w:val="214"/>
              <w:rPr>
                <w:rFonts w:hint="eastAsia"/>
                <w:color w:val="auto"/>
                <w:highlight w:val="none"/>
              </w:rPr>
            </w:pPr>
          </w:p>
        </w:tc>
        <w:tc>
          <w:tcPr>
            <w:tcW w:w="1160" w:type="dxa"/>
            <w:tcBorders>
              <w:bottom w:val="single" w:color="000000" w:sz="12" w:space="0"/>
            </w:tcBorders>
          </w:tcPr>
          <w:p w14:paraId="5577E939">
            <w:pPr>
              <w:pStyle w:val="214"/>
              <w:rPr>
                <w:rFonts w:hint="eastAsia"/>
                <w:color w:val="auto"/>
                <w:highlight w:val="none"/>
              </w:rPr>
            </w:pPr>
          </w:p>
        </w:tc>
        <w:tc>
          <w:tcPr>
            <w:tcW w:w="1034" w:type="dxa"/>
            <w:tcBorders>
              <w:bottom w:val="single" w:color="000000" w:sz="12" w:space="0"/>
            </w:tcBorders>
          </w:tcPr>
          <w:p w14:paraId="1C8C77EE">
            <w:pPr>
              <w:pStyle w:val="214"/>
              <w:rPr>
                <w:rFonts w:hint="eastAsia"/>
                <w:color w:val="auto"/>
                <w:highlight w:val="none"/>
              </w:rPr>
            </w:pPr>
          </w:p>
        </w:tc>
        <w:tc>
          <w:tcPr>
            <w:tcW w:w="743" w:type="dxa"/>
            <w:tcBorders>
              <w:bottom w:val="single" w:color="000000" w:sz="12" w:space="0"/>
            </w:tcBorders>
          </w:tcPr>
          <w:p w14:paraId="71F3BD22">
            <w:pPr>
              <w:pStyle w:val="214"/>
              <w:rPr>
                <w:rFonts w:hint="eastAsia"/>
                <w:color w:val="auto"/>
                <w:highlight w:val="none"/>
              </w:rPr>
            </w:pPr>
          </w:p>
        </w:tc>
        <w:tc>
          <w:tcPr>
            <w:tcW w:w="951" w:type="dxa"/>
            <w:tcBorders>
              <w:bottom w:val="single" w:color="000000" w:sz="12" w:space="0"/>
            </w:tcBorders>
          </w:tcPr>
          <w:p w14:paraId="2B89708C">
            <w:pPr>
              <w:pStyle w:val="214"/>
              <w:rPr>
                <w:rFonts w:hint="eastAsia"/>
                <w:color w:val="auto"/>
                <w:highlight w:val="none"/>
              </w:rPr>
            </w:pPr>
          </w:p>
        </w:tc>
        <w:tc>
          <w:tcPr>
            <w:tcW w:w="846" w:type="dxa"/>
            <w:tcBorders>
              <w:bottom w:val="single" w:color="000000" w:sz="12" w:space="0"/>
            </w:tcBorders>
          </w:tcPr>
          <w:p w14:paraId="279C3E9D">
            <w:pPr>
              <w:pStyle w:val="214"/>
              <w:rPr>
                <w:rFonts w:hint="eastAsia"/>
                <w:color w:val="auto"/>
                <w:highlight w:val="none"/>
              </w:rPr>
            </w:pPr>
          </w:p>
        </w:tc>
        <w:tc>
          <w:tcPr>
            <w:tcW w:w="885" w:type="dxa"/>
            <w:tcBorders>
              <w:bottom w:val="single" w:color="000000" w:sz="12" w:space="0"/>
              <w:right w:val="single" w:color="000000" w:sz="12" w:space="0"/>
            </w:tcBorders>
          </w:tcPr>
          <w:p w14:paraId="25F9E865">
            <w:pPr>
              <w:pStyle w:val="214"/>
              <w:rPr>
                <w:rFonts w:hint="eastAsia"/>
                <w:color w:val="auto"/>
                <w:highlight w:val="none"/>
              </w:rPr>
            </w:pPr>
          </w:p>
        </w:tc>
      </w:tr>
    </w:tbl>
    <w:p w14:paraId="5304BFC9">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75790001">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r>
        <w:rPr>
          <w:rFonts w:hint="eastAsia" w:eastAsia="宋体"/>
          <w:color w:val="auto"/>
          <w:sz w:val="22"/>
          <w:highlight w:val="none"/>
          <w:u w:val="single"/>
        </w:rPr>
        <w:tab/>
      </w:r>
      <w:r>
        <w:rPr>
          <w:rFonts w:hint="eastAsia" w:eastAsia="宋体"/>
          <w:color w:val="auto"/>
          <w:sz w:val="22"/>
          <w:highlight w:val="none"/>
          <w:u w:val="single"/>
        </w:rPr>
        <w:t xml:space="preserve">  </w:t>
      </w:r>
      <w:r>
        <w:rPr>
          <w:rFonts w:hint="eastAsia" w:eastAsia="宋体"/>
          <w:color w:val="auto"/>
          <w:spacing w:val="-51"/>
          <w:sz w:val="22"/>
          <w:highlight w:val="none"/>
        </w:rPr>
        <w:t xml:space="preserve"> </w:t>
      </w:r>
    </w:p>
    <w:p w14:paraId="1C59563A">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p>
    <w:p w14:paraId="64D7B65F">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p>
    <w:p w14:paraId="27373632">
      <w:pPr>
        <w:spacing w:before="68" w:line="223" w:lineRule="auto"/>
        <w:rPr>
          <w:rFonts w:hint="eastAsia" w:ascii="宋体" w:hAnsi="宋体" w:eastAsia="宋体" w:cs="宋体"/>
          <w:color w:val="auto"/>
          <w:spacing w:val="-6"/>
          <w:szCs w:val="21"/>
          <w:highlight w:val="none"/>
        </w:rPr>
        <w:sectPr>
          <w:headerReference r:id="rId8" w:type="default"/>
          <w:footerReference r:id="rId9" w:type="default"/>
          <w:pgSz w:w="11906" w:h="16838"/>
          <w:pgMar w:top="1134" w:right="1134" w:bottom="1134" w:left="1134" w:header="851" w:footer="850" w:gutter="0"/>
          <w:cols w:space="720" w:num="1"/>
          <w:docGrid w:linePitch="312" w:charSpace="0"/>
        </w:sectPr>
      </w:pPr>
    </w:p>
    <w:p w14:paraId="7BB670CB">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w:t>
      </w:r>
      <w:r>
        <w:rPr>
          <w:rFonts w:hint="eastAsia" w:ascii="宋体" w:hAnsi="宋体" w:eastAsia="宋体" w:cs="宋体"/>
          <w:color w:val="auto"/>
          <w:spacing w:val="-48"/>
          <w:szCs w:val="21"/>
          <w:highlight w:val="none"/>
        </w:rPr>
        <w:t xml:space="preserve"> </w:t>
      </w:r>
      <w:r>
        <w:rPr>
          <w:rFonts w:hint="eastAsia" w:ascii="宋体" w:hAnsi="宋体" w:eastAsia="宋体" w:cs="宋体"/>
          <w:color w:val="auto"/>
          <w:spacing w:val="-6"/>
          <w:szCs w:val="21"/>
          <w:highlight w:val="none"/>
        </w:rPr>
        <w:t>2</w:t>
      </w:r>
    </w:p>
    <w:p w14:paraId="5C687007">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肉制品供货及验收清单</w:t>
      </w:r>
    </w:p>
    <w:tbl>
      <w:tblPr>
        <w:tblStyle w:val="215"/>
        <w:tblW w:w="988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788"/>
        <w:gridCol w:w="1006"/>
        <w:gridCol w:w="803"/>
        <w:gridCol w:w="1015"/>
        <w:gridCol w:w="1006"/>
        <w:gridCol w:w="1123"/>
        <w:gridCol w:w="970"/>
        <w:gridCol w:w="897"/>
        <w:gridCol w:w="773"/>
        <w:gridCol w:w="840"/>
      </w:tblGrid>
      <w:tr w14:paraId="0D194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663" w:type="dxa"/>
            <w:tcBorders>
              <w:top w:val="single" w:color="000000" w:sz="12" w:space="0"/>
              <w:left w:val="single" w:color="000000" w:sz="12" w:space="0"/>
            </w:tcBorders>
          </w:tcPr>
          <w:p w14:paraId="7084C8E5">
            <w:pPr>
              <w:spacing w:before="183" w:line="223" w:lineRule="auto"/>
              <w:ind w:left="136"/>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788" w:type="dxa"/>
            <w:tcBorders>
              <w:top w:val="single" w:color="000000" w:sz="12" w:space="0"/>
            </w:tcBorders>
          </w:tcPr>
          <w:p w14:paraId="61740EAA">
            <w:pPr>
              <w:spacing w:before="184" w:line="222" w:lineRule="auto"/>
              <w:ind w:left="21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品名</w:t>
            </w:r>
          </w:p>
        </w:tc>
        <w:tc>
          <w:tcPr>
            <w:tcW w:w="1006" w:type="dxa"/>
            <w:tcBorders>
              <w:top w:val="single" w:color="000000" w:sz="12" w:space="0"/>
            </w:tcBorders>
          </w:tcPr>
          <w:p w14:paraId="032BBA84">
            <w:pPr>
              <w:spacing w:before="62" w:line="235" w:lineRule="auto"/>
              <w:ind w:left="122" w:right="140" w:firstLine="19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数量</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8"/>
                <w:sz w:val="18"/>
                <w:szCs w:val="18"/>
                <w:highlight w:val="none"/>
              </w:rPr>
              <w:t>（斤/个）</w:t>
            </w:r>
          </w:p>
        </w:tc>
        <w:tc>
          <w:tcPr>
            <w:tcW w:w="803" w:type="dxa"/>
            <w:tcBorders>
              <w:top w:val="single" w:color="000000" w:sz="12" w:space="0"/>
            </w:tcBorders>
          </w:tcPr>
          <w:p w14:paraId="4073B73F">
            <w:pPr>
              <w:spacing w:before="183" w:line="223" w:lineRule="auto"/>
              <w:ind w:left="215"/>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产地</w:t>
            </w:r>
          </w:p>
        </w:tc>
        <w:tc>
          <w:tcPr>
            <w:tcW w:w="1015" w:type="dxa"/>
            <w:tcBorders>
              <w:top w:val="single" w:color="000000" w:sz="12" w:space="0"/>
            </w:tcBorders>
          </w:tcPr>
          <w:p w14:paraId="453B5674">
            <w:pPr>
              <w:spacing w:before="63" w:line="234" w:lineRule="auto"/>
              <w:ind w:left="326" w:right="236" w:hanging="9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生产者</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名称</w:t>
            </w:r>
          </w:p>
        </w:tc>
        <w:tc>
          <w:tcPr>
            <w:tcW w:w="1006" w:type="dxa"/>
            <w:tcBorders>
              <w:top w:val="single" w:color="000000" w:sz="12" w:space="0"/>
            </w:tcBorders>
          </w:tcPr>
          <w:p w14:paraId="257D305A">
            <w:pPr>
              <w:spacing w:before="62" w:line="238" w:lineRule="auto"/>
              <w:ind w:left="324" w:right="229" w:hanging="9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生产者</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2"/>
                <w:sz w:val="18"/>
                <w:szCs w:val="18"/>
                <w:highlight w:val="none"/>
              </w:rPr>
              <w:t>地址</w:t>
            </w:r>
          </w:p>
        </w:tc>
        <w:tc>
          <w:tcPr>
            <w:tcW w:w="1123" w:type="dxa"/>
            <w:tcBorders>
              <w:top w:val="single" w:color="000000" w:sz="12" w:space="0"/>
            </w:tcBorders>
          </w:tcPr>
          <w:p w14:paraId="4D7FF247">
            <w:pPr>
              <w:spacing w:before="64" w:line="234" w:lineRule="auto"/>
              <w:ind w:left="384" w:right="104" w:hanging="27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包装标准及</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2"/>
                <w:sz w:val="18"/>
                <w:szCs w:val="18"/>
                <w:highlight w:val="none"/>
              </w:rPr>
              <w:t>要求</w:t>
            </w:r>
          </w:p>
        </w:tc>
        <w:tc>
          <w:tcPr>
            <w:tcW w:w="970" w:type="dxa"/>
            <w:tcBorders>
              <w:top w:val="single" w:color="000000" w:sz="12" w:space="0"/>
            </w:tcBorders>
          </w:tcPr>
          <w:p w14:paraId="0BBC10D1">
            <w:pPr>
              <w:spacing w:before="62" w:line="235" w:lineRule="auto"/>
              <w:ind w:left="312" w:right="114" w:hanging="178"/>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运输保管</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条件</w:t>
            </w:r>
          </w:p>
        </w:tc>
        <w:tc>
          <w:tcPr>
            <w:tcW w:w="897" w:type="dxa"/>
            <w:tcBorders>
              <w:top w:val="single" w:color="000000" w:sz="12" w:space="0"/>
            </w:tcBorders>
          </w:tcPr>
          <w:p w14:paraId="409C7B06">
            <w:pPr>
              <w:spacing w:before="63" w:line="234" w:lineRule="auto"/>
              <w:ind w:left="189" w:right="164" w:hanging="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检验检</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疫结果</w:t>
            </w:r>
          </w:p>
        </w:tc>
        <w:tc>
          <w:tcPr>
            <w:tcW w:w="773" w:type="dxa"/>
            <w:tcBorders>
              <w:top w:val="single" w:color="000000" w:sz="12" w:space="0"/>
            </w:tcBorders>
          </w:tcPr>
          <w:p w14:paraId="7CEC069B">
            <w:pPr>
              <w:spacing w:before="63" w:line="235" w:lineRule="auto"/>
              <w:ind w:left="142" w:right="117" w:firstLine="82"/>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单价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c>
          <w:tcPr>
            <w:tcW w:w="840" w:type="dxa"/>
            <w:tcBorders>
              <w:top w:val="single" w:color="000000" w:sz="12" w:space="0"/>
              <w:right w:val="single" w:color="000000" w:sz="12" w:space="0"/>
            </w:tcBorders>
          </w:tcPr>
          <w:p w14:paraId="214BCAA6">
            <w:pPr>
              <w:spacing w:before="63" w:line="235" w:lineRule="auto"/>
              <w:ind w:left="170" w:right="146" w:firstLine="81"/>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总价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r>
      <w:tr w14:paraId="68990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30D9EC90">
            <w:pPr>
              <w:pStyle w:val="214"/>
              <w:rPr>
                <w:rFonts w:hint="eastAsia"/>
                <w:color w:val="auto"/>
                <w:highlight w:val="none"/>
              </w:rPr>
            </w:pPr>
          </w:p>
        </w:tc>
        <w:tc>
          <w:tcPr>
            <w:tcW w:w="788" w:type="dxa"/>
          </w:tcPr>
          <w:p w14:paraId="46106580">
            <w:pPr>
              <w:pStyle w:val="214"/>
              <w:rPr>
                <w:rFonts w:hint="eastAsia"/>
                <w:color w:val="auto"/>
                <w:highlight w:val="none"/>
              </w:rPr>
            </w:pPr>
          </w:p>
        </w:tc>
        <w:tc>
          <w:tcPr>
            <w:tcW w:w="1006" w:type="dxa"/>
          </w:tcPr>
          <w:p w14:paraId="229B9997">
            <w:pPr>
              <w:pStyle w:val="214"/>
              <w:rPr>
                <w:rFonts w:hint="eastAsia"/>
                <w:color w:val="auto"/>
                <w:highlight w:val="none"/>
              </w:rPr>
            </w:pPr>
          </w:p>
        </w:tc>
        <w:tc>
          <w:tcPr>
            <w:tcW w:w="803" w:type="dxa"/>
          </w:tcPr>
          <w:p w14:paraId="0BC10F49">
            <w:pPr>
              <w:pStyle w:val="214"/>
              <w:rPr>
                <w:rFonts w:hint="eastAsia"/>
                <w:color w:val="auto"/>
                <w:highlight w:val="none"/>
              </w:rPr>
            </w:pPr>
          </w:p>
        </w:tc>
        <w:tc>
          <w:tcPr>
            <w:tcW w:w="1015" w:type="dxa"/>
          </w:tcPr>
          <w:p w14:paraId="7ED961EB">
            <w:pPr>
              <w:pStyle w:val="214"/>
              <w:rPr>
                <w:rFonts w:hint="eastAsia"/>
                <w:color w:val="auto"/>
                <w:highlight w:val="none"/>
              </w:rPr>
            </w:pPr>
          </w:p>
        </w:tc>
        <w:tc>
          <w:tcPr>
            <w:tcW w:w="1006" w:type="dxa"/>
          </w:tcPr>
          <w:p w14:paraId="5E5BCAC3">
            <w:pPr>
              <w:pStyle w:val="214"/>
              <w:rPr>
                <w:rFonts w:hint="eastAsia"/>
                <w:color w:val="auto"/>
                <w:highlight w:val="none"/>
              </w:rPr>
            </w:pPr>
          </w:p>
        </w:tc>
        <w:tc>
          <w:tcPr>
            <w:tcW w:w="1123" w:type="dxa"/>
          </w:tcPr>
          <w:p w14:paraId="2FA889AF">
            <w:pPr>
              <w:pStyle w:val="214"/>
              <w:rPr>
                <w:rFonts w:hint="eastAsia"/>
                <w:color w:val="auto"/>
                <w:highlight w:val="none"/>
              </w:rPr>
            </w:pPr>
          </w:p>
        </w:tc>
        <w:tc>
          <w:tcPr>
            <w:tcW w:w="970" w:type="dxa"/>
          </w:tcPr>
          <w:p w14:paraId="5C235200">
            <w:pPr>
              <w:pStyle w:val="214"/>
              <w:rPr>
                <w:rFonts w:hint="eastAsia"/>
                <w:color w:val="auto"/>
                <w:highlight w:val="none"/>
              </w:rPr>
            </w:pPr>
          </w:p>
        </w:tc>
        <w:tc>
          <w:tcPr>
            <w:tcW w:w="897" w:type="dxa"/>
          </w:tcPr>
          <w:p w14:paraId="7CFC9B6C">
            <w:pPr>
              <w:pStyle w:val="214"/>
              <w:rPr>
                <w:rFonts w:hint="eastAsia"/>
                <w:color w:val="auto"/>
                <w:highlight w:val="none"/>
              </w:rPr>
            </w:pPr>
          </w:p>
        </w:tc>
        <w:tc>
          <w:tcPr>
            <w:tcW w:w="773" w:type="dxa"/>
          </w:tcPr>
          <w:p w14:paraId="0E3B390C">
            <w:pPr>
              <w:pStyle w:val="214"/>
              <w:rPr>
                <w:rFonts w:hint="eastAsia"/>
                <w:color w:val="auto"/>
                <w:highlight w:val="none"/>
              </w:rPr>
            </w:pPr>
          </w:p>
        </w:tc>
        <w:tc>
          <w:tcPr>
            <w:tcW w:w="840" w:type="dxa"/>
            <w:tcBorders>
              <w:right w:val="single" w:color="000000" w:sz="12" w:space="0"/>
            </w:tcBorders>
          </w:tcPr>
          <w:p w14:paraId="5E86CEC0">
            <w:pPr>
              <w:pStyle w:val="214"/>
              <w:rPr>
                <w:rFonts w:hint="eastAsia"/>
                <w:color w:val="auto"/>
                <w:highlight w:val="none"/>
              </w:rPr>
            </w:pPr>
          </w:p>
        </w:tc>
      </w:tr>
      <w:tr w14:paraId="3B849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28430EE2">
            <w:pPr>
              <w:pStyle w:val="214"/>
              <w:rPr>
                <w:rFonts w:hint="eastAsia"/>
                <w:color w:val="auto"/>
                <w:highlight w:val="none"/>
              </w:rPr>
            </w:pPr>
          </w:p>
        </w:tc>
        <w:tc>
          <w:tcPr>
            <w:tcW w:w="788" w:type="dxa"/>
          </w:tcPr>
          <w:p w14:paraId="140C583F">
            <w:pPr>
              <w:pStyle w:val="214"/>
              <w:rPr>
                <w:rFonts w:hint="eastAsia"/>
                <w:color w:val="auto"/>
                <w:highlight w:val="none"/>
              </w:rPr>
            </w:pPr>
          </w:p>
        </w:tc>
        <w:tc>
          <w:tcPr>
            <w:tcW w:w="1006" w:type="dxa"/>
          </w:tcPr>
          <w:p w14:paraId="1B1F6A23">
            <w:pPr>
              <w:pStyle w:val="214"/>
              <w:rPr>
                <w:rFonts w:hint="eastAsia"/>
                <w:color w:val="auto"/>
                <w:highlight w:val="none"/>
              </w:rPr>
            </w:pPr>
          </w:p>
        </w:tc>
        <w:tc>
          <w:tcPr>
            <w:tcW w:w="803" w:type="dxa"/>
          </w:tcPr>
          <w:p w14:paraId="2129FE09">
            <w:pPr>
              <w:pStyle w:val="214"/>
              <w:rPr>
                <w:rFonts w:hint="eastAsia"/>
                <w:color w:val="auto"/>
                <w:highlight w:val="none"/>
              </w:rPr>
            </w:pPr>
          </w:p>
        </w:tc>
        <w:tc>
          <w:tcPr>
            <w:tcW w:w="1015" w:type="dxa"/>
          </w:tcPr>
          <w:p w14:paraId="4F2A0EE4">
            <w:pPr>
              <w:pStyle w:val="214"/>
              <w:rPr>
                <w:rFonts w:hint="eastAsia"/>
                <w:color w:val="auto"/>
                <w:highlight w:val="none"/>
              </w:rPr>
            </w:pPr>
          </w:p>
        </w:tc>
        <w:tc>
          <w:tcPr>
            <w:tcW w:w="1006" w:type="dxa"/>
          </w:tcPr>
          <w:p w14:paraId="179A26E8">
            <w:pPr>
              <w:pStyle w:val="214"/>
              <w:rPr>
                <w:rFonts w:hint="eastAsia"/>
                <w:color w:val="auto"/>
                <w:highlight w:val="none"/>
              </w:rPr>
            </w:pPr>
          </w:p>
        </w:tc>
        <w:tc>
          <w:tcPr>
            <w:tcW w:w="1123" w:type="dxa"/>
          </w:tcPr>
          <w:p w14:paraId="72DDDA69">
            <w:pPr>
              <w:pStyle w:val="214"/>
              <w:rPr>
                <w:rFonts w:hint="eastAsia"/>
                <w:color w:val="auto"/>
                <w:highlight w:val="none"/>
              </w:rPr>
            </w:pPr>
          </w:p>
        </w:tc>
        <w:tc>
          <w:tcPr>
            <w:tcW w:w="970" w:type="dxa"/>
          </w:tcPr>
          <w:p w14:paraId="700E55C0">
            <w:pPr>
              <w:pStyle w:val="214"/>
              <w:rPr>
                <w:rFonts w:hint="eastAsia"/>
                <w:color w:val="auto"/>
                <w:highlight w:val="none"/>
              </w:rPr>
            </w:pPr>
          </w:p>
        </w:tc>
        <w:tc>
          <w:tcPr>
            <w:tcW w:w="897" w:type="dxa"/>
          </w:tcPr>
          <w:p w14:paraId="2C8E1ECB">
            <w:pPr>
              <w:pStyle w:val="214"/>
              <w:rPr>
                <w:rFonts w:hint="eastAsia"/>
                <w:color w:val="auto"/>
                <w:highlight w:val="none"/>
              </w:rPr>
            </w:pPr>
          </w:p>
        </w:tc>
        <w:tc>
          <w:tcPr>
            <w:tcW w:w="773" w:type="dxa"/>
          </w:tcPr>
          <w:p w14:paraId="157AEC60">
            <w:pPr>
              <w:pStyle w:val="214"/>
              <w:rPr>
                <w:rFonts w:hint="eastAsia"/>
                <w:color w:val="auto"/>
                <w:highlight w:val="none"/>
              </w:rPr>
            </w:pPr>
          </w:p>
        </w:tc>
        <w:tc>
          <w:tcPr>
            <w:tcW w:w="840" w:type="dxa"/>
            <w:tcBorders>
              <w:right w:val="single" w:color="000000" w:sz="12" w:space="0"/>
            </w:tcBorders>
          </w:tcPr>
          <w:p w14:paraId="56725A65">
            <w:pPr>
              <w:pStyle w:val="214"/>
              <w:rPr>
                <w:rFonts w:hint="eastAsia"/>
                <w:color w:val="auto"/>
                <w:highlight w:val="none"/>
              </w:rPr>
            </w:pPr>
          </w:p>
        </w:tc>
      </w:tr>
      <w:tr w14:paraId="08782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6DFE7518">
            <w:pPr>
              <w:pStyle w:val="214"/>
              <w:rPr>
                <w:rFonts w:hint="eastAsia"/>
                <w:color w:val="auto"/>
                <w:highlight w:val="none"/>
              </w:rPr>
            </w:pPr>
          </w:p>
        </w:tc>
        <w:tc>
          <w:tcPr>
            <w:tcW w:w="788" w:type="dxa"/>
          </w:tcPr>
          <w:p w14:paraId="09238A8C">
            <w:pPr>
              <w:pStyle w:val="214"/>
              <w:rPr>
                <w:rFonts w:hint="eastAsia"/>
                <w:color w:val="auto"/>
                <w:highlight w:val="none"/>
              </w:rPr>
            </w:pPr>
          </w:p>
        </w:tc>
        <w:tc>
          <w:tcPr>
            <w:tcW w:w="1006" w:type="dxa"/>
          </w:tcPr>
          <w:p w14:paraId="55BBA286">
            <w:pPr>
              <w:pStyle w:val="214"/>
              <w:rPr>
                <w:rFonts w:hint="eastAsia"/>
                <w:color w:val="auto"/>
                <w:highlight w:val="none"/>
              </w:rPr>
            </w:pPr>
          </w:p>
        </w:tc>
        <w:tc>
          <w:tcPr>
            <w:tcW w:w="803" w:type="dxa"/>
          </w:tcPr>
          <w:p w14:paraId="52363144">
            <w:pPr>
              <w:pStyle w:val="214"/>
              <w:rPr>
                <w:rFonts w:hint="eastAsia"/>
                <w:color w:val="auto"/>
                <w:highlight w:val="none"/>
              </w:rPr>
            </w:pPr>
          </w:p>
        </w:tc>
        <w:tc>
          <w:tcPr>
            <w:tcW w:w="1015" w:type="dxa"/>
          </w:tcPr>
          <w:p w14:paraId="36CEDEE5">
            <w:pPr>
              <w:pStyle w:val="214"/>
              <w:rPr>
                <w:rFonts w:hint="eastAsia"/>
                <w:color w:val="auto"/>
                <w:highlight w:val="none"/>
              </w:rPr>
            </w:pPr>
          </w:p>
        </w:tc>
        <w:tc>
          <w:tcPr>
            <w:tcW w:w="1006" w:type="dxa"/>
          </w:tcPr>
          <w:p w14:paraId="63F2779D">
            <w:pPr>
              <w:pStyle w:val="214"/>
              <w:rPr>
                <w:rFonts w:hint="eastAsia"/>
                <w:color w:val="auto"/>
                <w:highlight w:val="none"/>
              </w:rPr>
            </w:pPr>
          </w:p>
        </w:tc>
        <w:tc>
          <w:tcPr>
            <w:tcW w:w="1123" w:type="dxa"/>
          </w:tcPr>
          <w:p w14:paraId="314055CC">
            <w:pPr>
              <w:pStyle w:val="214"/>
              <w:rPr>
                <w:rFonts w:hint="eastAsia"/>
                <w:color w:val="auto"/>
                <w:highlight w:val="none"/>
              </w:rPr>
            </w:pPr>
          </w:p>
        </w:tc>
        <w:tc>
          <w:tcPr>
            <w:tcW w:w="970" w:type="dxa"/>
          </w:tcPr>
          <w:p w14:paraId="67F0BB70">
            <w:pPr>
              <w:pStyle w:val="214"/>
              <w:rPr>
                <w:rFonts w:hint="eastAsia"/>
                <w:color w:val="auto"/>
                <w:highlight w:val="none"/>
              </w:rPr>
            </w:pPr>
          </w:p>
        </w:tc>
        <w:tc>
          <w:tcPr>
            <w:tcW w:w="897" w:type="dxa"/>
          </w:tcPr>
          <w:p w14:paraId="0C079D48">
            <w:pPr>
              <w:pStyle w:val="214"/>
              <w:rPr>
                <w:rFonts w:hint="eastAsia"/>
                <w:color w:val="auto"/>
                <w:highlight w:val="none"/>
              </w:rPr>
            </w:pPr>
          </w:p>
        </w:tc>
        <w:tc>
          <w:tcPr>
            <w:tcW w:w="773" w:type="dxa"/>
          </w:tcPr>
          <w:p w14:paraId="66C646C3">
            <w:pPr>
              <w:pStyle w:val="214"/>
              <w:rPr>
                <w:rFonts w:hint="eastAsia"/>
                <w:color w:val="auto"/>
                <w:highlight w:val="none"/>
              </w:rPr>
            </w:pPr>
          </w:p>
        </w:tc>
        <w:tc>
          <w:tcPr>
            <w:tcW w:w="840" w:type="dxa"/>
            <w:tcBorders>
              <w:right w:val="single" w:color="000000" w:sz="12" w:space="0"/>
            </w:tcBorders>
          </w:tcPr>
          <w:p w14:paraId="595BDC8C">
            <w:pPr>
              <w:pStyle w:val="214"/>
              <w:rPr>
                <w:rFonts w:hint="eastAsia"/>
                <w:color w:val="auto"/>
                <w:highlight w:val="none"/>
              </w:rPr>
            </w:pPr>
          </w:p>
        </w:tc>
      </w:tr>
      <w:tr w14:paraId="72606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663" w:type="dxa"/>
            <w:tcBorders>
              <w:left w:val="single" w:color="000000" w:sz="12" w:space="0"/>
            </w:tcBorders>
          </w:tcPr>
          <w:p w14:paraId="02411D34">
            <w:pPr>
              <w:pStyle w:val="214"/>
              <w:rPr>
                <w:rFonts w:hint="eastAsia"/>
                <w:color w:val="auto"/>
                <w:highlight w:val="none"/>
              </w:rPr>
            </w:pPr>
          </w:p>
        </w:tc>
        <w:tc>
          <w:tcPr>
            <w:tcW w:w="788" w:type="dxa"/>
          </w:tcPr>
          <w:p w14:paraId="2A987E49">
            <w:pPr>
              <w:pStyle w:val="214"/>
              <w:rPr>
                <w:rFonts w:hint="eastAsia"/>
                <w:color w:val="auto"/>
                <w:highlight w:val="none"/>
              </w:rPr>
            </w:pPr>
          </w:p>
        </w:tc>
        <w:tc>
          <w:tcPr>
            <w:tcW w:w="1006" w:type="dxa"/>
          </w:tcPr>
          <w:p w14:paraId="181A0462">
            <w:pPr>
              <w:pStyle w:val="214"/>
              <w:rPr>
                <w:rFonts w:hint="eastAsia"/>
                <w:color w:val="auto"/>
                <w:highlight w:val="none"/>
              </w:rPr>
            </w:pPr>
          </w:p>
        </w:tc>
        <w:tc>
          <w:tcPr>
            <w:tcW w:w="803" w:type="dxa"/>
          </w:tcPr>
          <w:p w14:paraId="357D458F">
            <w:pPr>
              <w:pStyle w:val="214"/>
              <w:rPr>
                <w:rFonts w:hint="eastAsia"/>
                <w:color w:val="auto"/>
                <w:highlight w:val="none"/>
              </w:rPr>
            </w:pPr>
          </w:p>
        </w:tc>
        <w:tc>
          <w:tcPr>
            <w:tcW w:w="1015" w:type="dxa"/>
          </w:tcPr>
          <w:p w14:paraId="2CB21053">
            <w:pPr>
              <w:pStyle w:val="214"/>
              <w:rPr>
                <w:rFonts w:hint="eastAsia"/>
                <w:color w:val="auto"/>
                <w:highlight w:val="none"/>
              </w:rPr>
            </w:pPr>
          </w:p>
        </w:tc>
        <w:tc>
          <w:tcPr>
            <w:tcW w:w="1006" w:type="dxa"/>
          </w:tcPr>
          <w:p w14:paraId="7E0E3660">
            <w:pPr>
              <w:pStyle w:val="214"/>
              <w:rPr>
                <w:rFonts w:hint="eastAsia"/>
                <w:color w:val="auto"/>
                <w:highlight w:val="none"/>
              </w:rPr>
            </w:pPr>
          </w:p>
        </w:tc>
        <w:tc>
          <w:tcPr>
            <w:tcW w:w="1123" w:type="dxa"/>
          </w:tcPr>
          <w:p w14:paraId="7B0D81B4">
            <w:pPr>
              <w:pStyle w:val="214"/>
              <w:rPr>
                <w:rFonts w:hint="eastAsia"/>
                <w:color w:val="auto"/>
                <w:highlight w:val="none"/>
              </w:rPr>
            </w:pPr>
          </w:p>
        </w:tc>
        <w:tc>
          <w:tcPr>
            <w:tcW w:w="970" w:type="dxa"/>
          </w:tcPr>
          <w:p w14:paraId="0D795164">
            <w:pPr>
              <w:pStyle w:val="214"/>
              <w:rPr>
                <w:rFonts w:hint="eastAsia"/>
                <w:color w:val="auto"/>
                <w:highlight w:val="none"/>
              </w:rPr>
            </w:pPr>
          </w:p>
        </w:tc>
        <w:tc>
          <w:tcPr>
            <w:tcW w:w="897" w:type="dxa"/>
          </w:tcPr>
          <w:p w14:paraId="1AE7C87E">
            <w:pPr>
              <w:pStyle w:val="214"/>
              <w:rPr>
                <w:rFonts w:hint="eastAsia"/>
                <w:color w:val="auto"/>
                <w:highlight w:val="none"/>
              </w:rPr>
            </w:pPr>
          </w:p>
        </w:tc>
        <w:tc>
          <w:tcPr>
            <w:tcW w:w="773" w:type="dxa"/>
          </w:tcPr>
          <w:p w14:paraId="7004CB36">
            <w:pPr>
              <w:pStyle w:val="214"/>
              <w:rPr>
                <w:rFonts w:hint="eastAsia"/>
                <w:color w:val="auto"/>
                <w:highlight w:val="none"/>
              </w:rPr>
            </w:pPr>
          </w:p>
        </w:tc>
        <w:tc>
          <w:tcPr>
            <w:tcW w:w="840" w:type="dxa"/>
            <w:tcBorders>
              <w:right w:val="single" w:color="000000" w:sz="12" w:space="0"/>
            </w:tcBorders>
          </w:tcPr>
          <w:p w14:paraId="0AA98E76">
            <w:pPr>
              <w:pStyle w:val="214"/>
              <w:rPr>
                <w:rFonts w:hint="eastAsia"/>
                <w:color w:val="auto"/>
                <w:highlight w:val="none"/>
              </w:rPr>
            </w:pPr>
          </w:p>
        </w:tc>
      </w:tr>
      <w:tr w14:paraId="2BFE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1DB64651">
            <w:pPr>
              <w:pStyle w:val="214"/>
              <w:rPr>
                <w:rFonts w:hint="eastAsia"/>
                <w:color w:val="auto"/>
                <w:highlight w:val="none"/>
              </w:rPr>
            </w:pPr>
          </w:p>
        </w:tc>
        <w:tc>
          <w:tcPr>
            <w:tcW w:w="788" w:type="dxa"/>
          </w:tcPr>
          <w:p w14:paraId="7C1A25CE">
            <w:pPr>
              <w:pStyle w:val="214"/>
              <w:rPr>
                <w:rFonts w:hint="eastAsia"/>
                <w:color w:val="auto"/>
                <w:highlight w:val="none"/>
              </w:rPr>
            </w:pPr>
          </w:p>
        </w:tc>
        <w:tc>
          <w:tcPr>
            <w:tcW w:w="1006" w:type="dxa"/>
          </w:tcPr>
          <w:p w14:paraId="2907DC53">
            <w:pPr>
              <w:pStyle w:val="214"/>
              <w:rPr>
                <w:rFonts w:hint="eastAsia"/>
                <w:color w:val="auto"/>
                <w:highlight w:val="none"/>
              </w:rPr>
            </w:pPr>
          </w:p>
        </w:tc>
        <w:tc>
          <w:tcPr>
            <w:tcW w:w="803" w:type="dxa"/>
          </w:tcPr>
          <w:p w14:paraId="1FCF186A">
            <w:pPr>
              <w:pStyle w:val="214"/>
              <w:rPr>
                <w:rFonts w:hint="eastAsia"/>
                <w:color w:val="auto"/>
                <w:highlight w:val="none"/>
              </w:rPr>
            </w:pPr>
          </w:p>
        </w:tc>
        <w:tc>
          <w:tcPr>
            <w:tcW w:w="1015" w:type="dxa"/>
          </w:tcPr>
          <w:p w14:paraId="4F4D7EBF">
            <w:pPr>
              <w:pStyle w:val="214"/>
              <w:rPr>
                <w:rFonts w:hint="eastAsia"/>
                <w:color w:val="auto"/>
                <w:highlight w:val="none"/>
              </w:rPr>
            </w:pPr>
          </w:p>
        </w:tc>
        <w:tc>
          <w:tcPr>
            <w:tcW w:w="1006" w:type="dxa"/>
          </w:tcPr>
          <w:p w14:paraId="05374118">
            <w:pPr>
              <w:pStyle w:val="214"/>
              <w:rPr>
                <w:rFonts w:hint="eastAsia"/>
                <w:color w:val="auto"/>
                <w:highlight w:val="none"/>
              </w:rPr>
            </w:pPr>
          </w:p>
        </w:tc>
        <w:tc>
          <w:tcPr>
            <w:tcW w:w="1123" w:type="dxa"/>
          </w:tcPr>
          <w:p w14:paraId="647BEDEF">
            <w:pPr>
              <w:pStyle w:val="214"/>
              <w:rPr>
                <w:rFonts w:hint="eastAsia"/>
                <w:color w:val="auto"/>
                <w:highlight w:val="none"/>
              </w:rPr>
            </w:pPr>
          </w:p>
        </w:tc>
        <w:tc>
          <w:tcPr>
            <w:tcW w:w="970" w:type="dxa"/>
          </w:tcPr>
          <w:p w14:paraId="7B985B76">
            <w:pPr>
              <w:pStyle w:val="214"/>
              <w:rPr>
                <w:rFonts w:hint="eastAsia"/>
                <w:color w:val="auto"/>
                <w:highlight w:val="none"/>
              </w:rPr>
            </w:pPr>
          </w:p>
        </w:tc>
        <w:tc>
          <w:tcPr>
            <w:tcW w:w="897" w:type="dxa"/>
          </w:tcPr>
          <w:p w14:paraId="0C176A9D">
            <w:pPr>
              <w:pStyle w:val="214"/>
              <w:rPr>
                <w:rFonts w:hint="eastAsia"/>
                <w:color w:val="auto"/>
                <w:highlight w:val="none"/>
              </w:rPr>
            </w:pPr>
          </w:p>
        </w:tc>
        <w:tc>
          <w:tcPr>
            <w:tcW w:w="773" w:type="dxa"/>
          </w:tcPr>
          <w:p w14:paraId="34B44105">
            <w:pPr>
              <w:pStyle w:val="214"/>
              <w:rPr>
                <w:rFonts w:hint="eastAsia"/>
                <w:color w:val="auto"/>
                <w:highlight w:val="none"/>
              </w:rPr>
            </w:pPr>
          </w:p>
        </w:tc>
        <w:tc>
          <w:tcPr>
            <w:tcW w:w="840" w:type="dxa"/>
            <w:tcBorders>
              <w:right w:val="single" w:color="000000" w:sz="12" w:space="0"/>
            </w:tcBorders>
          </w:tcPr>
          <w:p w14:paraId="544E527C">
            <w:pPr>
              <w:pStyle w:val="214"/>
              <w:rPr>
                <w:rFonts w:hint="eastAsia"/>
                <w:color w:val="auto"/>
                <w:highlight w:val="none"/>
              </w:rPr>
            </w:pPr>
          </w:p>
        </w:tc>
      </w:tr>
      <w:tr w14:paraId="5BD6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0C3FA468">
            <w:pPr>
              <w:pStyle w:val="214"/>
              <w:rPr>
                <w:rFonts w:hint="eastAsia"/>
                <w:color w:val="auto"/>
                <w:highlight w:val="none"/>
              </w:rPr>
            </w:pPr>
          </w:p>
        </w:tc>
        <w:tc>
          <w:tcPr>
            <w:tcW w:w="788" w:type="dxa"/>
          </w:tcPr>
          <w:p w14:paraId="42D0AED4">
            <w:pPr>
              <w:pStyle w:val="214"/>
              <w:rPr>
                <w:rFonts w:hint="eastAsia"/>
                <w:color w:val="auto"/>
                <w:highlight w:val="none"/>
              </w:rPr>
            </w:pPr>
          </w:p>
        </w:tc>
        <w:tc>
          <w:tcPr>
            <w:tcW w:w="1006" w:type="dxa"/>
          </w:tcPr>
          <w:p w14:paraId="122F8C67">
            <w:pPr>
              <w:pStyle w:val="214"/>
              <w:rPr>
                <w:rFonts w:hint="eastAsia"/>
                <w:color w:val="auto"/>
                <w:highlight w:val="none"/>
              </w:rPr>
            </w:pPr>
          </w:p>
        </w:tc>
        <w:tc>
          <w:tcPr>
            <w:tcW w:w="803" w:type="dxa"/>
          </w:tcPr>
          <w:p w14:paraId="11A706F7">
            <w:pPr>
              <w:pStyle w:val="214"/>
              <w:rPr>
                <w:rFonts w:hint="eastAsia"/>
                <w:color w:val="auto"/>
                <w:highlight w:val="none"/>
              </w:rPr>
            </w:pPr>
          </w:p>
        </w:tc>
        <w:tc>
          <w:tcPr>
            <w:tcW w:w="1015" w:type="dxa"/>
          </w:tcPr>
          <w:p w14:paraId="4EC5DABC">
            <w:pPr>
              <w:pStyle w:val="214"/>
              <w:rPr>
                <w:rFonts w:hint="eastAsia"/>
                <w:color w:val="auto"/>
                <w:highlight w:val="none"/>
              </w:rPr>
            </w:pPr>
          </w:p>
        </w:tc>
        <w:tc>
          <w:tcPr>
            <w:tcW w:w="1006" w:type="dxa"/>
          </w:tcPr>
          <w:p w14:paraId="15C490B8">
            <w:pPr>
              <w:pStyle w:val="214"/>
              <w:rPr>
                <w:rFonts w:hint="eastAsia"/>
                <w:color w:val="auto"/>
                <w:highlight w:val="none"/>
              </w:rPr>
            </w:pPr>
          </w:p>
        </w:tc>
        <w:tc>
          <w:tcPr>
            <w:tcW w:w="1123" w:type="dxa"/>
          </w:tcPr>
          <w:p w14:paraId="4A301B93">
            <w:pPr>
              <w:pStyle w:val="214"/>
              <w:rPr>
                <w:rFonts w:hint="eastAsia"/>
                <w:color w:val="auto"/>
                <w:highlight w:val="none"/>
              </w:rPr>
            </w:pPr>
          </w:p>
        </w:tc>
        <w:tc>
          <w:tcPr>
            <w:tcW w:w="970" w:type="dxa"/>
          </w:tcPr>
          <w:p w14:paraId="40C99230">
            <w:pPr>
              <w:pStyle w:val="214"/>
              <w:rPr>
                <w:rFonts w:hint="eastAsia"/>
                <w:color w:val="auto"/>
                <w:highlight w:val="none"/>
              </w:rPr>
            </w:pPr>
          </w:p>
        </w:tc>
        <w:tc>
          <w:tcPr>
            <w:tcW w:w="897" w:type="dxa"/>
          </w:tcPr>
          <w:p w14:paraId="4445EF12">
            <w:pPr>
              <w:pStyle w:val="214"/>
              <w:rPr>
                <w:rFonts w:hint="eastAsia"/>
                <w:color w:val="auto"/>
                <w:highlight w:val="none"/>
              </w:rPr>
            </w:pPr>
          </w:p>
        </w:tc>
        <w:tc>
          <w:tcPr>
            <w:tcW w:w="773" w:type="dxa"/>
          </w:tcPr>
          <w:p w14:paraId="75520264">
            <w:pPr>
              <w:pStyle w:val="214"/>
              <w:rPr>
                <w:rFonts w:hint="eastAsia"/>
                <w:color w:val="auto"/>
                <w:highlight w:val="none"/>
              </w:rPr>
            </w:pPr>
          </w:p>
        </w:tc>
        <w:tc>
          <w:tcPr>
            <w:tcW w:w="840" w:type="dxa"/>
            <w:tcBorders>
              <w:right w:val="single" w:color="000000" w:sz="12" w:space="0"/>
            </w:tcBorders>
          </w:tcPr>
          <w:p w14:paraId="59953AED">
            <w:pPr>
              <w:pStyle w:val="214"/>
              <w:rPr>
                <w:rFonts w:hint="eastAsia"/>
                <w:color w:val="auto"/>
                <w:highlight w:val="none"/>
              </w:rPr>
            </w:pPr>
          </w:p>
        </w:tc>
      </w:tr>
      <w:tr w14:paraId="23AD2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5D180452">
            <w:pPr>
              <w:pStyle w:val="214"/>
              <w:rPr>
                <w:rFonts w:hint="eastAsia"/>
                <w:color w:val="auto"/>
                <w:highlight w:val="none"/>
              </w:rPr>
            </w:pPr>
          </w:p>
        </w:tc>
        <w:tc>
          <w:tcPr>
            <w:tcW w:w="788" w:type="dxa"/>
          </w:tcPr>
          <w:p w14:paraId="79C1C414">
            <w:pPr>
              <w:pStyle w:val="214"/>
              <w:rPr>
                <w:rFonts w:hint="eastAsia"/>
                <w:color w:val="auto"/>
                <w:highlight w:val="none"/>
              </w:rPr>
            </w:pPr>
          </w:p>
        </w:tc>
        <w:tc>
          <w:tcPr>
            <w:tcW w:w="1006" w:type="dxa"/>
          </w:tcPr>
          <w:p w14:paraId="2E85E81E">
            <w:pPr>
              <w:pStyle w:val="214"/>
              <w:rPr>
                <w:rFonts w:hint="eastAsia"/>
                <w:color w:val="auto"/>
                <w:highlight w:val="none"/>
              </w:rPr>
            </w:pPr>
          </w:p>
        </w:tc>
        <w:tc>
          <w:tcPr>
            <w:tcW w:w="803" w:type="dxa"/>
          </w:tcPr>
          <w:p w14:paraId="3ECAD757">
            <w:pPr>
              <w:pStyle w:val="214"/>
              <w:rPr>
                <w:rFonts w:hint="eastAsia"/>
                <w:color w:val="auto"/>
                <w:highlight w:val="none"/>
              </w:rPr>
            </w:pPr>
          </w:p>
        </w:tc>
        <w:tc>
          <w:tcPr>
            <w:tcW w:w="1015" w:type="dxa"/>
          </w:tcPr>
          <w:p w14:paraId="51950C09">
            <w:pPr>
              <w:pStyle w:val="214"/>
              <w:rPr>
                <w:rFonts w:hint="eastAsia"/>
                <w:color w:val="auto"/>
                <w:highlight w:val="none"/>
              </w:rPr>
            </w:pPr>
          </w:p>
        </w:tc>
        <w:tc>
          <w:tcPr>
            <w:tcW w:w="1006" w:type="dxa"/>
          </w:tcPr>
          <w:p w14:paraId="609566DF">
            <w:pPr>
              <w:pStyle w:val="214"/>
              <w:rPr>
                <w:rFonts w:hint="eastAsia"/>
                <w:color w:val="auto"/>
                <w:highlight w:val="none"/>
              </w:rPr>
            </w:pPr>
          </w:p>
        </w:tc>
        <w:tc>
          <w:tcPr>
            <w:tcW w:w="1123" w:type="dxa"/>
          </w:tcPr>
          <w:p w14:paraId="766D0281">
            <w:pPr>
              <w:pStyle w:val="214"/>
              <w:rPr>
                <w:rFonts w:hint="eastAsia"/>
                <w:color w:val="auto"/>
                <w:highlight w:val="none"/>
              </w:rPr>
            </w:pPr>
          </w:p>
        </w:tc>
        <w:tc>
          <w:tcPr>
            <w:tcW w:w="970" w:type="dxa"/>
          </w:tcPr>
          <w:p w14:paraId="37149B43">
            <w:pPr>
              <w:pStyle w:val="214"/>
              <w:rPr>
                <w:rFonts w:hint="eastAsia"/>
                <w:color w:val="auto"/>
                <w:highlight w:val="none"/>
              </w:rPr>
            </w:pPr>
          </w:p>
        </w:tc>
        <w:tc>
          <w:tcPr>
            <w:tcW w:w="897" w:type="dxa"/>
          </w:tcPr>
          <w:p w14:paraId="168C53B9">
            <w:pPr>
              <w:pStyle w:val="214"/>
              <w:rPr>
                <w:rFonts w:hint="eastAsia"/>
                <w:color w:val="auto"/>
                <w:highlight w:val="none"/>
              </w:rPr>
            </w:pPr>
          </w:p>
        </w:tc>
        <w:tc>
          <w:tcPr>
            <w:tcW w:w="773" w:type="dxa"/>
          </w:tcPr>
          <w:p w14:paraId="08866485">
            <w:pPr>
              <w:pStyle w:val="214"/>
              <w:rPr>
                <w:rFonts w:hint="eastAsia"/>
                <w:color w:val="auto"/>
                <w:highlight w:val="none"/>
              </w:rPr>
            </w:pPr>
          </w:p>
        </w:tc>
        <w:tc>
          <w:tcPr>
            <w:tcW w:w="840" w:type="dxa"/>
            <w:tcBorders>
              <w:right w:val="single" w:color="000000" w:sz="12" w:space="0"/>
            </w:tcBorders>
          </w:tcPr>
          <w:p w14:paraId="02845139">
            <w:pPr>
              <w:pStyle w:val="214"/>
              <w:rPr>
                <w:rFonts w:hint="eastAsia"/>
                <w:color w:val="auto"/>
                <w:highlight w:val="none"/>
              </w:rPr>
            </w:pPr>
          </w:p>
        </w:tc>
      </w:tr>
      <w:tr w14:paraId="5EC54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4804F245">
            <w:pPr>
              <w:pStyle w:val="214"/>
              <w:rPr>
                <w:rFonts w:hint="eastAsia"/>
                <w:color w:val="auto"/>
                <w:highlight w:val="none"/>
              </w:rPr>
            </w:pPr>
          </w:p>
        </w:tc>
        <w:tc>
          <w:tcPr>
            <w:tcW w:w="788" w:type="dxa"/>
          </w:tcPr>
          <w:p w14:paraId="1DCA0193">
            <w:pPr>
              <w:pStyle w:val="214"/>
              <w:rPr>
                <w:rFonts w:hint="eastAsia"/>
                <w:color w:val="auto"/>
                <w:highlight w:val="none"/>
              </w:rPr>
            </w:pPr>
          </w:p>
        </w:tc>
        <w:tc>
          <w:tcPr>
            <w:tcW w:w="1006" w:type="dxa"/>
          </w:tcPr>
          <w:p w14:paraId="44C482F8">
            <w:pPr>
              <w:pStyle w:val="214"/>
              <w:rPr>
                <w:rFonts w:hint="eastAsia"/>
                <w:color w:val="auto"/>
                <w:highlight w:val="none"/>
              </w:rPr>
            </w:pPr>
          </w:p>
        </w:tc>
        <w:tc>
          <w:tcPr>
            <w:tcW w:w="803" w:type="dxa"/>
          </w:tcPr>
          <w:p w14:paraId="55396560">
            <w:pPr>
              <w:pStyle w:val="214"/>
              <w:rPr>
                <w:rFonts w:hint="eastAsia"/>
                <w:color w:val="auto"/>
                <w:highlight w:val="none"/>
              </w:rPr>
            </w:pPr>
          </w:p>
        </w:tc>
        <w:tc>
          <w:tcPr>
            <w:tcW w:w="1015" w:type="dxa"/>
          </w:tcPr>
          <w:p w14:paraId="467D488A">
            <w:pPr>
              <w:pStyle w:val="214"/>
              <w:rPr>
                <w:rFonts w:hint="eastAsia"/>
                <w:color w:val="auto"/>
                <w:highlight w:val="none"/>
              </w:rPr>
            </w:pPr>
          </w:p>
        </w:tc>
        <w:tc>
          <w:tcPr>
            <w:tcW w:w="1006" w:type="dxa"/>
          </w:tcPr>
          <w:p w14:paraId="02314FC9">
            <w:pPr>
              <w:pStyle w:val="214"/>
              <w:rPr>
                <w:rFonts w:hint="eastAsia"/>
                <w:color w:val="auto"/>
                <w:highlight w:val="none"/>
              </w:rPr>
            </w:pPr>
          </w:p>
        </w:tc>
        <w:tc>
          <w:tcPr>
            <w:tcW w:w="1123" w:type="dxa"/>
          </w:tcPr>
          <w:p w14:paraId="4B95A11E">
            <w:pPr>
              <w:pStyle w:val="214"/>
              <w:rPr>
                <w:rFonts w:hint="eastAsia"/>
                <w:color w:val="auto"/>
                <w:highlight w:val="none"/>
              </w:rPr>
            </w:pPr>
          </w:p>
        </w:tc>
        <w:tc>
          <w:tcPr>
            <w:tcW w:w="970" w:type="dxa"/>
          </w:tcPr>
          <w:p w14:paraId="2B9FB3EE">
            <w:pPr>
              <w:pStyle w:val="214"/>
              <w:rPr>
                <w:rFonts w:hint="eastAsia"/>
                <w:color w:val="auto"/>
                <w:highlight w:val="none"/>
              </w:rPr>
            </w:pPr>
          </w:p>
        </w:tc>
        <w:tc>
          <w:tcPr>
            <w:tcW w:w="897" w:type="dxa"/>
          </w:tcPr>
          <w:p w14:paraId="5CC46DB0">
            <w:pPr>
              <w:pStyle w:val="214"/>
              <w:rPr>
                <w:rFonts w:hint="eastAsia"/>
                <w:color w:val="auto"/>
                <w:highlight w:val="none"/>
              </w:rPr>
            </w:pPr>
          </w:p>
        </w:tc>
        <w:tc>
          <w:tcPr>
            <w:tcW w:w="773" w:type="dxa"/>
          </w:tcPr>
          <w:p w14:paraId="63104BA2">
            <w:pPr>
              <w:pStyle w:val="214"/>
              <w:rPr>
                <w:rFonts w:hint="eastAsia"/>
                <w:color w:val="auto"/>
                <w:highlight w:val="none"/>
              </w:rPr>
            </w:pPr>
          </w:p>
        </w:tc>
        <w:tc>
          <w:tcPr>
            <w:tcW w:w="840" w:type="dxa"/>
            <w:tcBorders>
              <w:right w:val="single" w:color="000000" w:sz="12" w:space="0"/>
            </w:tcBorders>
          </w:tcPr>
          <w:p w14:paraId="47C9DFCD">
            <w:pPr>
              <w:pStyle w:val="214"/>
              <w:rPr>
                <w:rFonts w:hint="eastAsia"/>
                <w:color w:val="auto"/>
                <w:highlight w:val="none"/>
              </w:rPr>
            </w:pPr>
          </w:p>
        </w:tc>
      </w:tr>
      <w:tr w14:paraId="66D2B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0D4BC1BA">
            <w:pPr>
              <w:pStyle w:val="214"/>
              <w:rPr>
                <w:rFonts w:hint="eastAsia"/>
                <w:color w:val="auto"/>
                <w:highlight w:val="none"/>
              </w:rPr>
            </w:pPr>
          </w:p>
        </w:tc>
        <w:tc>
          <w:tcPr>
            <w:tcW w:w="788" w:type="dxa"/>
          </w:tcPr>
          <w:p w14:paraId="1B845ED7">
            <w:pPr>
              <w:pStyle w:val="214"/>
              <w:rPr>
                <w:rFonts w:hint="eastAsia"/>
                <w:color w:val="auto"/>
                <w:highlight w:val="none"/>
              </w:rPr>
            </w:pPr>
          </w:p>
        </w:tc>
        <w:tc>
          <w:tcPr>
            <w:tcW w:w="1006" w:type="dxa"/>
          </w:tcPr>
          <w:p w14:paraId="60DFCA02">
            <w:pPr>
              <w:pStyle w:val="214"/>
              <w:rPr>
                <w:rFonts w:hint="eastAsia"/>
                <w:color w:val="auto"/>
                <w:highlight w:val="none"/>
              </w:rPr>
            </w:pPr>
          </w:p>
        </w:tc>
        <w:tc>
          <w:tcPr>
            <w:tcW w:w="803" w:type="dxa"/>
          </w:tcPr>
          <w:p w14:paraId="47FB3850">
            <w:pPr>
              <w:pStyle w:val="214"/>
              <w:rPr>
                <w:rFonts w:hint="eastAsia"/>
                <w:color w:val="auto"/>
                <w:highlight w:val="none"/>
              </w:rPr>
            </w:pPr>
          </w:p>
        </w:tc>
        <w:tc>
          <w:tcPr>
            <w:tcW w:w="1015" w:type="dxa"/>
          </w:tcPr>
          <w:p w14:paraId="0438D5C1">
            <w:pPr>
              <w:pStyle w:val="214"/>
              <w:rPr>
                <w:rFonts w:hint="eastAsia"/>
                <w:color w:val="auto"/>
                <w:highlight w:val="none"/>
              </w:rPr>
            </w:pPr>
          </w:p>
        </w:tc>
        <w:tc>
          <w:tcPr>
            <w:tcW w:w="1006" w:type="dxa"/>
          </w:tcPr>
          <w:p w14:paraId="35F7FF3A">
            <w:pPr>
              <w:pStyle w:val="214"/>
              <w:rPr>
                <w:rFonts w:hint="eastAsia"/>
                <w:color w:val="auto"/>
                <w:highlight w:val="none"/>
              </w:rPr>
            </w:pPr>
          </w:p>
        </w:tc>
        <w:tc>
          <w:tcPr>
            <w:tcW w:w="1123" w:type="dxa"/>
          </w:tcPr>
          <w:p w14:paraId="3EA10CC8">
            <w:pPr>
              <w:pStyle w:val="214"/>
              <w:rPr>
                <w:rFonts w:hint="eastAsia"/>
                <w:color w:val="auto"/>
                <w:highlight w:val="none"/>
              </w:rPr>
            </w:pPr>
          </w:p>
        </w:tc>
        <w:tc>
          <w:tcPr>
            <w:tcW w:w="970" w:type="dxa"/>
          </w:tcPr>
          <w:p w14:paraId="02A8A0A8">
            <w:pPr>
              <w:pStyle w:val="214"/>
              <w:rPr>
                <w:rFonts w:hint="eastAsia"/>
                <w:color w:val="auto"/>
                <w:highlight w:val="none"/>
              </w:rPr>
            </w:pPr>
          </w:p>
        </w:tc>
        <w:tc>
          <w:tcPr>
            <w:tcW w:w="897" w:type="dxa"/>
          </w:tcPr>
          <w:p w14:paraId="5D18AC91">
            <w:pPr>
              <w:pStyle w:val="214"/>
              <w:rPr>
                <w:rFonts w:hint="eastAsia"/>
                <w:color w:val="auto"/>
                <w:highlight w:val="none"/>
              </w:rPr>
            </w:pPr>
          </w:p>
        </w:tc>
        <w:tc>
          <w:tcPr>
            <w:tcW w:w="773" w:type="dxa"/>
          </w:tcPr>
          <w:p w14:paraId="68836A02">
            <w:pPr>
              <w:pStyle w:val="214"/>
              <w:rPr>
                <w:rFonts w:hint="eastAsia"/>
                <w:color w:val="auto"/>
                <w:highlight w:val="none"/>
              </w:rPr>
            </w:pPr>
          </w:p>
        </w:tc>
        <w:tc>
          <w:tcPr>
            <w:tcW w:w="840" w:type="dxa"/>
            <w:tcBorders>
              <w:right w:val="single" w:color="000000" w:sz="12" w:space="0"/>
            </w:tcBorders>
          </w:tcPr>
          <w:p w14:paraId="3B205A2C">
            <w:pPr>
              <w:pStyle w:val="214"/>
              <w:rPr>
                <w:rFonts w:hint="eastAsia"/>
                <w:color w:val="auto"/>
                <w:highlight w:val="none"/>
              </w:rPr>
            </w:pPr>
          </w:p>
        </w:tc>
      </w:tr>
      <w:tr w14:paraId="59715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1D2DAE0F">
            <w:pPr>
              <w:pStyle w:val="214"/>
              <w:rPr>
                <w:rFonts w:hint="eastAsia"/>
                <w:color w:val="auto"/>
                <w:highlight w:val="none"/>
              </w:rPr>
            </w:pPr>
          </w:p>
        </w:tc>
        <w:tc>
          <w:tcPr>
            <w:tcW w:w="788" w:type="dxa"/>
          </w:tcPr>
          <w:p w14:paraId="5AD9A1A8">
            <w:pPr>
              <w:pStyle w:val="214"/>
              <w:rPr>
                <w:rFonts w:hint="eastAsia"/>
                <w:color w:val="auto"/>
                <w:highlight w:val="none"/>
              </w:rPr>
            </w:pPr>
          </w:p>
        </w:tc>
        <w:tc>
          <w:tcPr>
            <w:tcW w:w="1006" w:type="dxa"/>
          </w:tcPr>
          <w:p w14:paraId="341C8661">
            <w:pPr>
              <w:pStyle w:val="214"/>
              <w:rPr>
                <w:rFonts w:hint="eastAsia"/>
                <w:color w:val="auto"/>
                <w:highlight w:val="none"/>
              </w:rPr>
            </w:pPr>
          </w:p>
        </w:tc>
        <w:tc>
          <w:tcPr>
            <w:tcW w:w="803" w:type="dxa"/>
          </w:tcPr>
          <w:p w14:paraId="733E82D4">
            <w:pPr>
              <w:pStyle w:val="214"/>
              <w:rPr>
                <w:rFonts w:hint="eastAsia"/>
                <w:color w:val="auto"/>
                <w:highlight w:val="none"/>
              </w:rPr>
            </w:pPr>
          </w:p>
        </w:tc>
        <w:tc>
          <w:tcPr>
            <w:tcW w:w="1015" w:type="dxa"/>
          </w:tcPr>
          <w:p w14:paraId="515B82BA">
            <w:pPr>
              <w:pStyle w:val="214"/>
              <w:rPr>
                <w:rFonts w:hint="eastAsia"/>
                <w:color w:val="auto"/>
                <w:highlight w:val="none"/>
              </w:rPr>
            </w:pPr>
          </w:p>
        </w:tc>
        <w:tc>
          <w:tcPr>
            <w:tcW w:w="1006" w:type="dxa"/>
          </w:tcPr>
          <w:p w14:paraId="11F1FCE4">
            <w:pPr>
              <w:pStyle w:val="214"/>
              <w:rPr>
                <w:rFonts w:hint="eastAsia"/>
                <w:color w:val="auto"/>
                <w:highlight w:val="none"/>
              </w:rPr>
            </w:pPr>
          </w:p>
        </w:tc>
        <w:tc>
          <w:tcPr>
            <w:tcW w:w="1123" w:type="dxa"/>
          </w:tcPr>
          <w:p w14:paraId="271EB97D">
            <w:pPr>
              <w:pStyle w:val="214"/>
              <w:rPr>
                <w:rFonts w:hint="eastAsia"/>
                <w:color w:val="auto"/>
                <w:highlight w:val="none"/>
              </w:rPr>
            </w:pPr>
          </w:p>
        </w:tc>
        <w:tc>
          <w:tcPr>
            <w:tcW w:w="970" w:type="dxa"/>
          </w:tcPr>
          <w:p w14:paraId="5BD988CD">
            <w:pPr>
              <w:pStyle w:val="214"/>
              <w:rPr>
                <w:rFonts w:hint="eastAsia"/>
                <w:color w:val="auto"/>
                <w:highlight w:val="none"/>
              </w:rPr>
            </w:pPr>
          </w:p>
        </w:tc>
        <w:tc>
          <w:tcPr>
            <w:tcW w:w="897" w:type="dxa"/>
          </w:tcPr>
          <w:p w14:paraId="1CDFCC1C">
            <w:pPr>
              <w:pStyle w:val="214"/>
              <w:rPr>
                <w:rFonts w:hint="eastAsia"/>
                <w:color w:val="auto"/>
                <w:highlight w:val="none"/>
              </w:rPr>
            </w:pPr>
          </w:p>
        </w:tc>
        <w:tc>
          <w:tcPr>
            <w:tcW w:w="773" w:type="dxa"/>
          </w:tcPr>
          <w:p w14:paraId="77A7CB5A">
            <w:pPr>
              <w:pStyle w:val="214"/>
              <w:rPr>
                <w:rFonts w:hint="eastAsia"/>
                <w:color w:val="auto"/>
                <w:highlight w:val="none"/>
              </w:rPr>
            </w:pPr>
          </w:p>
        </w:tc>
        <w:tc>
          <w:tcPr>
            <w:tcW w:w="840" w:type="dxa"/>
            <w:tcBorders>
              <w:right w:val="single" w:color="000000" w:sz="12" w:space="0"/>
            </w:tcBorders>
          </w:tcPr>
          <w:p w14:paraId="0EE8DFCF">
            <w:pPr>
              <w:pStyle w:val="214"/>
              <w:rPr>
                <w:rFonts w:hint="eastAsia"/>
                <w:color w:val="auto"/>
                <w:highlight w:val="none"/>
              </w:rPr>
            </w:pPr>
          </w:p>
        </w:tc>
      </w:tr>
      <w:tr w14:paraId="571B0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5007ADF0">
            <w:pPr>
              <w:pStyle w:val="214"/>
              <w:rPr>
                <w:rFonts w:hint="eastAsia"/>
                <w:color w:val="auto"/>
                <w:highlight w:val="none"/>
              </w:rPr>
            </w:pPr>
          </w:p>
        </w:tc>
        <w:tc>
          <w:tcPr>
            <w:tcW w:w="788" w:type="dxa"/>
          </w:tcPr>
          <w:p w14:paraId="1C6FB4A4">
            <w:pPr>
              <w:pStyle w:val="214"/>
              <w:rPr>
                <w:rFonts w:hint="eastAsia"/>
                <w:color w:val="auto"/>
                <w:highlight w:val="none"/>
              </w:rPr>
            </w:pPr>
          </w:p>
        </w:tc>
        <w:tc>
          <w:tcPr>
            <w:tcW w:w="1006" w:type="dxa"/>
          </w:tcPr>
          <w:p w14:paraId="50F6314F">
            <w:pPr>
              <w:pStyle w:val="214"/>
              <w:rPr>
                <w:rFonts w:hint="eastAsia"/>
                <w:color w:val="auto"/>
                <w:highlight w:val="none"/>
              </w:rPr>
            </w:pPr>
          </w:p>
        </w:tc>
        <w:tc>
          <w:tcPr>
            <w:tcW w:w="803" w:type="dxa"/>
          </w:tcPr>
          <w:p w14:paraId="13F06F1D">
            <w:pPr>
              <w:pStyle w:val="214"/>
              <w:rPr>
                <w:rFonts w:hint="eastAsia"/>
                <w:color w:val="auto"/>
                <w:highlight w:val="none"/>
              </w:rPr>
            </w:pPr>
          </w:p>
        </w:tc>
        <w:tc>
          <w:tcPr>
            <w:tcW w:w="1015" w:type="dxa"/>
          </w:tcPr>
          <w:p w14:paraId="5C54970F">
            <w:pPr>
              <w:pStyle w:val="214"/>
              <w:rPr>
                <w:rFonts w:hint="eastAsia"/>
                <w:color w:val="auto"/>
                <w:highlight w:val="none"/>
              </w:rPr>
            </w:pPr>
          </w:p>
        </w:tc>
        <w:tc>
          <w:tcPr>
            <w:tcW w:w="1006" w:type="dxa"/>
          </w:tcPr>
          <w:p w14:paraId="1A188A8C">
            <w:pPr>
              <w:pStyle w:val="214"/>
              <w:rPr>
                <w:rFonts w:hint="eastAsia"/>
                <w:color w:val="auto"/>
                <w:highlight w:val="none"/>
              </w:rPr>
            </w:pPr>
          </w:p>
        </w:tc>
        <w:tc>
          <w:tcPr>
            <w:tcW w:w="1123" w:type="dxa"/>
          </w:tcPr>
          <w:p w14:paraId="67EA8CA5">
            <w:pPr>
              <w:pStyle w:val="214"/>
              <w:rPr>
                <w:rFonts w:hint="eastAsia"/>
                <w:color w:val="auto"/>
                <w:highlight w:val="none"/>
              </w:rPr>
            </w:pPr>
          </w:p>
        </w:tc>
        <w:tc>
          <w:tcPr>
            <w:tcW w:w="970" w:type="dxa"/>
          </w:tcPr>
          <w:p w14:paraId="494A59BD">
            <w:pPr>
              <w:pStyle w:val="214"/>
              <w:rPr>
                <w:rFonts w:hint="eastAsia"/>
                <w:color w:val="auto"/>
                <w:highlight w:val="none"/>
              </w:rPr>
            </w:pPr>
          </w:p>
        </w:tc>
        <w:tc>
          <w:tcPr>
            <w:tcW w:w="897" w:type="dxa"/>
          </w:tcPr>
          <w:p w14:paraId="5F1B17B1">
            <w:pPr>
              <w:pStyle w:val="214"/>
              <w:rPr>
                <w:rFonts w:hint="eastAsia"/>
                <w:color w:val="auto"/>
                <w:highlight w:val="none"/>
              </w:rPr>
            </w:pPr>
          </w:p>
        </w:tc>
        <w:tc>
          <w:tcPr>
            <w:tcW w:w="773" w:type="dxa"/>
          </w:tcPr>
          <w:p w14:paraId="22A38D36">
            <w:pPr>
              <w:pStyle w:val="214"/>
              <w:rPr>
                <w:rFonts w:hint="eastAsia"/>
                <w:color w:val="auto"/>
                <w:highlight w:val="none"/>
              </w:rPr>
            </w:pPr>
          </w:p>
        </w:tc>
        <w:tc>
          <w:tcPr>
            <w:tcW w:w="840" w:type="dxa"/>
            <w:tcBorders>
              <w:right w:val="single" w:color="000000" w:sz="12" w:space="0"/>
            </w:tcBorders>
          </w:tcPr>
          <w:p w14:paraId="4905ECE0">
            <w:pPr>
              <w:pStyle w:val="214"/>
              <w:rPr>
                <w:rFonts w:hint="eastAsia"/>
                <w:color w:val="auto"/>
                <w:highlight w:val="none"/>
              </w:rPr>
            </w:pPr>
          </w:p>
        </w:tc>
      </w:tr>
      <w:tr w14:paraId="33B59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0044D108">
            <w:pPr>
              <w:pStyle w:val="214"/>
              <w:rPr>
                <w:rFonts w:hint="eastAsia"/>
                <w:color w:val="auto"/>
                <w:highlight w:val="none"/>
              </w:rPr>
            </w:pPr>
          </w:p>
        </w:tc>
        <w:tc>
          <w:tcPr>
            <w:tcW w:w="788" w:type="dxa"/>
          </w:tcPr>
          <w:p w14:paraId="4375A7F5">
            <w:pPr>
              <w:pStyle w:val="214"/>
              <w:rPr>
                <w:rFonts w:hint="eastAsia"/>
                <w:color w:val="auto"/>
                <w:highlight w:val="none"/>
              </w:rPr>
            </w:pPr>
          </w:p>
        </w:tc>
        <w:tc>
          <w:tcPr>
            <w:tcW w:w="1006" w:type="dxa"/>
          </w:tcPr>
          <w:p w14:paraId="52A3439B">
            <w:pPr>
              <w:pStyle w:val="214"/>
              <w:rPr>
                <w:rFonts w:hint="eastAsia"/>
                <w:color w:val="auto"/>
                <w:highlight w:val="none"/>
              </w:rPr>
            </w:pPr>
          </w:p>
        </w:tc>
        <w:tc>
          <w:tcPr>
            <w:tcW w:w="803" w:type="dxa"/>
          </w:tcPr>
          <w:p w14:paraId="0651209B">
            <w:pPr>
              <w:pStyle w:val="214"/>
              <w:rPr>
                <w:rFonts w:hint="eastAsia"/>
                <w:color w:val="auto"/>
                <w:highlight w:val="none"/>
              </w:rPr>
            </w:pPr>
          </w:p>
        </w:tc>
        <w:tc>
          <w:tcPr>
            <w:tcW w:w="1015" w:type="dxa"/>
          </w:tcPr>
          <w:p w14:paraId="084256E3">
            <w:pPr>
              <w:pStyle w:val="214"/>
              <w:rPr>
                <w:rFonts w:hint="eastAsia"/>
                <w:color w:val="auto"/>
                <w:highlight w:val="none"/>
              </w:rPr>
            </w:pPr>
          </w:p>
        </w:tc>
        <w:tc>
          <w:tcPr>
            <w:tcW w:w="1006" w:type="dxa"/>
          </w:tcPr>
          <w:p w14:paraId="4CFCB7C3">
            <w:pPr>
              <w:pStyle w:val="214"/>
              <w:rPr>
                <w:rFonts w:hint="eastAsia"/>
                <w:color w:val="auto"/>
                <w:highlight w:val="none"/>
              </w:rPr>
            </w:pPr>
          </w:p>
        </w:tc>
        <w:tc>
          <w:tcPr>
            <w:tcW w:w="1123" w:type="dxa"/>
          </w:tcPr>
          <w:p w14:paraId="2F091B99">
            <w:pPr>
              <w:pStyle w:val="214"/>
              <w:rPr>
                <w:rFonts w:hint="eastAsia"/>
                <w:color w:val="auto"/>
                <w:highlight w:val="none"/>
              </w:rPr>
            </w:pPr>
          </w:p>
        </w:tc>
        <w:tc>
          <w:tcPr>
            <w:tcW w:w="970" w:type="dxa"/>
          </w:tcPr>
          <w:p w14:paraId="679DC195">
            <w:pPr>
              <w:pStyle w:val="214"/>
              <w:rPr>
                <w:rFonts w:hint="eastAsia"/>
                <w:color w:val="auto"/>
                <w:highlight w:val="none"/>
              </w:rPr>
            </w:pPr>
          </w:p>
        </w:tc>
        <w:tc>
          <w:tcPr>
            <w:tcW w:w="897" w:type="dxa"/>
          </w:tcPr>
          <w:p w14:paraId="09B322BF">
            <w:pPr>
              <w:pStyle w:val="214"/>
              <w:rPr>
                <w:rFonts w:hint="eastAsia"/>
                <w:color w:val="auto"/>
                <w:highlight w:val="none"/>
              </w:rPr>
            </w:pPr>
          </w:p>
        </w:tc>
        <w:tc>
          <w:tcPr>
            <w:tcW w:w="773" w:type="dxa"/>
          </w:tcPr>
          <w:p w14:paraId="709AFC06">
            <w:pPr>
              <w:pStyle w:val="214"/>
              <w:rPr>
                <w:rFonts w:hint="eastAsia"/>
                <w:color w:val="auto"/>
                <w:highlight w:val="none"/>
              </w:rPr>
            </w:pPr>
          </w:p>
        </w:tc>
        <w:tc>
          <w:tcPr>
            <w:tcW w:w="840" w:type="dxa"/>
            <w:tcBorders>
              <w:right w:val="single" w:color="000000" w:sz="12" w:space="0"/>
            </w:tcBorders>
          </w:tcPr>
          <w:p w14:paraId="391EBEEE">
            <w:pPr>
              <w:pStyle w:val="214"/>
              <w:rPr>
                <w:rFonts w:hint="eastAsia"/>
                <w:color w:val="auto"/>
                <w:highlight w:val="none"/>
              </w:rPr>
            </w:pPr>
          </w:p>
        </w:tc>
      </w:tr>
      <w:tr w14:paraId="5EDA2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3611AAD0">
            <w:pPr>
              <w:pStyle w:val="214"/>
              <w:rPr>
                <w:rFonts w:hint="eastAsia"/>
                <w:color w:val="auto"/>
                <w:highlight w:val="none"/>
              </w:rPr>
            </w:pPr>
          </w:p>
        </w:tc>
        <w:tc>
          <w:tcPr>
            <w:tcW w:w="788" w:type="dxa"/>
          </w:tcPr>
          <w:p w14:paraId="35C1490A">
            <w:pPr>
              <w:pStyle w:val="214"/>
              <w:rPr>
                <w:rFonts w:hint="eastAsia"/>
                <w:color w:val="auto"/>
                <w:highlight w:val="none"/>
              </w:rPr>
            </w:pPr>
          </w:p>
        </w:tc>
        <w:tc>
          <w:tcPr>
            <w:tcW w:w="1006" w:type="dxa"/>
          </w:tcPr>
          <w:p w14:paraId="71B1C2F2">
            <w:pPr>
              <w:pStyle w:val="214"/>
              <w:rPr>
                <w:rFonts w:hint="eastAsia"/>
                <w:color w:val="auto"/>
                <w:highlight w:val="none"/>
              </w:rPr>
            </w:pPr>
          </w:p>
        </w:tc>
        <w:tc>
          <w:tcPr>
            <w:tcW w:w="803" w:type="dxa"/>
          </w:tcPr>
          <w:p w14:paraId="1B0F6F80">
            <w:pPr>
              <w:pStyle w:val="214"/>
              <w:rPr>
                <w:rFonts w:hint="eastAsia"/>
                <w:color w:val="auto"/>
                <w:highlight w:val="none"/>
              </w:rPr>
            </w:pPr>
          </w:p>
        </w:tc>
        <w:tc>
          <w:tcPr>
            <w:tcW w:w="1015" w:type="dxa"/>
          </w:tcPr>
          <w:p w14:paraId="30390094">
            <w:pPr>
              <w:pStyle w:val="214"/>
              <w:rPr>
                <w:rFonts w:hint="eastAsia"/>
                <w:color w:val="auto"/>
                <w:highlight w:val="none"/>
              </w:rPr>
            </w:pPr>
          </w:p>
        </w:tc>
        <w:tc>
          <w:tcPr>
            <w:tcW w:w="1006" w:type="dxa"/>
          </w:tcPr>
          <w:p w14:paraId="3AE15D8D">
            <w:pPr>
              <w:pStyle w:val="214"/>
              <w:rPr>
                <w:rFonts w:hint="eastAsia"/>
                <w:color w:val="auto"/>
                <w:highlight w:val="none"/>
              </w:rPr>
            </w:pPr>
          </w:p>
        </w:tc>
        <w:tc>
          <w:tcPr>
            <w:tcW w:w="1123" w:type="dxa"/>
          </w:tcPr>
          <w:p w14:paraId="3C000715">
            <w:pPr>
              <w:pStyle w:val="214"/>
              <w:rPr>
                <w:rFonts w:hint="eastAsia"/>
                <w:color w:val="auto"/>
                <w:highlight w:val="none"/>
              </w:rPr>
            </w:pPr>
          </w:p>
        </w:tc>
        <w:tc>
          <w:tcPr>
            <w:tcW w:w="970" w:type="dxa"/>
          </w:tcPr>
          <w:p w14:paraId="1B44AF9D">
            <w:pPr>
              <w:pStyle w:val="214"/>
              <w:rPr>
                <w:rFonts w:hint="eastAsia"/>
                <w:color w:val="auto"/>
                <w:highlight w:val="none"/>
              </w:rPr>
            </w:pPr>
          </w:p>
        </w:tc>
        <w:tc>
          <w:tcPr>
            <w:tcW w:w="897" w:type="dxa"/>
          </w:tcPr>
          <w:p w14:paraId="36F5CACC">
            <w:pPr>
              <w:pStyle w:val="214"/>
              <w:rPr>
                <w:rFonts w:hint="eastAsia"/>
                <w:color w:val="auto"/>
                <w:highlight w:val="none"/>
              </w:rPr>
            </w:pPr>
          </w:p>
        </w:tc>
        <w:tc>
          <w:tcPr>
            <w:tcW w:w="773" w:type="dxa"/>
          </w:tcPr>
          <w:p w14:paraId="6237AA0C">
            <w:pPr>
              <w:pStyle w:val="214"/>
              <w:rPr>
                <w:rFonts w:hint="eastAsia"/>
                <w:color w:val="auto"/>
                <w:highlight w:val="none"/>
              </w:rPr>
            </w:pPr>
          </w:p>
        </w:tc>
        <w:tc>
          <w:tcPr>
            <w:tcW w:w="840" w:type="dxa"/>
            <w:tcBorders>
              <w:right w:val="single" w:color="000000" w:sz="12" w:space="0"/>
            </w:tcBorders>
          </w:tcPr>
          <w:p w14:paraId="4FD5CF67">
            <w:pPr>
              <w:pStyle w:val="214"/>
              <w:rPr>
                <w:rFonts w:hint="eastAsia"/>
                <w:color w:val="auto"/>
                <w:highlight w:val="none"/>
              </w:rPr>
            </w:pPr>
          </w:p>
        </w:tc>
      </w:tr>
      <w:tr w14:paraId="57E29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63" w:type="dxa"/>
            <w:tcBorders>
              <w:left w:val="single" w:color="000000" w:sz="12" w:space="0"/>
            </w:tcBorders>
          </w:tcPr>
          <w:p w14:paraId="0549CAF9">
            <w:pPr>
              <w:pStyle w:val="214"/>
              <w:rPr>
                <w:rFonts w:hint="eastAsia"/>
                <w:color w:val="auto"/>
                <w:highlight w:val="none"/>
              </w:rPr>
            </w:pPr>
          </w:p>
        </w:tc>
        <w:tc>
          <w:tcPr>
            <w:tcW w:w="788" w:type="dxa"/>
          </w:tcPr>
          <w:p w14:paraId="4A82E260">
            <w:pPr>
              <w:pStyle w:val="214"/>
              <w:rPr>
                <w:rFonts w:hint="eastAsia"/>
                <w:color w:val="auto"/>
                <w:highlight w:val="none"/>
              </w:rPr>
            </w:pPr>
          </w:p>
        </w:tc>
        <w:tc>
          <w:tcPr>
            <w:tcW w:w="1006" w:type="dxa"/>
          </w:tcPr>
          <w:p w14:paraId="2A35F995">
            <w:pPr>
              <w:pStyle w:val="214"/>
              <w:rPr>
                <w:rFonts w:hint="eastAsia"/>
                <w:color w:val="auto"/>
                <w:highlight w:val="none"/>
              </w:rPr>
            </w:pPr>
          </w:p>
        </w:tc>
        <w:tc>
          <w:tcPr>
            <w:tcW w:w="803" w:type="dxa"/>
          </w:tcPr>
          <w:p w14:paraId="16977BA9">
            <w:pPr>
              <w:pStyle w:val="214"/>
              <w:rPr>
                <w:rFonts w:hint="eastAsia"/>
                <w:color w:val="auto"/>
                <w:highlight w:val="none"/>
              </w:rPr>
            </w:pPr>
          </w:p>
        </w:tc>
        <w:tc>
          <w:tcPr>
            <w:tcW w:w="1015" w:type="dxa"/>
          </w:tcPr>
          <w:p w14:paraId="26EB32B9">
            <w:pPr>
              <w:pStyle w:val="214"/>
              <w:rPr>
                <w:rFonts w:hint="eastAsia"/>
                <w:color w:val="auto"/>
                <w:highlight w:val="none"/>
              </w:rPr>
            </w:pPr>
          </w:p>
        </w:tc>
        <w:tc>
          <w:tcPr>
            <w:tcW w:w="1006" w:type="dxa"/>
          </w:tcPr>
          <w:p w14:paraId="75F6403E">
            <w:pPr>
              <w:pStyle w:val="214"/>
              <w:rPr>
                <w:rFonts w:hint="eastAsia"/>
                <w:color w:val="auto"/>
                <w:highlight w:val="none"/>
              </w:rPr>
            </w:pPr>
          </w:p>
        </w:tc>
        <w:tc>
          <w:tcPr>
            <w:tcW w:w="1123" w:type="dxa"/>
          </w:tcPr>
          <w:p w14:paraId="100D60F7">
            <w:pPr>
              <w:pStyle w:val="214"/>
              <w:rPr>
                <w:rFonts w:hint="eastAsia"/>
                <w:color w:val="auto"/>
                <w:highlight w:val="none"/>
              </w:rPr>
            </w:pPr>
          </w:p>
        </w:tc>
        <w:tc>
          <w:tcPr>
            <w:tcW w:w="970" w:type="dxa"/>
          </w:tcPr>
          <w:p w14:paraId="6DB95F38">
            <w:pPr>
              <w:pStyle w:val="214"/>
              <w:rPr>
                <w:rFonts w:hint="eastAsia"/>
                <w:color w:val="auto"/>
                <w:highlight w:val="none"/>
              </w:rPr>
            </w:pPr>
          </w:p>
        </w:tc>
        <w:tc>
          <w:tcPr>
            <w:tcW w:w="897" w:type="dxa"/>
          </w:tcPr>
          <w:p w14:paraId="5A0DDF31">
            <w:pPr>
              <w:pStyle w:val="214"/>
              <w:rPr>
                <w:rFonts w:hint="eastAsia"/>
                <w:color w:val="auto"/>
                <w:highlight w:val="none"/>
              </w:rPr>
            </w:pPr>
          </w:p>
        </w:tc>
        <w:tc>
          <w:tcPr>
            <w:tcW w:w="773" w:type="dxa"/>
          </w:tcPr>
          <w:p w14:paraId="51D750CF">
            <w:pPr>
              <w:pStyle w:val="214"/>
              <w:rPr>
                <w:rFonts w:hint="eastAsia"/>
                <w:color w:val="auto"/>
                <w:highlight w:val="none"/>
              </w:rPr>
            </w:pPr>
          </w:p>
        </w:tc>
        <w:tc>
          <w:tcPr>
            <w:tcW w:w="840" w:type="dxa"/>
            <w:tcBorders>
              <w:right w:val="single" w:color="000000" w:sz="12" w:space="0"/>
            </w:tcBorders>
          </w:tcPr>
          <w:p w14:paraId="316B9070">
            <w:pPr>
              <w:pStyle w:val="214"/>
              <w:rPr>
                <w:rFonts w:hint="eastAsia"/>
                <w:color w:val="auto"/>
                <w:highlight w:val="none"/>
              </w:rPr>
            </w:pPr>
          </w:p>
        </w:tc>
      </w:tr>
      <w:tr w14:paraId="6BEEA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63" w:type="dxa"/>
            <w:tcBorders>
              <w:left w:val="single" w:color="000000" w:sz="12" w:space="0"/>
            </w:tcBorders>
          </w:tcPr>
          <w:p w14:paraId="57F117EF">
            <w:pPr>
              <w:pStyle w:val="214"/>
              <w:rPr>
                <w:rFonts w:hint="eastAsia"/>
                <w:color w:val="auto"/>
                <w:highlight w:val="none"/>
              </w:rPr>
            </w:pPr>
          </w:p>
        </w:tc>
        <w:tc>
          <w:tcPr>
            <w:tcW w:w="788" w:type="dxa"/>
          </w:tcPr>
          <w:p w14:paraId="408D53E2">
            <w:pPr>
              <w:pStyle w:val="214"/>
              <w:rPr>
                <w:rFonts w:hint="eastAsia"/>
                <w:color w:val="auto"/>
                <w:highlight w:val="none"/>
              </w:rPr>
            </w:pPr>
          </w:p>
        </w:tc>
        <w:tc>
          <w:tcPr>
            <w:tcW w:w="1006" w:type="dxa"/>
          </w:tcPr>
          <w:p w14:paraId="5358A8DB">
            <w:pPr>
              <w:pStyle w:val="214"/>
              <w:rPr>
                <w:rFonts w:hint="eastAsia"/>
                <w:color w:val="auto"/>
                <w:highlight w:val="none"/>
              </w:rPr>
            </w:pPr>
          </w:p>
        </w:tc>
        <w:tc>
          <w:tcPr>
            <w:tcW w:w="803" w:type="dxa"/>
          </w:tcPr>
          <w:p w14:paraId="042027B5">
            <w:pPr>
              <w:pStyle w:val="214"/>
              <w:rPr>
                <w:rFonts w:hint="eastAsia"/>
                <w:color w:val="auto"/>
                <w:highlight w:val="none"/>
              </w:rPr>
            </w:pPr>
          </w:p>
        </w:tc>
        <w:tc>
          <w:tcPr>
            <w:tcW w:w="1015" w:type="dxa"/>
          </w:tcPr>
          <w:p w14:paraId="00540D9A">
            <w:pPr>
              <w:pStyle w:val="214"/>
              <w:rPr>
                <w:rFonts w:hint="eastAsia"/>
                <w:color w:val="auto"/>
                <w:highlight w:val="none"/>
              </w:rPr>
            </w:pPr>
          </w:p>
        </w:tc>
        <w:tc>
          <w:tcPr>
            <w:tcW w:w="1006" w:type="dxa"/>
          </w:tcPr>
          <w:p w14:paraId="47459782">
            <w:pPr>
              <w:pStyle w:val="214"/>
              <w:rPr>
                <w:rFonts w:hint="eastAsia"/>
                <w:color w:val="auto"/>
                <w:highlight w:val="none"/>
              </w:rPr>
            </w:pPr>
          </w:p>
        </w:tc>
        <w:tc>
          <w:tcPr>
            <w:tcW w:w="1123" w:type="dxa"/>
          </w:tcPr>
          <w:p w14:paraId="5DC1568F">
            <w:pPr>
              <w:pStyle w:val="214"/>
              <w:rPr>
                <w:rFonts w:hint="eastAsia"/>
                <w:color w:val="auto"/>
                <w:highlight w:val="none"/>
              </w:rPr>
            </w:pPr>
          </w:p>
        </w:tc>
        <w:tc>
          <w:tcPr>
            <w:tcW w:w="970" w:type="dxa"/>
          </w:tcPr>
          <w:p w14:paraId="01E5BCE5">
            <w:pPr>
              <w:pStyle w:val="214"/>
              <w:rPr>
                <w:rFonts w:hint="eastAsia"/>
                <w:color w:val="auto"/>
                <w:highlight w:val="none"/>
              </w:rPr>
            </w:pPr>
          </w:p>
        </w:tc>
        <w:tc>
          <w:tcPr>
            <w:tcW w:w="897" w:type="dxa"/>
          </w:tcPr>
          <w:p w14:paraId="397CE657">
            <w:pPr>
              <w:pStyle w:val="214"/>
              <w:rPr>
                <w:rFonts w:hint="eastAsia"/>
                <w:color w:val="auto"/>
                <w:highlight w:val="none"/>
              </w:rPr>
            </w:pPr>
          </w:p>
        </w:tc>
        <w:tc>
          <w:tcPr>
            <w:tcW w:w="773" w:type="dxa"/>
          </w:tcPr>
          <w:p w14:paraId="41861369">
            <w:pPr>
              <w:pStyle w:val="214"/>
              <w:rPr>
                <w:rFonts w:hint="eastAsia"/>
                <w:color w:val="auto"/>
                <w:highlight w:val="none"/>
              </w:rPr>
            </w:pPr>
          </w:p>
        </w:tc>
        <w:tc>
          <w:tcPr>
            <w:tcW w:w="840" w:type="dxa"/>
            <w:tcBorders>
              <w:right w:val="single" w:color="000000" w:sz="12" w:space="0"/>
            </w:tcBorders>
          </w:tcPr>
          <w:p w14:paraId="688D95DF">
            <w:pPr>
              <w:pStyle w:val="214"/>
              <w:rPr>
                <w:rFonts w:hint="eastAsia"/>
                <w:color w:val="auto"/>
                <w:highlight w:val="none"/>
              </w:rPr>
            </w:pPr>
          </w:p>
        </w:tc>
      </w:tr>
      <w:tr w14:paraId="3A49D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63" w:type="dxa"/>
            <w:tcBorders>
              <w:left w:val="single" w:color="000000" w:sz="12" w:space="0"/>
              <w:bottom w:val="single" w:color="000000" w:sz="12" w:space="0"/>
            </w:tcBorders>
          </w:tcPr>
          <w:p w14:paraId="599B513C">
            <w:pPr>
              <w:pStyle w:val="214"/>
              <w:rPr>
                <w:rFonts w:hint="eastAsia"/>
                <w:color w:val="auto"/>
                <w:highlight w:val="none"/>
              </w:rPr>
            </w:pPr>
          </w:p>
        </w:tc>
        <w:tc>
          <w:tcPr>
            <w:tcW w:w="788" w:type="dxa"/>
            <w:tcBorders>
              <w:bottom w:val="single" w:color="000000" w:sz="12" w:space="0"/>
            </w:tcBorders>
          </w:tcPr>
          <w:p w14:paraId="7B476621">
            <w:pPr>
              <w:pStyle w:val="214"/>
              <w:rPr>
                <w:rFonts w:hint="eastAsia"/>
                <w:color w:val="auto"/>
                <w:highlight w:val="none"/>
              </w:rPr>
            </w:pPr>
          </w:p>
        </w:tc>
        <w:tc>
          <w:tcPr>
            <w:tcW w:w="1006" w:type="dxa"/>
            <w:tcBorders>
              <w:bottom w:val="single" w:color="000000" w:sz="12" w:space="0"/>
            </w:tcBorders>
          </w:tcPr>
          <w:p w14:paraId="7427DDA9">
            <w:pPr>
              <w:pStyle w:val="214"/>
              <w:rPr>
                <w:rFonts w:hint="eastAsia"/>
                <w:color w:val="auto"/>
                <w:highlight w:val="none"/>
              </w:rPr>
            </w:pPr>
          </w:p>
        </w:tc>
        <w:tc>
          <w:tcPr>
            <w:tcW w:w="803" w:type="dxa"/>
            <w:tcBorders>
              <w:bottom w:val="single" w:color="000000" w:sz="12" w:space="0"/>
            </w:tcBorders>
          </w:tcPr>
          <w:p w14:paraId="12B0C456">
            <w:pPr>
              <w:pStyle w:val="214"/>
              <w:rPr>
                <w:rFonts w:hint="eastAsia"/>
                <w:color w:val="auto"/>
                <w:highlight w:val="none"/>
              </w:rPr>
            </w:pPr>
          </w:p>
        </w:tc>
        <w:tc>
          <w:tcPr>
            <w:tcW w:w="1015" w:type="dxa"/>
            <w:tcBorders>
              <w:bottom w:val="single" w:color="000000" w:sz="12" w:space="0"/>
            </w:tcBorders>
          </w:tcPr>
          <w:p w14:paraId="16463A56">
            <w:pPr>
              <w:pStyle w:val="214"/>
              <w:rPr>
                <w:rFonts w:hint="eastAsia"/>
                <w:color w:val="auto"/>
                <w:highlight w:val="none"/>
              </w:rPr>
            </w:pPr>
          </w:p>
        </w:tc>
        <w:tc>
          <w:tcPr>
            <w:tcW w:w="1006" w:type="dxa"/>
            <w:tcBorders>
              <w:bottom w:val="single" w:color="000000" w:sz="12" w:space="0"/>
            </w:tcBorders>
          </w:tcPr>
          <w:p w14:paraId="2760B61F">
            <w:pPr>
              <w:pStyle w:val="214"/>
              <w:rPr>
                <w:rFonts w:hint="eastAsia"/>
                <w:color w:val="auto"/>
                <w:highlight w:val="none"/>
              </w:rPr>
            </w:pPr>
          </w:p>
        </w:tc>
        <w:tc>
          <w:tcPr>
            <w:tcW w:w="1123" w:type="dxa"/>
            <w:tcBorders>
              <w:bottom w:val="single" w:color="000000" w:sz="12" w:space="0"/>
            </w:tcBorders>
          </w:tcPr>
          <w:p w14:paraId="775229CC">
            <w:pPr>
              <w:pStyle w:val="214"/>
              <w:rPr>
                <w:rFonts w:hint="eastAsia"/>
                <w:color w:val="auto"/>
                <w:highlight w:val="none"/>
              </w:rPr>
            </w:pPr>
          </w:p>
        </w:tc>
        <w:tc>
          <w:tcPr>
            <w:tcW w:w="970" w:type="dxa"/>
            <w:tcBorders>
              <w:bottom w:val="single" w:color="000000" w:sz="12" w:space="0"/>
            </w:tcBorders>
          </w:tcPr>
          <w:p w14:paraId="0E4A0853">
            <w:pPr>
              <w:pStyle w:val="214"/>
              <w:rPr>
                <w:rFonts w:hint="eastAsia"/>
                <w:color w:val="auto"/>
                <w:highlight w:val="none"/>
              </w:rPr>
            </w:pPr>
          </w:p>
        </w:tc>
        <w:tc>
          <w:tcPr>
            <w:tcW w:w="897" w:type="dxa"/>
            <w:tcBorders>
              <w:bottom w:val="single" w:color="000000" w:sz="12" w:space="0"/>
            </w:tcBorders>
          </w:tcPr>
          <w:p w14:paraId="5C91DF9D">
            <w:pPr>
              <w:pStyle w:val="214"/>
              <w:rPr>
                <w:rFonts w:hint="eastAsia"/>
                <w:color w:val="auto"/>
                <w:highlight w:val="none"/>
              </w:rPr>
            </w:pPr>
          </w:p>
        </w:tc>
        <w:tc>
          <w:tcPr>
            <w:tcW w:w="773" w:type="dxa"/>
            <w:tcBorders>
              <w:bottom w:val="single" w:color="000000" w:sz="12" w:space="0"/>
            </w:tcBorders>
          </w:tcPr>
          <w:p w14:paraId="237D4D6A">
            <w:pPr>
              <w:pStyle w:val="214"/>
              <w:rPr>
                <w:rFonts w:hint="eastAsia"/>
                <w:color w:val="auto"/>
                <w:highlight w:val="none"/>
              </w:rPr>
            </w:pPr>
          </w:p>
        </w:tc>
        <w:tc>
          <w:tcPr>
            <w:tcW w:w="840" w:type="dxa"/>
            <w:tcBorders>
              <w:bottom w:val="single" w:color="000000" w:sz="12" w:space="0"/>
              <w:right w:val="single" w:color="000000" w:sz="12" w:space="0"/>
            </w:tcBorders>
          </w:tcPr>
          <w:p w14:paraId="598D716A">
            <w:pPr>
              <w:pStyle w:val="214"/>
              <w:rPr>
                <w:rFonts w:hint="eastAsia"/>
                <w:color w:val="auto"/>
                <w:highlight w:val="none"/>
              </w:rPr>
            </w:pPr>
          </w:p>
        </w:tc>
      </w:tr>
    </w:tbl>
    <w:p w14:paraId="410E1F63">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1F7FD65D">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r>
        <w:rPr>
          <w:rFonts w:hint="eastAsia" w:eastAsia="宋体"/>
          <w:color w:val="auto"/>
          <w:sz w:val="22"/>
          <w:highlight w:val="none"/>
          <w:u w:val="single"/>
        </w:rPr>
        <w:tab/>
      </w:r>
      <w:r>
        <w:rPr>
          <w:rFonts w:hint="eastAsia" w:eastAsia="宋体"/>
          <w:color w:val="auto"/>
          <w:sz w:val="22"/>
          <w:highlight w:val="none"/>
          <w:u w:val="single"/>
        </w:rPr>
        <w:t xml:space="preserve">  </w:t>
      </w:r>
      <w:r>
        <w:rPr>
          <w:rFonts w:hint="eastAsia" w:eastAsia="宋体"/>
          <w:color w:val="auto"/>
          <w:spacing w:val="-51"/>
          <w:sz w:val="22"/>
          <w:highlight w:val="none"/>
        </w:rPr>
        <w:t xml:space="preserve"> </w:t>
      </w:r>
    </w:p>
    <w:p w14:paraId="35825984">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p>
    <w:p w14:paraId="7CAF88BA">
      <w:pPr>
        <w:spacing w:before="68" w:line="223" w:lineRule="auto"/>
        <w:rPr>
          <w:rFonts w:hint="eastAsia" w:ascii="宋体" w:hAnsi="宋体" w:eastAsia="宋体" w:cs="宋体"/>
          <w:color w:val="auto"/>
          <w:spacing w:val="-6"/>
          <w:szCs w:val="21"/>
          <w:highlight w:val="none"/>
        </w:rPr>
        <w:sectPr>
          <w:footerReference r:id="rId10" w:type="default"/>
          <w:pgSz w:w="11906" w:h="16838"/>
          <w:pgMar w:top="1134" w:right="1134" w:bottom="1134" w:left="1134" w:header="851" w:footer="850" w:gutter="0"/>
          <w:cols w:space="720" w:num="1"/>
          <w:docGrid w:linePitch="312" w:charSpace="0"/>
        </w:sectPr>
      </w:pPr>
    </w:p>
    <w:p w14:paraId="492CDA00">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w:t>
      </w:r>
      <w:r>
        <w:rPr>
          <w:rFonts w:hint="eastAsia" w:ascii="宋体" w:hAnsi="宋体" w:eastAsia="宋体" w:cs="宋体"/>
          <w:color w:val="auto"/>
          <w:spacing w:val="-44"/>
          <w:szCs w:val="21"/>
          <w:highlight w:val="none"/>
        </w:rPr>
        <w:t xml:space="preserve"> </w:t>
      </w:r>
      <w:r>
        <w:rPr>
          <w:rFonts w:hint="eastAsia" w:ascii="宋体" w:hAnsi="宋体" w:eastAsia="宋体" w:cs="宋体"/>
          <w:color w:val="auto"/>
          <w:spacing w:val="-6"/>
          <w:szCs w:val="21"/>
          <w:highlight w:val="none"/>
        </w:rPr>
        <w:t>3</w:t>
      </w:r>
    </w:p>
    <w:p w14:paraId="49395B99">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蛋奶类供货及验收清单</w:t>
      </w:r>
    </w:p>
    <w:tbl>
      <w:tblPr>
        <w:tblStyle w:val="215"/>
        <w:tblW w:w="984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665"/>
        <w:gridCol w:w="871"/>
        <w:gridCol w:w="617"/>
        <w:gridCol w:w="732"/>
        <w:gridCol w:w="1017"/>
        <w:gridCol w:w="798"/>
        <w:gridCol w:w="1060"/>
        <w:gridCol w:w="852"/>
        <w:gridCol w:w="1016"/>
        <w:gridCol w:w="826"/>
        <w:gridCol w:w="803"/>
      </w:tblGrid>
      <w:tr w14:paraId="4938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90" w:type="dxa"/>
            <w:tcBorders>
              <w:top w:val="single" w:color="000000" w:sz="12" w:space="0"/>
              <w:left w:val="single" w:color="000000" w:sz="12" w:space="0"/>
            </w:tcBorders>
          </w:tcPr>
          <w:p w14:paraId="1B851F49">
            <w:pPr>
              <w:spacing w:before="183" w:line="223" w:lineRule="auto"/>
              <w:ind w:left="10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665" w:type="dxa"/>
            <w:tcBorders>
              <w:top w:val="single" w:color="000000" w:sz="12" w:space="0"/>
            </w:tcBorders>
          </w:tcPr>
          <w:p w14:paraId="0891897A">
            <w:pPr>
              <w:spacing w:before="184" w:line="222" w:lineRule="auto"/>
              <w:ind w:left="151"/>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品名</w:t>
            </w:r>
          </w:p>
        </w:tc>
        <w:tc>
          <w:tcPr>
            <w:tcW w:w="871" w:type="dxa"/>
            <w:tcBorders>
              <w:top w:val="single" w:color="000000" w:sz="12" w:space="0"/>
            </w:tcBorders>
          </w:tcPr>
          <w:p w14:paraId="32B7E20E">
            <w:pPr>
              <w:spacing w:before="62" w:line="238" w:lineRule="auto"/>
              <w:ind w:left="234" w:right="253" w:firstLine="1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数量</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w:t>
            </w:r>
          </w:p>
        </w:tc>
        <w:tc>
          <w:tcPr>
            <w:tcW w:w="617" w:type="dxa"/>
            <w:tcBorders>
              <w:top w:val="single" w:color="000000" w:sz="12" w:space="0"/>
            </w:tcBorders>
          </w:tcPr>
          <w:p w14:paraId="6D6C5AE5">
            <w:pPr>
              <w:spacing w:before="183" w:line="223" w:lineRule="auto"/>
              <w:ind w:left="12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产地</w:t>
            </w:r>
          </w:p>
        </w:tc>
        <w:tc>
          <w:tcPr>
            <w:tcW w:w="732" w:type="dxa"/>
            <w:tcBorders>
              <w:top w:val="single" w:color="000000" w:sz="12" w:space="0"/>
            </w:tcBorders>
          </w:tcPr>
          <w:p w14:paraId="043018DB">
            <w:pPr>
              <w:spacing w:before="184" w:line="222" w:lineRule="auto"/>
              <w:ind w:left="191"/>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品牌</w:t>
            </w:r>
          </w:p>
        </w:tc>
        <w:tc>
          <w:tcPr>
            <w:tcW w:w="1017" w:type="dxa"/>
            <w:tcBorders>
              <w:top w:val="single" w:color="000000" w:sz="12" w:space="0"/>
            </w:tcBorders>
          </w:tcPr>
          <w:p w14:paraId="42504C3F">
            <w:pPr>
              <w:spacing w:before="184" w:line="219" w:lineRule="auto"/>
              <w:ind w:left="147"/>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执行标准</w:t>
            </w:r>
          </w:p>
        </w:tc>
        <w:tc>
          <w:tcPr>
            <w:tcW w:w="798" w:type="dxa"/>
            <w:tcBorders>
              <w:top w:val="single" w:color="000000" w:sz="12" w:space="0"/>
            </w:tcBorders>
          </w:tcPr>
          <w:p w14:paraId="2BA04F38">
            <w:pPr>
              <w:spacing w:before="183" w:line="222" w:lineRule="auto"/>
              <w:ind w:left="129"/>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生产商</w:t>
            </w:r>
          </w:p>
        </w:tc>
        <w:tc>
          <w:tcPr>
            <w:tcW w:w="1060" w:type="dxa"/>
            <w:tcBorders>
              <w:top w:val="single" w:color="000000" w:sz="12" w:space="0"/>
            </w:tcBorders>
          </w:tcPr>
          <w:p w14:paraId="7D046F32">
            <w:pPr>
              <w:spacing w:before="64" w:line="234" w:lineRule="auto"/>
              <w:ind w:left="264" w:right="162" w:hanging="9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包装标准</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及要求</w:t>
            </w:r>
          </w:p>
        </w:tc>
        <w:tc>
          <w:tcPr>
            <w:tcW w:w="852" w:type="dxa"/>
            <w:tcBorders>
              <w:top w:val="single" w:color="000000" w:sz="12" w:space="0"/>
            </w:tcBorders>
          </w:tcPr>
          <w:p w14:paraId="4401DA97">
            <w:pPr>
              <w:spacing w:before="62" w:line="235" w:lineRule="auto"/>
              <w:ind w:left="165" w:right="145"/>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运输保</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3"/>
                <w:sz w:val="18"/>
                <w:szCs w:val="18"/>
                <w:highlight w:val="none"/>
              </w:rPr>
              <w:t>管条件</w:t>
            </w:r>
          </w:p>
        </w:tc>
        <w:tc>
          <w:tcPr>
            <w:tcW w:w="1016" w:type="dxa"/>
            <w:tcBorders>
              <w:top w:val="single" w:color="000000" w:sz="12" w:space="0"/>
            </w:tcBorders>
          </w:tcPr>
          <w:p w14:paraId="2B750B50">
            <w:pPr>
              <w:spacing w:before="62" w:line="235" w:lineRule="auto"/>
              <w:ind w:left="248" w:right="225" w:firstLine="87"/>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产品</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合格证</w:t>
            </w:r>
          </w:p>
        </w:tc>
        <w:tc>
          <w:tcPr>
            <w:tcW w:w="826" w:type="dxa"/>
            <w:tcBorders>
              <w:top w:val="single" w:color="000000" w:sz="12" w:space="0"/>
            </w:tcBorders>
          </w:tcPr>
          <w:p w14:paraId="2DE7CB34">
            <w:pPr>
              <w:spacing w:before="63" w:line="235" w:lineRule="auto"/>
              <w:ind w:left="167" w:right="145" w:firstLine="82"/>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单价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c>
          <w:tcPr>
            <w:tcW w:w="803" w:type="dxa"/>
            <w:tcBorders>
              <w:top w:val="single" w:color="000000" w:sz="12" w:space="0"/>
              <w:right w:val="single" w:color="000000" w:sz="12" w:space="0"/>
            </w:tcBorders>
          </w:tcPr>
          <w:p w14:paraId="0F60FA04">
            <w:pPr>
              <w:spacing w:before="63" w:line="235" w:lineRule="auto"/>
              <w:ind w:left="151" w:right="128" w:firstLine="81"/>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总价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r>
      <w:tr w14:paraId="312DF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747169AA">
            <w:pPr>
              <w:pStyle w:val="214"/>
              <w:rPr>
                <w:rFonts w:hint="eastAsia"/>
                <w:color w:val="auto"/>
                <w:highlight w:val="none"/>
              </w:rPr>
            </w:pPr>
          </w:p>
        </w:tc>
        <w:tc>
          <w:tcPr>
            <w:tcW w:w="665" w:type="dxa"/>
          </w:tcPr>
          <w:p w14:paraId="362B2C2E">
            <w:pPr>
              <w:pStyle w:val="214"/>
              <w:rPr>
                <w:rFonts w:hint="eastAsia"/>
                <w:color w:val="auto"/>
                <w:highlight w:val="none"/>
              </w:rPr>
            </w:pPr>
          </w:p>
        </w:tc>
        <w:tc>
          <w:tcPr>
            <w:tcW w:w="871" w:type="dxa"/>
          </w:tcPr>
          <w:p w14:paraId="04FE1AED">
            <w:pPr>
              <w:pStyle w:val="214"/>
              <w:rPr>
                <w:rFonts w:hint="eastAsia"/>
                <w:color w:val="auto"/>
                <w:highlight w:val="none"/>
              </w:rPr>
            </w:pPr>
          </w:p>
        </w:tc>
        <w:tc>
          <w:tcPr>
            <w:tcW w:w="617" w:type="dxa"/>
          </w:tcPr>
          <w:p w14:paraId="35A2223D">
            <w:pPr>
              <w:pStyle w:val="214"/>
              <w:rPr>
                <w:rFonts w:hint="eastAsia"/>
                <w:color w:val="auto"/>
                <w:highlight w:val="none"/>
              </w:rPr>
            </w:pPr>
          </w:p>
        </w:tc>
        <w:tc>
          <w:tcPr>
            <w:tcW w:w="732" w:type="dxa"/>
          </w:tcPr>
          <w:p w14:paraId="32487CB4">
            <w:pPr>
              <w:pStyle w:val="214"/>
              <w:rPr>
                <w:rFonts w:hint="eastAsia"/>
                <w:color w:val="auto"/>
                <w:highlight w:val="none"/>
              </w:rPr>
            </w:pPr>
          </w:p>
        </w:tc>
        <w:tc>
          <w:tcPr>
            <w:tcW w:w="1017" w:type="dxa"/>
          </w:tcPr>
          <w:p w14:paraId="5C2A5EB5">
            <w:pPr>
              <w:pStyle w:val="214"/>
              <w:rPr>
                <w:rFonts w:hint="eastAsia"/>
                <w:color w:val="auto"/>
                <w:highlight w:val="none"/>
              </w:rPr>
            </w:pPr>
          </w:p>
        </w:tc>
        <w:tc>
          <w:tcPr>
            <w:tcW w:w="798" w:type="dxa"/>
          </w:tcPr>
          <w:p w14:paraId="0A93F68F">
            <w:pPr>
              <w:pStyle w:val="214"/>
              <w:rPr>
                <w:rFonts w:hint="eastAsia"/>
                <w:color w:val="auto"/>
                <w:highlight w:val="none"/>
              </w:rPr>
            </w:pPr>
          </w:p>
        </w:tc>
        <w:tc>
          <w:tcPr>
            <w:tcW w:w="1060" w:type="dxa"/>
          </w:tcPr>
          <w:p w14:paraId="727F6FAE">
            <w:pPr>
              <w:pStyle w:val="214"/>
              <w:rPr>
                <w:rFonts w:hint="eastAsia"/>
                <w:color w:val="auto"/>
                <w:highlight w:val="none"/>
              </w:rPr>
            </w:pPr>
          </w:p>
        </w:tc>
        <w:tc>
          <w:tcPr>
            <w:tcW w:w="852" w:type="dxa"/>
          </w:tcPr>
          <w:p w14:paraId="2C9958EC">
            <w:pPr>
              <w:pStyle w:val="214"/>
              <w:rPr>
                <w:rFonts w:hint="eastAsia"/>
                <w:color w:val="auto"/>
                <w:highlight w:val="none"/>
              </w:rPr>
            </w:pPr>
          </w:p>
        </w:tc>
        <w:tc>
          <w:tcPr>
            <w:tcW w:w="1016" w:type="dxa"/>
          </w:tcPr>
          <w:p w14:paraId="24C8D2B5">
            <w:pPr>
              <w:pStyle w:val="214"/>
              <w:rPr>
                <w:rFonts w:hint="eastAsia"/>
                <w:color w:val="auto"/>
                <w:highlight w:val="none"/>
              </w:rPr>
            </w:pPr>
          </w:p>
        </w:tc>
        <w:tc>
          <w:tcPr>
            <w:tcW w:w="826" w:type="dxa"/>
          </w:tcPr>
          <w:p w14:paraId="6E059CF1">
            <w:pPr>
              <w:pStyle w:val="214"/>
              <w:rPr>
                <w:rFonts w:hint="eastAsia"/>
                <w:color w:val="auto"/>
                <w:highlight w:val="none"/>
              </w:rPr>
            </w:pPr>
          </w:p>
        </w:tc>
        <w:tc>
          <w:tcPr>
            <w:tcW w:w="803" w:type="dxa"/>
            <w:tcBorders>
              <w:right w:val="single" w:color="000000" w:sz="12" w:space="0"/>
            </w:tcBorders>
          </w:tcPr>
          <w:p w14:paraId="2DA7FFEE">
            <w:pPr>
              <w:pStyle w:val="214"/>
              <w:rPr>
                <w:rFonts w:hint="eastAsia"/>
                <w:color w:val="auto"/>
                <w:highlight w:val="none"/>
              </w:rPr>
            </w:pPr>
          </w:p>
        </w:tc>
      </w:tr>
      <w:tr w14:paraId="2B05A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124A688D">
            <w:pPr>
              <w:pStyle w:val="214"/>
              <w:rPr>
                <w:rFonts w:hint="eastAsia"/>
                <w:color w:val="auto"/>
                <w:highlight w:val="none"/>
              </w:rPr>
            </w:pPr>
          </w:p>
        </w:tc>
        <w:tc>
          <w:tcPr>
            <w:tcW w:w="665" w:type="dxa"/>
          </w:tcPr>
          <w:p w14:paraId="5BE72C4D">
            <w:pPr>
              <w:pStyle w:val="214"/>
              <w:rPr>
                <w:rFonts w:hint="eastAsia"/>
                <w:color w:val="auto"/>
                <w:highlight w:val="none"/>
              </w:rPr>
            </w:pPr>
          </w:p>
        </w:tc>
        <w:tc>
          <w:tcPr>
            <w:tcW w:w="871" w:type="dxa"/>
          </w:tcPr>
          <w:p w14:paraId="767EA1B9">
            <w:pPr>
              <w:pStyle w:val="214"/>
              <w:rPr>
                <w:rFonts w:hint="eastAsia"/>
                <w:color w:val="auto"/>
                <w:highlight w:val="none"/>
              </w:rPr>
            </w:pPr>
          </w:p>
        </w:tc>
        <w:tc>
          <w:tcPr>
            <w:tcW w:w="617" w:type="dxa"/>
          </w:tcPr>
          <w:p w14:paraId="67E1E015">
            <w:pPr>
              <w:pStyle w:val="214"/>
              <w:rPr>
                <w:rFonts w:hint="eastAsia"/>
                <w:color w:val="auto"/>
                <w:highlight w:val="none"/>
              </w:rPr>
            </w:pPr>
          </w:p>
        </w:tc>
        <w:tc>
          <w:tcPr>
            <w:tcW w:w="732" w:type="dxa"/>
          </w:tcPr>
          <w:p w14:paraId="0D1C00C6">
            <w:pPr>
              <w:pStyle w:val="214"/>
              <w:rPr>
                <w:rFonts w:hint="eastAsia"/>
                <w:color w:val="auto"/>
                <w:highlight w:val="none"/>
              </w:rPr>
            </w:pPr>
          </w:p>
        </w:tc>
        <w:tc>
          <w:tcPr>
            <w:tcW w:w="1017" w:type="dxa"/>
          </w:tcPr>
          <w:p w14:paraId="7E3DA300">
            <w:pPr>
              <w:pStyle w:val="214"/>
              <w:rPr>
                <w:rFonts w:hint="eastAsia"/>
                <w:color w:val="auto"/>
                <w:highlight w:val="none"/>
              </w:rPr>
            </w:pPr>
          </w:p>
        </w:tc>
        <w:tc>
          <w:tcPr>
            <w:tcW w:w="798" w:type="dxa"/>
          </w:tcPr>
          <w:p w14:paraId="162D4DF9">
            <w:pPr>
              <w:pStyle w:val="214"/>
              <w:rPr>
                <w:rFonts w:hint="eastAsia"/>
                <w:color w:val="auto"/>
                <w:highlight w:val="none"/>
              </w:rPr>
            </w:pPr>
          </w:p>
        </w:tc>
        <w:tc>
          <w:tcPr>
            <w:tcW w:w="1060" w:type="dxa"/>
          </w:tcPr>
          <w:p w14:paraId="53F68E1F">
            <w:pPr>
              <w:pStyle w:val="214"/>
              <w:rPr>
                <w:rFonts w:hint="eastAsia"/>
                <w:color w:val="auto"/>
                <w:highlight w:val="none"/>
              </w:rPr>
            </w:pPr>
          </w:p>
        </w:tc>
        <w:tc>
          <w:tcPr>
            <w:tcW w:w="852" w:type="dxa"/>
          </w:tcPr>
          <w:p w14:paraId="704D098C">
            <w:pPr>
              <w:pStyle w:val="214"/>
              <w:rPr>
                <w:rFonts w:hint="eastAsia"/>
                <w:color w:val="auto"/>
                <w:highlight w:val="none"/>
              </w:rPr>
            </w:pPr>
          </w:p>
        </w:tc>
        <w:tc>
          <w:tcPr>
            <w:tcW w:w="1016" w:type="dxa"/>
          </w:tcPr>
          <w:p w14:paraId="78137261">
            <w:pPr>
              <w:pStyle w:val="214"/>
              <w:rPr>
                <w:rFonts w:hint="eastAsia"/>
                <w:color w:val="auto"/>
                <w:highlight w:val="none"/>
              </w:rPr>
            </w:pPr>
          </w:p>
        </w:tc>
        <w:tc>
          <w:tcPr>
            <w:tcW w:w="826" w:type="dxa"/>
          </w:tcPr>
          <w:p w14:paraId="29CC5FF4">
            <w:pPr>
              <w:pStyle w:val="214"/>
              <w:rPr>
                <w:rFonts w:hint="eastAsia"/>
                <w:color w:val="auto"/>
                <w:highlight w:val="none"/>
              </w:rPr>
            </w:pPr>
          </w:p>
        </w:tc>
        <w:tc>
          <w:tcPr>
            <w:tcW w:w="803" w:type="dxa"/>
            <w:tcBorders>
              <w:right w:val="single" w:color="000000" w:sz="12" w:space="0"/>
            </w:tcBorders>
          </w:tcPr>
          <w:p w14:paraId="379A11A5">
            <w:pPr>
              <w:pStyle w:val="214"/>
              <w:rPr>
                <w:rFonts w:hint="eastAsia"/>
                <w:color w:val="auto"/>
                <w:highlight w:val="none"/>
              </w:rPr>
            </w:pPr>
          </w:p>
        </w:tc>
      </w:tr>
      <w:tr w14:paraId="72D23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6F67AB9E">
            <w:pPr>
              <w:pStyle w:val="214"/>
              <w:rPr>
                <w:rFonts w:hint="eastAsia"/>
                <w:color w:val="auto"/>
                <w:highlight w:val="none"/>
              </w:rPr>
            </w:pPr>
          </w:p>
        </w:tc>
        <w:tc>
          <w:tcPr>
            <w:tcW w:w="665" w:type="dxa"/>
          </w:tcPr>
          <w:p w14:paraId="6F2C7162">
            <w:pPr>
              <w:pStyle w:val="214"/>
              <w:rPr>
                <w:rFonts w:hint="eastAsia"/>
                <w:color w:val="auto"/>
                <w:highlight w:val="none"/>
              </w:rPr>
            </w:pPr>
          </w:p>
        </w:tc>
        <w:tc>
          <w:tcPr>
            <w:tcW w:w="871" w:type="dxa"/>
          </w:tcPr>
          <w:p w14:paraId="4767685A">
            <w:pPr>
              <w:pStyle w:val="214"/>
              <w:rPr>
                <w:rFonts w:hint="eastAsia"/>
                <w:color w:val="auto"/>
                <w:highlight w:val="none"/>
              </w:rPr>
            </w:pPr>
          </w:p>
        </w:tc>
        <w:tc>
          <w:tcPr>
            <w:tcW w:w="617" w:type="dxa"/>
          </w:tcPr>
          <w:p w14:paraId="15AC1111">
            <w:pPr>
              <w:pStyle w:val="214"/>
              <w:rPr>
                <w:rFonts w:hint="eastAsia"/>
                <w:color w:val="auto"/>
                <w:highlight w:val="none"/>
              </w:rPr>
            </w:pPr>
          </w:p>
        </w:tc>
        <w:tc>
          <w:tcPr>
            <w:tcW w:w="732" w:type="dxa"/>
          </w:tcPr>
          <w:p w14:paraId="11811BE4">
            <w:pPr>
              <w:pStyle w:val="214"/>
              <w:rPr>
                <w:rFonts w:hint="eastAsia"/>
                <w:color w:val="auto"/>
                <w:highlight w:val="none"/>
              </w:rPr>
            </w:pPr>
          </w:p>
        </w:tc>
        <w:tc>
          <w:tcPr>
            <w:tcW w:w="1017" w:type="dxa"/>
          </w:tcPr>
          <w:p w14:paraId="3CF01560">
            <w:pPr>
              <w:pStyle w:val="214"/>
              <w:rPr>
                <w:rFonts w:hint="eastAsia"/>
                <w:color w:val="auto"/>
                <w:highlight w:val="none"/>
              </w:rPr>
            </w:pPr>
          </w:p>
        </w:tc>
        <w:tc>
          <w:tcPr>
            <w:tcW w:w="798" w:type="dxa"/>
          </w:tcPr>
          <w:p w14:paraId="2937CB59">
            <w:pPr>
              <w:pStyle w:val="214"/>
              <w:rPr>
                <w:rFonts w:hint="eastAsia"/>
                <w:color w:val="auto"/>
                <w:highlight w:val="none"/>
              </w:rPr>
            </w:pPr>
          </w:p>
        </w:tc>
        <w:tc>
          <w:tcPr>
            <w:tcW w:w="1060" w:type="dxa"/>
          </w:tcPr>
          <w:p w14:paraId="73ADC5C4">
            <w:pPr>
              <w:pStyle w:val="214"/>
              <w:rPr>
                <w:rFonts w:hint="eastAsia"/>
                <w:color w:val="auto"/>
                <w:highlight w:val="none"/>
              </w:rPr>
            </w:pPr>
          </w:p>
        </w:tc>
        <w:tc>
          <w:tcPr>
            <w:tcW w:w="852" w:type="dxa"/>
          </w:tcPr>
          <w:p w14:paraId="72A3DE1F">
            <w:pPr>
              <w:pStyle w:val="214"/>
              <w:rPr>
                <w:rFonts w:hint="eastAsia"/>
                <w:color w:val="auto"/>
                <w:highlight w:val="none"/>
              </w:rPr>
            </w:pPr>
          </w:p>
        </w:tc>
        <w:tc>
          <w:tcPr>
            <w:tcW w:w="1016" w:type="dxa"/>
          </w:tcPr>
          <w:p w14:paraId="73319649">
            <w:pPr>
              <w:pStyle w:val="214"/>
              <w:rPr>
                <w:rFonts w:hint="eastAsia"/>
                <w:color w:val="auto"/>
                <w:highlight w:val="none"/>
              </w:rPr>
            </w:pPr>
          </w:p>
        </w:tc>
        <w:tc>
          <w:tcPr>
            <w:tcW w:w="826" w:type="dxa"/>
          </w:tcPr>
          <w:p w14:paraId="3BF8A696">
            <w:pPr>
              <w:pStyle w:val="214"/>
              <w:rPr>
                <w:rFonts w:hint="eastAsia"/>
                <w:color w:val="auto"/>
                <w:highlight w:val="none"/>
              </w:rPr>
            </w:pPr>
          </w:p>
        </w:tc>
        <w:tc>
          <w:tcPr>
            <w:tcW w:w="803" w:type="dxa"/>
            <w:tcBorders>
              <w:right w:val="single" w:color="000000" w:sz="12" w:space="0"/>
            </w:tcBorders>
          </w:tcPr>
          <w:p w14:paraId="3226630E">
            <w:pPr>
              <w:pStyle w:val="214"/>
              <w:rPr>
                <w:rFonts w:hint="eastAsia"/>
                <w:color w:val="auto"/>
                <w:highlight w:val="none"/>
              </w:rPr>
            </w:pPr>
          </w:p>
        </w:tc>
      </w:tr>
      <w:tr w14:paraId="542BA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777E1579">
            <w:pPr>
              <w:pStyle w:val="214"/>
              <w:rPr>
                <w:rFonts w:hint="eastAsia"/>
                <w:color w:val="auto"/>
                <w:highlight w:val="none"/>
              </w:rPr>
            </w:pPr>
          </w:p>
        </w:tc>
        <w:tc>
          <w:tcPr>
            <w:tcW w:w="665" w:type="dxa"/>
          </w:tcPr>
          <w:p w14:paraId="48DABCFE">
            <w:pPr>
              <w:pStyle w:val="214"/>
              <w:rPr>
                <w:rFonts w:hint="eastAsia"/>
                <w:color w:val="auto"/>
                <w:highlight w:val="none"/>
              </w:rPr>
            </w:pPr>
          </w:p>
        </w:tc>
        <w:tc>
          <w:tcPr>
            <w:tcW w:w="871" w:type="dxa"/>
          </w:tcPr>
          <w:p w14:paraId="089F37F4">
            <w:pPr>
              <w:pStyle w:val="214"/>
              <w:rPr>
                <w:rFonts w:hint="eastAsia"/>
                <w:color w:val="auto"/>
                <w:highlight w:val="none"/>
              </w:rPr>
            </w:pPr>
          </w:p>
        </w:tc>
        <w:tc>
          <w:tcPr>
            <w:tcW w:w="617" w:type="dxa"/>
          </w:tcPr>
          <w:p w14:paraId="2DB48A18">
            <w:pPr>
              <w:pStyle w:val="214"/>
              <w:rPr>
                <w:rFonts w:hint="eastAsia"/>
                <w:color w:val="auto"/>
                <w:highlight w:val="none"/>
              </w:rPr>
            </w:pPr>
          </w:p>
        </w:tc>
        <w:tc>
          <w:tcPr>
            <w:tcW w:w="732" w:type="dxa"/>
          </w:tcPr>
          <w:p w14:paraId="1A790974">
            <w:pPr>
              <w:pStyle w:val="214"/>
              <w:rPr>
                <w:rFonts w:hint="eastAsia"/>
                <w:color w:val="auto"/>
                <w:highlight w:val="none"/>
              </w:rPr>
            </w:pPr>
          </w:p>
        </w:tc>
        <w:tc>
          <w:tcPr>
            <w:tcW w:w="1017" w:type="dxa"/>
          </w:tcPr>
          <w:p w14:paraId="12BC6A45">
            <w:pPr>
              <w:pStyle w:val="214"/>
              <w:rPr>
                <w:rFonts w:hint="eastAsia"/>
                <w:color w:val="auto"/>
                <w:highlight w:val="none"/>
              </w:rPr>
            </w:pPr>
          </w:p>
        </w:tc>
        <w:tc>
          <w:tcPr>
            <w:tcW w:w="798" w:type="dxa"/>
          </w:tcPr>
          <w:p w14:paraId="738BA56F">
            <w:pPr>
              <w:pStyle w:val="214"/>
              <w:rPr>
                <w:rFonts w:hint="eastAsia"/>
                <w:color w:val="auto"/>
                <w:highlight w:val="none"/>
              </w:rPr>
            </w:pPr>
          </w:p>
        </w:tc>
        <w:tc>
          <w:tcPr>
            <w:tcW w:w="1060" w:type="dxa"/>
          </w:tcPr>
          <w:p w14:paraId="0478B423">
            <w:pPr>
              <w:pStyle w:val="214"/>
              <w:rPr>
                <w:rFonts w:hint="eastAsia"/>
                <w:color w:val="auto"/>
                <w:highlight w:val="none"/>
              </w:rPr>
            </w:pPr>
          </w:p>
        </w:tc>
        <w:tc>
          <w:tcPr>
            <w:tcW w:w="852" w:type="dxa"/>
          </w:tcPr>
          <w:p w14:paraId="60E089BF">
            <w:pPr>
              <w:pStyle w:val="214"/>
              <w:rPr>
                <w:rFonts w:hint="eastAsia"/>
                <w:color w:val="auto"/>
                <w:highlight w:val="none"/>
              </w:rPr>
            </w:pPr>
          </w:p>
        </w:tc>
        <w:tc>
          <w:tcPr>
            <w:tcW w:w="1016" w:type="dxa"/>
          </w:tcPr>
          <w:p w14:paraId="7E1CF6C3">
            <w:pPr>
              <w:pStyle w:val="214"/>
              <w:rPr>
                <w:rFonts w:hint="eastAsia"/>
                <w:color w:val="auto"/>
                <w:highlight w:val="none"/>
              </w:rPr>
            </w:pPr>
          </w:p>
        </w:tc>
        <w:tc>
          <w:tcPr>
            <w:tcW w:w="826" w:type="dxa"/>
          </w:tcPr>
          <w:p w14:paraId="21C3A40E">
            <w:pPr>
              <w:pStyle w:val="214"/>
              <w:rPr>
                <w:rFonts w:hint="eastAsia"/>
                <w:color w:val="auto"/>
                <w:highlight w:val="none"/>
              </w:rPr>
            </w:pPr>
          </w:p>
        </w:tc>
        <w:tc>
          <w:tcPr>
            <w:tcW w:w="803" w:type="dxa"/>
            <w:tcBorders>
              <w:right w:val="single" w:color="000000" w:sz="12" w:space="0"/>
            </w:tcBorders>
          </w:tcPr>
          <w:p w14:paraId="2E7D765B">
            <w:pPr>
              <w:pStyle w:val="214"/>
              <w:rPr>
                <w:rFonts w:hint="eastAsia"/>
                <w:color w:val="auto"/>
                <w:highlight w:val="none"/>
              </w:rPr>
            </w:pPr>
          </w:p>
        </w:tc>
      </w:tr>
      <w:tr w14:paraId="35603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52DC4D4B">
            <w:pPr>
              <w:pStyle w:val="214"/>
              <w:rPr>
                <w:rFonts w:hint="eastAsia"/>
                <w:color w:val="auto"/>
                <w:highlight w:val="none"/>
              </w:rPr>
            </w:pPr>
          </w:p>
        </w:tc>
        <w:tc>
          <w:tcPr>
            <w:tcW w:w="665" w:type="dxa"/>
          </w:tcPr>
          <w:p w14:paraId="0D7D3C44">
            <w:pPr>
              <w:pStyle w:val="214"/>
              <w:rPr>
                <w:rFonts w:hint="eastAsia"/>
                <w:color w:val="auto"/>
                <w:highlight w:val="none"/>
              </w:rPr>
            </w:pPr>
          </w:p>
        </w:tc>
        <w:tc>
          <w:tcPr>
            <w:tcW w:w="871" w:type="dxa"/>
          </w:tcPr>
          <w:p w14:paraId="672A3037">
            <w:pPr>
              <w:pStyle w:val="214"/>
              <w:rPr>
                <w:rFonts w:hint="eastAsia"/>
                <w:color w:val="auto"/>
                <w:highlight w:val="none"/>
              </w:rPr>
            </w:pPr>
          </w:p>
        </w:tc>
        <w:tc>
          <w:tcPr>
            <w:tcW w:w="617" w:type="dxa"/>
          </w:tcPr>
          <w:p w14:paraId="37CCEC0F">
            <w:pPr>
              <w:pStyle w:val="214"/>
              <w:rPr>
                <w:rFonts w:hint="eastAsia"/>
                <w:color w:val="auto"/>
                <w:highlight w:val="none"/>
              </w:rPr>
            </w:pPr>
          </w:p>
        </w:tc>
        <w:tc>
          <w:tcPr>
            <w:tcW w:w="732" w:type="dxa"/>
          </w:tcPr>
          <w:p w14:paraId="4EEEB5B0">
            <w:pPr>
              <w:pStyle w:val="214"/>
              <w:rPr>
                <w:rFonts w:hint="eastAsia"/>
                <w:color w:val="auto"/>
                <w:highlight w:val="none"/>
              </w:rPr>
            </w:pPr>
          </w:p>
        </w:tc>
        <w:tc>
          <w:tcPr>
            <w:tcW w:w="1017" w:type="dxa"/>
          </w:tcPr>
          <w:p w14:paraId="033B7472">
            <w:pPr>
              <w:pStyle w:val="214"/>
              <w:rPr>
                <w:rFonts w:hint="eastAsia"/>
                <w:color w:val="auto"/>
                <w:highlight w:val="none"/>
              </w:rPr>
            </w:pPr>
          </w:p>
        </w:tc>
        <w:tc>
          <w:tcPr>
            <w:tcW w:w="798" w:type="dxa"/>
          </w:tcPr>
          <w:p w14:paraId="1C48CA9A">
            <w:pPr>
              <w:pStyle w:val="214"/>
              <w:rPr>
                <w:rFonts w:hint="eastAsia"/>
                <w:color w:val="auto"/>
                <w:highlight w:val="none"/>
              </w:rPr>
            </w:pPr>
          </w:p>
        </w:tc>
        <w:tc>
          <w:tcPr>
            <w:tcW w:w="1060" w:type="dxa"/>
          </w:tcPr>
          <w:p w14:paraId="62B2A09C">
            <w:pPr>
              <w:pStyle w:val="214"/>
              <w:rPr>
                <w:rFonts w:hint="eastAsia"/>
                <w:color w:val="auto"/>
                <w:highlight w:val="none"/>
              </w:rPr>
            </w:pPr>
          </w:p>
        </w:tc>
        <w:tc>
          <w:tcPr>
            <w:tcW w:w="852" w:type="dxa"/>
          </w:tcPr>
          <w:p w14:paraId="2079A1F7">
            <w:pPr>
              <w:pStyle w:val="214"/>
              <w:rPr>
                <w:rFonts w:hint="eastAsia"/>
                <w:color w:val="auto"/>
                <w:highlight w:val="none"/>
              </w:rPr>
            </w:pPr>
          </w:p>
        </w:tc>
        <w:tc>
          <w:tcPr>
            <w:tcW w:w="1016" w:type="dxa"/>
          </w:tcPr>
          <w:p w14:paraId="59E502FD">
            <w:pPr>
              <w:pStyle w:val="214"/>
              <w:rPr>
                <w:rFonts w:hint="eastAsia"/>
                <w:color w:val="auto"/>
                <w:highlight w:val="none"/>
              </w:rPr>
            </w:pPr>
          </w:p>
        </w:tc>
        <w:tc>
          <w:tcPr>
            <w:tcW w:w="826" w:type="dxa"/>
          </w:tcPr>
          <w:p w14:paraId="0FDE7F21">
            <w:pPr>
              <w:pStyle w:val="214"/>
              <w:rPr>
                <w:rFonts w:hint="eastAsia"/>
                <w:color w:val="auto"/>
                <w:highlight w:val="none"/>
              </w:rPr>
            </w:pPr>
          </w:p>
        </w:tc>
        <w:tc>
          <w:tcPr>
            <w:tcW w:w="803" w:type="dxa"/>
            <w:tcBorders>
              <w:right w:val="single" w:color="000000" w:sz="12" w:space="0"/>
            </w:tcBorders>
          </w:tcPr>
          <w:p w14:paraId="492F8F88">
            <w:pPr>
              <w:pStyle w:val="214"/>
              <w:rPr>
                <w:rFonts w:hint="eastAsia"/>
                <w:color w:val="auto"/>
                <w:highlight w:val="none"/>
              </w:rPr>
            </w:pPr>
          </w:p>
        </w:tc>
      </w:tr>
      <w:tr w14:paraId="4DA9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37CE78FE">
            <w:pPr>
              <w:pStyle w:val="214"/>
              <w:rPr>
                <w:rFonts w:hint="eastAsia"/>
                <w:color w:val="auto"/>
                <w:highlight w:val="none"/>
              </w:rPr>
            </w:pPr>
          </w:p>
        </w:tc>
        <w:tc>
          <w:tcPr>
            <w:tcW w:w="665" w:type="dxa"/>
          </w:tcPr>
          <w:p w14:paraId="737A0826">
            <w:pPr>
              <w:pStyle w:val="214"/>
              <w:rPr>
                <w:rFonts w:hint="eastAsia"/>
                <w:color w:val="auto"/>
                <w:highlight w:val="none"/>
              </w:rPr>
            </w:pPr>
          </w:p>
        </w:tc>
        <w:tc>
          <w:tcPr>
            <w:tcW w:w="871" w:type="dxa"/>
          </w:tcPr>
          <w:p w14:paraId="394B6986">
            <w:pPr>
              <w:pStyle w:val="214"/>
              <w:rPr>
                <w:rFonts w:hint="eastAsia"/>
                <w:color w:val="auto"/>
                <w:highlight w:val="none"/>
              </w:rPr>
            </w:pPr>
          </w:p>
        </w:tc>
        <w:tc>
          <w:tcPr>
            <w:tcW w:w="617" w:type="dxa"/>
          </w:tcPr>
          <w:p w14:paraId="45272008">
            <w:pPr>
              <w:pStyle w:val="214"/>
              <w:rPr>
                <w:rFonts w:hint="eastAsia"/>
                <w:color w:val="auto"/>
                <w:highlight w:val="none"/>
              </w:rPr>
            </w:pPr>
          </w:p>
        </w:tc>
        <w:tc>
          <w:tcPr>
            <w:tcW w:w="732" w:type="dxa"/>
          </w:tcPr>
          <w:p w14:paraId="5EB38982">
            <w:pPr>
              <w:pStyle w:val="214"/>
              <w:rPr>
                <w:rFonts w:hint="eastAsia"/>
                <w:color w:val="auto"/>
                <w:highlight w:val="none"/>
              </w:rPr>
            </w:pPr>
          </w:p>
        </w:tc>
        <w:tc>
          <w:tcPr>
            <w:tcW w:w="1017" w:type="dxa"/>
          </w:tcPr>
          <w:p w14:paraId="696FB48C">
            <w:pPr>
              <w:pStyle w:val="214"/>
              <w:rPr>
                <w:rFonts w:hint="eastAsia"/>
                <w:color w:val="auto"/>
                <w:highlight w:val="none"/>
              </w:rPr>
            </w:pPr>
          </w:p>
        </w:tc>
        <w:tc>
          <w:tcPr>
            <w:tcW w:w="798" w:type="dxa"/>
          </w:tcPr>
          <w:p w14:paraId="266861BB">
            <w:pPr>
              <w:pStyle w:val="214"/>
              <w:rPr>
                <w:rFonts w:hint="eastAsia"/>
                <w:color w:val="auto"/>
                <w:highlight w:val="none"/>
              </w:rPr>
            </w:pPr>
          </w:p>
        </w:tc>
        <w:tc>
          <w:tcPr>
            <w:tcW w:w="1060" w:type="dxa"/>
          </w:tcPr>
          <w:p w14:paraId="43D1B09C">
            <w:pPr>
              <w:pStyle w:val="214"/>
              <w:rPr>
                <w:rFonts w:hint="eastAsia"/>
                <w:color w:val="auto"/>
                <w:highlight w:val="none"/>
              </w:rPr>
            </w:pPr>
          </w:p>
        </w:tc>
        <w:tc>
          <w:tcPr>
            <w:tcW w:w="852" w:type="dxa"/>
          </w:tcPr>
          <w:p w14:paraId="72D6C633">
            <w:pPr>
              <w:pStyle w:val="214"/>
              <w:rPr>
                <w:rFonts w:hint="eastAsia"/>
                <w:color w:val="auto"/>
                <w:highlight w:val="none"/>
              </w:rPr>
            </w:pPr>
          </w:p>
        </w:tc>
        <w:tc>
          <w:tcPr>
            <w:tcW w:w="1016" w:type="dxa"/>
          </w:tcPr>
          <w:p w14:paraId="42A6DAEE">
            <w:pPr>
              <w:pStyle w:val="214"/>
              <w:rPr>
                <w:rFonts w:hint="eastAsia"/>
                <w:color w:val="auto"/>
                <w:highlight w:val="none"/>
              </w:rPr>
            </w:pPr>
          </w:p>
        </w:tc>
        <w:tc>
          <w:tcPr>
            <w:tcW w:w="826" w:type="dxa"/>
          </w:tcPr>
          <w:p w14:paraId="30602224">
            <w:pPr>
              <w:pStyle w:val="214"/>
              <w:rPr>
                <w:rFonts w:hint="eastAsia"/>
                <w:color w:val="auto"/>
                <w:highlight w:val="none"/>
              </w:rPr>
            </w:pPr>
          </w:p>
        </w:tc>
        <w:tc>
          <w:tcPr>
            <w:tcW w:w="803" w:type="dxa"/>
            <w:tcBorders>
              <w:right w:val="single" w:color="000000" w:sz="12" w:space="0"/>
            </w:tcBorders>
          </w:tcPr>
          <w:p w14:paraId="190A7CE3">
            <w:pPr>
              <w:pStyle w:val="214"/>
              <w:rPr>
                <w:rFonts w:hint="eastAsia"/>
                <w:color w:val="auto"/>
                <w:highlight w:val="none"/>
              </w:rPr>
            </w:pPr>
          </w:p>
        </w:tc>
      </w:tr>
      <w:tr w14:paraId="5007C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609128D5">
            <w:pPr>
              <w:pStyle w:val="214"/>
              <w:rPr>
                <w:rFonts w:hint="eastAsia"/>
                <w:color w:val="auto"/>
                <w:highlight w:val="none"/>
              </w:rPr>
            </w:pPr>
          </w:p>
        </w:tc>
        <w:tc>
          <w:tcPr>
            <w:tcW w:w="665" w:type="dxa"/>
          </w:tcPr>
          <w:p w14:paraId="4DC2EBF1">
            <w:pPr>
              <w:pStyle w:val="214"/>
              <w:rPr>
                <w:rFonts w:hint="eastAsia"/>
                <w:color w:val="auto"/>
                <w:highlight w:val="none"/>
              </w:rPr>
            </w:pPr>
          </w:p>
        </w:tc>
        <w:tc>
          <w:tcPr>
            <w:tcW w:w="871" w:type="dxa"/>
          </w:tcPr>
          <w:p w14:paraId="5A8F3F1F">
            <w:pPr>
              <w:pStyle w:val="214"/>
              <w:rPr>
                <w:rFonts w:hint="eastAsia"/>
                <w:color w:val="auto"/>
                <w:highlight w:val="none"/>
              </w:rPr>
            </w:pPr>
          </w:p>
        </w:tc>
        <w:tc>
          <w:tcPr>
            <w:tcW w:w="617" w:type="dxa"/>
          </w:tcPr>
          <w:p w14:paraId="3B70D2C6">
            <w:pPr>
              <w:pStyle w:val="214"/>
              <w:rPr>
                <w:rFonts w:hint="eastAsia"/>
                <w:color w:val="auto"/>
                <w:highlight w:val="none"/>
              </w:rPr>
            </w:pPr>
          </w:p>
        </w:tc>
        <w:tc>
          <w:tcPr>
            <w:tcW w:w="732" w:type="dxa"/>
          </w:tcPr>
          <w:p w14:paraId="0066BCF6">
            <w:pPr>
              <w:pStyle w:val="214"/>
              <w:rPr>
                <w:rFonts w:hint="eastAsia"/>
                <w:color w:val="auto"/>
                <w:highlight w:val="none"/>
              </w:rPr>
            </w:pPr>
          </w:p>
        </w:tc>
        <w:tc>
          <w:tcPr>
            <w:tcW w:w="1017" w:type="dxa"/>
          </w:tcPr>
          <w:p w14:paraId="6651ACCF">
            <w:pPr>
              <w:pStyle w:val="214"/>
              <w:rPr>
                <w:rFonts w:hint="eastAsia"/>
                <w:color w:val="auto"/>
                <w:highlight w:val="none"/>
              </w:rPr>
            </w:pPr>
          </w:p>
        </w:tc>
        <w:tc>
          <w:tcPr>
            <w:tcW w:w="798" w:type="dxa"/>
          </w:tcPr>
          <w:p w14:paraId="54D8B9B0">
            <w:pPr>
              <w:pStyle w:val="214"/>
              <w:rPr>
                <w:rFonts w:hint="eastAsia"/>
                <w:color w:val="auto"/>
                <w:highlight w:val="none"/>
              </w:rPr>
            </w:pPr>
          </w:p>
        </w:tc>
        <w:tc>
          <w:tcPr>
            <w:tcW w:w="1060" w:type="dxa"/>
          </w:tcPr>
          <w:p w14:paraId="32793761">
            <w:pPr>
              <w:pStyle w:val="214"/>
              <w:rPr>
                <w:rFonts w:hint="eastAsia"/>
                <w:color w:val="auto"/>
                <w:highlight w:val="none"/>
              </w:rPr>
            </w:pPr>
          </w:p>
        </w:tc>
        <w:tc>
          <w:tcPr>
            <w:tcW w:w="852" w:type="dxa"/>
          </w:tcPr>
          <w:p w14:paraId="65850103">
            <w:pPr>
              <w:pStyle w:val="214"/>
              <w:rPr>
                <w:rFonts w:hint="eastAsia"/>
                <w:color w:val="auto"/>
                <w:highlight w:val="none"/>
              </w:rPr>
            </w:pPr>
          </w:p>
        </w:tc>
        <w:tc>
          <w:tcPr>
            <w:tcW w:w="1016" w:type="dxa"/>
          </w:tcPr>
          <w:p w14:paraId="2C4B1AC7">
            <w:pPr>
              <w:pStyle w:val="214"/>
              <w:rPr>
                <w:rFonts w:hint="eastAsia"/>
                <w:color w:val="auto"/>
                <w:highlight w:val="none"/>
              </w:rPr>
            </w:pPr>
          </w:p>
        </w:tc>
        <w:tc>
          <w:tcPr>
            <w:tcW w:w="826" w:type="dxa"/>
          </w:tcPr>
          <w:p w14:paraId="74A1C4A4">
            <w:pPr>
              <w:pStyle w:val="214"/>
              <w:rPr>
                <w:rFonts w:hint="eastAsia"/>
                <w:color w:val="auto"/>
                <w:highlight w:val="none"/>
              </w:rPr>
            </w:pPr>
          </w:p>
        </w:tc>
        <w:tc>
          <w:tcPr>
            <w:tcW w:w="803" w:type="dxa"/>
            <w:tcBorders>
              <w:right w:val="single" w:color="000000" w:sz="12" w:space="0"/>
            </w:tcBorders>
          </w:tcPr>
          <w:p w14:paraId="428D9B4D">
            <w:pPr>
              <w:pStyle w:val="214"/>
              <w:rPr>
                <w:rFonts w:hint="eastAsia"/>
                <w:color w:val="auto"/>
                <w:highlight w:val="none"/>
              </w:rPr>
            </w:pPr>
          </w:p>
        </w:tc>
      </w:tr>
      <w:tr w14:paraId="052F9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4323CAB9">
            <w:pPr>
              <w:pStyle w:val="214"/>
              <w:rPr>
                <w:rFonts w:hint="eastAsia"/>
                <w:color w:val="auto"/>
                <w:highlight w:val="none"/>
              </w:rPr>
            </w:pPr>
          </w:p>
        </w:tc>
        <w:tc>
          <w:tcPr>
            <w:tcW w:w="665" w:type="dxa"/>
          </w:tcPr>
          <w:p w14:paraId="656ADF56">
            <w:pPr>
              <w:pStyle w:val="214"/>
              <w:rPr>
                <w:rFonts w:hint="eastAsia"/>
                <w:color w:val="auto"/>
                <w:highlight w:val="none"/>
              </w:rPr>
            </w:pPr>
          </w:p>
        </w:tc>
        <w:tc>
          <w:tcPr>
            <w:tcW w:w="871" w:type="dxa"/>
          </w:tcPr>
          <w:p w14:paraId="0AF60978">
            <w:pPr>
              <w:pStyle w:val="214"/>
              <w:rPr>
                <w:rFonts w:hint="eastAsia"/>
                <w:color w:val="auto"/>
                <w:highlight w:val="none"/>
              </w:rPr>
            </w:pPr>
          </w:p>
        </w:tc>
        <w:tc>
          <w:tcPr>
            <w:tcW w:w="617" w:type="dxa"/>
          </w:tcPr>
          <w:p w14:paraId="22616129">
            <w:pPr>
              <w:pStyle w:val="214"/>
              <w:rPr>
                <w:rFonts w:hint="eastAsia"/>
                <w:color w:val="auto"/>
                <w:highlight w:val="none"/>
              </w:rPr>
            </w:pPr>
          </w:p>
        </w:tc>
        <w:tc>
          <w:tcPr>
            <w:tcW w:w="732" w:type="dxa"/>
          </w:tcPr>
          <w:p w14:paraId="0C83C272">
            <w:pPr>
              <w:pStyle w:val="214"/>
              <w:rPr>
                <w:rFonts w:hint="eastAsia"/>
                <w:color w:val="auto"/>
                <w:highlight w:val="none"/>
              </w:rPr>
            </w:pPr>
          </w:p>
        </w:tc>
        <w:tc>
          <w:tcPr>
            <w:tcW w:w="1017" w:type="dxa"/>
          </w:tcPr>
          <w:p w14:paraId="7BCAB699">
            <w:pPr>
              <w:pStyle w:val="214"/>
              <w:rPr>
                <w:rFonts w:hint="eastAsia"/>
                <w:color w:val="auto"/>
                <w:highlight w:val="none"/>
              </w:rPr>
            </w:pPr>
          </w:p>
        </w:tc>
        <w:tc>
          <w:tcPr>
            <w:tcW w:w="798" w:type="dxa"/>
          </w:tcPr>
          <w:p w14:paraId="4826D6D2">
            <w:pPr>
              <w:pStyle w:val="214"/>
              <w:rPr>
                <w:rFonts w:hint="eastAsia"/>
                <w:color w:val="auto"/>
                <w:highlight w:val="none"/>
              </w:rPr>
            </w:pPr>
          </w:p>
        </w:tc>
        <w:tc>
          <w:tcPr>
            <w:tcW w:w="1060" w:type="dxa"/>
          </w:tcPr>
          <w:p w14:paraId="12C5C9B2">
            <w:pPr>
              <w:pStyle w:val="214"/>
              <w:rPr>
                <w:rFonts w:hint="eastAsia"/>
                <w:color w:val="auto"/>
                <w:highlight w:val="none"/>
              </w:rPr>
            </w:pPr>
          </w:p>
        </w:tc>
        <w:tc>
          <w:tcPr>
            <w:tcW w:w="852" w:type="dxa"/>
          </w:tcPr>
          <w:p w14:paraId="5FE4BD51">
            <w:pPr>
              <w:pStyle w:val="214"/>
              <w:rPr>
                <w:rFonts w:hint="eastAsia"/>
                <w:color w:val="auto"/>
                <w:highlight w:val="none"/>
              </w:rPr>
            </w:pPr>
          </w:p>
        </w:tc>
        <w:tc>
          <w:tcPr>
            <w:tcW w:w="1016" w:type="dxa"/>
          </w:tcPr>
          <w:p w14:paraId="1FF463AD">
            <w:pPr>
              <w:pStyle w:val="214"/>
              <w:rPr>
                <w:rFonts w:hint="eastAsia"/>
                <w:color w:val="auto"/>
                <w:highlight w:val="none"/>
              </w:rPr>
            </w:pPr>
          </w:p>
        </w:tc>
        <w:tc>
          <w:tcPr>
            <w:tcW w:w="826" w:type="dxa"/>
          </w:tcPr>
          <w:p w14:paraId="276A78C4">
            <w:pPr>
              <w:pStyle w:val="214"/>
              <w:rPr>
                <w:rFonts w:hint="eastAsia"/>
                <w:color w:val="auto"/>
                <w:highlight w:val="none"/>
              </w:rPr>
            </w:pPr>
          </w:p>
        </w:tc>
        <w:tc>
          <w:tcPr>
            <w:tcW w:w="803" w:type="dxa"/>
            <w:tcBorders>
              <w:right w:val="single" w:color="000000" w:sz="12" w:space="0"/>
            </w:tcBorders>
          </w:tcPr>
          <w:p w14:paraId="40B7717B">
            <w:pPr>
              <w:pStyle w:val="214"/>
              <w:rPr>
                <w:rFonts w:hint="eastAsia"/>
                <w:color w:val="auto"/>
                <w:highlight w:val="none"/>
              </w:rPr>
            </w:pPr>
          </w:p>
        </w:tc>
      </w:tr>
      <w:tr w14:paraId="396E9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1514FCF6">
            <w:pPr>
              <w:pStyle w:val="214"/>
              <w:rPr>
                <w:rFonts w:hint="eastAsia"/>
                <w:color w:val="auto"/>
                <w:highlight w:val="none"/>
              </w:rPr>
            </w:pPr>
          </w:p>
        </w:tc>
        <w:tc>
          <w:tcPr>
            <w:tcW w:w="665" w:type="dxa"/>
          </w:tcPr>
          <w:p w14:paraId="7AB50C96">
            <w:pPr>
              <w:pStyle w:val="214"/>
              <w:rPr>
                <w:rFonts w:hint="eastAsia"/>
                <w:color w:val="auto"/>
                <w:highlight w:val="none"/>
              </w:rPr>
            </w:pPr>
          </w:p>
        </w:tc>
        <w:tc>
          <w:tcPr>
            <w:tcW w:w="871" w:type="dxa"/>
          </w:tcPr>
          <w:p w14:paraId="49DFA36D">
            <w:pPr>
              <w:pStyle w:val="214"/>
              <w:rPr>
                <w:rFonts w:hint="eastAsia"/>
                <w:color w:val="auto"/>
                <w:highlight w:val="none"/>
              </w:rPr>
            </w:pPr>
          </w:p>
        </w:tc>
        <w:tc>
          <w:tcPr>
            <w:tcW w:w="617" w:type="dxa"/>
          </w:tcPr>
          <w:p w14:paraId="4F041D04">
            <w:pPr>
              <w:pStyle w:val="214"/>
              <w:rPr>
                <w:rFonts w:hint="eastAsia"/>
                <w:color w:val="auto"/>
                <w:highlight w:val="none"/>
              </w:rPr>
            </w:pPr>
          </w:p>
        </w:tc>
        <w:tc>
          <w:tcPr>
            <w:tcW w:w="732" w:type="dxa"/>
          </w:tcPr>
          <w:p w14:paraId="56652BED">
            <w:pPr>
              <w:pStyle w:val="214"/>
              <w:rPr>
                <w:rFonts w:hint="eastAsia"/>
                <w:color w:val="auto"/>
                <w:highlight w:val="none"/>
              </w:rPr>
            </w:pPr>
          </w:p>
        </w:tc>
        <w:tc>
          <w:tcPr>
            <w:tcW w:w="1017" w:type="dxa"/>
          </w:tcPr>
          <w:p w14:paraId="18A2DD21">
            <w:pPr>
              <w:pStyle w:val="214"/>
              <w:rPr>
                <w:rFonts w:hint="eastAsia"/>
                <w:color w:val="auto"/>
                <w:highlight w:val="none"/>
              </w:rPr>
            </w:pPr>
          </w:p>
        </w:tc>
        <w:tc>
          <w:tcPr>
            <w:tcW w:w="798" w:type="dxa"/>
          </w:tcPr>
          <w:p w14:paraId="6E0BD355">
            <w:pPr>
              <w:pStyle w:val="214"/>
              <w:rPr>
                <w:rFonts w:hint="eastAsia"/>
                <w:color w:val="auto"/>
                <w:highlight w:val="none"/>
              </w:rPr>
            </w:pPr>
          </w:p>
        </w:tc>
        <w:tc>
          <w:tcPr>
            <w:tcW w:w="1060" w:type="dxa"/>
          </w:tcPr>
          <w:p w14:paraId="7AF84026">
            <w:pPr>
              <w:pStyle w:val="214"/>
              <w:rPr>
                <w:rFonts w:hint="eastAsia"/>
                <w:color w:val="auto"/>
                <w:highlight w:val="none"/>
              </w:rPr>
            </w:pPr>
          </w:p>
        </w:tc>
        <w:tc>
          <w:tcPr>
            <w:tcW w:w="852" w:type="dxa"/>
          </w:tcPr>
          <w:p w14:paraId="0AB703CD">
            <w:pPr>
              <w:pStyle w:val="214"/>
              <w:rPr>
                <w:rFonts w:hint="eastAsia"/>
                <w:color w:val="auto"/>
                <w:highlight w:val="none"/>
              </w:rPr>
            </w:pPr>
          </w:p>
        </w:tc>
        <w:tc>
          <w:tcPr>
            <w:tcW w:w="1016" w:type="dxa"/>
          </w:tcPr>
          <w:p w14:paraId="539DCF88">
            <w:pPr>
              <w:pStyle w:val="214"/>
              <w:rPr>
                <w:rFonts w:hint="eastAsia"/>
                <w:color w:val="auto"/>
                <w:highlight w:val="none"/>
              </w:rPr>
            </w:pPr>
          </w:p>
        </w:tc>
        <w:tc>
          <w:tcPr>
            <w:tcW w:w="826" w:type="dxa"/>
          </w:tcPr>
          <w:p w14:paraId="1CFAAB98">
            <w:pPr>
              <w:pStyle w:val="214"/>
              <w:rPr>
                <w:rFonts w:hint="eastAsia"/>
                <w:color w:val="auto"/>
                <w:highlight w:val="none"/>
              </w:rPr>
            </w:pPr>
          </w:p>
        </w:tc>
        <w:tc>
          <w:tcPr>
            <w:tcW w:w="803" w:type="dxa"/>
            <w:tcBorders>
              <w:right w:val="single" w:color="000000" w:sz="12" w:space="0"/>
            </w:tcBorders>
          </w:tcPr>
          <w:p w14:paraId="43ABFD49">
            <w:pPr>
              <w:pStyle w:val="214"/>
              <w:rPr>
                <w:rFonts w:hint="eastAsia"/>
                <w:color w:val="auto"/>
                <w:highlight w:val="none"/>
              </w:rPr>
            </w:pPr>
          </w:p>
        </w:tc>
      </w:tr>
      <w:tr w14:paraId="35DDA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22DFF9EF">
            <w:pPr>
              <w:pStyle w:val="214"/>
              <w:rPr>
                <w:rFonts w:hint="eastAsia"/>
                <w:color w:val="auto"/>
                <w:highlight w:val="none"/>
              </w:rPr>
            </w:pPr>
          </w:p>
        </w:tc>
        <w:tc>
          <w:tcPr>
            <w:tcW w:w="665" w:type="dxa"/>
          </w:tcPr>
          <w:p w14:paraId="6E1DF984">
            <w:pPr>
              <w:pStyle w:val="214"/>
              <w:rPr>
                <w:rFonts w:hint="eastAsia"/>
                <w:color w:val="auto"/>
                <w:highlight w:val="none"/>
              </w:rPr>
            </w:pPr>
          </w:p>
        </w:tc>
        <w:tc>
          <w:tcPr>
            <w:tcW w:w="871" w:type="dxa"/>
          </w:tcPr>
          <w:p w14:paraId="43911A0B">
            <w:pPr>
              <w:pStyle w:val="214"/>
              <w:rPr>
                <w:rFonts w:hint="eastAsia"/>
                <w:color w:val="auto"/>
                <w:highlight w:val="none"/>
              </w:rPr>
            </w:pPr>
          </w:p>
        </w:tc>
        <w:tc>
          <w:tcPr>
            <w:tcW w:w="617" w:type="dxa"/>
          </w:tcPr>
          <w:p w14:paraId="63330F41">
            <w:pPr>
              <w:pStyle w:val="214"/>
              <w:rPr>
                <w:rFonts w:hint="eastAsia"/>
                <w:color w:val="auto"/>
                <w:highlight w:val="none"/>
              </w:rPr>
            </w:pPr>
          </w:p>
        </w:tc>
        <w:tc>
          <w:tcPr>
            <w:tcW w:w="732" w:type="dxa"/>
          </w:tcPr>
          <w:p w14:paraId="682F652F">
            <w:pPr>
              <w:pStyle w:val="214"/>
              <w:rPr>
                <w:rFonts w:hint="eastAsia"/>
                <w:color w:val="auto"/>
                <w:highlight w:val="none"/>
              </w:rPr>
            </w:pPr>
          </w:p>
        </w:tc>
        <w:tc>
          <w:tcPr>
            <w:tcW w:w="1017" w:type="dxa"/>
          </w:tcPr>
          <w:p w14:paraId="33A1C536">
            <w:pPr>
              <w:pStyle w:val="214"/>
              <w:rPr>
                <w:rFonts w:hint="eastAsia"/>
                <w:color w:val="auto"/>
                <w:highlight w:val="none"/>
              </w:rPr>
            </w:pPr>
          </w:p>
        </w:tc>
        <w:tc>
          <w:tcPr>
            <w:tcW w:w="798" w:type="dxa"/>
          </w:tcPr>
          <w:p w14:paraId="7180BCCF">
            <w:pPr>
              <w:pStyle w:val="214"/>
              <w:rPr>
                <w:rFonts w:hint="eastAsia"/>
                <w:color w:val="auto"/>
                <w:highlight w:val="none"/>
              </w:rPr>
            </w:pPr>
          </w:p>
        </w:tc>
        <w:tc>
          <w:tcPr>
            <w:tcW w:w="1060" w:type="dxa"/>
          </w:tcPr>
          <w:p w14:paraId="497701AB">
            <w:pPr>
              <w:pStyle w:val="214"/>
              <w:rPr>
                <w:rFonts w:hint="eastAsia"/>
                <w:color w:val="auto"/>
                <w:highlight w:val="none"/>
              </w:rPr>
            </w:pPr>
          </w:p>
        </w:tc>
        <w:tc>
          <w:tcPr>
            <w:tcW w:w="852" w:type="dxa"/>
          </w:tcPr>
          <w:p w14:paraId="7188433C">
            <w:pPr>
              <w:pStyle w:val="214"/>
              <w:rPr>
                <w:rFonts w:hint="eastAsia"/>
                <w:color w:val="auto"/>
                <w:highlight w:val="none"/>
              </w:rPr>
            </w:pPr>
          </w:p>
        </w:tc>
        <w:tc>
          <w:tcPr>
            <w:tcW w:w="1016" w:type="dxa"/>
          </w:tcPr>
          <w:p w14:paraId="66585C49">
            <w:pPr>
              <w:pStyle w:val="214"/>
              <w:rPr>
                <w:rFonts w:hint="eastAsia"/>
                <w:color w:val="auto"/>
                <w:highlight w:val="none"/>
              </w:rPr>
            </w:pPr>
          </w:p>
        </w:tc>
        <w:tc>
          <w:tcPr>
            <w:tcW w:w="826" w:type="dxa"/>
          </w:tcPr>
          <w:p w14:paraId="41EB9B7B">
            <w:pPr>
              <w:pStyle w:val="214"/>
              <w:rPr>
                <w:rFonts w:hint="eastAsia"/>
                <w:color w:val="auto"/>
                <w:highlight w:val="none"/>
              </w:rPr>
            </w:pPr>
          </w:p>
        </w:tc>
        <w:tc>
          <w:tcPr>
            <w:tcW w:w="803" w:type="dxa"/>
            <w:tcBorders>
              <w:right w:val="single" w:color="000000" w:sz="12" w:space="0"/>
            </w:tcBorders>
          </w:tcPr>
          <w:p w14:paraId="06FB3D10">
            <w:pPr>
              <w:pStyle w:val="214"/>
              <w:rPr>
                <w:rFonts w:hint="eastAsia"/>
                <w:color w:val="auto"/>
                <w:highlight w:val="none"/>
              </w:rPr>
            </w:pPr>
          </w:p>
        </w:tc>
      </w:tr>
      <w:tr w14:paraId="0BE1C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21C9B4C8">
            <w:pPr>
              <w:pStyle w:val="214"/>
              <w:rPr>
                <w:rFonts w:hint="eastAsia"/>
                <w:color w:val="auto"/>
                <w:highlight w:val="none"/>
              </w:rPr>
            </w:pPr>
          </w:p>
        </w:tc>
        <w:tc>
          <w:tcPr>
            <w:tcW w:w="665" w:type="dxa"/>
          </w:tcPr>
          <w:p w14:paraId="59BF421C">
            <w:pPr>
              <w:pStyle w:val="214"/>
              <w:rPr>
                <w:rFonts w:hint="eastAsia"/>
                <w:color w:val="auto"/>
                <w:highlight w:val="none"/>
              </w:rPr>
            </w:pPr>
          </w:p>
        </w:tc>
        <w:tc>
          <w:tcPr>
            <w:tcW w:w="871" w:type="dxa"/>
          </w:tcPr>
          <w:p w14:paraId="585BB007">
            <w:pPr>
              <w:pStyle w:val="214"/>
              <w:rPr>
                <w:rFonts w:hint="eastAsia"/>
                <w:color w:val="auto"/>
                <w:highlight w:val="none"/>
              </w:rPr>
            </w:pPr>
          </w:p>
        </w:tc>
        <w:tc>
          <w:tcPr>
            <w:tcW w:w="617" w:type="dxa"/>
          </w:tcPr>
          <w:p w14:paraId="1B58DF3C">
            <w:pPr>
              <w:pStyle w:val="214"/>
              <w:rPr>
                <w:rFonts w:hint="eastAsia"/>
                <w:color w:val="auto"/>
                <w:highlight w:val="none"/>
              </w:rPr>
            </w:pPr>
          </w:p>
        </w:tc>
        <w:tc>
          <w:tcPr>
            <w:tcW w:w="732" w:type="dxa"/>
          </w:tcPr>
          <w:p w14:paraId="73FEFE7C">
            <w:pPr>
              <w:pStyle w:val="214"/>
              <w:rPr>
                <w:rFonts w:hint="eastAsia"/>
                <w:color w:val="auto"/>
                <w:highlight w:val="none"/>
              </w:rPr>
            </w:pPr>
          </w:p>
        </w:tc>
        <w:tc>
          <w:tcPr>
            <w:tcW w:w="1017" w:type="dxa"/>
          </w:tcPr>
          <w:p w14:paraId="5B398A80">
            <w:pPr>
              <w:pStyle w:val="214"/>
              <w:rPr>
                <w:rFonts w:hint="eastAsia"/>
                <w:color w:val="auto"/>
                <w:highlight w:val="none"/>
              </w:rPr>
            </w:pPr>
          </w:p>
        </w:tc>
        <w:tc>
          <w:tcPr>
            <w:tcW w:w="798" w:type="dxa"/>
          </w:tcPr>
          <w:p w14:paraId="2DF93A4D">
            <w:pPr>
              <w:pStyle w:val="214"/>
              <w:rPr>
                <w:rFonts w:hint="eastAsia"/>
                <w:color w:val="auto"/>
                <w:highlight w:val="none"/>
              </w:rPr>
            </w:pPr>
          </w:p>
        </w:tc>
        <w:tc>
          <w:tcPr>
            <w:tcW w:w="1060" w:type="dxa"/>
          </w:tcPr>
          <w:p w14:paraId="1A1A8613">
            <w:pPr>
              <w:pStyle w:val="214"/>
              <w:rPr>
                <w:rFonts w:hint="eastAsia"/>
                <w:color w:val="auto"/>
                <w:highlight w:val="none"/>
              </w:rPr>
            </w:pPr>
          </w:p>
        </w:tc>
        <w:tc>
          <w:tcPr>
            <w:tcW w:w="852" w:type="dxa"/>
          </w:tcPr>
          <w:p w14:paraId="40E55F73">
            <w:pPr>
              <w:pStyle w:val="214"/>
              <w:rPr>
                <w:rFonts w:hint="eastAsia"/>
                <w:color w:val="auto"/>
                <w:highlight w:val="none"/>
              </w:rPr>
            </w:pPr>
          </w:p>
        </w:tc>
        <w:tc>
          <w:tcPr>
            <w:tcW w:w="1016" w:type="dxa"/>
          </w:tcPr>
          <w:p w14:paraId="751A8111">
            <w:pPr>
              <w:pStyle w:val="214"/>
              <w:rPr>
                <w:rFonts w:hint="eastAsia"/>
                <w:color w:val="auto"/>
                <w:highlight w:val="none"/>
              </w:rPr>
            </w:pPr>
          </w:p>
        </w:tc>
        <w:tc>
          <w:tcPr>
            <w:tcW w:w="826" w:type="dxa"/>
          </w:tcPr>
          <w:p w14:paraId="536F7238">
            <w:pPr>
              <w:pStyle w:val="214"/>
              <w:rPr>
                <w:rFonts w:hint="eastAsia"/>
                <w:color w:val="auto"/>
                <w:highlight w:val="none"/>
              </w:rPr>
            </w:pPr>
          </w:p>
        </w:tc>
        <w:tc>
          <w:tcPr>
            <w:tcW w:w="803" w:type="dxa"/>
            <w:tcBorders>
              <w:right w:val="single" w:color="000000" w:sz="12" w:space="0"/>
            </w:tcBorders>
          </w:tcPr>
          <w:p w14:paraId="4648DF15">
            <w:pPr>
              <w:pStyle w:val="214"/>
              <w:rPr>
                <w:rFonts w:hint="eastAsia"/>
                <w:color w:val="auto"/>
                <w:highlight w:val="none"/>
              </w:rPr>
            </w:pPr>
          </w:p>
        </w:tc>
      </w:tr>
      <w:tr w14:paraId="1E78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3257BDEF">
            <w:pPr>
              <w:pStyle w:val="214"/>
              <w:rPr>
                <w:rFonts w:hint="eastAsia"/>
                <w:color w:val="auto"/>
                <w:highlight w:val="none"/>
              </w:rPr>
            </w:pPr>
          </w:p>
        </w:tc>
        <w:tc>
          <w:tcPr>
            <w:tcW w:w="665" w:type="dxa"/>
          </w:tcPr>
          <w:p w14:paraId="4EBE11C8">
            <w:pPr>
              <w:pStyle w:val="214"/>
              <w:rPr>
                <w:rFonts w:hint="eastAsia"/>
                <w:color w:val="auto"/>
                <w:highlight w:val="none"/>
              </w:rPr>
            </w:pPr>
          </w:p>
        </w:tc>
        <w:tc>
          <w:tcPr>
            <w:tcW w:w="871" w:type="dxa"/>
          </w:tcPr>
          <w:p w14:paraId="40A81D5A">
            <w:pPr>
              <w:pStyle w:val="214"/>
              <w:rPr>
                <w:rFonts w:hint="eastAsia"/>
                <w:color w:val="auto"/>
                <w:highlight w:val="none"/>
              </w:rPr>
            </w:pPr>
          </w:p>
        </w:tc>
        <w:tc>
          <w:tcPr>
            <w:tcW w:w="617" w:type="dxa"/>
          </w:tcPr>
          <w:p w14:paraId="4D5B2335">
            <w:pPr>
              <w:pStyle w:val="214"/>
              <w:rPr>
                <w:rFonts w:hint="eastAsia"/>
                <w:color w:val="auto"/>
                <w:highlight w:val="none"/>
              </w:rPr>
            </w:pPr>
          </w:p>
        </w:tc>
        <w:tc>
          <w:tcPr>
            <w:tcW w:w="732" w:type="dxa"/>
          </w:tcPr>
          <w:p w14:paraId="1CE98CDF">
            <w:pPr>
              <w:pStyle w:val="214"/>
              <w:rPr>
                <w:rFonts w:hint="eastAsia"/>
                <w:color w:val="auto"/>
                <w:highlight w:val="none"/>
              </w:rPr>
            </w:pPr>
          </w:p>
        </w:tc>
        <w:tc>
          <w:tcPr>
            <w:tcW w:w="1017" w:type="dxa"/>
          </w:tcPr>
          <w:p w14:paraId="060E7CD3">
            <w:pPr>
              <w:pStyle w:val="214"/>
              <w:rPr>
                <w:rFonts w:hint="eastAsia"/>
                <w:color w:val="auto"/>
                <w:highlight w:val="none"/>
              </w:rPr>
            </w:pPr>
          </w:p>
        </w:tc>
        <w:tc>
          <w:tcPr>
            <w:tcW w:w="798" w:type="dxa"/>
          </w:tcPr>
          <w:p w14:paraId="6E37D32F">
            <w:pPr>
              <w:pStyle w:val="214"/>
              <w:rPr>
                <w:rFonts w:hint="eastAsia"/>
                <w:color w:val="auto"/>
                <w:highlight w:val="none"/>
              </w:rPr>
            </w:pPr>
          </w:p>
        </w:tc>
        <w:tc>
          <w:tcPr>
            <w:tcW w:w="1060" w:type="dxa"/>
          </w:tcPr>
          <w:p w14:paraId="17655643">
            <w:pPr>
              <w:pStyle w:val="214"/>
              <w:rPr>
                <w:rFonts w:hint="eastAsia"/>
                <w:color w:val="auto"/>
                <w:highlight w:val="none"/>
              </w:rPr>
            </w:pPr>
          </w:p>
        </w:tc>
        <w:tc>
          <w:tcPr>
            <w:tcW w:w="852" w:type="dxa"/>
          </w:tcPr>
          <w:p w14:paraId="64861544">
            <w:pPr>
              <w:pStyle w:val="214"/>
              <w:rPr>
                <w:rFonts w:hint="eastAsia"/>
                <w:color w:val="auto"/>
                <w:highlight w:val="none"/>
              </w:rPr>
            </w:pPr>
          </w:p>
        </w:tc>
        <w:tc>
          <w:tcPr>
            <w:tcW w:w="1016" w:type="dxa"/>
          </w:tcPr>
          <w:p w14:paraId="6DBB3173">
            <w:pPr>
              <w:pStyle w:val="214"/>
              <w:rPr>
                <w:rFonts w:hint="eastAsia"/>
                <w:color w:val="auto"/>
                <w:highlight w:val="none"/>
              </w:rPr>
            </w:pPr>
          </w:p>
        </w:tc>
        <w:tc>
          <w:tcPr>
            <w:tcW w:w="826" w:type="dxa"/>
          </w:tcPr>
          <w:p w14:paraId="1C32CC1B">
            <w:pPr>
              <w:pStyle w:val="214"/>
              <w:rPr>
                <w:rFonts w:hint="eastAsia"/>
                <w:color w:val="auto"/>
                <w:highlight w:val="none"/>
              </w:rPr>
            </w:pPr>
          </w:p>
        </w:tc>
        <w:tc>
          <w:tcPr>
            <w:tcW w:w="803" w:type="dxa"/>
            <w:tcBorders>
              <w:right w:val="single" w:color="000000" w:sz="12" w:space="0"/>
            </w:tcBorders>
          </w:tcPr>
          <w:p w14:paraId="2EA64791">
            <w:pPr>
              <w:pStyle w:val="214"/>
              <w:rPr>
                <w:rFonts w:hint="eastAsia"/>
                <w:color w:val="auto"/>
                <w:highlight w:val="none"/>
              </w:rPr>
            </w:pPr>
          </w:p>
        </w:tc>
      </w:tr>
      <w:tr w14:paraId="4064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55FE5C3A">
            <w:pPr>
              <w:pStyle w:val="214"/>
              <w:rPr>
                <w:rFonts w:hint="eastAsia"/>
                <w:color w:val="auto"/>
                <w:highlight w:val="none"/>
              </w:rPr>
            </w:pPr>
          </w:p>
        </w:tc>
        <w:tc>
          <w:tcPr>
            <w:tcW w:w="665" w:type="dxa"/>
          </w:tcPr>
          <w:p w14:paraId="1512FA20">
            <w:pPr>
              <w:pStyle w:val="214"/>
              <w:rPr>
                <w:rFonts w:hint="eastAsia"/>
                <w:color w:val="auto"/>
                <w:highlight w:val="none"/>
              </w:rPr>
            </w:pPr>
          </w:p>
        </w:tc>
        <w:tc>
          <w:tcPr>
            <w:tcW w:w="871" w:type="dxa"/>
          </w:tcPr>
          <w:p w14:paraId="2BA843C8">
            <w:pPr>
              <w:pStyle w:val="214"/>
              <w:rPr>
                <w:rFonts w:hint="eastAsia"/>
                <w:color w:val="auto"/>
                <w:highlight w:val="none"/>
              </w:rPr>
            </w:pPr>
          </w:p>
        </w:tc>
        <w:tc>
          <w:tcPr>
            <w:tcW w:w="617" w:type="dxa"/>
          </w:tcPr>
          <w:p w14:paraId="0F982160">
            <w:pPr>
              <w:pStyle w:val="214"/>
              <w:rPr>
                <w:rFonts w:hint="eastAsia"/>
                <w:color w:val="auto"/>
                <w:highlight w:val="none"/>
              </w:rPr>
            </w:pPr>
          </w:p>
        </w:tc>
        <w:tc>
          <w:tcPr>
            <w:tcW w:w="732" w:type="dxa"/>
          </w:tcPr>
          <w:p w14:paraId="18849FF3">
            <w:pPr>
              <w:pStyle w:val="214"/>
              <w:rPr>
                <w:rFonts w:hint="eastAsia"/>
                <w:color w:val="auto"/>
                <w:highlight w:val="none"/>
              </w:rPr>
            </w:pPr>
          </w:p>
        </w:tc>
        <w:tc>
          <w:tcPr>
            <w:tcW w:w="1017" w:type="dxa"/>
          </w:tcPr>
          <w:p w14:paraId="7CA2A15B">
            <w:pPr>
              <w:pStyle w:val="214"/>
              <w:rPr>
                <w:rFonts w:hint="eastAsia"/>
                <w:color w:val="auto"/>
                <w:highlight w:val="none"/>
              </w:rPr>
            </w:pPr>
          </w:p>
        </w:tc>
        <w:tc>
          <w:tcPr>
            <w:tcW w:w="798" w:type="dxa"/>
          </w:tcPr>
          <w:p w14:paraId="45A5893B">
            <w:pPr>
              <w:pStyle w:val="214"/>
              <w:rPr>
                <w:rFonts w:hint="eastAsia"/>
                <w:color w:val="auto"/>
                <w:highlight w:val="none"/>
              </w:rPr>
            </w:pPr>
          </w:p>
        </w:tc>
        <w:tc>
          <w:tcPr>
            <w:tcW w:w="1060" w:type="dxa"/>
          </w:tcPr>
          <w:p w14:paraId="14A88803">
            <w:pPr>
              <w:pStyle w:val="214"/>
              <w:rPr>
                <w:rFonts w:hint="eastAsia"/>
                <w:color w:val="auto"/>
                <w:highlight w:val="none"/>
              </w:rPr>
            </w:pPr>
          </w:p>
        </w:tc>
        <w:tc>
          <w:tcPr>
            <w:tcW w:w="852" w:type="dxa"/>
          </w:tcPr>
          <w:p w14:paraId="0C74529F">
            <w:pPr>
              <w:pStyle w:val="214"/>
              <w:rPr>
                <w:rFonts w:hint="eastAsia"/>
                <w:color w:val="auto"/>
                <w:highlight w:val="none"/>
              </w:rPr>
            </w:pPr>
          </w:p>
        </w:tc>
        <w:tc>
          <w:tcPr>
            <w:tcW w:w="1016" w:type="dxa"/>
          </w:tcPr>
          <w:p w14:paraId="3AA6F58C">
            <w:pPr>
              <w:pStyle w:val="214"/>
              <w:rPr>
                <w:rFonts w:hint="eastAsia"/>
                <w:color w:val="auto"/>
                <w:highlight w:val="none"/>
              </w:rPr>
            </w:pPr>
          </w:p>
        </w:tc>
        <w:tc>
          <w:tcPr>
            <w:tcW w:w="826" w:type="dxa"/>
          </w:tcPr>
          <w:p w14:paraId="377D0645">
            <w:pPr>
              <w:pStyle w:val="214"/>
              <w:rPr>
                <w:rFonts w:hint="eastAsia"/>
                <w:color w:val="auto"/>
                <w:highlight w:val="none"/>
              </w:rPr>
            </w:pPr>
          </w:p>
        </w:tc>
        <w:tc>
          <w:tcPr>
            <w:tcW w:w="803" w:type="dxa"/>
            <w:tcBorders>
              <w:right w:val="single" w:color="000000" w:sz="12" w:space="0"/>
            </w:tcBorders>
          </w:tcPr>
          <w:p w14:paraId="054A5688">
            <w:pPr>
              <w:pStyle w:val="214"/>
              <w:rPr>
                <w:rFonts w:hint="eastAsia"/>
                <w:color w:val="auto"/>
                <w:highlight w:val="none"/>
              </w:rPr>
            </w:pPr>
          </w:p>
        </w:tc>
      </w:tr>
      <w:tr w14:paraId="36613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44A7B842">
            <w:pPr>
              <w:pStyle w:val="214"/>
              <w:rPr>
                <w:rFonts w:hint="eastAsia"/>
                <w:color w:val="auto"/>
                <w:highlight w:val="none"/>
              </w:rPr>
            </w:pPr>
          </w:p>
        </w:tc>
        <w:tc>
          <w:tcPr>
            <w:tcW w:w="665" w:type="dxa"/>
          </w:tcPr>
          <w:p w14:paraId="360BCBB6">
            <w:pPr>
              <w:pStyle w:val="214"/>
              <w:rPr>
                <w:rFonts w:hint="eastAsia"/>
                <w:color w:val="auto"/>
                <w:highlight w:val="none"/>
              </w:rPr>
            </w:pPr>
          </w:p>
        </w:tc>
        <w:tc>
          <w:tcPr>
            <w:tcW w:w="871" w:type="dxa"/>
          </w:tcPr>
          <w:p w14:paraId="71EECA44">
            <w:pPr>
              <w:pStyle w:val="214"/>
              <w:rPr>
                <w:rFonts w:hint="eastAsia"/>
                <w:color w:val="auto"/>
                <w:highlight w:val="none"/>
              </w:rPr>
            </w:pPr>
          </w:p>
        </w:tc>
        <w:tc>
          <w:tcPr>
            <w:tcW w:w="617" w:type="dxa"/>
          </w:tcPr>
          <w:p w14:paraId="4B623B74">
            <w:pPr>
              <w:pStyle w:val="214"/>
              <w:rPr>
                <w:rFonts w:hint="eastAsia"/>
                <w:color w:val="auto"/>
                <w:highlight w:val="none"/>
              </w:rPr>
            </w:pPr>
          </w:p>
        </w:tc>
        <w:tc>
          <w:tcPr>
            <w:tcW w:w="732" w:type="dxa"/>
          </w:tcPr>
          <w:p w14:paraId="15624319">
            <w:pPr>
              <w:pStyle w:val="214"/>
              <w:rPr>
                <w:rFonts w:hint="eastAsia"/>
                <w:color w:val="auto"/>
                <w:highlight w:val="none"/>
              </w:rPr>
            </w:pPr>
          </w:p>
        </w:tc>
        <w:tc>
          <w:tcPr>
            <w:tcW w:w="1017" w:type="dxa"/>
          </w:tcPr>
          <w:p w14:paraId="577CFBAA">
            <w:pPr>
              <w:pStyle w:val="214"/>
              <w:rPr>
                <w:rFonts w:hint="eastAsia"/>
                <w:color w:val="auto"/>
                <w:highlight w:val="none"/>
              </w:rPr>
            </w:pPr>
          </w:p>
        </w:tc>
        <w:tc>
          <w:tcPr>
            <w:tcW w:w="798" w:type="dxa"/>
          </w:tcPr>
          <w:p w14:paraId="3AF6F4F2">
            <w:pPr>
              <w:pStyle w:val="214"/>
              <w:rPr>
                <w:rFonts w:hint="eastAsia"/>
                <w:color w:val="auto"/>
                <w:highlight w:val="none"/>
              </w:rPr>
            </w:pPr>
          </w:p>
        </w:tc>
        <w:tc>
          <w:tcPr>
            <w:tcW w:w="1060" w:type="dxa"/>
          </w:tcPr>
          <w:p w14:paraId="5ECDB233">
            <w:pPr>
              <w:pStyle w:val="214"/>
              <w:rPr>
                <w:rFonts w:hint="eastAsia"/>
                <w:color w:val="auto"/>
                <w:highlight w:val="none"/>
              </w:rPr>
            </w:pPr>
          </w:p>
        </w:tc>
        <w:tc>
          <w:tcPr>
            <w:tcW w:w="852" w:type="dxa"/>
          </w:tcPr>
          <w:p w14:paraId="7A381A3B">
            <w:pPr>
              <w:pStyle w:val="214"/>
              <w:rPr>
                <w:rFonts w:hint="eastAsia"/>
                <w:color w:val="auto"/>
                <w:highlight w:val="none"/>
              </w:rPr>
            </w:pPr>
          </w:p>
        </w:tc>
        <w:tc>
          <w:tcPr>
            <w:tcW w:w="1016" w:type="dxa"/>
          </w:tcPr>
          <w:p w14:paraId="24CF63B6">
            <w:pPr>
              <w:pStyle w:val="214"/>
              <w:rPr>
                <w:rFonts w:hint="eastAsia"/>
                <w:color w:val="auto"/>
                <w:highlight w:val="none"/>
              </w:rPr>
            </w:pPr>
          </w:p>
        </w:tc>
        <w:tc>
          <w:tcPr>
            <w:tcW w:w="826" w:type="dxa"/>
          </w:tcPr>
          <w:p w14:paraId="27F0D117">
            <w:pPr>
              <w:pStyle w:val="214"/>
              <w:rPr>
                <w:rFonts w:hint="eastAsia"/>
                <w:color w:val="auto"/>
                <w:highlight w:val="none"/>
              </w:rPr>
            </w:pPr>
          </w:p>
        </w:tc>
        <w:tc>
          <w:tcPr>
            <w:tcW w:w="803" w:type="dxa"/>
            <w:tcBorders>
              <w:right w:val="single" w:color="000000" w:sz="12" w:space="0"/>
            </w:tcBorders>
          </w:tcPr>
          <w:p w14:paraId="217F4A17">
            <w:pPr>
              <w:pStyle w:val="214"/>
              <w:rPr>
                <w:rFonts w:hint="eastAsia"/>
                <w:color w:val="auto"/>
                <w:highlight w:val="none"/>
              </w:rPr>
            </w:pPr>
          </w:p>
        </w:tc>
      </w:tr>
      <w:tr w14:paraId="1785F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68E39B29">
            <w:pPr>
              <w:pStyle w:val="214"/>
              <w:rPr>
                <w:rFonts w:hint="eastAsia"/>
                <w:color w:val="auto"/>
                <w:highlight w:val="none"/>
              </w:rPr>
            </w:pPr>
          </w:p>
        </w:tc>
        <w:tc>
          <w:tcPr>
            <w:tcW w:w="665" w:type="dxa"/>
          </w:tcPr>
          <w:p w14:paraId="38AB6F00">
            <w:pPr>
              <w:pStyle w:val="214"/>
              <w:rPr>
                <w:rFonts w:hint="eastAsia"/>
                <w:color w:val="auto"/>
                <w:highlight w:val="none"/>
              </w:rPr>
            </w:pPr>
          </w:p>
        </w:tc>
        <w:tc>
          <w:tcPr>
            <w:tcW w:w="871" w:type="dxa"/>
          </w:tcPr>
          <w:p w14:paraId="5013A500">
            <w:pPr>
              <w:pStyle w:val="214"/>
              <w:rPr>
                <w:rFonts w:hint="eastAsia"/>
                <w:color w:val="auto"/>
                <w:highlight w:val="none"/>
              </w:rPr>
            </w:pPr>
          </w:p>
        </w:tc>
        <w:tc>
          <w:tcPr>
            <w:tcW w:w="617" w:type="dxa"/>
          </w:tcPr>
          <w:p w14:paraId="1F4ACDD8">
            <w:pPr>
              <w:pStyle w:val="214"/>
              <w:rPr>
                <w:rFonts w:hint="eastAsia"/>
                <w:color w:val="auto"/>
                <w:highlight w:val="none"/>
              </w:rPr>
            </w:pPr>
          </w:p>
        </w:tc>
        <w:tc>
          <w:tcPr>
            <w:tcW w:w="732" w:type="dxa"/>
          </w:tcPr>
          <w:p w14:paraId="4DDCB5DB">
            <w:pPr>
              <w:pStyle w:val="214"/>
              <w:rPr>
                <w:rFonts w:hint="eastAsia"/>
                <w:color w:val="auto"/>
                <w:highlight w:val="none"/>
              </w:rPr>
            </w:pPr>
          </w:p>
        </w:tc>
        <w:tc>
          <w:tcPr>
            <w:tcW w:w="1017" w:type="dxa"/>
          </w:tcPr>
          <w:p w14:paraId="5EE2684C">
            <w:pPr>
              <w:pStyle w:val="214"/>
              <w:rPr>
                <w:rFonts w:hint="eastAsia"/>
                <w:color w:val="auto"/>
                <w:highlight w:val="none"/>
              </w:rPr>
            </w:pPr>
          </w:p>
        </w:tc>
        <w:tc>
          <w:tcPr>
            <w:tcW w:w="798" w:type="dxa"/>
          </w:tcPr>
          <w:p w14:paraId="34DF198C">
            <w:pPr>
              <w:pStyle w:val="214"/>
              <w:rPr>
                <w:rFonts w:hint="eastAsia"/>
                <w:color w:val="auto"/>
                <w:highlight w:val="none"/>
              </w:rPr>
            </w:pPr>
          </w:p>
        </w:tc>
        <w:tc>
          <w:tcPr>
            <w:tcW w:w="1060" w:type="dxa"/>
          </w:tcPr>
          <w:p w14:paraId="78300D51">
            <w:pPr>
              <w:pStyle w:val="214"/>
              <w:rPr>
                <w:rFonts w:hint="eastAsia"/>
                <w:color w:val="auto"/>
                <w:highlight w:val="none"/>
              </w:rPr>
            </w:pPr>
          </w:p>
        </w:tc>
        <w:tc>
          <w:tcPr>
            <w:tcW w:w="852" w:type="dxa"/>
          </w:tcPr>
          <w:p w14:paraId="4115285B">
            <w:pPr>
              <w:pStyle w:val="214"/>
              <w:rPr>
                <w:rFonts w:hint="eastAsia"/>
                <w:color w:val="auto"/>
                <w:highlight w:val="none"/>
              </w:rPr>
            </w:pPr>
          </w:p>
        </w:tc>
        <w:tc>
          <w:tcPr>
            <w:tcW w:w="1016" w:type="dxa"/>
          </w:tcPr>
          <w:p w14:paraId="7E9B0443">
            <w:pPr>
              <w:pStyle w:val="214"/>
              <w:rPr>
                <w:rFonts w:hint="eastAsia"/>
                <w:color w:val="auto"/>
                <w:highlight w:val="none"/>
              </w:rPr>
            </w:pPr>
          </w:p>
        </w:tc>
        <w:tc>
          <w:tcPr>
            <w:tcW w:w="826" w:type="dxa"/>
          </w:tcPr>
          <w:p w14:paraId="41782492">
            <w:pPr>
              <w:pStyle w:val="214"/>
              <w:rPr>
                <w:rFonts w:hint="eastAsia"/>
                <w:color w:val="auto"/>
                <w:highlight w:val="none"/>
              </w:rPr>
            </w:pPr>
          </w:p>
        </w:tc>
        <w:tc>
          <w:tcPr>
            <w:tcW w:w="803" w:type="dxa"/>
            <w:tcBorders>
              <w:right w:val="single" w:color="000000" w:sz="12" w:space="0"/>
            </w:tcBorders>
          </w:tcPr>
          <w:p w14:paraId="27A7FB72">
            <w:pPr>
              <w:pStyle w:val="214"/>
              <w:rPr>
                <w:rFonts w:hint="eastAsia"/>
                <w:color w:val="auto"/>
                <w:highlight w:val="none"/>
              </w:rPr>
            </w:pPr>
          </w:p>
        </w:tc>
      </w:tr>
      <w:tr w14:paraId="4212F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12EB41BC">
            <w:pPr>
              <w:pStyle w:val="214"/>
              <w:rPr>
                <w:rFonts w:hint="eastAsia"/>
                <w:color w:val="auto"/>
                <w:highlight w:val="none"/>
              </w:rPr>
            </w:pPr>
          </w:p>
        </w:tc>
        <w:tc>
          <w:tcPr>
            <w:tcW w:w="665" w:type="dxa"/>
          </w:tcPr>
          <w:p w14:paraId="3B493CA2">
            <w:pPr>
              <w:pStyle w:val="214"/>
              <w:rPr>
                <w:rFonts w:hint="eastAsia"/>
                <w:color w:val="auto"/>
                <w:highlight w:val="none"/>
              </w:rPr>
            </w:pPr>
          </w:p>
        </w:tc>
        <w:tc>
          <w:tcPr>
            <w:tcW w:w="871" w:type="dxa"/>
          </w:tcPr>
          <w:p w14:paraId="68B7470F">
            <w:pPr>
              <w:pStyle w:val="214"/>
              <w:rPr>
                <w:rFonts w:hint="eastAsia"/>
                <w:color w:val="auto"/>
                <w:highlight w:val="none"/>
              </w:rPr>
            </w:pPr>
          </w:p>
        </w:tc>
        <w:tc>
          <w:tcPr>
            <w:tcW w:w="617" w:type="dxa"/>
          </w:tcPr>
          <w:p w14:paraId="616163D6">
            <w:pPr>
              <w:pStyle w:val="214"/>
              <w:rPr>
                <w:rFonts w:hint="eastAsia"/>
                <w:color w:val="auto"/>
                <w:highlight w:val="none"/>
              </w:rPr>
            </w:pPr>
          </w:p>
        </w:tc>
        <w:tc>
          <w:tcPr>
            <w:tcW w:w="732" w:type="dxa"/>
          </w:tcPr>
          <w:p w14:paraId="4A3DE29D">
            <w:pPr>
              <w:pStyle w:val="214"/>
              <w:rPr>
                <w:rFonts w:hint="eastAsia"/>
                <w:color w:val="auto"/>
                <w:highlight w:val="none"/>
              </w:rPr>
            </w:pPr>
          </w:p>
        </w:tc>
        <w:tc>
          <w:tcPr>
            <w:tcW w:w="1017" w:type="dxa"/>
          </w:tcPr>
          <w:p w14:paraId="4982EF9A">
            <w:pPr>
              <w:pStyle w:val="214"/>
              <w:rPr>
                <w:rFonts w:hint="eastAsia"/>
                <w:color w:val="auto"/>
                <w:highlight w:val="none"/>
              </w:rPr>
            </w:pPr>
          </w:p>
        </w:tc>
        <w:tc>
          <w:tcPr>
            <w:tcW w:w="798" w:type="dxa"/>
          </w:tcPr>
          <w:p w14:paraId="03F6DC2D">
            <w:pPr>
              <w:pStyle w:val="214"/>
              <w:rPr>
                <w:rFonts w:hint="eastAsia"/>
                <w:color w:val="auto"/>
                <w:highlight w:val="none"/>
              </w:rPr>
            </w:pPr>
          </w:p>
        </w:tc>
        <w:tc>
          <w:tcPr>
            <w:tcW w:w="1060" w:type="dxa"/>
          </w:tcPr>
          <w:p w14:paraId="4B5642CB">
            <w:pPr>
              <w:pStyle w:val="214"/>
              <w:rPr>
                <w:rFonts w:hint="eastAsia"/>
                <w:color w:val="auto"/>
                <w:highlight w:val="none"/>
              </w:rPr>
            </w:pPr>
          </w:p>
        </w:tc>
        <w:tc>
          <w:tcPr>
            <w:tcW w:w="852" w:type="dxa"/>
          </w:tcPr>
          <w:p w14:paraId="2B9C36E7">
            <w:pPr>
              <w:pStyle w:val="214"/>
              <w:rPr>
                <w:rFonts w:hint="eastAsia"/>
                <w:color w:val="auto"/>
                <w:highlight w:val="none"/>
              </w:rPr>
            </w:pPr>
          </w:p>
        </w:tc>
        <w:tc>
          <w:tcPr>
            <w:tcW w:w="1016" w:type="dxa"/>
          </w:tcPr>
          <w:p w14:paraId="2847B805">
            <w:pPr>
              <w:pStyle w:val="214"/>
              <w:rPr>
                <w:rFonts w:hint="eastAsia"/>
                <w:color w:val="auto"/>
                <w:highlight w:val="none"/>
              </w:rPr>
            </w:pPr>
          </w:p>
        </w:tc>
        <w:tc>
          <w:tcPr>
            <w:tcW w:w="826" w:type="dxa"/>
          </w:tcPr>
          <w:p w14:paraId="4449339C">
            <w:pPr>
              <w:pStyle w:val="214"/>
              <w:rPr>
                <w:rFonts w:hint="eastAsia"/>
                <w:color w:val="auto"/>
                <w:highlight w:val="none"/>
              </w:rPr>
            </w:pPr>
          </w:p>
        </w:tc>
        <w:tc>
          <w:tcPr>
            <w:tcW w:w="803" w:type="dxa"/>
            <w:tcBorders>
              <w:right w:val="single" w:color="000000" w:sz="12" w:space="0"/>
            </w:tcBorders>
          </w:tcPr>
          <w:p w14:paraId="559AC0C0">
            <w:pPr>
              <w:pStyle w:val="214"/>
              <w:rPr>
                <w:rFonts w:hint="eastAsia"/>
                <w:color w:val="auto"/>
                <w:highlight w:val="none"/>
              </w:rPr>
            </w:pPr>
          </w:p>
        </w:tc>
      </w:tr>
      <w:tr w14:paraId="7A341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590" w:type="dxa"/>
            <w:tcBorders>
              <w:left w:val="single" w:color="000000" w:sz="12" w:space="0"/>
              <w:bottom w:val="single" w:color="000000" w:sz="12" w:space="0"/>
            </w:tcBorders>
          </w:tcPr>
          <w:p w14:paraId="18993415">
            <w:pPr>
              <w:pStyle w:val="214"/>
              <w:rPr>
                <w:rFonts w:hint="eastAsia"/>
                <w:color w:val="auto"/>
                <w:highlight w:val="none"/>
              </w:rPr>
            </w:pPr>
          </w:p>
        </w:tc>
        <w:tc>
          <w:tcPr>
            <w:tcW w:w="665" w:type="dxa"/>
            <w:tcBorders>
              <w:bottom w:val="single" w:color="000000" w:sz="12" w:space="0"/>
            </w:tcBorders>
          </w:tcPr>
          <w:p w14:paraId="66B431F1">
            <w:pPr>
              <w:pStyle w:val="214"/>
              <w:rPr>
                <w:rFonts w:hint="eastAsia"/>
                <w:color w:val="auto"/>
                <w:highlight w:val="none"/>
              </w:rPr>
            </w:pPr>
          </w:p>
        </w:tc>
        <w:tc>
          <w:tcPr>
            <w:tcW w:w="871" w:type="dxa"/>
            <w:tcBorders>
              <w:bottom w:val="single" w:color="000000" w:sz="12" w:space="0"/>
            </w:tcBorders>
          </w:tcPr>
          <w:p w14:paraId="245076C3">
            <w:pPr>
              <w:pStyle w:val="214"/>
              <w:rPr>
                <w:rFonts w:hint="eastAsia"/>
                <w:color w:val="auto"/>
                <w:highlight w:val="none"/>
              </w:rPr>
            </w:pPr>
          </w:p>
        </w:tc>
        <w:tc>
          <w:tcPr>
            <w:tcW w:w="617" w:type="dxa"/>
            <w:tcBorders>
              <w:bottom w:val="single" w:color="000000" w:sz="12" w:space="0"/>
            </w:tcBorders>
          </w:tcPr>
          <w:p w14:paraId="3FC9192C">
            <w:pPr>
              <w:pStyle w:val="214"/>
              <w:rPr>
                <w:rFonts w:hint="eastAsia"/>
                <w:color w:val="auto"/>
                <w:highlight w:val="none"/>
              </w:rPr>
            </w:pPr>
          </w:p>
        </w:tc>
        <w:tc>
          <w:tcPr>
            <w:tcW w:w="732" w:type="dxa"/>
            <w:tcBorders>
              <w:bottom w:val="single" w:color="000000" w:sz="12" w:space="0"/>
            </w:tcBorders>
          </w:tcPr>
          <w:p w14:paraId="4AB65C2D">
            <w:pPr>
              <w:pStyle w:val="214"/>
              <w:rPr>
                <w:rFonts w:hint="eastAsia"/>
                <w:color w:val="auto"/>
                <w:highlight w:val="none"/>
              </w:rPr>
            </w:pPr>
          </w:p>
        </w:tc>
        <w:tc>
          <w:tcPr>
            <w:tcW w:w="1017" w:type="dxa"/>
            <w:tcBorders>
              <w:bottom w:val="single" w:color="000000" w:sz="12" w:space="0"/>
            </w:tcBorders>
          </w:tcPr>
          <w:p w14:paraId="7CEFB9C0">
            <w:pPr>
              <w:pStyle w:val="214"/>
              <w:rPr>
                <w:rFonts w:hint="eastAsia"/>
                <w:color w:val="auto"/>
                <w:highlight w:val="none"/>
              </w:rPr>
            </w:pPr>
          </w:p>
        </w:tc>
        <w:tc>
          <w:tcPr>
            <w:tcW w:w="798" w:type="dxa"/>
            <w:tcBorders>
              <w:bottom w:val="single" w:color="000000" w:sz="12" w:space="0"/>
            </w:tcBorders>
          </w:tcPr>
          <w:p w14:paraId="3D5BB5A4">
            <w:pPr>
              <w:pStyle w:val="214"/>
              <w:rPr>
                <w:rFonts w:hint="eastAsia"/>
                <w:color w:val="auto"/>
                <w:highlight w:val="none"/>
              </w:rPr>
            </w:pPr>
          </w:p>
        </w:tc>
        <w:tc>
          <w:tcPr>
            <w:tcW w:w="1060" w:type="dxa"/>
            <w:tcBorders>
              <w:bottom w:val="single" w:color="000000" w:sz="12" w:space="0"/>
            </w:tcBorders>
          </w:tcPr>
          <w:p w14:paraId="66B17F52">
            <w:pPr>
              <w:pStyle w:val="214"/>
              <w:rPr>
                <w:rFonts w:hint="eastAsia"/>
                <w:color w:val="auto"/>
                <w:highlight w:val="none"/>
              </w:rPr>
            </w:pPr>
          </w:p>
        </w:tc>
        <w:tc>
          <w:tcPr>
            <w:tcW w:w="852" w:type="dxa"/>
            <w:tcBorders>
              <w:bottom w:val="single" w:color="000000" w:sz="12" w:space="0"/>
            </w:tcBorders>
          </w:tcPr>
          <w:p w14:paraId="0A0E71CA">
            <w:pPr>
              <w:pStyle w:val="214"/>
              <w:rPr>
                <w:rFonts w:hint="eastAsia"/>
                <w:color w:val="auto"/>
                <w:highlight w:val="none"/>
              </w:rPr>
            </w:pPr>
          </w:p>
        </w:tc>
        <w:tc>
          <w:tcPr>
            <w:tcW w:w="1016" w:type="dxa"/>
            <w:tcBorders>
              <w:bottom w:val="single" w:color="000000" w:sz="12" w:space="0"/>
            </w:tcBorders>
          </w:tcPr>
          <w:p w14:paraId="2C697001">
            <w:pPr>
              <w:pStyle w:val="214"/>
              <w:rPr>
                <w:rFonts w:hint="eastAsia"/>
                <w:color w:val="auto"/>
                <w:highlight w:val="none"/>
              </w:rPr>
            </w:pPr>
          </w:p>
        </w:tc>
        <w:tc>
          <w:tcPr>
            <w:tcW w:w="826" w:type="dxa"/>
            <w:tcBorders>
              <w:bottom w:val="single" w:color="000000" w:sz="12" w:space="0"/>
            </w:tcBorders>
          </w:tcPr>
          <w:p w14:paraId="1F9B6C47">
            <w:pPr>
              <w:pStyle w:val="214"/>
              <w:rPr>
                <w:rFonts w:hint="eastAsia"/>
                <w:color w:val="auto"/>
                <w:highlight w:val="none"/>
              </w:rPr>
            </w:pPr>
          </w:p>
        </w:tc>
        <w:tc>
          <w:tcPr>
            <w:tcW w:w="803" w:type="dxa"/>
            <w:tcBorders>
              <w:bottom w:val="single" w:color="000000" w:sz="12" w:space="0"/>
              <w:right w:val="single" w:color="000000" w:sz="12" w:space="0"/>
            </w:tcBorders>
          </w:tcPr>
          <w:p w14:paraId="7B1B0145">
            <w:pPr>
              <w:pStyle w:val="214"/>
              <w:rPr>
                <w:rFonts w:hint="eastAsia"/>
                <w:color w:val="auto"/>
                <w:highlight w:val="none"/>
              </w:rPr>
            </w:pPr>
          </w:p>
        </w:tc>
      </w:tr>
    </w:tbl>
    <w:p w14:paraId="539B0690">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21E91F51">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p>
    <w:p w14:paraId="7227FBFF">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p>
    <w:p w14:paraId="20AC543C">
      <w:pPr>
        <w:spacing w:before="68" w:line="223" w:lineRule="auto"/>
        <w:rPr>
          <w:rFonts w:hint="eastAsia" w:ascii="宋体" w:hAnsi="宋体" w:eastAsia="宋体" w:cs="宋体"/>
          <w:color w:val="auto"/>
          <w:spacing w:val="-6"/>
          <w:szCs w:val="21"/>
          <w:highlight w:val="none"/>
        </w:rPr>
        <w:sectPr>
          <w:footerReference r:id="rId11" w:type="default"/>
          <w:pgSz w:w="11906" w:h="16838"/>
          <w:pgMar w:top="1134" w:right="1134" w:bottom="1134" w:left="1134" w:header="851" w:footer="850" w:gutter="0"/>
          <w:cols w:space="720" w:num="1"/>
          <w:docGrid w:linePitch="312" w:charSpace="0"/>
        </w:sectPr>
      </w:pPr>
    </w:p>
    <w:p w14:paraId="52BD9D5D">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w:t>
      </w:r>
      <w:r>
        <w:rPr>
          <w:rFonts w:hint="eastAsia" w:ascii="宋体" w:hAnsi="宋体" w:eastAsia="宋体" w:cs="宋体"/>
          <w:color w:val="auto"/>
          <w:spacing w:val="-49"/>
          <w:szCs w:val="21"/>
          <w:highlight w:val="none"/>
        </w:rPr>
        <w:t xml:space="preserve"> </w:t>
      </w:r>
      <w:r>
        <w:rPr>
          <w:rFonts w:hint="eastAsia" w:ascii="宋体" w:hAnsi="宋体" w:eastAsia="宋体" w:cs="宋体"/>
          <w:color w:val="auto"/>
          <w:spacing w:val="-6"/>
          <w:szCs w:val="21"/>
          <w:highlight w:val="none"/>
        </w:rPr>
        <w:t>4</w:t>
      </w:r>
    </w:p>
    <w:p w14:paraId="5656CD32">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米面粮油供货及验收清单</w:t>
      </w:r>
    </w:p>
    <w:tbl>
      <w:tblPr>
        <w:tblStyle w:val="215"/>
        <w:tblW w:w="1004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647"/>
        <w:gridCol w:w="871"/>
        <w:gridCol w:w="701"/>
        <w:gridCol w:w="853"/>
        <w:gridCol w:w="1062"/>
        <w:gridCol w:w="761"/>
        <w:gridCol w:w="1088"/>
        <w:gridCol w:w="789"/>
        <w:gridCol w:w="988"/>
        <w:gridCol w:w="882"/>
        <w:gridCol w:w="794"/>
      </w:tblGrid>
      <w:tr w14:paraId="415F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608" w:type="dxa"/>
            <w:tcBorders>
              <w:top w:val="single" w:color="000000" w:sz="12" w:space="0"/>
              <w:left w:val="single" w:color="000000" w:sz="12" w:space="0"/>
            </w:tcBorders>
          </w:tcPr>
          <w:p w14:paraId="5D8257EA">
            <w:pPr>
              <w:spacing w:before="183" w:line="223" w:lineRule="auto"/>
              <w:ind w:left="11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647" w:type="dxa"/>
            <w:tcBorders>
              <w:top w:val="single" w:color="000000" w:sz="12" w:space="0"/>
            </w:tcBorders>
          </w:tcPr>
          <w:p w14:paraId="64986A4D">
            <w:pPr>
              <w:spacing w:before="184" w:line="222" w:lineRule="auto"/>
              <w:ind w:left="14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品名</w:t>
            </w:r>
          </w:p>
        </w:tc>
        <w:tc>
          <w:tcPr>
            <w:tcW w:w="871" w:type="dxa"/>
            <w:tcBorders>
              <w:top w:val="single" w:color="000000" w:sz="12" w:space="0"/>
            </w:tcBorders>
          </w:tcPr>
          <w:p w14:paraId="2292133C">
            <w:pPr>
              <w:spacing w:before="62" w:line="238" w:lineRule="auto"/>
              <w:ind w:left="235" w:right="252" w:firstLine="1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数量</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w:t>
            </w:r>
          </w:p>
        </w:tc>
        <w:tc>
          <w:tcPr>
            <w:tcW w:w="701" w:type="dxa"/>
            <w:tcBorders>
              <w:top w:val="single" w:color="000000" w:sz="12" w:space="0"/>
            </w:tcBorders>
          </w:tcPr>
          <w:p w14:paraId="7B3686E0">
            <w:pPr>
              <w:spacing w:before="183" w:line="223" w:lineRule="auto"/>
              <w:ind w:left="163"/>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产地</w:t>
            </w:r>
          </w:p>
        </w:tc>
        <w:tc>
          <w:tcPr>
            <w:tcW w:w="853" w:type="dxa"/>
            <w:tcBorders>
              <w:top w:val="single" w:color="000000" w:sz="12" w:space="0"/>
            </w:tcBorders>
          </w:tcPr>
          <w:p w14:paraId="10AEC133">
            <w:pPr>
              <w:spacing w:before="184" w:line="222" w:lineRule="auto"/>
              <w:ind w:left="251"/>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品牌</w:t>
            </w:r>
          </w:p>
        </w:tc>
        <w:tc>
          <w:tcPr>
            <w:tcW w:w="1062" w:type="dxa"/>
            <w:tcBorders>
              <w:top w:val="single" w:color="000000" w:sz="12" w:space="0"/>
            </w:tcBorders>
          </w:tcPr>
          <w:p w14:paraId="11F4CAAF">
            <w:pPr>
              <w:spacing w:before="184" w:line="219" w:lineRule="auto"/>
              <w:ind w:left="17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执行标准</w:t>
            </w:r>
          </w:p>
        </w:tc>
        <w:tc>
          <w:tcPr>
            <w:tcW w:w="761" w:type="dxa"/>
            <w:tcBorders>
              <w:top w:val="single" w:color="000000" w:sz="12" w:space="0"/>
            </w:tcBorders>
          </w:tcPr>
          <w:p w14:paraId="63369BCE">
            <w:pPr>
              <w:spacing w:before="183" w:line="222" w:lineRule="auto"/>
              <w:ind w:left="113"/>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生产商</w:t>
            </w:r>
          </w:p>
        </w:tc>
        <w:tc>
          <w:tcPr>
            <w:tcW w:w="1088" w:type="dxa"/>
            <w:tcBorders>
              <w:top w:val="single" w:color="000000" w:sz="12" w:space="0"/>
            </w:tcBorders>
          </w:tcPr>
          <w:p w14:paraId="1BE94663">
            <w:pPr>
              <w:spacing w:before="64" w:line="234" w:lineRule="auto"/>
              <w:ind w:left="278" w:right="176" w:hanging="9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包装标准</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及要求</w:t>
            </w:r>
          </w:p>
        </w:tc>
        <w:tc>
          <w:tcPr>
            <w:tcW w:w="789" w:type="dxa"/>
            <w:tcBorders>
              <w:top w:val="single" w:color="000000" w:sz="12" w:space="0"/>
            </w:tcBorders>
          </w:tcPr>
          <w:p w14:paraId="144082F2">
            <w:pPr>
              <w:spacing w:before="62" w:line="235" w:lineRule="auto"/>
              <w:ind w:left="134" w:right="113"/>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运输保</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3"/>
                <w:sz w:val="18"/>
                <w:szCs w:val="18"/>
                <w:highlight w:val="none"/>
              </w:rPr>
              <w:t>管条件</w:t>
            </w:r>
          </w:p>
        </w:tc>
        <w:tc>
          <w:tcPr>
            <w:tcW w:w="988" w:type="dxa"/>
            <w:tcBorders>
              <w:top w:val="single" w:color="000000" w:sz="12" w:space="0"/>
            </w:tcBorders>
          </w:tcPr>
          <w:p w14:paraId="73446E29">
            <w:pPr>
              <w:spacing w:before="62" w:line="235" w:lineRule="auto"/>
              <w:ind w:left="236" w:right="209" w:firstLine="87"/>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产品</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合格证</w:t>
            </w:r>
          </w:p>
        </w:tc>
        <w:tc>
          <w:tcPr>
            <w:tcW w:w="882" w:type="dxa"/>
            <w:tcBorders>
              <w:top w:val="single" w:color="000000" w:sz="12" w:space="0"/>
            </w:tcBorders>
          </w:tcPr>
          <w:p w14:paraId="2290CDBF">
            <w:pPr>
              <w:spacing w:before="63" w:line="235" w:lineRule="auto"/>
              <w:ind w:left="196" w:right="172" w:firstLine="82"/>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单价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c>
          <w:tcPr>
            <w:tcW w:w="794" w:type="dxa"/>
            <w:tcBorders>
              <w:top w:val="single" w:color="000000" w:sz="12" w:space="0"/>
              <w:right w:val="single" w:color="000000" w:sz="12" w:space="0"/>
            </w:tcBorders>
          </w:tcPr>
          <w:p w14:paraId="44C610A2">
            <w:pPr>
              <w:spacing w:before="63" w:line="235" w:lineRule="auto"/>
              <w:ind w:left="147" w:right="123" w:firstLine="81"/>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总价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r>
      <w:tr w14:paraId="11F06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46E2D676">
            <w:pPr>
              <w:pStyle w:val="214"/>
              <w:rPr>
                <w:rFonts w:hint="eastAsia"/>
                <w:color w:val="auto"/>
                <w:highlight w:val="none"/>
              </w:rPr>
            </w:pPr>
          </w:p>
        </w:tc>
        <w:tc>
          <w:tcPr>
            <w:tcW w:w="647" w:type="dxa"/>
          </w:tcPr>
          <w:p w14:paraId="3D14AEA2">
            <w:pPr>
              <w:pStyle w:val="214"/>
              <w:rPr>
                <w:rFonts w:hint="eastAsia"/>
                <w:color w:val="auto"/>
                <w:highlight w:val="none"/>
              </w:rPr>
            </w:pPr>
          </w:p>
        </w:tc>
        <w:tc>
          <w:tcPr>
            <w:tcW w:w="871" w:type="dxa"/>
          </w:tcPr>
          <w:p w14:paraId="4C7ED509">
            <w:pPr>
              <w:pStyle w:val="214"/>
              <w:rPr>
                <w:rFonts w:hint="eastAsia"/>
                <w:color w:val="auto"/>
                <w:highlight w:val="none"/>
              </w:rPr>
            </w:pPr>
          </w:p>
        </w:tc>
        <w:tc>
          <w:tcPr>
            <w:tcW w:w="701" w:type="dxa"/>
          </w:tcPr>
          <w:p w14:paraId="6B88F13F">
            <w:pPr>
              <w:pStyle w:val="214"/>
              <w:rPr>
                <w:rFonts w:hint="eastAsia"/>
                <w:color w:val="auto"/>
                <w:highlight w:val="none"/>
              </w:rPr>
            </w:pPr>
          </w:p>
        </w:tc>
        <w:tc>
          <w:tcPr>
            <w:tcW w:w="853" w:type="dxa"/>
          </w:tcPr>
          <w:p w14:paraId="3B960530">
            <w:pPr>
              <w:pStyle w:val="214"/>
              <w:rPr>
                <w:rFonts w:hint="eastAsia"/>
                <w:color w:val="auto"/>
                <w:highlight w:val="none"/>
              </w:rPr>
            </w:pPr>
          </w:p>
        </w:tc>
        <w:tc>
          <w:tcPr>
            <w:tcW w:w="1062" w:type="dxa"/>
          </w:tcPr>
          <w:p w14:paraId="24E13D7E">
            <w:pPr>
              <w:pStyle w:val="214"/>
              <w:rPr>
                <w:rFonts w:hint="eastAsia"/>
                <w:color w:val="auto"/>
                <w:highlight w:val="none"/>
              </w:rPr>
            </w:pPr>
          </w:p>
        </w:tc>
        <w:tc>
          <w:tcPr>
            <w:tcW w:w="761" w:type="dxa"/>
          </w:tcPr>
          <w:p w14:paraId="5B05A768">
            <w:pPr>
              <w:pStyle w:val="214"/>
              <w:rPr>
                <w:rFonts w:hint="eastAsia"/>
                <w:color w:val="auto"/>
                <w:highlight w:val="none"/>
              </w:rPr>
            </w:pPr>
          </w:p>
        </w:tc>
        <w:tc>
          <w:tcPr>
            <w:tcW w:w="1088" w:type="dxa"/>
          </w:tcPr>
          <w:p w14:paraId="0FABBF61">
            <w:pPr>
              <w:pStyle w:val="214"/>
              <w:rPr>
                <w:rFonts w:hint="eastAsia"/>
                <w:color w:val="auto"/>
                <w:highlight w:val="none"/>
              </w:rPr>
            </w:pPr>
          </w:p>
        </w:tc>
        <w:tc>
          <w:tcPr>
            <w:tcW w:w="789" w:type="dxa"/>
          </w:tcPr>
          <w:p w14:paraId="73476575">
            <w:pPr>
              <w:pStyle w:val="214"/>
              <w:rPr>
                <w:rFonts w:hint="eastAsia"/>
                <w:color w:val="auto"/>
                <w:highlight w:val="none"/>
              </w:rPr>
            </w:pPr>
          </w:p>
        </w:tc>
        <w:tc>
          <w:tcPr>
            <w:tcW w:w="988" w:type="dxa"/>
          </w:tcPr>
          <w:p w14:paraId="574F17FC">
            <w:pPr>
              <w:pStyle w:val="214"/>
              <w:rPr>
                <w:rFonts w:hint="eastAsia"/>
                <w:color w:val="auto"/>
                <w:highlight w:val="none"/>
              </w:rPr>
            </w:pPr>
          </w:p>
        </w:tc>
        <w:tc>
          <w:tcPr>
            <w:tcW w:w="882" w:type="dxa"/>
          </w:tcPr>
          <w:p w14:paraId="2FAD961E">
            <w:pPr>
              <w:pStyle w:val="214"/>
              <w:rPr>
                <w:rFonts w:hint="eastAsia"/>
                <w:color w:val="auto"/>
                <w:highlight w:val="none"/>
              </w:rPr>
            </w:pPr>
          </w:p>
        </w:tc>
        <w:tc>
          <w:tcPr>
            <w:tcW w:w="794" w:type="dxa"/>
            <w:tcBorders>
              <w:right w:val="single" w:color="000000" w:sz="12" w:space="0"/>
            </w:tcBorders>
          </w:tcPr>
          <w:p w14:paraId="514D3D6D">
            <w:pPr>
              <w:pStyle w:val="214"/>
              <w:rPr>
                <w:rFonts w:hint="eastAsia"/>
                <w:color w:val="auto"/>
                <w:highlight w:val="none"/>
              </w:rPr>
            </w:pPr>
          </w:p>
        </w:tc>
      </w:tr>
      <w:tr w14:paraId="18B9F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385614AC">
            <w:pPr>
              <w:pStyle w:val="214"/>
              <w:rPr>
                <w:rFonts w:hint="eastAsia"/>
                <w:color w:val="auto"/>
                <w:highlight w:val="none"/>
              </w:rPr>
            </w:pPr>
          </w:p>
        </w:tc>
        <w:tc>
          <w:tcPr>
            <w:tcW w:w="647" w:type="dxa"/>
          </w:tcPr>
          <w:p w14:paraId="4C7C884B">
            <w:pPr>
              <w:pStyle w:val="214"/>
              <w:rPr>
                <w:rFonts w:hint="eastAsia"/>
                <w:color w:val="auto"/>
                <w:highlight w:val="none"/>
              </w:rPr>
            </w:pPr>
          </w:p>
        </w:tc>
        <w:tc>
          <w:tcPr>
            <w:tcW w:w="871" w:type="dxa"/>
          </w:tcPr>
          <w:p w14:paraId="25ECEA16">
            <w:pPr>
              <w:pStyle w:val="214"/>
              <w:rPr>
                <w:rFonts w:hint="eastAsia"/>
                <w:color w:val="auto"/>
                <w:highlight w:val="none"/>
              </w:rPr>
            </w:pPr>
          </w:p>
        </w:tc>
        <w:tc>
          <w:tcPr>
            <w:tcW w:w="701" w:type="dxa"/>
          </w:tcPr>
          <w:p w14:paraId="04A03C5E">
            <w:pPr>
              <w:pStyle w:val="214"/>
              <w:rPr>
                <w:rFonts w:hint="eastAsia"/>
                <w:color w:val="auto"/>
                <w:highlight w:val="none"/>
              </w:rPr>
            </w:pPr>
          </w:p>
        </w:tc>
        <w:tc>
          <w:tcPr>
            <w:tcW w:w="853" w:type="dxa"/>
          </w:tcPr>
          <w:p w14:paraId="6DB75D1D">
            <w:pPr>
              <w:pStyle w:val="214"/>
              <w:rPr>
                <w:rFonts w:hint="eastAsia"/>
                <w:color w:val="auto"/>
                <w:highlight w:val="none"/>
              </w:rPr>
            </w:pPr>
          </w:p>
        </w:tc>
        <w:tc>
          <w:tcPr>
            <w:tcW w:w="1062" w:type="dxa"/>
          </w:tcPr>
          <w:p w14:paraId="120416BD">
            <w:pPr>
              <w:pStyle w:val="214"/>
              <w:rPr>
                <w:rFonts w:hint="eastAsia"/>
                <w:color w:val="auto"/>
                <w:highlight w:val="none"/>
              </w:rPr>
            </w:pPr>
          </w:p>
        </w:tc>
        <w:tc>
          <w:tcPr>
            <w:tcW w:w="761" w:type="dxa"/>
          </w:tcPr>
          <w:p w14:paraId="2361CC22">
            <w:pPr>
              <w:pStyle w:val="214"/>
              <w:rPr>
                <w:rFonts w:hint="eastAsia"/>
                <w:color w:val="auto"/>
                <w:highlight w:val="none"/>
              </w:rPr>
            </w:pPr>
          </w:p>
        </w:tc>
        <w:tc>
          <w:tcPr>
            <w:tcW w:w="1088" w:type="dxa"/>
          </w:tcPr>
          <w:p w14:paraId="6784FBC9">
            <w:pPr>
              <w:pStyle w:val="214"/>
              <w:rPr>
                <w:rFonts w:hint="eastAsia"/>
                <w:color w:val="auto"/>
                <w:highlight w:val="none"/>
              </w:rPr>
            </w:pPr>
          </w:p>
        </w:tc>
        <w:tc>
          <w:tcPr>
            <w:tcW w:w="789" w:type="dxa"/>
          </w:tcPr>
          <w:p w14:paraId="40439201">
            <w:pPr>
              <w:pStyle w:val="214"/>
              <w:rPr>
                <w:rFonts w:hint="eastAsia"/>
                <w:color w:val="auto"/>
                <w:highlight w:val="none"/>
              </w:rPr>
            </w:pPr>
          </w:p>
        </w:tc>
        <w:tc>
          <w:tcPr>
            <w:tcW w:w="988" w:type="dxa"/>
          </w:tcPr>
          <w:p w14:paraId="10A38864">
            <w:pPr>
              <w:pStyle w:val="214"/>
              <w:rPr>
                <w:rFonts w:hint="eastAsia"/>
                <w:color w:val="auto"/>
                <w:highlight w:val="none"/>
              </w:rPr>
            </w:pPr>
          </w:p>
        </w:tc>
        <w:tc>
          <w:tcPr>
            <w:tcW w:w="882" w:type="dxa"/>
          </w:tcPr>
          <w:p w14:paraId="33A35023">
            <w:pPr>
              <w:pStyle w:val="214"/>
              <w:rPr>
                <w:rFonts w:hint="eastAsia"/>
                <w:color w:val="auto"/>
                <w:highlight w:val="none"/>
              </w:rPr>
            </w:pPr>
          </w:p>
        </w:tc>
        <w:tc>
          <w:tcPr>
            <w:tcW w:w="794" w:type="dxa"/>
            <w:tcBorders>
              <w:right w:val="single" w:color="000000" w:sz="12" w:space="0"/>
            </w:tcBorders>
          </w:tcPr>
          <w:p w14:paraId="48C5159F">
            <w:pPr>
              <w:pStyle w:val="214"/>
              <w:rPr>
                <w:rFonts w:hint="eastAsia"/>
                <w:color w:val="auto"/>
                <w:highlight w:val="none"/>
              </w:rPr>
            </w:pPr>
          </w:p>
        </w:tc>
      </w:tr>
      <w:tr w14:paraId="5A2F0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8" w:type="dxa"/>
            <w:tcBorders>
              <w:left w:val="single" w:color="000000" w:sz="12" w:space="0"/>
            </w:tcBorders>
          </w:tcPr>
          <w:p w14:paraId="7C0F856E">
            <w:pPr>
              <w:pStyle w:val="214"/>
              <w:rPr>
                <w:rFonts w:hint="eastAsia"/>
                <w:color w:val="auto"/>
                <w:highlight w:val="none"/>
              </w:rPr>
            </w:pPr>
          </w:p>
        </w:tc>
        <w:tc>
          <w:tcPr>
            <w:tcW w:w="647" w:type="dxa"/>
          </w:tcPr>
          <w:p w14:paraId="13DCA489">
            <w:pPr>
              <w:pStyle w:val="214"/>
              <w:rPr>
                <w:rFonts w:hint="eastAsia"/>
                <w:color w:val="auto"/>
                <w:highlight w:val="none"/>
              </w:rPr>
            </w:pPr>
          </w:p>
        </w:tc>
        <w:tc>
          <w:tcPr>
            <w:tcW w:w="871" w:type="dxa"/>
          </w:tcPr>
          <w:p w14:paraId="06E25274">
            <w:pPr>
              <w:pStyle w:val="214"/>
              <w:rPr>
                <w:rFonts w:hint="eastAsia"/>
                <w:color w:val="auto"/>
                <w:highlight w:val="none"/>
              </w:rPr>
            </w:pPr>
          </w:p>
        </w:tc>
        <w:tc>
          <w:tcPr>
            <w:tcW w:w="701" w:type="dxa"/>
          </w:tcPr>
          <w:p w14:paraId="41D3F9BD">
            <w:pPr>
              <w:pStyle w:val="214"/>
              <w:rPr>
                <w:rFonts w:hint="eastAsia"/>
                <w:color w:val="auto"/>
                <w:highlight w:val="none"/>
              </w:rPr>
            </w:pPr>
          </w:p>
        </w:tc>
        <w:tc>
          <w:tcPr>
            <w:tcW w:w="853" w:type="dxa"/>
          </w:tcPr>
          <w:p w14:paraId="6B2CA2D2">
            <w:pPr>
              <w:pStyle w:val="214"/>
              <w:rPr>
                <w:rFonts w:hint="eastAsia"/>
                <w:color w:val="auto"/>
                <w:highlight w:val="none"/>
              </w:rPr>
            </w:pPr>
          </w:p>
        </w:tc>
        <w:tc>
          <w:tcPr>
            <w:tcW w:w="1062" w:type="dxa"/>
          </w:tcPr>
          <w:p w14:paraId="11B13541">
            <w:pPr>
              <w:pStyle w:val="214"/>
              <w:rPr>
                <w:rFonts w:hint="eastAsia"/>
                <w:color w:val="auto"/>
                <w:highlight w:val="none"/>
              </w:rPr>
            </w:pPr>
          </w:p>
        </w:tc>
        <w:tc>
          <w:tcPr>
            <w:tcW w:w="761" w:type="dxa"/>
          </w:tcPr>
          <w:p w14:paraId="000B3A3B">
            <w:pPr>
              <w:pStyle w:val="214"/>
              <w:rPr>
                <w:rFonts w:hint="eastAsia"/>
                <w:color w:val="auto"/>
                <w:highlight w:val="none"/>
              </w:rPr>
            </w:pPr>
          </w:p>
        </w:tc>
        <w:tc>
          <w:tcPr>
            <w:tcW w:w="1088" w:type="dxa"/>
          </w:tcPr>
          <w:p w14:paraId="26CE9247">
            <w:pPr>
              <w:pStyle w:val="214"/>
              <w:rPr>
                <w:rFonts w:hint="eastAsia"/>
                <w:color w:val="auto"/>
                <w:highlight w:val="none"/>
              </w:rPr>
            </w:pPr>
          </w:p>
        </w:tc>
        <w:tc>
          <w:tcPr>
            <w:tcW w:w="789" w:type="dxa"/>
          </w:tcPr>
          <w:p w14:paraId="7D10EFED">
            <w:pPr>
              <w:pStyle w:val="214"/>
              <w:rPr>
                <w:rFonts w:hint="eastAsia"/>
                <w:color w:val="auto"/>
                <w:highlight w:val="none"/>
              </w:rPr>
            </w:pPr>
          </w:p>
        </w:tc>
        <w:tc>
          <w:tcPr>
            <w:tcW w:w="988" w:type="dxa"/>
          </w:tcPr>
          <w:p w14:paraId="694AB352">
            <w:pPr>
              <w:pStyle w:val="214"/>
              <w:rPr>
                <w:rFonts w:hint="eastAsia"/>
                <w:color w:val="auto"/>
                <w:highlight w:val="none"/>
              </w:rPr>
            </w:pPr>
          </w:p>
        </w:tc>
        <w:tc>
          <w:tcPr>
            <w:tcW w:w="882" w:type="dxa"/>
          </w:tcPr>
          <w:p w14:paraId="4A7001A9">
            <w:pPr>
              <w:pStyle w:val="214"/>
              <w:rPr>
                <w:rFonts w:hint="eastAsia"/>
                <w:color w:val="auto"/>
                <w:highlight w:val="none"/>
              </w:rPr>
            </w:pPr>
          </w:p>
        </w:tc>
        <w:tc>
          <w:tcPr>
            <w:tcW w:w="794" w:type="dxa"/>
            <w:tcBorders>
              <w:right w:val="single" w:color="000000" w:sz="12" w:space="0"/>
            </w:tcBorders>
          </w:tcPr>
          <w:p w14:paraId="1622BC29">
            <w:pPr>
              <w:pStyle w:val="214"/>
              <w:rPr>
                <w:rFonts w:hint="eastAsia"/>
                <w:color w:val="auto"/>
                <w:highlight w:val="none"/>
              </w:rPr>
            </w:pPr>
          </w:p>
        </w:tc>
      </w:tr>
      <w:tr w14:paraId="16ED1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297D6223">
            <w:pPr>
              <w:pStyle w:val="214"/>
              <w:rPr>
                <w:rFonts w:hint="eastAsia"/>
                <w:color w:val="auto"/>
                <w:highlight w:val="none"/>
              </w:rPr>
            </w:pPr>
          </w:p>
        </w:tc>
        <w:tc>
          <w:tcPr>
            <w:tcW w:w="647" w:type="dxa"/>
          </w:tcPr>
          <w:p w14:paraId="246A8234">
            <w:pPr>
              <w:pStyle w:val="214"/>
              <w:rPr>
                <w:rFonts w:hint="eastAsia"/>
                <w:color w:val="auto"/>
                <w:highlight w:val="none"/>
              </w:rPr>
            </w:pPr>
          </w:p>
        </w:tc>
        <w:tc>
          <w:tcPr>
            <w:tcW w:w="871" w:type="dxa"/>
          </w:tcPr>
          <w:p w14:paraId="5244C081">
            <w:pPr>
              <w:pStyle w:val="214"/>
              <w:rPr>
                <w:rFonts w:hint="eastAsia"/>
                <w:color w:val="auto"/>
                <w:highlight w:val="none"/>
              </w:rPr>
            </w:pPr>
          </w:p>
        </w:tc>
        <w:tc>
          <w:tcPr>
            <w:tcW w:w="701" w:type="dxa"/>
          </w:tcPr>
          <w:p w14:paraId="3B7DF34C">
            <w:pPr>
              <w:pStyle w:val="214"/>
              <w:rPr>
                <w:rFonts w:hint="eastAsia"/>
                <w:color w:val="auto"/>
                <w:highlight w:val="none"/>
              </w:rPr>
            </w:pPr>
          </w:p>
        </w:tc>
        <w:tc>
          <w:tcPr>
            <w:tcW w:w="853" w:type="dxa"/>
          </w:tcPr>
          <w:p w14:paraId="23B9C581">
            <w:pPr>
              <w:pStyle w:val="214"/>
              <w:rPr>
                <w:rFonts w:hint="eastAsia"/>
                <w:color w:val="auto"/>
                <w:highlight w:val="none"/>
              </w:rPr>
            </w:pPr>
          </w:p>
        </w:tc>
        <w:tc>
          <w:tcPr>
            <w:tcW w:w="1062" w:type="dxa"/>
          </w:tcPr>
          <w:p w14:paraId="1075C182">
            <w:pPr>
              <w:pStyle w:val="214"/>
              <w:rPr>
                <w:rFonts w:hint="eastAsia"/>
                <w:color w:val="auto"/>
                <w:highlight w:val="none"/>
              </w:rPr>
            </w:pPr>
          </w:p>
        </w:tc>
        <w:tc>
          <w:tcPr>
            <w:tcW w:w="761" w:type="dxa"/>
          </w:tcPr>
          <w:p w14:paraId="55EFE5C2">
            <w:pPr>
              <w:pStyle w:val="214"/>
              <w:rPr>
                <w:rFonts w:hint="eastAsia"/>
                <w:color w:val="auto"/>
                <w:highlight w:val="none"/>
              </w:rPr>
            </w:pPr>
          </w:p>
        </w:tc>
        <w:tc>
          <w:tcPr>
            <w:tcW w:w="1088" w:type="dxa"/>
          </w:tcPr>
          <w:p w14:paraId="45D0ACC6">
            <w:pPr>
              <w:pStyle w:val="214"/>
              <w:rPr>
                <w:rFonts w:hint="eastAsia"/>
                <w:color w:val="auto"/>
                <w:highlight w:val="none"/>
              </w:rPr>
            </w:pPr>
          </w:p>
        </w:tc>
        <w:tc>
          <w:tcPr>
            <w:tcW w:w="789" w:type="dxa"/>
          </w:tcPr>
          <w:p w14:paraId="76ABAD74">
            <w:pPr>
              <w:pStyle w:val="214"/>
              <w:rPr>
                <w:rFonts w:hint="eastAsia"/>
                <w:color w:val="auto"/>
                <w:highlight w:val="none"/>
              </w:rPr>
            </w:pPr>
          </w:p>
        </w:tc>
        <w:tc>
          <w:tcPr>
            <w:tcW w:w="988" w:type="dxa"/>
          </w:tcPr>
          <w:p w14:paraId="18D3C85B">
            <w:pPr>
              <w:pStyle w:val="214"/>
              <w:rPr>
                <w:rFonts w:hint="eastAsia"/>
                <w:color w:val="auto"/>
                <w:highlight w:val="none"/>
              </w:rPr>
            </w:pPr>
          </w:p>
        </w:tc>
        <w:tc>
          <w:tcPr>
            <w:tcW w:w="882" w:type="dxa"/>
          </w:tcPr>
          <w:p w14:paraId="1B029F45">
            <w:pPr>
              <w:pStyle w:val="214"/>
              <w:rPr>
                <w:rFonts w:hint="eastAsia"/>
                <w:color w:val="auto"/>
                <w:highlight w:val="none"/>
              </w:rPr>
            </w:pPr>
          </w:p>
        </w:tc>
        <w:tc>
          <w:tcPr>
            <w:tcW w:w="794" w:type="dxa"/>
            <w:tcBorders>
              <w:right w:val="single" w:color="000000" w:sz="12" w:space="0"/>
            </w:tcBorders>
          </w:tcPr>
          <w:p w14:paraId="7C69AC5F">
            <w:pPr>
              <w:pStyle w:val="214"/>
              <w:rPr>
                <w:rFonts w:hint="eastAsia"/>
                <w:color w:val="auto"/>
                <w:highlight w:val="none"/>
              </w:rPr>
            </w:pPr>
          </w:p>
        </w:tc>
      </w:tr>
      <w:tr w14:paraId="71957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086CF57E">
            <w:pPr>
              <w:pStyle w:val="214"/>
              <w:rPr>
                <w:rFonts w:hint="eastAsia"/>
                <w:color w:val="auto"/>
                <w:highlight w:val="none"/>
              </w:rPr>
            </w:pPr>
          </w:p>
        </w:tc>
        <w:tc>
          <w:tcPr>
            <w:tcW w:w="647" w:type="dxa"/>
          </w:tcPr>
          <w:p w14:paraId="284302D8">
            <w:pPr>
              <w:pStyle w:val="214"/>
              <w:rPr>
                <w:rFonts w:hint="eastAsia"/>
                <w:color w:val="auto"/>
                <w:highlight w:val="none"/>
              </w:rPr>
            </w:pPr>
          </w:p>
        </w:tc>
        <w:tc>
          <w:tcPr>
            <w:tcW w:w="871" w:type="dxa"/>
          </w:tcPr>
          <w:p w14:paraId="3185F894">
            <w:pPr>
              <w:pStyle w:val="214"/>
              <w:rPr>
                <w:rFonts w:hint="eastAsia"/>
                <w:color w:val="auto"/>
                <w:highlight w:val="none"/>
              </w:rPr>
            </w:pPr>
          </w:p>
        </w:tc>
        <w:tc>
          <w:tcPr>
            <w:tcW w:w="701" w:type="dxa"/>
          </w:tcPr>
          <w:p w14:paraId="10421A32">
            <w:pPr>
              <w:pStyle w:val="214"/>
              <w:rPr>
                <w:rFonts w:hint="eastAsia"/>
                <w:color w:val="auto"/>
                <w:highlight w:val="none"/>
              </w:rPr>
            </w:pPr>
          </w:p>
        </w:tc>
        <w:tc>
          <w:tcPr>
            <w:tcW w:w="853" w:type="dxa"/>
          </w:tcPr>
          <w:p w14:paraId="7CC98221">
            <w:pPr>
              <w:pStyle w:val="214"/>
              <w:rPr>
                <w:rFonts w:hint="eastAsia"/>
                <w:color w:val="auto"/>
                <w:highlight w:val="none"/>
              </w:rPr>
            </w:pPr>
          </w:p>
        </w:tc>
        <w:tc>
          <w:tcPr>
            <w:tcW w:w="1062" w:type="dxa"/>
          </w:tcPr>
          <w:p w14:paraId="174FC9DA">
            <w:pPr>
              <w:pStyle w:val="214"/>
              <w:rPr>
                <w:rFonts w:hint="eastAsia"/>
                <w:color w:val="auto"/>
                <w:highlight w:val="none"/>
              </w:rPr>
            </w:pPr>
          </w:p>
        </w:tc>
        <w:tc>
          <w:tcPr>
            <w:tcW w:w="761" w:type="dxa"/>
          </w:tcPr>
          <w:p w14:paraId="2EB038F2">
            <w:pPr>
              <w:pStyle w:val="214"/>
              <w:rPr>
                <w:rFonts w:hint="eastAsia"/>
                <w:color w:val="auto"/>
                <w:highlight w:val="none"/>
              </w:rPr>
            </w:pPr>
          </w:p>
        </w:tc>
        <w:tc>
          <w:tcPr>
            <w:tcW w:w="1088" w:type="dxa"/>
          </w:tcPr>
          <w:p w14:paraId="0CF2DE92">
            <w:pPr>
              <w:pStyle w:val="214"/>
              <w:rPr>
                <w:rFonts w:hint="eastAsia"/>
                <w:color w:val="auto"/>
                <w:highlight w:val="none"/>
              </w:rPr>
            </w:pPr>
          </w:p>
        </w:tc>
        <w:tc>
          <w:tcPr>
            <w:tcW w:w="789" w:type="dxa"/>
          </w:tcPr>
          <w:p w14:paraId="58AD9410">
            <w:pPr>
              <w:pStyle w:val="214"/>
              <w:rPr>
                <w:rFonts w:hint="eastAsia"/>
                <w:color w:val="auto"/>
                <w:highlight w:val="none"/>
              </w:rPr>
            </w:pPr>
          </w:p>
        </w:tc>
        <w:tc>
          <w:tcPr>
            <w:tcW w:w="988" w:type="dxa"/>
          </w:tcPr>
          <w:p w14:paraId="1D0B05E1">
            <w:pPr>
              <w:pStyle w:val="214"/>
              <w:rPr>
                <w:rFonts w:hint="eastAsia"/>
                <w:color w:val="auto"/>
                <w:highlight w:val="none"/>
              </w:rPr>
            </w:pPr>
          </w:p>
        </w:tc>
        <w:tc>
          <w:tcPr>
            <w:tcW w:w="882" w:type="dxa"/>
          </w:tcPr>
          <w:p w14:paraId="6C9644EE">
            <w:pPr>
              <w:pStyle w:val="214"/>
              <w:rPr>
                <w:rFonts w:hint="eastAsia"/>
                <w:color w:val="auto"/>
                <w:highlight w:val="none"/>
              </w:rPr>
            </w:pPr>
          </w:p>
        </w:tc>
        <w:tc>
          <w:tcPr>
            <w:tcW w:w="794" w:type="dxa"/>
            <w:tcBorders>
              <w:right w:val="single" w:color="000000" w:sz="12" w:space="0"/>
            </w:tcBorders>
          </w:tcPr>
          <w:p w14:paraId="7A4BF5D9">
            <w:pPr>
              <w:pStyle w:val="214"/>
              <w:rPr>
                <w:rFonts w:hint="eastAsia"/>
                <w:color w:val="auto"/>
                <w:highlight w:val="none"/>
              </w:rPr>
            </w:pPr>
          </w:p>
        </w:tc>
      </w:tr>
      <w:tr w14:paraId="20389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8" w:type="dxa"/>
            <w:tcBorders>
              <w:left w:val="single" w:color="000000" w:sz="12" w:space="0"/>
            </w:tcBorders>
          </w:tcPr>
          <w:p w14:paraId="3643B113">
            <w:pPr>
              <w:pStyle w:val="214"/>
              <w:rPr>
                <w:rFonts w:hint="eastAsia"/>
                <w:color w:val="auto"/>
                <w:highlight w:val="none"/>
              </w:rPr>
            </w:pPr>
          </w:p>
        </w:tc>
        <w:tc>
          <w:tcPr>
            <w:tcW w:w="647" w:type="dxa"/>
          </w:tcPr>
          <w:p w14:paraId="0744F13D">
            <w:pPr>
              <w:pStyle w:val="214"/>
              <w:rPr>
                <w:rFonts w:hint="eastAsia"/>
                <w:color w:val="auto"/>
                <w:highlight w:val="none"/>
              </w:rPr>
            </w:pPr>
          </w:p>
        </w:tc>
        <w:tc>
          <w:tcPr>
            <w:tcW w:w="871" w:type="dxa"/>
          </w:tcPr>
          <w:p w14:paraId="75195480">
            <w:pPr>
              <w:pStyle w:val="214"/>
              <w:rPr>
                <w:rFonts w:hint="eastAsia"/>
                <w:color w:val="auto"/>
                <w:highlight w:val="none"/>
              </w:rPr>
            </w:pPr>
          </w:p>
        </w:tc>
        <w:tc>
          <w:tcPr>
            <w:tcW w:w="701" w:type="dxa"/>
          </w:tcPr>
          <w:p w14:paraId="7FD522B1">
            <w:pPr>
              <w:pStyle w:val="214"/>
              <w:rPr>
                <w:rFonts w:hint="eastAsia"/>
                <w:color w:val="auto"/>
                <w:highlight w:val="none"/>
              </w:rPr>
            </w:pPr>
          </w:p>
        </w:tc>
        <w:tc>
          <w:tcPr>
            <w:tcW w:w="853" w:type="dxa"/>
          </w:tcPr>
          <w:p w14:paraId="67580441">
            <w:pPr>
              <w:pStyle w:val="214"/>
              <w:rPr>
                <w:rFonts w:hint="eastAsia"/>
                <w:color w:val="auto"/>
                <w:highlight w:val="none"/>
              </w:rPr>
            </w:pPr>
          </w:p>
        </w:tc>
        <w:tc>
          <w:tcPr>
            <w:tcW w:w="1062" w:type="dxa"/>
          </w:tcPr>
          <w:p w14:paraId="1ECC0F1B">
            <w:pPr>
              <w:pStyle w:val="214"/>
              <w:rPr>
                <w:rFonts w:hint="eastAsia"/>
                <w:color w:val="auto"/>
                <w:highlight w:val="none"/>
              </w:rPr>
            </w:pPr>
          </w:p>
        </w:tc>
        <w:tc>
          <w:tcPr>
            <w:tcW w:w="761" w:type="dxa"/>
          </w:tcPr>
          <w:p w14:paraId="7356310C">
            <w:pPr>
              <w:pStyle w:val="214"/>
              <w:rPr>
                <w:rFonts w:hint="eastAsia"/>
                <w:color w:val="auto"/>
                <w:highlight w:val="none"/>
              </w:rPr>
            </w:pPr>
          </w:p>
        </w:tc>
        <w:tc>
          <w:tcPr>
            <w:tcW w:w="1088" w:type="dxa"/>
          </w:tcPr>
          <w:p w14:paraId="2B8BEFF9">
            <w:pPr>
              <w:pStyle w:val="214"/>
              <w:rPr>
                <w:rFonts w:hint="eastAsia"/>
                <w:color w:val="auto"/>
                <w:highlight w:val="none"/>
              </w:rPr>
            </w:pPr>
          </w:p>
        </w:tc>
        <w:tc>
          <w:tcPr>
            <w:tcW w:w="789" w:type="dxa"/>
          </w:tcPr>
          <w:p w14:paraId="4A33DE1D">
            <w:pPr>
              <w:pStyle w:val="214"/>
              <w:rPr>
                <w:rFonts w:hint="eastAsia"/>
                <w:color w:val="auto"/>
                <w:highlight w:val="none"/>
              </w:rPr>
            </w:pPr>
          </w:p>
        </w:tc>
        <w:tc>
          <w:tcPr>
            <w:tcW w:w="988" w:type="dxa"/>
          </w:tcPr>
          <w:p w14:paraId="4D49252D">
            <w:pPr>
              <w:pStyle w:val="214"/>
              <w:rPr>
                <w:rFonts w:hint="eastAsia"/>
                <w:color w:val="auto"/>
                <w:highlight w:val="none"/>
              </w:rPr>
            </w:pPr>
          </w:p>
        </w:tc>
        <w:tc>
          <w:tcPr>
            <w:tcW w:w="882" w:type="dxa"/>
          </w:tcPr>
          <w:p w14:paraId="06363CDC">
            <w:pPr>
              <w:pStyle w:val="214"/>
              <w:rPr>
                <w:rFonts w:hint="eastAsia"/>
                <w:color w:val="auto"/>
                <w:highlight w:val="none"/>
              </w:rPr>
            </w:pPr>
          </w:p>
        </w:tc>
        <w:tc>
          <w:tcPr>
            <w:tcW w:w="794" w:type="dxa"/>
            <w:tcBorders>
              <w:right w:val="single" w:color="000000" w:sz="12" w:space="0"/>
            </w:tcBorders>
          </w:tcPr>
          <w:p w14:paraId="1DC14E65">
            <w:pPr>
              <w:pStyle w:val="214"/>
              <w:rPr>
                <w:rFonts w:hint="eastAsia"/>
                <w:color w:val="auto"/>
                <w:highlight w:val="none"/>
              </w:rPr>
            </w:pPr>
          </w:p>
        </w:tc>
      </w:tr>
      <w:tr w14:paraId="598D9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66C3E88C">
            <w:pPr>
              <w:pStyle w:val="214"/>
              <w:rPr>
                <w:rFonts w:hint="eastAsia"/>
                <w:color w:val="auto"/>
                <w:highlight w:val="none"/>
              </w:rPr>
            </w:pPr>
          </w:p>
        </w:tc>
        <w:tc>
          <w:tcPr>
            <w:tcW w:w="647" w:type="dxa"/>
          </w:tcPr>
          <w:p w14:paraId="3A917A34">
            <w:pPr>
              <w:pStyle w:val="214"/>
              <w:rPr>
                <w:rFonts w:hint="eastAsia"/>
                <w:color w:val="auto"/>
                <w:highlight w:val="none"/>
              </w:rPr>
            </w:pPr>
          </w:p>
        </w:tc>
        <w:tc>
          <w:tcPr>
            <w:tcW w:w="871" w:type="dxa"/>
          </w:tcPr>
          <w:p w14:paraId="3311C5E2">
            <w:pPr>
              <w:pStyle w:val="214"/>
              <w:rPr>
                <w:rFonts w:hint="eastAsia"/>
                <w:color w:val="auto"/>
                <w:highlight w:val="none"/>
              </w:rPr>
            </w:pPr>
          </w:p>
        </w:tc>
        <w:tc>
          <w:tcPr>
            <w:tcW w:w="701" w:type="dxa"/>
          </w:tcPr>
          <w:p w14:paraId="56070F09">
            <w:pPr>
              <w:pStyle w:val="214"/>
              <w:rPr>
                <w:rFonts w:hint="eastAsia"/>
                <w:color w:val="auto"/>
                <w:highlight w:val="none"/>
              </w:rPr>
            </w:pPr>
          </w:p>
        </w:tc>
        <w:tc>
          <w:tcPr>
            <w:tcW w:w="853" w:type="dxa"/>
          </w:tcPr>
          <w:p w14:paraId="60239406">
            <w:pPr>
              <w:pStyle w:val="214"/>
              <w:rPr>
                <w:rFonts w:hint="eastAsia"/>
                <w:color w:val="auto"/>
                <w:highlight w:val="none"/>
              </w:rPr>
            </w:pPr>
          </w:p>
        </w:tc>
        <w:tc>
          <w:tcPr>
            <w:tcW w:w="1062" w:type="dxa"/>
          </w:tcPr>
          <w:p w14:paraId="5994BB3F">
            <w:pPr>
              <w:pStyle w:val="214"/>
              <w:rPr>
                <w:rFonts w:hint="eastAsia"/>
                <w:color w:val="auto"/>
                <w:highlight w:val="none"/>
              </w:rPr>
            </w:pPr>
          </w:p>
        </w:tc>
        <w:tc>
          <w:tcPr>
            <w:tcW w:w="761" w:type="dxa"/>
          </w:tcPr>
          <w:p w14:paraId="0BA13723">
            <w:pPr>
              <w:pStyle w:val="214"/>
              <w:rPr>
                <w:rFonts w:hint="eastAsia"/>
                <w:color w:val="auto"/>
                <w:highlight w:val="none"/>
              </w:rPr>
            </w:pPr>
          </w:p>
        </w:tc>
        <w:tc>
          <w:tcPr>
            <w:tcW w:w="1088" w:type="dxa"/>
          </w:tcPr>
          <w:p w14:paraId="3685AC19">
            <w:pPr>
              <w:pStyle w:val="214"/>
              <w:rPr>
                <w:rFonts w:hint="eastAsia"/>
                <w:color w:val="auto"/>
                <w:highlight w:val="none"/>
              </w:rPr>
            </w:pPr>
          </w:p>
        </w:tc>
        <w:tc>
          <w:tcPr>
            <w:tcW w:w="789" w:type="dxa"/>
          </w:tcPr>
          <w:p w14:paraId="0E1A99A1">
            <w:pPr>
              <w:pStyle w:val="214"/>
              <w:rPr>
                <w:rFonts w:hint="eastAsia"/>
                <w:color w:val="auto"/>
                <w:highlight w:val="none"/>
              </w:rPr>
            </w:pPr>
          </w:p>
        </w:tc>
        <w:tc>
          <w:tcPr>
            <w:tcW w:w="988" w:type="dxa"/>
          </w:tcPr>
          <w:p w14:paraId="1AF144A1">
            <w:pPr>
              <w:pStyle w:val="214"/>
              <w:rPr>
                <w:rFonts w:hint="eastAsia"/>
                <w:color w:val="auto"/>
                <w:highlight w:val="none"/>
              </w:rPr>
            </w:pPr>
          </w:p>
        </w:tc>
        <w:tc>
          <w:tcPr>
            <w:tcW w:w="882" w:type="dxa"/>
          </w:tcPr>
          <w:p w14:paraId="3A52E3C2">
            <w:pPr>
              <w:pStyle w:val="214"/>
              <w:rPr>
                <w:rFonts w:hint="eastAsia"/>
                <w:color w:val="auto"/>
                <w:highlight w:val="none"/>
              </w:rPr>
            </w:pPr>
          </w:p>
        </w:tc>
        <w:tc>
          <w:tcPr>
            <w:tcW w:w="794" w:type="dxa"/>
            <w:tcBorders>
              <w:right w:val="single" w:color="000000" w:sz="12" w:space="0"/>
            </w:tcBorders>
          </w:tcPr>
          <w:p w14:paraId="3E7B84A9">
            <w:pPr>
              <w:pStyle w:val="214"/>
              <w:rPr>
                <w:rFonts w:hint="eastAsia"/>
                <w:color w:val="auto"/>
                <w:highlight w:val="none"/>
              </w:rPr>
            </w:pPr>
          </w:p>
        </w:tc>
      </w:tr>
      <w:tr w14:paraId="53ED4130">
        <w:tblPrEx>
          <w:tblCellMar>
            <w:top w:w="0" w:type="dxa"/>
            <w:left w:w="0" w:type="dxa"/>
            <w:bottom w:w="0" w:type="dxa"/>
            <w:right w:w="0" w:type="dxa"/>
          </w:tblCellMar>
        </w:tblPrEx>
        <w:trPr>
          <w:trHeight w:val="328" w:hRule="atLeast"/>
        </w:trPr>
        <w:tc>
          <w:tcPr>
            <w:tcW w:w="608" w:type="dxa"/>
            <w:tcBorders>
              <w:left w:val="single" w:color="000000" w:sz="12" w:space="0"/>
            </w:tcBorders>
          </w:tcPr>
          <w:p w14:paraId="09ABFEB2">
            <w:pPr>
              <w:pStyle w:val="214"/>
              <w:rPr>
                <w:rFonts w:hint="eastAsia"/>
                <w:color w:val="auto"/>
                <w:highlight w:val="none"/>
              </w:rPr>
            </w:pPr>
          </w:p>
        </w:tc>
        <w:tc>
          <w:tcPr>
            <w:tcW w:w="647" w:type="dxa"/>
          </w:tcPr>
          <w:p w14:paraId="37245D22">
            <w:pPr>
              <w:pStyle w:val="214"/>
              <w:rPr>
                <w:rFonts w:hint="eastAsia"/>
                <w:color w:val="auto"/>
                <w:highlight w:val="none"/>
              </w:rPr>
            </w:pPr>
          </w:p>
        </w:tc>
        <w:tc>
          <w:tcPr>
            <w:tcW w:w="871" w:type="dxa"/>
          </w:tcPr>
          <w:p w14:paraId="67FE1F95">
            <w:pPr>
              <w:pStyle w:val="214"/>
              <w:rPr>
                <w:rFonts w:hint="eastAsia"/>
                <w:color w:val="auto"/>
                <w:highlight w:val="none"/>
              </w:rPr>
            </w:pPr>
          </w:p>
        </w:tc>
        <w:tc>
          <w:tcPr>
            <w:tcW w:w="701" w:type="dxa"/>
          </w:tcPr>
          <w:p w14:paraId="0B7FD3EA">
            <w:pPr>
              <w:pStyle w:val="214"/>
              <w:rPr>
                <w:rFonts w:hint="eastAsia"/>
                <w:color w:val="auto"/>
                <w:highlight w:val="none"/>
              </w:rPr>
            </w:pPr>
          </w:p>
        </w:tc>
        <w:tc>
          <w:tcPr>
            <w:tcW w:w="853" w:type="dxa"/>
          </w:tcPr>
          <w:p w14:paraId="273A1114">
            <w:pPr>
              <w:pStyle w:val="214"/>
              <w:rPr>
                <w:rFonts w:hint="eastAsia"/>
                <w:color w:val="auto"/>
                <w:highlight w:val="none"/>
              </w:rPr>
            </w:pPr>
          </w:p>
        </w:tc>
        <w:tc>
          <w:tcPr>
            <w:tcW w:w="1062" w:type="dxa"/>
          </w:tcPr>
          <w:p w14:paraId="7B2BC179">
            <w:pPr>
              <w:pStyle w:val="214"/>
              <w:rPr>
                <w:rFonts w:hint="eastAsia"/>
                <w:color w:val="auto"/>
                <w:highlight w:val="none"/>
              </w:rPr>
            </w:pPr>
          </w:p>
        </w:tc>
        <w:tc>
          <w:tcPr>
            <w:tcW w:w="761" w:type="dxa"/>
          </w:tcPr>
          <w:p w14:paraId="093BBD3F">
            <w:pPr>
              <w:pStyle w:val="214"/>
              <w:rPr>
                <w:rFonts w:hint="eastAsia"/>
                <w:color w:val="auto"/>
                <w:highlight w:val="none"/>
              </w:rPr>
            </w:pPr>
          </w:p>
        </w:tc>
        <w:tc>
          <w:tcPr>
            <w:tcW w:w="1088" w:type="dxa"/>
          </w:tcPr>
          <w:p w14:paraId="1AC8FE07">
            <w:pPr>
              <w:pStyle w:val="214"/>
              <w:rPr>
                <w:rFonts w:hint="eastAsia"/>
                <w:color w:val="auto"/>
                <w:highlight w:val="none"/>
              </w:rPr>
            </w:pPr>
          </w:p>
        </w:tc>
        <w:tc>
          <w:tcPr>
            <w:tcW w:w="789" w:type="dxa"/>
          </w:tcPr>
          <w:p w14:paraId="495AA5A5">
            <w:pPr>
              <w:pStyle w:val="214"/>
              <w:rPr>
                <w:rFonts w:hint="eastAsia"/>
                <w:color w:val="auto"/>
                <w:highlight w:val="none"/>
              </w:rPr>
            </w:pPr>
          </w:p>
        </w:tc>
        <w:tc>
          <w:tcPr>
            <w:tcW w:w="988" w:type="dxa"/>
          </w:tcPr>
          <w:p w14:paraId="36EA6CF4">
            <w:pPr>
              <w:pStyle w:val="214"/>
              <w:rPr>
                <w:rFonts w:hint="eastAsia"/>
                <w:color w:val="auto"/>
                <w:highlight w:val="none"/>
              </w:rPr>
            </w:pPr>
          </w:p>
        </w:tc>
        <w:tc>
          <w:tcPr>
            <w:tcW w:w="882" w:type="dxa"/>
          </w:tcPr>
          <w:p w14:paraId="14C20297">
            <w:pPr>
              <w:pStyle w:val="214"/>
              <w:rPr>
                <w:rFonts w:hint="eastAsia"/>
                <w:color w:val="auto"/>
                <w:highlight w:val="none"/>
              </w:rPr>
            </w:pPr>
          </w:p>
        </w:tc>
        <w:tc>
          <w:tcPr>
            <w:tcW w:w="794" w:type="dxa"/>
            <w:tcBorders>
              <w:right w:val="single" w:color="000000" w:sz="12" w:space="0"/>
            </w:tcBorders>
          </w:tcPr>
          <w:p w14:paraId="104A7BC5">
            <w:pPr>
              <w:pStyle w:val="214"/>
              <w:rPr>
                <w:rFonts w:hint="eastAsia"/>
                <w:color w:val="auto"/>
                <w:highlight w:val="none"/>
              </w:rPr>
            </w:pPr>
          </w:p>
        </w:tc>
      </w:tr>
      <w:tr w14:paraId="28C45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8" w:type="dxa"/>
            <w:tcBorders>
              <w:left w:val="single" w:color="000000" w:sz="12" w:space="0"/>
            </w:tcBorders>
          </w:tcPr>
          <w:p w14:paraId="60B70147">
            <w:pPr>
              <w:pStyle w:val="214"/>
              <w:rPr>
                <w:rFonts w:hint="eastAsia"/>
                <w:color w:val="auto"/>
                <w:highlight w:val="none"/>
              </w:rPr>
            </w:pPr>
          </w:p>
        </w:tc>
        <w:tc>
          <w:tcPr>
            <w:tcW w:w="647" w:type="dxa"/>
          </w:tcPr>
          <w:p w14:paraId="1F99311A">
            <w:pPr>
              <w:pStyle w:val="214"/>
              <w:rPr>
                <w:rFonts w:hint="eastAsia"/>
                <w:color w:val="auto"/>
                <w:highlight w:val="none"/>
              </w:rPr>
            </w:pPr>
          </w:p>
        </w:tc>
        <w:tc>
          <w:tcPr>
            <w:tcW w:w="871" w:type="dxa"/>
          </w:tcPr>
          <w:p w14:paraId="2FA06430">
            <w:pPr>
              <w:pStyle w:val="214"/>
              <w:rPr>
                <w:rFonts w:hint="eastAsia"/>
                <w:color w:val="auto"/>
                <w:highlight w:val="none"/>
              </w:rPr>
            </w:pPr>
          </w:p>
        </w:tc>
        <w:tc>
          <w:tcPr>
            <w:tcW w:w="701" w:type="dxa"/>
          </w:tcPr>
          <w:p w14:paraId="7506A249">
            <w:pPr>
              <w:pStyle w:val="214"/>
              <w:rPr>
                <w:rFonts w:hint="eastAsia"/>
                <w:color w:val="auto"/>
                <w:highlight w:val="none"/>
              </w:rPr>
            </w:pPr>
          </w:p>
        </w:tc>
        <w:tc>
          <w:tcPr>
            <w:tcW w:w="853" w:type="dxa"/>
          </w:tcPr>
          <w:p w14:paraId="5966A079">
            <w:pPr>
              <w:pStyle w:val="214"/>
              <w:rPr>
                <w:rFonts w:hint="eastAsia"/>
                <w:color w:val="auto"/>
                <w:highlight w:val="none"/>
              </w:rPr>
            </w:pPr>
          </w:p>
        </w:tc>
        <w:tc>
          <w:tcPr>
            <w:tcW w:w="1062" w:type="dxa"/>
          </w:tcPr>
          <w:p w14:paraId="3663A4E3">
            <w:pPr>
              <w:pStyle w:val="214"/>
              <w:rPr>
                <w:rFonts w:hint="eastAsia"/>
                <w:color w:val="auto"/>
                <w:highlight w:val="none"/>
              </w:rPr>
            </w:pPr>
          </w:p>
        </w:tc>
        <w:tc>
          <w:tcPr>
            <w:tcW w:w="761" w:type="dxa"/>
          </w:tcPr>
          <w:p w14:paraId="0458A140">
            <w:pPr>
              <w:pStyle w:val="214"/>
              <w:rPr>
                <w:rFonts w:hint="eastAsia"/>
                <w:color w:val="auto"/>
                <w:highlight w:val="none"/>
              </w:rPr>
            </w:pPr>
          </w:p>
        </w:tc>
        <w:tc>
          <w:tcPr>
            <w:tcW w:w="1088" w:type="dxa"/>
          </w:tcPr>
          <w:p w14:paraId="1F4F2C6F">
            <w:pPr>
              <w:pStyle w:val="214"/>
              <w:rPr>
                <w:rFonts w:hint="eastAsia"/>
                <w:color w:val="auto"/>
                <w:highlight w:val="none"/>
              </w:rPr>
            </w:pPr>
          </w:p>
        </w:tc>
        <w:tc>
          <w:tcPr>
            <w:tcW w:w="789" w:type="dxa"/>
          </w:tcPr>
          <w:p w14:paraId="6B239DCE">
            <w:pPr>
              <w:pStyle w:val="214"/>
              <w:rPr>
                <w:rFonts w:hint="eastAsia"/>
                <w:color w:val="auto"/>
                <w:highlight w:val="none"/>
              </w:rPr>
            </w:pPr>
          </w:p>
        </w:tc>
        <w:tc>
          <w:tcPr>
            <w:tcW w:w="988" w:type="dxa"/>
          </w:tcPr>
          <w:p w14:paraId="500F533C">
            <w:pPr>
              <w:pStyle w:val="214"/>
              <w:rPr>
                <w:rFonts w:hint="eastAsia"/>
                <w:color w:val="auto"/>
                <w:highlight w:val="none"/>
              </w:rPr>
            </w:pPr>
          </w:p>
        </w:tc>
        <w:tc>
          <w:tcPr>
            <w:tcW w:w="882" w:type="dxa"/>
          </w:tcPr>
          <w:p w14:paraId="507029A6">
            <w:pPr>
              <w:pStyle w:val="214"/>
              <w:rPr>
                <w:rFonts w:hint="eastAsia"/>
                <w:color w:val="auto"/>
                <w:highlight w:val="none"/>
              </w:rPr>
            </w:pPr>
          </w:p>
        </w:tc>
        <w:tc>
          <w:tcPr>
            <w:tcW w:w="794" w:type="dxa"/>
            <w:tcBorders>
              <w:right w:val="single" w:color="000000" w:sz="12" w:space="0"/>
            </w:tcBorders>
          </w:tcPr>
          <w:p w14:paraId="70082955">
            <w:pPr>
              <w:pStyle w:val="214"/>
              <w:rPr>
                <w:rFonts w:hint="eastAsia"/>
                <w:color w:val="auto"/>
                <w:highlight w:val="none"/>
              </w:rPr>
            </w:pPr>
          </w:p>
        </w:tc>
      </w:tr>
      <w:tr w14:paraId="192FE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7CD5D235">
            <w:pPr>
              <w:pStyle w:val="214"/>
              <w:rPr>
                <w:rFonts w:hint="eastAsia"/>
                <w:color w:val="auto"/>
                <w:highlight w:val="none"/>
              </w:rPr>
            </w:pPr>
          </w:p>
        </w:tc>
        <w:tc>
          <w:tcPr>
            <w:tcW w:w="647" w:type="dxa"/>
          </w:tcPr>
          <w:p w14:paraId="685407CD">
            <w:pPr>
              <w:pStyle w:val="214"/>
              <w:rPr>
                <w:rFonts w:hint="eastAsia"/>
                <w:color w:val="auto"/>
                <w:highlight w:val="none"/>
              </w:rPr>
            </w:pPr>
          </w:p>
        </w:tc>
        <w:tc>
          <w:tcPr>
            <w:tcW w:w="871" w:type="dxa"/>
          </w:tcPr>
          <w:p w14:paraId="2F14B1BA">
            <w:pPr>
              <w:pStyle w:val="214"/>
              <w:rPr>
                <w:rFonts w:hint="eastAsia"/>
                <w:color w:val="auto"/>
                <w:highlight w:val="none"/>
              </w:rPr>
            </w:pPr>
          </w:p>
        </w:tc>
        <w:tc>
          <w:tcPr>
            <w:tcW w:w="701" w:type="dxa"/>
          </w:tcPr>
          <w:p w14:paraId="173C8928">
            <w:pPr>
              <w:pStyle w:val="214"/>
              <w:rPr>
                <w:rFonts w:hint="eastAsia"/>
                <w:color w:val="auto"/>
                <w:highlight w:val="none"/>
              </w:rPr>
            </w:pPr>
          </w:p>
        </w:tc>
        <w:tc>
          <w:tcPr>
            <w:tcW w:w="853" w:type="dxa"/>
          </w:tcPr>
          <w:p w14:paraId="083BD102">
            <w:pPr>
              <w:pStyle w:val="214"/>
              <w:rPr>
                <w:rFonts w:hint="eastAsia"/>
                <w:color w:val="auto"/>
                <w:highlight w:val="none"/>
              </w:rPr>
            </w:pPr>
          </w:p>
        </w:tc>
        <w:tc>
          <w:tcPr>
            <w:tcW w:w="1062" w:type="dxa"/>
          </w:tcPr>
          <w:p w14:paraId="4BCDB8D4">
            <w:pPr>
              <w:pStyle w:val="214"/>
              <w:rPr>
                <w:rFonts w:hint="eastAsia"/>
                <w:color w:val="auto"/>
                <w:highlight w:val="none"/>
              </w:rPr>
            </w:pPr>
          </w:p>
        </w:tc>
        <w:tc>
          <w:tcPr>
            <w:tcW w:w="761" w:type="dxa"/>
          </w:tcPr>
          <w:p w14:paraId="5DC65766">
            <w:pPr>
              <w:pStyle w:val="214"/>
              <w:rPr>
                <w:rFonts w:hint="eastAsia"/>
                <w:color w:val="auto"/>
                <w:highlight w:val="none"/>
              </w:rPr>
            </w:pPr>
          </w:p>
        </w:tc>
        <w:tc>
          <w:tcPr>
            <w:tcW w:w="1088" w:type="dxa"/>
          </w:tcPr>
          <w:p w14:paraId="24AF7B5F">
            <w:pPr>
              <w:pStyle w:val="214"/>
              <w:rPr>
                <w:rFonts w:hint="eastAsia"/>
                <w:color w:val="auto"/>
                <w:highlight w:val="none"/>
              </w:rPr>
            </w:pPr>
          </w:p>
        </w:tc>
        <w:tc>
          <w:tcPr>
            <w:tcW w:w="789" w:type="dxa"/>
          </w:tcPr>
          <w:p w14:paraId="51E371EA">
            <w:pPr>
              <w:pStyle w:val="214"/>
              <w:rPr>
                <w:rFonts w:hint="eastAsia"/>
                <w:color w:val="auto"/>
                <w:highlight w:val="none"/>
              </w:rPr>
            </w:pPr>
          </w:p>
        </w:tc>
        <w:tc>
          <w:tcPr>
            <w:tcW w:w="988" w:type="dxa"/>
          </w:tcPr>
          <w:p w14:paraId="3854B254">
            <w:pPr>
              <w:pStyle w:val="214"/>
              <w:rPr>
                <w:rFonts w:hint="eastAsia"/>
                <w:color w:val="auto"/>
                <w:highlight w:val="none"/>
              </w:rPr>
            </w:pPr>
          </w:p>
        </w:tc>
        <w:tc>
          <w:tcPr>
            <w:tcW w:w="882" w:type="dxa"/>
          </w:tcPr>
          <w:p w14:paraId="4C3D09A7">
            <w:pPr>
              <w:pStyle w:val="214"/>
              <w:rPr>
                <w:rFonts w:hint="eastAsia"/>
                <w:color w:val="auto"/>
                <w:highlight w:val="none"/>
              </w:rPr>
            </w:pPr>
          </w:p>
        </w:tc>
        <w:tc>
          <w:tcPr>
            <w:tcW w:w="794" w:type="dxa"/>
            <w:tcBorders>
              <w:right w:val="single" w:color="000000" w:sz="12" w:space="0"/>
            </w:tcBorders>
          </w:tcPr>
          <w:p w14:paraId="765C19D3">
            <w:pPr>
              <w:pStyle w:val="214"/>
              <w:rPr>
                <w:rFonts w:hint="eastAsia"/>
                <w:color w:val="auto"/>
                <w:highlight w:val="none"/>
              </w:rPr>
            </w:pPr>
          </w:p>
        </w:tc>
      </w:tr>
      <w:tr w14:paraId="74E10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07128E83">
            <w:pPr>
              <w:pStyle w:val="214"/>
              <w:rPr>
                <w:rFonts w:hint="eastAsia"/>
                <w:color w:val="auto"/>
                <w:highlight w:val="none"/>
              </w:rPr>
            </w:pPr>
          </w:p>
        </w:tc>
        <w:tc>
          <w:tcPr>
            <w:tcW w:w="647" w:type="dxa"/>
          </w:tcPr>
          <w:p w14:paraId="1D31F96E">
            <w:pPr>
              <w:pStyle w:val="214"/>
              <w:rPr>
                <w:rFonts w:hint="eastAsia"/>
                <w:color w:val="auto"/>
                <w:highlight w:val="none"/>
              </w:rPr>
            </w:pPr>
          </w:p>
        </w:tc>
        <w:tc>
          <w:tcPr>
            <w:tcW w:w="871" w:type="dxa"/>
          </w:tcPr>
          <w:p w14:paraId="3B2C7724">
            <w:pPr>
              <w:pStyle w:val="214"/>
              <w:rPr>
                <w:rFonts w:hint="eastAsia"/>
                <w:color w:val="auto"/>
                <w:highlight w:val="none"/>
              </w:rPr>
            </w:pPr>
          </w:p>
        </w:tc>
        <w:tc>
          <w:tcPr>
            <w:tcW w:w="701" w:type="dxa"/>
          </w:tcPr>
          <w:p w14:paraId="17C9A551">
            <w:pPr>
              <w:pStyle w:val="214"/>
              <w:rPr>
                <w:rFonts w:hint="eastAsia"/>
                <w:color w:val="auto"/>
                <w:highlight w:val="none"/>
              </w:rPr>
            </w:pPr>
          </w:p>
        </w:tc>
        <w:tc>
          <w:tcPr>
            <w:tcW w:w="853" w:type="dxa"/>
          </w:tcPr>
          <w:p w14:paraId="7C2DCFD0">
            <w:pPr>
              <w:pStyle w:val="214"/>
              <w:rPr>
                <w:rFonts w:hint="eastAsia"/>
                <w:color w:val="auto"/>
                <w:highlight w:val="none"/>
              </w:rPr>
            </w:pPr>
          </w:p>
        </w:tc>
        <w:tc>
          <w:tcPr>
            <w:tcW w:w="1062" w:type="dxa"/>
          </w:tcPr>
          <w:p w14:paraId="76997FB0">
            <w:pPr>
              <w:pStyle w:val="214"/>
              <w:rPr>
                <w:rFonts w:hint="eastAsia"/>
                <w:color w:val="auto"/>
                <w:highlight w:val="none"/>
              </w:rPr>
            </w:pPr>
          </w:p>
        </w:tc>
        <w:tc>
          <w:tcPr>
            <w:tcW w:w="761" w:type="dxa"/>
          </w:tcPr>
          <w:p w14:paraId="646B8888">
            <w:pPr>
              <w:pStyle w:val="214"/>
              <w:rPr>
                <w:rFonts w:hint="eastAsia"/>
                <w:color w:val="auto"/>
                <w:highlight w:val="none"/>
              </w:rPr>
            </w:pPr>
          </w:p>
        </w:tc>
        <w:tc>
          <w:tcPr>
            <w:tcW w:w="1088" w:type="dxa"/>
          </w:tcPr>
          <w:p w14:paraId="12680C73">
            <w:pPr>
              <w:pStyle w:val="214"/>
              <w:rPr>
                <w:rFonts w:hint="eastAsia"/>
                <w:color w:val="auto"/>
                <w:highlight w:val="none"/>
              </w:rPr>
            </w:pPr>
          </w:p>
        </w:tc>
        <w:tc>
          <w:tcPr>
            <w:tcW w:w="789" w:type="dxa"/>
          </w:tcPr>
          <w:p w14:paraId="19CD353B">
            <w:pPr>
              <w:pStyle w:val="214"/>
              <w:rPr>
                <w:rFonts w:hint="eastAsia"/>
                <w:color w:val="auto"/>
                <w:highlight w:val="none"/>
              </w:rPr>
            </w:pPr>
          </w:p>
        </w:tc>
        <w:tc>
          <w:tcPr>
            <w:tcW w:w="988" w:type="dxa"/>
          </w:tcPr>
          <w:p w14:paraId="30E78116">
            <w:pPr>
              <w:pStyle w:val="214"/>
              <w:rPr>
                <w:rFonts w:hint="eastAsia"/>
                <w:color w:val="auto"/>
                <w:highlight w:val="none"/>
              </w:rPr>
            </w:pPr>
          </w:p>
        </w:tc>
        <w:tc>
          <w:tcPr>
            <w:tcW w:w="882" w:type="dxa"/>
          </w:tcPr>
          <w:p w14:paraId="186A579A">
            <w:pPr>
              <w:pStyle w:val="214"/>
              <w:rPr>
                <w:rFonts w:hint="eastAsia"/>
                <w:color w:val="auto"/>
                <w:highlight w:val="none"/>
              </w:rPr>
            </w:pPr>
          </w:p>
        </w:tc>
        <w:tc>
          <w:tcPr>
            <w:tcW w:w="794" w:type="dxa"/>
            <w:tcBorders>
              <w:right w:val="single" w:color="000000" w:sz="12" w:space="0"/>
            </w:tcBorders>
          </w:tcPr>
          <w:p w14:paraId="7C890EDA">
            <w:pPr>
              <w:pStyle w:val="214"/>
              <w:rPr>
                <w:rFonts w:hint="eastAsia"/>
                <w:color w:val="auto"/>
                <w:highlight w:val="none"/>
              </w:rPr>
            </w:pPr>
          </w:p>
        </w:tc>
      </w:tr>
      <w:tr w14:paraId="23B5F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8" w:type="dxa"/>
            <w:tcBorders>
              <w:left w:val="single" w:color="000000" w:sz="12" w:space="0"/>
            </w:tcBorders>
          </w:tcPr>
          <w:p w14:paraId="3C282400">
            <w:pPr>
              <w:pStyle w:val="214"/>
              <w:rPr>
                <w:rFonts w:hint="eastAsia"/>
                <w:color w:val="auto"/>
                <w:highlight w:val="none"/>
              </w:rPr>
            </w:pPr>
          </w:p>
        </w:tc>
        <w:tc>
          <w:tcPr>
            <w:tcW w:w="647" w:type="dxa"/>
          </w:tcPr>
          <w:p w14:paraId="39D6173A">
            <w:pPr>
              <w:pStyle w:val="214"/>
              <w:rPr>
                <w:rFonts w:hint="eastAsia"/>
                <w:color w:val="auto"/>
                <w:highlight w:val="none"/>
              </w:rPr>
            </w:pPr>
          </w:p>
        </w:tc>
        <w:tc>
          <w:tcPr>
            <w:tcW w:w="871" w:type="dxa"/>
          </w:tcPr>
          <w:p w14:paraId="35E9B16D">
            <w:pPr>
              <w:pStyle w:val="214"/>
              <w:rPr>
                <w:rFonts w:hint="eastAsia"/>
                <w:color w:val="auto"/>
                <w:highlight w:val="none"/>
              </w:rPr>
            </w:pPr>
          </w:p>
        </w:tc>
        <w:tc>
          <w:tcPr>
            <w:tcW w:w="701" w:type="dxa"/>
          </w:tcPr>
          <w:p w14:paraId="052B7925">
            <w:pPr>
              <w:pStyle w:val="214"/>
              <w:rPr>
                <w:rFonts w:hint="eastAsia"/>
                <w:color w:val="auto"/>
                <w:highlight w:val="none"/>
              </w:rPr>
            </w:pPr>
          </w:p>
        </w:tc>
        <w:tc>
          <w:tcPr>
            <w:tcW w:w="853" w:type="dxa"/>
          </w:tcPr>
          <w:p w14:paraId="0D8481B1">
            <w:pPr>
              <w:pStyle w:val="214"/>
              <w:rPr>
                <w:rFonts w:hint="eastAsia"/>
                <w:color w:val="auto"/>
                <w:highlight w:val="none"/>
              </w:rPr>
            </w:pPr>
          </w:p>
        </w:tc>
        <w:tc>
          <w:tcPr>
            <w:tcW w:w="1062" w:type="dxa"/>
          </w:tcPr>
          <w:p w14:paraId="3943D746">
            <w:pPr>
              <w:pStyle w:val="214"/>
              <w:rPr>
                <w:rFonts w:hint="eastAsia"/>
                <w:color w:val="auto"/>
                <w:highlight w:val="none"/>
              </w:rPr>
            </w:pPr>
          </w:p>
        </w:tc>
        <w:tc>
          <w:tcPr>
            <w:tcW w:w="761" w:type="dxa"/>
          </w:tcPr>
          <w:p w14:paraId="52596FD8">
            <w:pPr>
              <w:pStyle w:val="214"/>
              <w:rPr>
                <w:rFonts w:hint="eastAsia"/>
                <w:color w:val="auto"/>
                <w:highlight w:val="none"/>
              </w:rPr>
            </w:pPr>
          </w:p>
        </w:tc>
        <w:tc>
          <w:tcPr>
            <w:tcW w:w="1088" w:type="dxa"/>
          </w:tcPr>
          <w:p w14:paraId="6CADAC1D">
            <w:pPr>
              <w:pStyle w:val="214"/>
              <w:rPr>
                <w:rFonts w:hint="eastAsia"/>
                <w:color w:val="auto"/>
                <w:highlight w:val="none"/>
              </w:rPr>
            </w:pPr>
          </w:p>
        </w:tc>
        <w:tc>
          <w:tcPr>
            <w:tcW w:w="789" w:type="dxa"/>
          </w:tcPr>
          <w:p w14:paraId="1CD15034">
            <w:pPr>
              <w:pStyle w:val="214"/>
              <w:rPr>
                <w:rFonts w:hint="eastAsia"/>
                <w:color w:val="auto"/>
                <w:highlight w:val="none"/>
              </w:rPr>
            </w:pPr>
          </w:p>
        </w:tc>
        <w:tc>
          <w:tcPr>
            <w:tcW w:w="988" w:type="dxa"/>
          </w:tcPr>
          <w:p w14:paraId="10D3ED31">
            <w:pPr>
              <w:pStyle w:val="214"/>
              <w:rPr>
                <w:rFonts w:hint="eastAsia"/>
                <w:color w:val="auto"/>
                <w:highlight w:val="none"/>
              </w:rPr>
            </w:pPr>
          </w:p>
        </w:tc>
        <w:tc>
          <w:tcPr>
            <w:tcW w:w="882" w:type="dxa"/>
          </w:tcPr>
          <w:p w14:paraId="15D820E1">
            <w:pPr>
              <w:pStyle w:val="214"/>
              <w:rPr>
                <w:rFonts w:hint="eastAsia"/>
                <w:color w:val="auto"/>
                <w:highlight w:val="none"/>
              </w:rPr>
            </w:pPr>
          </w:p>
        </w:tc>
        <w:tc>
          <w:tcPr>
            <w:tcW w:w="794" w:type="dxa"/>
            <w:tcBorders>
              <w:right w:val="single" w:color="000000" w:sz="12" w:space="0"/>
            </w:tcBorders>
          </w:tcPr>
          <w:p w14:paraId="4F9A23A2">
            <w:pPr>
              <w:pStyle w:val="214"/>
              <w:rPr>
                <w:rFonts w:hint="eastAsia"/>
                <w:color w:val="auto"/>
                <w:highlight w:val="none"/>
              </w:rPr>
            </w:pPr>
          </w:p>
        </w:tc>
      </w:tr>
      <w:tr w14:paraId="0233F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46ED9F56">
            <w:pPr>
              <w:pStyle w:val="214"/>
              <w:rPr>
                <w:rFonts w:hint="eastAsia"/>
                <w:color w:val="auto"/>
                <w:highlight w:val="none"/>
              </w:rPr>
            </w:pPr>
          </w:p>
        </w:tc>
        <w:tc>
          <w:tcPr>
            <w:tcW w:w="647" w:type="dxa"/>
          </w:tcPr>
          <w:p w14:paraId="04362C8D">
            <w:pPr>
              <w:pStyle w:val="214"/>
              <w:rPr>
                <w:rFonts w:hint="eastAsia"/>
                <w:color w:val="auto"/>
                <w:highlight w:val="none"/>
              </w:rPr>
            </w:pPr>
          </w:p>
        </w:tc>
        <w:tc>
          <w:tcPr>
            <w:tcW w:w="871" w:type="dxa"/>
          </w:tcPr>
          <w:p w14:paraId="53772FB7">
            <w:pPr>
              <w:pStyle w:val="214"/>
              <w:rPr>
                <w:rFonts w:hint="eastAsia"/>
                <w:color w:val="auto"/>
                <w:highlight w:val="none"/>
              </w:rPr>
            </w:pPr>
          </w:p>
        </w:tc>
        <w:tc>
          <w:tcPr>
            <w:tcW w:w="701" w:type="dxa"/>
          </w:tcPr>
          <w:p w14:paraId="0397BB2B">
            <w:pPr>
              <w:pStyle w:val="214"/>
              <w:rPr>
                <w:rFonts w:hint="eastAsia"/>
                <w:color w:val="auto"/>
                <w:highlight w:val="none"/>
              </w:rPr>
            </w:pPr>
          </w:p>
        </w:tc>
        <w:tc>
          <w:tcPr>
            <w:tcW w:w="853" w:type="dxa"/>
          </w:tcPr>
          <w:p w14:paraId="465F6E8E">
            <w:pPr>
              <w:pStyle w:val="214"/>
              <w:rPr>
                <w:rFonts w:hint="eastAsia"/>
                <w:color w:val="auto"/>
                <w:highlight w:val="none"/>
              </w:rPr>
            </w:pPr>
          </w:p>
        </w:tc>
        <w:tc>
          <w:tcPr>
            <w:tcW w:w="1062" w:type="dxa"/>
          </w:tcPr>
          <w:p w14:paraId="5821CB0C">
            <w:pPr>
              <w:pStyle w:val="214"/>
              <w:rPr>
                <w:rFonts w:hint="eastAsia"/>
                <w:color w:val="auto"/>
                <w:highlight w:val="none"/>
              </w:rPr>
            </w:pPr>
          </w:p>
        </w:tc>
        <w:tc>
          <w:tcPr>
            <w:tcW w:w="761" w:type="dxa"/>
          </w:tcPr>
          <w:p w14:paraId="5C39CF6F">
            <w:pPr>
              <w:pStyle w:val="214"/>
              <w:rPr>
                <w:rFonts w:hint="eastAsia"/>
                <w:color w:val="auto"/>
                <w:highlight w:val="none"/>
              </w:rPr>
            </w:pPr>
          </w:p>
        </w:tc>
        <w:tc>
          <w:tcPr>
            <w:tcW w:w="1088" w:type="dxa"/>
          </w:tcPr>
          <w:p w14:paraId="51FD1326">
            <w:pPr>
              <w:pStyle w:val="214"/>
              <w:rPr>
                <w:rFonts w:hint="eastAsia"/>
                <w:color w:val="auto"/>
                <w:highlight w:val="none"/>
              </w:rPr>
            </w:pPr>
          </w:p>
        </w:tc>
        <w:tc>
          <w:tcPr>
            <w:tcW w:w="789" w:type="dxa"/>
          </w:tcPr>
          <w:p w14:paraId="23FCCD4E">
            <w:pPr>
              <w:pStyle w:val="214"/>
              <w:rPr>
                <w:rFonts w:hint="eastAsia"/>
                <w:color w:val="auto"/>
                <w:highlight w:val="none"/>
              </w:rPr>
            </w:pPr>
          </w:p>
        </w:tc>
        <w:tc>
          <w:tcPr>
            <w:tcW w:w="988" w:type="dxa"/>
          </w:tcPr>
          <w:p w14:paraId="141D45DE">
            <w:pPr>
              <w:pStyle w:val="214"/>
              <w:rPr>
                <w:rFonts w:hint="eastAsia"/>
                <w:color w:val="auto"/>
                <w:highlight w:val="none"/>
              </w:rPr>
            </w:pPr>
          </w:p>
        </w:tc>
        <w:tc>
          <w:tcPr>
            <w:tcW w:w="882" w:type="dxa"/>
          </w:tcPr>
          <w:p w14:paraId="084C1AA0">
            <w:pPr>
              <w:pStyle w:val="214"/>
              <w:rPr>
                <w:rFonts w:hint="eastAsia"/>
                <w:color w:val="auto"/>
                <w:highlight w:val="none"/>
              </w:rPr>
            </w:pPr>
          </w:p>
        </w:tc>
        <w:tc>
          <w:tcPr>
            <w:tcW w:w="794" w:type="dxa"/>
            <w:tcBorders>
              <w:right w:val="single" w:color="000000" w:sz="12" w:space="0"/>
            </w:tcBorders>
          </w:tcPr>
          <w:p w14:paraId="4E60CFC4">
            <w:pPr>
              <w:pStyle w:val="214"/>
              <w:rPr>
                <w:rFonts w:hint="eastAsia"/>
                <w:color w:val="auto"/>
                <w:highlight w:val="none"/>
              </w:rPr>
            </w:pPr>
          </w:p>
        </w:tc>
      </w:tr>
      <w:tr w14:paraId="1986B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1E72971F">
            <w:pPr>
              <w:pStyle w:val="214"/>
              <w:rPr>
                <w:rFonts w:hint="eastAsia"/>
                <w:color w:val="auto"/>
                <w:highlight w:val="none"/>
              </w:rPr>
            </w:pPr>
          </w:p>
        </w:tc>
        <w:tc>
          <w:tcPr>
            <w:tcW w:w="647" w:type="dxa"/>
          </w:tcPr>
          <w:p w14:paraId="6122F936">
            <w:pPr>
              <w:pStyle w:val="214"/>
              <w:rPr>
                <w:rFonts w:hint="eastAsia"/>
                <w:color w:val="auto"/>
                <w:highlight w:val="none"/>
              </w:rPr>
            </w:pPr>
          </w:p>
        </w:tc>
        <w:tc>
          <w:tcPr>
            <w:tcW w:w="871" w:type="dxa"/>
          </w:tcPr>
          <w:p w14:paraId="59ECEA83">
            <w:pPr>
              <w:pStyle w:val="214"/>
              <w:rPr>
                <w:rFonts w:hint="eastAsia"/>
                <w:color w:val="auto"/>
                <w:highlight w:val="none"/>
              </w:rPr>
            </w:pPr>
          </w:p>
        </w:tc>
        <w:tc>
          <w:tcPr>
            <w:tcW w:w="701" w:type="dxa"/>
          </w:tcPr>
          <w:p w14:paraId="29A5DA7F">
            <w:pPr>
              <w:pStyle w:val="214"/>
              <w:rPr>
                <w:rFonts w:hint="eastAsia"/>
                <w:color w:val="auto"/>
                <w:highlight w:val="none"/>
              </w:rPr>
            </w:pPr>
          </w:p>
        </w:tc>
        <w:tc>
          <w:tcPr>
            <w:tcW w:w="853" w:type="dxa"/>
          </w:tcPr>
          <w:p w14:paraId="78338400">
            <w:pPr>
              <w:pStyle w:val="214"/>
              <w:rPr>
                <w:rFonts w:hint="eastAsia"/>
                <w:color w:val="auto"/>
                <w:highlight w:val="none"/>
              </w:rPr>
            </w:pPr>
          </w:p>
        </w:tc>
        <w:tc>
          <w:tcPr>
            <w:tcW w:w="1062" w:type="dxa"/>
          </w:tcPr>
          <w:p w14:paraId="53F074FD">
            <w:pPr>
              <w:pStyle w:val="214"/>
              <w:rPr>
                <w:rFonts w:hint="eastAsia"/>
                <w:color w:val="auto"/>
                <w:highlight w:val="none"/>
              </w:rPr>
            </w:pPr>
          </w:p>
        </w:tc>
        <w:tc>
          <w:tcPr>
            <w:tcW w:w="761" w:type="dxa"/>
          </w:tcPr>
          <w:p w14:paraId="3005FEFD">
            <w:pPr>
              <w:pStyle w:val="214"/>
              <w:rPr>
                <w:rFonts w:hint="eastAsia"/>
                <w:color w:val="auto"/>
                <w:highlight w:val="none"/>
              </w:rPr>
            </w:pPr>
          </w:p>
        </w:tc>
        <w:tc>
          <w:tcPr>
            <w:tcW w:w="1088" w:type="dxa"/>
          </w:tcPr>
          <w:p w14:paraId="0F55A530">
            <w:pPr>
              <w:pStyle w:val="214"/>
              <w:rPr>
                <w:rFonts w:hint="eastAsia"/>
                <w:color w:val="auto"/>
                <w:highlight w:val="none"/>
              </w:rPr>
            </w:pPr>
          </w:p>
        </w:tc>
        <w:tc>
          <w:tcPr>
            <w:tcW w:w="789" w:type="dxa"/>
          </w:tcPr>
          <w:p w14:paraId="1D18671C">
            <w:pPr>
              <w:pStyle w:val="214"/>
              <w:rPr>
                <w:rFonts w:hint="eastAsia"/>
                <w:color w:val="auto"/>
                <w:highlight w:val="none"/>
              </w:rPr>
            </w:pPr>
          </w:p>
        </w:tc>
        <w:tc>
          <w:tcPr>
            <w:tcW w:w="988" w:type="dxa"/>
          </w:tcPr>
          <w:p w14:paraId="584BFCDD">
            <w:pPr>
              <w:pStyle w:val="214"/>
              <w:rPr>
                <w:rFonts w:hint="eastAsia"/>
                <w:color w:val="auto"/>
                <w:highlight w:val="none"/>
              </w:rPr>
            </w:pPr>
          </w:p>
        </w:tc>
        <w:tc>
          <w:tcPr>
            <w:tcW w:w="882" w:type="dxa"/>
          </w:tcPr>
          <w:p w14:paraId="1295970D">
            <w:pPr>
              <w:pStyle w:val="214"/>
              <w:rPr>
                <w:rFonts w:hint="eastAsia"/>
                <w:color w:val="auto"/>
                <w:highlight w:val="none"/>
              </w:rPr>
            </w:pPr>
          </w:p>
        </w:tc>
        <w:tc>
          <w:tcPr>
            <w:tcW w:w="794" w:type="dxa"/>
            <w:tcBorders>
              <w:right w:val="single" w:color="000000" w:sz="12" w:space="0"/>
            </w:tcBorders>
          </w:tcPr>
          <w:p w14:paraId="6407CA1C">
            <w:pPr>
              <w:pStyle w:val="214"/>
              <w:rPr>
                <w:rFonts w:hint="eastAsia"/>
                <w:color w:val="auto"/>
                <w:highlight w:val="none"/>
              </w:rPr>
            </w:pPr>
          </w:p>
        </w:tc>
      </w:tr>
      <w:tr w14:paraId="6EB0D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08" w:type="dxa"/>
            <w:tcBorders>
              <w:left w:val="single" w:color="000000" w:sz="12" w:space="0"/>
            </w:tcBorders>
          </w:tcPr>
          <w:p w14:paraId="3F5ECF48">
            <w:pPr>
              <w:pStyle w:val="214"/>
              <w:rPr>
                <w:rFonts w:hint="eastAsia"/>
                <w:color w:val="auto"/>
                <w:highlight w:val="none"/>
              </w:rPr>
            </w:pPr>
          </w:p>
        </w:tc>
        <w:tc>
          <w:tcPr>
            <w:tcW w:w="647" w:type="dxa"/>
          </w:tcPr>
          <w:p w14:paraId="708DDBE3">
            <w:pPr>
              <w:pStyle w:val="214"/>
              <w:rPr>
                <w:rFonts w:hint="eastAsia"/>
                <w:color w:val="auto"/>
                <w:highlight w:val="none"/>
              </w:rPr>
            </w:pPr>
          </w:p>
        </w:tc>
        <w:tc>
          <w:tcPr>
            <w:tcW w:w="871" w:type="dxa"/>
          </w:tcPr>
          <w:p w14:paraId="168A81BB">
            <w:pPr>
              <w:pStyle w:val="214"/>
              <w:rPr>
                <w:rFonts w:hint="eastAsia"/>
                <w:color w:val="auto"/>
                <w:highlight w:val="none"/>
              </w:rPr>
            </w:pPr>
          </w:p>
        </w:tc>
        <w:tc>
          <w:tcPr>
            <w:tcW w:w="701" w:type="dxa"/>
          </w:tcPr>
          <w:p w14:paraId="26CE1984">
            <w:pPr>
              <w:pStyle w:val="214"/>
              <w:rPr>
                <w:rFonts w:hint="eastAsia"/>
                <w:color w:val="auto"/>
                <w:highlight w:val="none"/>
              </w:rPr>
            </w:pPr>
          </w:p>
        </w:tc>
        <w:tc>
          <w:tcPr>
            <w:tcW w:w="853" w:type="dxa"/>
          </w:tcPr>
          <w:p w14:paraId="2A6266B5">
            <w:pPr>
              <w:pStyle w:val="214"/>
              <w:rPr>
                <w:rFonts w:hint="eastAsia"/>
                <w:color w:val="auto"/>
                <w:highlight w:val="none"/>
              </w:rPr>
            </w:pPr>
          </w:p>
        </w:tc>
        <w:tc>
          <w:tcPr>
            <w:tcW w:w="1062" w:type="dxa"/>
          </w:tcPr>
          <w:p w14:paraId="310EF8AA">
            <w:pPr>
              <w:pStyle w:val="214"/>
              <w:rPr>
                <w:rFonts w:hint="eastAsia"/>
                <w:color w:val="auto"/>
                <w:highlight w:val="none"/>
              </w:rPr>
            </w:pPr>
          </w:p>
        </w:tc>
        <w:tc>
          <w:tcPr>
            <w:tcW w:w="761" w:type="dxa"/>
          </w:tcPr>
          <w:p w14:paraId="24E34E3B">
            <w:pPr>
              <w:pStyle w:val="214"/>
              <w:rPr>
                <w:rFonts w:hint="eastAsia"/>
                <w:color w:val="auto"/>
                <w:highlight w:val="none"/>
              </w:rPr>
            </w:pPr>
          </w:p>
        </w:tc>
        <w:tc>
          <w:tcPr>
            <w:tcW w:w="1088" w:type="dxa"/>
          </w:tcPr>
          <w:p w14:paraId="6AE14E4E">
            <w:pPr>
              <w:pStyle w:val="214"/>
              <w:rPr>
                <w:rFonts w:hint="eastAsia"/>
                <w:color w:val="auto"/>
                <w:highlight w:val="none"/>
              </w:rPr>
            </w:pPr>
          </w:p>
        </w:tc>
        <w:tc>
          <w:tcPr>
            <w:tcW w:w="789" w:type="dxa"/>
          </w:tcPr>
          <w:p w14:paraId="56C86D02">
            <w:pPr>
              <w:pStyle w:val="214"/>
              <w:rPr>
                <w:rFonts w:hint="eastAsia"/>
                <w:color w:val="auto"/>
                <w:highlight w:val="none"/>
              </w:rPr>
            </w:pPr>
          </w:p>
        </w:tc>
        <w:tc>
          <w:tcPr>
            <w:tcW w:w="988" w:type="dxa"/>
          </w:tcPr>
          <w:p w14:paraId="6B201685">
            <w:pPr>
              <w:pStyle w:val="214"/>
              <w:rPr>
                <w:rFonts w:hint="eastAsia"/>
                <w:color w:val="auto"/>
                <w:highlight w:val="none"/>
              </w:rPr>
            </w:pPr>
          </w:p>
        </w:tc>
        <w:tc>
          <w:tcPr>
            <w:tcW w:w="882" w:type="dxa"/>
          </w:tcPr>
          <w:p w14:paraId="246068A3">
            <w:pPr>
              <w:pStyle w:val="214"/>
              <w:rPr>
                <w:rFonts w:hint="eastAsia"/>
                <w:color w:val="auto"/>
                <w:highlight w:val="none"/>
              </w:rPr>
            </w:pPr>
          </w:p>
        </w:tc>
        <w:tc>
          <w:tcPr>
            <w:tcW w:w="794" w:type="dxa"/>
            <w:tcBorders>
              <w:right w:val="single" w:color="000000" w:sz="12" w:space="0"/>
            </w:tcBorders>
          </w:tcPr>
          <w:p w14:paraId="1CDD658E">
            <w:pPr>
              <w:pStyle w:val="214"/>
              <w:rPr>
                <w:rFonts w:hint="eastAsia"/>
                <w:color w:val="auto"/>
                <w:highlight w:val="none"/>
              </w:rPr>
            </w:pPr>
          </w:p>
        </w:tc>
      </w:tr>
      <w:tr w14:paraId="6B393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608" w:type="dxa"/>
            <w:tcBorders>
              <w:left w:val="single" w:color="000000" w:sz="12" w:space="0"/>
            </w:tcBorders>
          </w:tcPr>
          <w:p w14:paraId="09D5A3BE">
            <w:pPr>
              <w:pStyle w:val="214"/>
              <w:rPr>
                <w:rFonts w:hint="eastAsia"/>
                <w:color w:val="auto"/>
                <w:highlight w:val="none"/>
              </w:rPr>
            </w:pPr>
          </w:p>
        </w:tc>
        <w:tc>
          <w:tcPr>
            <w:tcW w:w="647" w:type="dxa"/>
          </w:tcPr>
          <w:p w14:paraId="3EEAFBEC">
            <w:pPr>
              <w:pStyle w:val="214"/>
              <w:rPr>
                <w:rFonts w:hint="eastAsia"/>
                <w:color w:val="auto"/>
                <w:highlight w:val="none"/>
              </w:rPr>
            </w:pPr>
          </w:p>
        </w:tc>
        <w:tc>
          <w:tcPr>
            <w:tcW w:w="871" w:type="dxa"/>
          </w:tcPr>
          <w:p w14:paraId="38DE64E0">
            <w:pPr>
              <w:pStyle w:val="214"/>
              <w:rPr>
                <w:rFonts w:hint="eastAsia"/>
                <w:color w:val="auto"/>
                <w:highlight w:val="none"/>
              </w:rPr>
            </w:pPr>
          </w:p>
        </w:tc>
        <w:tc>
          <w:tcPr>
            <w:tcW w:w="701" w:type="dxa"/>
          </w:tcPr>
          <w:p w14:paraId="129BDF59">
            <w:pPr>
              <w:pStyle w:val="214"/>
              <w:rPr>
                <w:rFonts w:hint="eastAsia"/>
                <w:color w:val="auto"/>
                <w:highlight w:val="none"/>
              </w:rPr>
            </w:pPr>
          </w:p>
        </w:tc>
        <w:tc>
          <w:tcPr>
            <w:tcW w:w="853" w:type="dxa"/>
          </w:tcPr>
          <w:p w14:paraId="2B9CE24D">
            <w:pPr>
              <w:pStyle w:val="214"/>
              <w:rPr>
                <w:rFonts w:hint="eastAsia"/>
                <w:color w:val="auto"/>
                <w:highlight w:val="none"/>
              </w:rPr>
            </w:pPr>
          </w:p>
        </w:tc>
        <w:tc>
          <w:tcPr>
            <w:tcW w:w="1062" w:type="dxa"/>
          </w:tcPr>
          <w:p w14:paraId="6203BF72">
            <w:pPr>
              <w:pStyle w:val="214"/>
              <w:rPr>
                <w:rFonts w:hint="eastAsia"/>
                <w:color w:val="auto"/>
                <w:highlight w:val="none"/>
              </w:rPr>
            </w:pPr>
          </w:p>
        </w:tc>
        <w:tc>
          <w:tcPr>
            <w:tcW w:w="761" w:type="dxa"/>
          </w:tcPr>
          <w:p w14:paraId="18389F0A">
            <w:pPr>
              <w:pStyle w:val="214"/>
              <w:rPr>
                <w:rFonts w:hint="eastAsia"/>
                <w:color w:val="auto"/>
                <w:highlight w:val="none"/>
              </w:rPr>
            </w:pPr>
          </w:p>
        </w:tc>
        <w:tc>
          <w:tcPr>
            <w:tcW w:w="1088" w:type="dxa"/>
          </w:tcPr>
          <w:p w14:paraId="50027A24">
            <w:pPr>
              <w:pStyle w:val="214"/>
              <w:rPr>
                <w:rFonts w:hint="eastAsia"/>
                <w:color w:val="auto"/>
                <w:highlight w:val="none"/>
              </w:rPr>
            </w:pPr>
          </w:p>
        </w:tc>
        <w:tc>
          <w:tcPr>
            <w:tcW w:w="789" w:type="dxa"/>
          </w:tcPr>
          <w:p w14:paraId="6EAD6B40">
            <w:pPr>
              <w:pStyle w:val="214"/>
              <w:rPr>
                <w:rFonts w:hint="eastAsia"/>
                <w:color w:val="auto"/>
                <w:highlight w:val="none"/>
              </w:rPr>
            </w:pPr>
          </w:p>
        </w:tc>
        <w:tc>
          <w:tcPr>
            <w:tcW w:w="988" w:type="dxa"/>
          </w:tcPr>
          <w:p w14:paraId="10567AD5">
            <w:pPr>
              <w:pStyle w:val="214"/>
              <w:rPr>
                <w:rFonts w:hint="eastAsia"/>
                <w:color w:val="auto"/>
                <w:highlight w:val="none"/>
              </w:rPr>
            </w:pPr>
          </w:p>
        </w:tc>
        <w:tc>
          <w:tcPr>
            <w:tcW w:w="882" w:type="dxa"/>
          </w:tcPr>
          <w:p w14:paraId="62CCC554">
            <w:pPr>
              <w:pStyle w:val="214"/>
              <w:rPr>
                <w:rFonts w:hint="eastAsia"/>
                <w:color w:val="auto"/>
                <w:highlight w:val="none"/>
              </w:rPr>
            </w:pPr>
          </w:p>
        </w:tc>
        <w:tc>
          <w:tcPr>
            <w:tcW w:w="794" w:type="dxa"/>
            <w:tcBorders>
              <w:right w:val="single" w:color="000000" w:sz="12" w:space="0"/>
            </w:tcBorders>
          </w:tcPr>
          <w:p w14:paraId="648CE145">
            <w:pPr>
              <w:pStyle w:val="214"/>
              <w:rPr>
                <w:rFonts w:hint="eastAsia"/>
                <w:color w:val="auto"/>
                <w:highlight w:val="none"/>
              </w:rPr>
            </w:pPr>
          </w:p>
        </w:tc>
      </w:tr>
      <w:tr w14:paraId="715FD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08" w:type="dxa"/>
            <w:tcBorders>
              <w:left w:val="single" w:color="000000" w:sz="12" w:space="0"/>
              <w:bottom w:val="single" w:color="000000" w:sz="12" w:space="0"/>
            </w:tcBorders>
          </w:tcPr>
          <w:p w14:paraId="419C52E1">
            <w:pPr>
              <w:pStyle w:val="214"/>
              <w:rPr>
                <w:rFonts w:hint="eastAsia"/>
                <w:color w:val="auto"/>
                <w:highlight w:val="none"/>
              </w:rPr>
            </w:pPr>
          </w:p>
        </w:tc>
        <w:tc>
          <w:tcPr>
            <w:tcW w:w="647" w:type="dxa"/>
            <w:tcBorders>
              <w:bottom w:val="single" w:color="000000" w:sz="12" w:space="0"/>
            </w:tcBorders>
          </w:tcPr>
          <w:p w14:paraId="27902C72">
            <w:pPr>
              <w:pStyle w:val="214"/>
              <w:rPr>
                <w:rFonts w:hint="eastAsia"/>
                <w:color w:val="auto"/>
                <w:highlight w:val="none"/>
              </w:rPr>
            </w:pPr>
          </w:p>
        </w:tc>
        <w:tc>
          <w:tcPr>
            <w:tcW w:w="871" w:type="dxa"/>
            <w:tcBorders>
              <w:bottom w:val="single" w:color="000000" w:sz="12" w:space="0"/>
            </w:tcBorders>
          </w:tcPr>
          <w:p w14:paraId="0D0F7A74">
            <w:pPr>
              <w:pStyle w:val="214"/>
              <w:rPr>
                <w:rFonts w:hint="eastAsia"/>
                <w:color w:val="auto"/>
                <w:highlight w:val="none"/>
              </w:rPr>
            </w:pPr>
          </w:p>
        </w:tc>
        <w:tc>
          <w:tcPr>
            <w:tcW w:w="701" w:type="dxa"/>
            <w:tcBorders>
              <w:bottom w:val="single" w:color="000000" w:sz="12" w:space="0"/>
            </w:tcBorders>
          </w:tcPr>
          <w:p w14:paraId="34CDA9F9">
            <w:pPr>
              <w:pStyle w:val="214"/>
              <w:rPr>
                <w:rFonts w:hint="eastAsia"/>
                <w:color w:val="auto"/>
                <w:highlight w:val="none"/>
              </w:rPr>
            </w:pPr>
          </w:p>
        </w:tc>
        <w:tc>
          <w:tcPr>
            <w:tcW w:w="853" w:type="dxa"/>
            <w:tcBorders>
              <w:bottom w:val="single" w:color="000000" w:sz="12" w:space="0"/>
            </w:tcBorders>
          </w:tcPr>
          <w:p w14:paraId="24BE9C12">
            <w:pPr>
              <w:pStyle w:val="214"/>
              <w:rPr>
                <w:rFonts w:hint="eastAsia"/>
                <w:color w:val="auto"/>
                <w:highlight w:val="none"/>
              </w:rPr>
            </w:pPr>
          </w:p>
        </w:tc>
        <w:tc>
          <w:tcPr>
            <w:tcW w:w="1062" w:type="dxa"/>
            <w:tcBorders>
              <w:bottom w:val="single" w:color="000000" w:sz="12" w:space="0"/>
            </w:tcBorders>
          </w:tcPr>
          <w:p w14:paraId="68679273">
            <w:pPr>
              <w:pStyle w:val="214"/>
              <w:rPr>
                <w:rFonts w:hint="eastAsia"/>
                <w:color w:val="auto"/>
                <w:highlight w:val="none"/>
              </w:rPr>
            </w:pPr>
          </w:p>
        </w:tc>
        <w:tc>
          <w:tcPr>
            <w:tcW w:w="761" w:type="dxa"/>
            <w:tcBorders>
              <w:bottom w:val="single" w:color="000000" w:sz="12" w:space="0"/>
            </w:tcBorders>
          </w:tcPr>
          <w:p w14:paraId="0920CA9A">
            <w:pPr>
              <w:pStyle w:val="214"/>
              <w:rPr>
                <w:rFonts w:hint="eastAsia"/>
                <w:color w:val="auto"/>
                <w:highlight w:val="none"/>
              </w:rPr>
            </w:pPr>
          </w:p>
        </w:tc>
        <w:tc>
          <w:tcPr>
            <w:tcW w:w="1088" w:type="dxa"/>
            <w:tcBorders>
              <w:bottom w:val="single" w:color="000000" w:sz="12" w:space="0"/>
            </w:tcBorders>
          </w:tcPr>
          <w:p w14:paraId="02634FDF">
            <w:pPr>
              <w:pStyle w:val="214"/>
              <w:rPr>
                <w:rFonts w:hint="eastAsia"/>
                <w:color w:val="auto"/>
                <w:highlight w:val="none"/>
              </w:rPr>
            </w:pPr>
          </w:p>
        </w:tc>
        <w:tc>
          <w:tcPr>
            <w:tcW w:w="789" w:type="dxa"/>
            <w:tcBorders>
              <w:bottom w:val="single" w:color="000000" w:sz="12" w:space="0"/>
            </w:tcBorders>
          </w:tcPr>
          <w:p w14:paraId="7A9BBDD5">
            <w:pPr>
              <w:pStyle w:val="214"/>
              <w:rPr>
                <w:rFonts w:hint="eastAsia"/>
                <w:color w:val="auto"/>
                <w:highlight w:val="none"/>
              </w:rPr>
            </w:pPr>
          </w:p>
        </w:tc>
        <w:tc>
          <w:tcPr>
            <w:tcW w:w="988" w:type="dxa"/>
            <w:tcBorders>
              <w:bottom w:val="single" w:color="000000" w:sz="12" w:space="0"/>
            </w:tcBorders>
          </w:tcPr>
          <w:p w14:paraId="3BDD45D5">
            <w:pPr>
              <w:pStyle w:val="214"/>
              <w:rPr>
                <w:rFonts w:hint="eastAsia"/>
                <w:color w:val="auto"/>
                <w:highlight w:val="none"/>
              </w:rPr>
            </w:pPr>
          </w:p>
        </w:tc>
        <w:tc>
          <w:tcPr>
            <w:tcW w:w="882" w:type="dxa"/>
            <w:tcBorders>
              <w:bottom w:val="single" w:color="000000" w:sz="12" w:space="0"/>
            </w:tcBorders>
          </w:tcPr>
          <w:p w14:paraId="578A78CE">
            <w:pPr>
              <w:pStyle w:val="214"/>
              <w:rPr>
                <w:rFonts w:hint="eastAsia"/>
                <w:color w:val="auto"/>
                <w:highlight w:val="none"/>
              </w:rPr>
            </w:pPr>
          </w:p>
        </w:tc>
        <w:tc>
          <w:tcPr>
            <w:tcW w:w="794" w:type="dxa"/>
            <w:tcBorders>
              <w:bottom w:val="single" w:color="000000" w:sz="12" w:space="0"/>
              <w:right w:val="single" w:color="000000" w:sz="12" w:space="0"/>
            </w:tcBorders>
          </w:tcPr>
          <w:p w14:paraId="741231AF">
            <w:pPr>
              <w:pStyle w:val="214"/>
              <w:rPr>
                <w:rFonts w:hint="eastAsia"/>
                <w:color w:val="auto"/>
                <w:highlight w:val="none"/>
              </w:rPr>
            </w:pPr>
          </w:p>
        </w:tc>
      </w:tr>
    </w:tbl>
    <w:p w14:paraId="296DD2F5">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209E3EFA">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r>
        <w:rPr>
          <w:rFonts w:hint="eastAsia" w:eastAsia="宋体"/>
          <w:color w:val="auto"/>
          <w:sz w:val="22"/>
          <w:highlight w:val="none"/>
          <w:u w:val="single"/>
        </w:rPr>
        <w:tab/>
      </w:r>
      <w:r>
        <w:rPr>
          <w:rFonts w:hint="eastAsia" w:eastAsia="宋体"/>
          <w:color w:val="auto"/>
          <w:sz w:val="22"/>
          <w:highlight w:val="none"/>
          <w:u w:val="single"/>
        </w:rPr>
        <w:t xml:space="preserve">  </w:t>
      </w:r>
      <w:r>
        <w:rPr>
          <w:rFonts w:hint="eastAsia" w:eastAsia="宋体"/>
          <w:color w:val="auto"/>
          <w:spacing w:val="-51"/>
          <w:sz w:val="22"/>
          <w:highlight w:val="none"/>
        </w:rPr>
        <w:t xml:space="preserve"> </w:t>
      </w:r>
    </w:p>
    <w:p w14:paraId="26D34511">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p>
    <w:p w14:paraId="19967FC3">
      <w:pPr>
        <w:spacing w:before="68" w:line="223" w:lineRule="auto"/>
        <w:rPr>
          <w:rFonts w:hint="eastAsia" w:ascii="宋体" w:hAnsi="宋体" w:eastAsia="宋体" w:cs="宋体"/>
          <w:color w:val="auto"/>
          <w:spacing w:val="-6"/>
          <w:szCs w:val="21"/>
          <w:highlight w:val="none"/>
        </w:rPr>
        <w:sectPr>
          <w:footerReference r:id="rId12" w:type="default"/>
          <w:pgSz w:w="11906" w:h="16838"/>
          <w:pgMar w:top="1134" w:right="1134" w:bottom="1134" w:left="1134" w:header="851" w:footer="850" w:gutter="0"/>
          <w:cols w:space="720" w:num="1"/>
          <w:docGrid w:linePitch="312" w:charSpace="0"/>
        </w:sectPr>
      </w:pPr>
    </w:p>
    <w:p w14:paraId="4B2DB3CE">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w:t>
      </w:r>
      <w:r>
        <w:rPr>
          <w:rFonts w:hint="eastAsia" w:ascii="宋体" w:hAnsi="宋体" w:eastAsia="宋体" w:cs="宋体"/>
          <w:color w:val="auto"/>
          <w:spacing w:val="-43"/>
          <w:szCs w:val="21"/>
          <w:highlight w:val="none"/>
        </w:rPr>
        <w:t xml:space="preserve"> </w:t>
      </w:r>
      <w:r>
        <w:rPr>
          <w:rFonts w:hint="eastAsia" w:ascii="宋体" w:hAnsi="宋体" w:eastAsia="宋体" w:cs="宋体"/>
          <w:color w:val="auto"/>
          <w:spacing w:val="-6"/>
          <w:szCs w:val="21"/>
          <w:highlight w:val="none"/>
        </w:rPr>
        <w:t>5</w:t>
      </w:r>
    </w:p>
    <w:p w14:paraId="13C6F7F5">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调味品供货及验收清单</w:t>
      </w:r>
    </w:p>
    <w:tbl>
      <w:tblPr>
        <w:tblStyle w:val="215"/>
        <w:tblW w:w="990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665"/>
        <w:gridCol w:w="763"/>
        <w:gridCol w:w="779"/>
        <w:gridCol w:w="678"/>
        <w:gridCol w:w="1072"/>
        <w:gridCol w:w="879"/>
        <w:gridCol w:w="1015"/>
        <w:gridCol w:w="933"/>
        <w:gridCol w:w="933"/>
        <w:gridCol w:w="808"/>
        <w:gridCol w:w="792"/>
      </w:tblGrid>
      <w:tr w14:paraId="3B00E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90" w:type="dxa"/>
            <w:tcBorders>
              <w:top w:val="single" w:color="000000" w:sz="12" w:space="0"/>
              <w:left w:val="single" w:color="000000" w:sz="12" w:space="0"/>
            </w:tcBorders>
          </w:tcPr>
          <w:p w14:paraId="7825FECA">
            <w:pPr>
              <w:spacing w:before="183" w:line="223" w:lineRule="auto"/>
              <w:ind w:left="10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665" w:type="dxa"/>
            <w:tcBorders>
              <w:top w:val="single" w:color="000000" w:sz="12" w:space="0"/>
            </w:tcBorders>
          </w:tcPr>
          <w:p w14:paraId="020648CC">
            <w:pPr>
              <w:spacing w:before="184" w:line="222" w:lineRule="auto"/>
              <w:ind w:left="151"/>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品名</w:t>
            </w:r>
          </w:p>
        </w:tc>
        <w:tc>
          <w:tcPr>
            <w:tcW w:w="763" w:type="dxa"/>
            <w:tcBorders>
              <w:top w:val="single" w:color="000000" w:sz="12" w:space="0"/>
            </w:tcBorders>
          </w:tcPr>
          <w:p w14:paraId="7C6C4EF2">
            <w:pPr>
              <w:spacing w:before="62" w:line="238" w:lineRule="auto"/>
              <w:ind w:left="179" w:right="200" w:firstLine="1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数量</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w:t>
            </w:r>
          </w:p>
        </w:tc>
        <w:tc>
          <w:tcPr>
            <w:tcW w:w="779" w:type="dxa"/>
            <w:tcBorders>
              <w:top w:val="single" w:color="000000" w:sz="12" w:space="0"/>
            </w:tcBorders>
          </w:tcPr>
          <w:p w14:paraId="30D2D4CE">
            <w:pPr>
              <w:spacing w:before="183" w:line="223" w:lineRule="auto"/>
              <w:ind w:left="203"/>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产地</w:t>
            </w:r>
          </w:p>
        </w:tc>
        <w:tc>
          <w:tcPr>
            <w:tcW w:w="678" w:type="dxa"/>
            <w:tcBorders>
              <w:top w:val="single" w:color="000000" w:sz="12" w:space="0"/>
            </w:tcBorders>
          </w:tcPr>
          <w:p w14:paraId="4D8F2FE8">
            <w:pPr>
              <w:spacing w:before="184" w:line="222" w:lineRule="auto"/>
              <w:ind w:left="164"/>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品牌</w:t>
            </w:r>
          </w:p>
        </w:tc>
        <w:tc>
          <w:tcPr>
            <w:tcW w:w="1072" w:type="dxa"/>
            <w:tcBorders>
              <w:top w:val="single" w:color="000000" w:sz="12" w:space="0"/>
            </w:tcBorders>
          </w:tcPr>
          <w:p w14:paraId="537C566D">
            <w:pPr>
              <w:spacing w:before="184" w:line="219" w:lineRule="auto"/>
              <w:ind w:left="174"/>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执行标准</w:t>
            </w:r>
          </w:p>
        </w:tc>
        <w:tc>
          <w:tcPr>
            <w:tcW w:w="879" w:type="dxa"/>
            <w:tcBorders>
              <w:top w:val="single" w:color="000000" w:sz="12" w:space="0"/>
            </w:tcBorders>
          </w:tcPr>
          <w:p w14:paraId="42CD7958">
            <w:pPr>
              <w:spacing w:before="183" w:line="222" w:lineRule="auto"/>
              <w:ind w:left="17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生产商</w:t>
            </w:r>
          </w:p>
        </w:tc>
        <w:tc>
          <w:tcPr>
            <w:tcW w:w="1015" w:type="dxa"/>
            <w:tcBorders>
              <w:top w:val="single" w:color="000000" w:sz="12" w:space="0"/>
            </w:tcBorders>
          </w:tcPr>
          <w:p w14:paraId="2F2415DB">
            <w:pPr>
              <w:spacing w:before="64" w:line="234" w:lineRule="auto"/>
              <w:ind w:left="242" w:right="139" w:hanging="9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包装标准</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及要求</w:t>
            </w:r>
          </w:p>
        </w:tc>
        <w:tc>
          <w:tcPr>
            <w:tcW w:w="933" w:type="dxa"/>
            <w:tcBorders>
              <w:top w:val="single" w:color="000000" w:sz="12" w:space="0"/>
            </w:tcBorders>
          </w:tcPr>
          <w:p w14:paraId="4FB1E3F9">
            <w:pPr>
              <w:spacing w:before="62" w:line="235" w:lineRule="auto"/>
              <w:ind w:left="294" w:right="95" w:hanging="178"/>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运输保管</w:t>
            </w:r>
            <w:r>
              <w:rPr>
                <w:rFonts w:hint="eastAsia" w:ascii="宋体" w:hAnsi="宋体" w:eastAsia="宋体" w:cs="宋体"/>
                <w:color w:val="auto"/>
                <w:spacing w:val="1"/>
                <w:sz w:val="18"/>
                <w:szCs w:val="18"/>
                <w:highlight w:val="none"/>
              </w:rPr>
              <w:t xml:space="preserve"> </w:t>
            </w:r>
            <w:r>
              <w:rPr>
                <w:rFonts w:hint="eastAsia" w:ascii="宋体" w:hAnsi="宋体" w:eastAsia="宋体" w:cs="宋体"/>
                <w:color w:val="auto"/>
                <w:spacing w:val="-2"/>
                <w:sz w:val="18"/>
                <w:szCs w:val="18"/>
                <w:highlight w:val="none"/>
              </w:rPr>
              <w:t>条件</w:t>
            </w:r>
          </w:p>
        </w:tc>
        <w:tc>
          <w:tcPr>
            <w:tcW w:w="933" w:type="dxa"/>
            <w:tcBorders>
              <w:top w:val="single" w:color="000000" w:sz="12" w:space="0"/>
            </w:tcBorders>
          </w:tcPr>
          <w:p w14:paraId="5BB0A2AF">
            <w:pPr>
              <w:spacing w:before="62" w:line="235" w:lineRule="auto"/>
              <w:ind w:left="208" w:right="182" w:firstLine="87"/>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产品</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合格证</w:t>
            </w:r>
          </w:p>
        </w:tc>
        <w:tc>
          <w:tcPr>
            <w:tcW w:w="808" w:type="dxa"/>
            <w:tcBorders>
              <w:top w:val="single" w:color="000000" w:sz="12" w:space="0"/>
            </w:tcBorders>
          </w:tcPr>
          <w:p w14:paraId="7EBC28AC">
            <w:pPr>
              <w:spacing w:before="63" w:line="235" w:lineRule="auto"/>
              <w:ind w:left="159" w:right="136" w:firstLine="82"/>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单价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c>
          <w:tcPr>
            <w:tcW w:w="792" w:type="dxa"/>
            <w:tcBorders>
              <w:top w:val="single" w:color="000000" w:sz="12" w:space="0"/>
              <w:right w:val="single" w:color="000000" w:sz="12" w:space="0"/>
            </w:tcBorders>
          </w:tcPr>
          <w:p w14:paraId="008CE86D">
            <w:pPr>
              <w:spacing w:before="63" w:line="235" w:lineRule="auto"/>
              <w:ind w:left="146" w:right="122" w:firstLine="81"/>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总价</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13"/>
                <w:sz w:val="18"/>
                <w:szCs w:val="18"/>
                <w:highlight w:val="none"/>
              </w:rPr>
              <w:t>（元）</w:t>
            </w:r>
          </w:p>
        </w:tc>
      </w:tr>
      <w:tr w14:paraId="670C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47CE0434">
            <w:pPr>
              <w:pStyle w:val="214"/>
              <w:rPr>
                <w:rFonts w:hint="eastAsia"/>
                <w:color w:val="auto"/>
                <w:highlight w:val="none"/>
              </w:rPr>
            </w:pPr>
          </w:p>
        </w:tc>
        <w:tc>
          <w:tcPr>
            <w:tcW w:w="665" w:type="dxa"/>
          </w:tcPr>
          <w:p w14:paraId="3461F59C">
            <w:pPr>
              <w:pStyle w:val="214"/>
              <w:rPr>
                <w:rFonts w:hint="eastAsia"/>
                <w:color w:val="auto"/>
                <w:highlight w:val="none"/>
              </w:rPr>
            </w:pPr>
          </w:p>
        </w:tc>
        <w:tc>
          <w:tcPr>
            <w:tcW w:w="763" w:type="dxa"/>
          </w:tcPr>
          <w:p w14:paraId="737B2A9F">
            <w:pPr>
              <w:pStyle w:val="214"/>
              <w:rPr>
                <w:rFonts w:hint="eastAsia"/>
                <w:color w:val="auto"/>
                <w:highlight w:val="none"/>
              </w:rPr>
            </w:pPr>
          </w:p>
        </w:tc>
        <w:tc>
          <w:tcPr>
            <w:tcW w:w="779" w:type="dxa"/>
          </w:tcPr>
          <w:p w14:paraId="508DE598">
            <w:pPr>
              <w:pStyle w:val="214"/>
              <w:rPr>
                <w:rFonts w:hint="eastAsia"/>
                <w:color w:val="auto"/>
                <w:highlight w:val="none"/>
              </w:rPr>
            </w:pPr>
          </w:p>
        </w:tc>
        <w:tc>
          <w:tcPr>
            <w:tcW w:w="678" w:type="dxa"/>
          </w:tcPr>
          <w:p w14:paraId="4F6AE556">
            <w:pPr>
              <w:pStyle w:val="214"/>
              <w:rPr>
                <w:rFonts w:hint="eastAsia"/>
                <w:color w:val="auto"/>
                <w:highlight w:val="none"/>
              </w:rPr>
            </w:pPr>
          </w:p>
        </w:tc>
        <w:tc>
          <w:tcPr>
            <w:tcW w:w="1072" w:type="dxa"/>
          </w:tcPr>
          <w:p w14:paraId="6B9DA84E">
            <w:pPr>
              <w:pStyle w:val="214"/>
              <w:rPr>
                <w:rFonts w:hint="eastAsia"/>
                <w:color w:val="auto"/>
                <w:highlight w:val="none"/>
              </w:rPr>
            </w:pPr>
          </w:p>
        </w:tc>
        <w:tc>
          <w:tcPr>
            <w:tcW w:w="879" w:type="dxa"/>
          </w:tcPr>
          <w:p w14:paraId="28BEF7AC">
            <w:pPr>
              <w:pStyle w:val="214"/>
              <w:rPr>
                <w:rFonts w:hint="eastAsia"/>
                <w:color w:val="auto"/>
                <w:highlight w:val="none"/>
              </w:rPr>
            </w:pPr>
          </w:p>
        </w:tc>
        <w:tc>
          <w:tcPr>
            <w:tcW w:w="1015" w:type="dxa"/>
          </w:tcPr>
          <w:p w14:paraId="03B8F79C">
            <w:pPr>
              <w:pStyle w:val="214"/>
              <w:rPr>
                <w:rFonts w:hint="eastAsia"/>
                <w:color w:val="auto"/>
                <w:highlight w:val="none"/>
              </w:rPr>
            </w:pPr>
          </w:p>
        </w:tc>
        <w:tc>
          <w:tcPr>
            <w:tcW w:w="933" w:type="dxa"/>
          </w:tcPr>
          <w:p w14:paraId="226C8650">
            <w:pPr>
              <w:pStyle w:val="214"/>
              <w:rPr>
                <w:rFonts w:hint="eastAsia"/>
                <w:color w:val="auto"/>
                <w:highlight w:val="none"/>
              </w:rPr>
            </w:pPr>
          </w:p>
        </w:tc>
        <w:tc>
          <w:tcPr>
            <w:tcW w:w="933" w:type="dxa"/>
          </w:tcPr>
          <w:p w14:paraId="75319146">
            <w:pPr>
              <w:pStyle w:val="214"/>
              <w:rPr>
                <w:rFonts w:hint="eastAsia"/>
                <w:color w:val="auto"/>
                <w:highlight w:val="none"/>
              </w:rPr>
            </w:pPr>
          </w:p>
        </w:tc>
        <w:tc>
          <w:tcPr>
            <w:tcW w:w="808" w:type="dxa"/>
          </w:tcPr>
          <w:p w14:paraId="52E177F5">
            <w:pPr>
              <w:pStyle w:val="214"/>
              <w:rPr>
                <w:rFonts w:hint="eastAsia"/>
                <w:color w:val="auto"/>
                <w:highlight w:val="none"/>
              </w:rPr>
            </w:pPr>
          </w:p>
        </w:tc>
        <w:tc>
          <w:tcPr>
            <w:tcW w:w="792" w:type="dxa"/>
            <w:tcBorders>
              <w:right w:val="single" w:color="000000" w:sz="12" w:space="0"/>
            </w:tcBorders>
          </w:tcPr>
          <w:p w14:paraId="59492749">
            <w:pPr>
              <w:pStyle w:val="214"/>
              <w:rPr>
                <w:rFonts w:hint="eastAsia"/>
                <w:color w:val="auto"/>
                <w:highlight w:val="none"/>
              </w:rPr>
            </w:pPr>
          </w:p>
        </w:tc>
      </w:tr>
      <w:tr w14:paraId="4915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24D7F1F6">
            <w:pPr>
              <w:pStyle w:val="214"/>
              <w:rPr>
                <w:rFonts w:hint="eastAsia"/>
                <w:color w:val="auto"/>
                <w:highlight w:val="none"/>
              </w:rPr>
            </w:pPr>
          </w:p>
        </w:tc>
        <w:tc>
          <w:tcPr>
            <w:tcW w:w="665" w:type="dxa"/>
          </w:tcPr>
          <w:p w14:paraId="3C999C0F">
            <w:pPr>
              <w:pStyle w:val="214"/>
              <w:rPr>
                <w:rFonts w:hint="eastAsia"/>
                <w:color w:val="auto"/>
                <w:highlight w:val="none"/>
              </w:rPr>
            </w:pPr>
          </w:p>
        </w:tc>
        <w:tc>
          <w:tcPr>
            <w:tcW w:w="763" w:type="dxa"/>
          </w:tcPr>
          <w:p w14:paraId="7B07A9D1">
            <w:pPr>
              <w:pStyle w:val="214"/>
              <w:rPr>
                <w:rFonts w:hint="eastAsia"/>
                <w:color w:val="auto"/>
                <w:highlight w:val="none"/>
              </w:rPr>
            </w:pPr>
          </w:p>
        </w:tc>
        <w:tc>
          <w:tcPr>
            <w:tcW w:w="779" w:type="dxa"/>
          </w:tcPr>
          <w:p w14:paraId="673EB94D">
            <w:pPr>
              <w:pStyle w:val="214"/>
              <w:rPr>
                <w:rFonts w:hint="eastAsia"/>
                <w:color w:val="auto"/>
                <w:highlight w:val="none"/>
              </w:rPr>
            </w:pPr>
          </w:p>
        </w:tc>
        <w:tc>
          <w:tcPr>
            <w:tcW w:w="678" w:type="dxa"/>
          </w:tcPr>
          <w:p w14:paraId="6086D926">
            <w:pPr>
              <w:pStyle w:val="214"/>
              <w:rPr>
                <w:rFonts w:hint="eastAsia"/>
                <w:color w:val="auto"/>
                <w:highlight w:val="none"/>
              </w:rPr>
            </w:pPr>
          </w:p>
        </w:tc>
        <w:tc>
          <w:tcPr>
            <w:tcW w:w="1072" w:type="dxa"/>
          </w:tcPr>
          <w:p w14:paraId="202D4602">
            <w:pPr>
              <w:pStyle w:val="214"/>
              <w:rPr>
                <w:rFonts w:hint="eastAsia"/>
                <w:color w:val="auto"/>
                <w:highlight w:val="none"/>
              </w:rPr>
            </w:pPr>
          </w:p>
        </w:tc>
        <w:tc>
          <w:tcPr>
            <w:tcW w:w="879" w:type="dxa"/>
          </w:tcPr>
          <w:p w14:paraId="1058D9ED">
            <w:pPr>
              <w:pStyle w:val="214"/>
              <w:rPr>
                <w:rFonts w:hint="eastAsia"/>
                <w:color w:val="auto"/>
                <w:highlight w:val="none"/>
              </w:rPr>
            </w:pPr>
          </w:p>
        </w:tc>
        <w:tc>
          <w:tcPr>
            <w:tcW w:w="1015" w:type="dxa"/>
          </w:tcPr>
          <w:p w14:paraId="5966D2E5">
            <w:pPr>
              <w:pStyle w:val="214"/>
              <w:rPr>
                <w:rFonts w:hint="eastAsia"/>
                <w:color w:val="auto"/>
                <w:highlight w:val="none"/>
              </w:rPr>
            </w:pPr>
          </w:p>
        </w:tc>
        <w:tc>
          <w:tcPr>
            <w:tcW w:w="933" w:type="dxa"/>
          </w:tcPr>
          <w:p w14:paraId="3324048E">
            <w:pPr>
              <w:pStyle w:val="214"/>
              <w:rPr>
                <w:rFonts w:hint="eastAsia"/>
                <w:color w:val="auto"/>
                <w:highlight w:val="none"/>
              </w:rPr>
            </w:pPr>
          </w:p>
        </w:tc>
        <w:tc>
          <w:tcPr>
            <w:tcW w:w="933" w:type="dxa"/>
          </w:tcPr>
          <w:p w14:paraId="2BD6AF87">
            <w:pPr>
              <w:pStyle w:val="214"/>
              <w:rPr>
                <w:rFonts w:hint="eastAsia"/>
                <w:color w:val="auto"/>
                <w:highlight w:val="none"/>
              </w:rPr>
            </w:pPr>
          </w:p>
        </w:tc>
        <w:tc>
          <w:tcPr>
            <w:tcW w:w="808" w:type="dxa"/>
          </w:tcPr>
          <w:p w14:paraId="296F0922">
            <w:pPr>
              <w:pStyle w:val="214"/>
              <w:rPr>
                <w:rFonts w:hint="eastAsia"/>
                <w:color w:val="auto"/>
                <w:highlight w:val="none"/>
              </w:rPr>
            </w:pPr>
          </w:p>
        </w:tc>
        <w:tc>
          <w:tcPr>
            <w:tcW w:w="792" w:type="dxa"/>
            <w:tcBorders>
              <w:right w:val="single" w:color="000000" w:sz="12" w:space="0"/>
            </w:tcBorders>
          </w:tcPr>
          <w:p w14:paraId="605AED79">
            <w:pPr>
              <w:pStyle w:val="214"/>
              <w:rPr>
                <w:rFonts w:hint="eastAsia"/>
                <w:color w:val="auto"/>
                <w:highlight w:val="none"/>
              </w:rPr>
            </w:pPr>
          </w:p>
        </w:tc>
      </w:tr>
      <w:tr w14:paraId="0B801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231F3028">
            <w:pPr>
              <w:pStyle w:val="214"/>
              <w:rPr>
                <w:rFonts w:hint="eastAsia"/>
                <w:color w:val="auto"/>
                <w:highlight w:val="none"/>
              </w:rPr>
            </w:pPr>
          </w:p>
        </w:tc>
        <w:tc>
          <w:tcPr>
            <w:tcW w:w="665" w:type="dxa"/>
          </w:tcPr>
          <w:p w14:paraId="74CA280A">
            <w:pPr>
              <w:pStyle w:val="214"/>
              <w:rPr>
                <w:rFonts w:hint="eastAsia"/>
                <w:color w:val="auto"/>
                <w:highlight w:val="none"/>
              </w:rPr>
            </w:pPr>
          </w:p>
        </w:tc>
        <w:tc>
          <w:tcPr>
            <w:tcW w:w="763" w:type="dxa"/>
          </w:tcPr>
          <w:p w14:paraId="5176AB96">
            <w:pPr>
              <w:pStyle w:val="214"/>
              <w:rPr>
                <w:rFonts w:hint="eastAsia"/>
                <w:color w:val="auto"/>
                <w:highlight w:val="none"/>
              </w:rPr>
            </w:pPr>
          </w:p>
        </w:tc>
        <w:tc>
          <w:tcPr>
            <w:tcW w:w="779" w:type="dxa"/>
          </w:tcPr>
          <w:p w14:paraId="447F95DB">
            <w:pPr>
              <w:pStyle w:val="214"/>
              <w:rPr>
                <w:rFonts w:hint="eastAsia"/>
                <w:color w:val="auto"/>
                <w:highlight w:val="none"/>
              </w:rPr>
            </w:pPr>
          </w:p>
        </w:tc>
        <w:tc>
          <w:tcPr>
            <w:tcW w:w="678" w:type="dxa"/>
          </w:tcPr>
          <w:p w14:paraId="36BE922E">
            <w:pPr>
              <w:pStyle w:val="214"/>
              <w:rPr>
                <w:rFonts w:hint="eastAsia"/>
                <w:color w:val="auto"/>
                <w:highlight w:val="none"/>
              </w:rPr>
            </w:pPr>
          </w:p>
        </w:tc>
        <w:tc>
          <w:tcPr>
            <w:tcW w:w="1072" w:type="dxa"/>
          </w:tcPr>
          <w:p w14:paraId="4D671603">
            <w:pPr>
              <w:pStyle w:val="214"/>
              <w:rPr>
                <w:rFonts w:hint="eastAsia"/>
                <w:color w:val="auto"/>
                <w:highlight w:val="none"/>
              </w:rPr>
            </w:pPr>
          </w:p>
        </w:tc>
        <w:tc>
          <w:tcPr>
            <w:tcW w:w="879" w:type="dxa"/>
          </w:tcPr>
          <w:p w14:paraId="6C49A142">
            <w:pPr>
              <w:pStyle w:val="214"/>
              <w:rPr>
                <w:rFonts w:hint="eastAsia"/>
                <w:color w:val="auto"/>
                <w:highlight w:val="none"/>
              </w:rPr>
            </w:pPr>
          </w:p>
        </w:tc>
        <w:tc>
          <w:tcPr>
            <w:tcW w:w="1015" w:type="dxa"/>
          </w:tcPr>
          <w:p w14:paraId="267111F5">
            <w:pPr>
              <w:pStyle w:val="214"/>
              <w:rPr>
                <w:rFonts w:hint="eastAsia"/>
                <w:color w:val="auto"/>
                <w:highlight w:val="none"/>
              </w:rPr>
            </w:pPr>
          </w:p>
        </w:tc>
        <w:tc>
          <w:tcPr>
            <w:tcW w:w="933" w:type="dxa"/>
          </w:tcPr>
          <w:p w14:paraId="2A4FFF03">
            <w:pPr>
              <w:pStyle w:val="214"/>
              <w:rPr>
                <w:rFonts w:hint="eastAsia"/>
                <w:color w:val="auto"/>
                <w:highlight w:val="none"/>
              </w:rPr>
            </w:pPr>
          </w:p>
        </w:tc>
        <w:tc>
          <w:tcPr>
            <w:tcW w:w="933" w:type="dxa"/>
          </w:tcPr>
          <w:p w14:paraId="7A9AC160">
            <w:pPr>
              <w:pStyle w:val="214"/>
              <w:rPr>
                <w:rFonts w:hint="eastAsia"/>
                <w:color w:val="auto"/>
                <w:highlight w:val="none"/>
              </w:rPr>
            </w:pPr>
          </w:p>
        </w:tc>
        <w:tc>
          <w:tcPr>
            <w:tcW w:w="808" w:type="dxa"/>
          </w:tcPr>
          <w:p w14:paraId="0D1E5D3D">
            <w:pPr>
              <w:pStyle w:val="214"/>
              <w:rPr>
                <w:rFonts w:hint="eastAsia"/>
                <w:color w:val="auto"/>
                <w:highlight w:val="none"/>
              </w:rPr>
            </w:pPr>
          </w:p>
        </w:tc>
        <w:tc>
          <w:tcPr>
            <w:tcW w:w="792" w:type="dxa"/>
            <w:tcBorders>
              <w:right w:val="single" w:color="000000" w:sz="12" w:space="0"/>
            </w:tcBorders>
          </w:tcPr>
          <w:p w14:paraId="6D920752">
            <w:pPr>
              <w:pStyle w:val="214"/>
              <w:rPr>
                <w:rFonts w:hint="eastAsia"/>
                <w:color w:val="auto"/>
                <w:highlight w:val="none"/>
              </w:rPr>
            </w:pPr>
          </w:p>
        </w:tc>
      </w:tr>
      <w:tr w14:paraId="0F56A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110B54EC">
            <w:pPr>
              <w:pStyle w:val="214"/>
              <w:rPr>
                <w:rFonts w:hint="eastAsia"/>
                <w:color w:val="auto"/>
                <w:highlight w:val="none"/>
              </w:rPr>
            </w:pPr>
          </w:p>
        </w:tc>
        <w:tc>
          <w:tcPr>
            <w:tcW w:w="665" w:type="dxa"/>
          </w:tcPr>
          <w:p w14:paraId="10423631">
            <w:pPr>
              <w:pStyle w:val="214"/>
              <w:rPr>
                <w:rFonts w:hint="eastAsia"/>
                <w:color w:val="auto"/>
                <w:highlight w:val="none"/>
              </w:rPr>
            </w:pPr>
          </w:p>
        </w:tc>
        <w:tc>
          <w:tcPr>
            <w:tcW w:w="763" w:type="dxa"/>
          </w:tcPr>
          <w:p w14:paraId="47665249">
            <w:pPr>
              <w:pStyle w:val="214"/>
              <w:rPr>
                <w:rFonts w:hint="eastAsia"/>
                <w:color w:val="auto"/>
                <w:highlight w:val="none"/>
              </w:rPr>
            </w:pPr>
          </w:p>
        </w:tc>
        <w:tc>
          <w:tcPr>
            <w:tcW w:w="779" w:type="dxa"/>
          </w:tcPr>
          <w:p w14:paraId="4223F437">
            <w:pPr>
              <w:pStyle w:val="214"/>
              <w:rPr>
                <w:rFonts w:hint="eastAsia"/>
                <w:color w:val="auto"/>
                <w:highlight w:val="none"/>
              </w:rPr>
            </w:pPr>
          </w:p>
        </w:tc>
        <w:tc>
          <w:tcPr>
            <w:tcW w:w="678" w:type="dxa"/>
          </w:tcPr>
          <w:p w14:paraId="71690A59">
            <w:pPr>
              <w:pStyle w:val="214"/>
              <w:rPr>
                <w:rFonts w:hint="eastAsia"/>
                <w:color w:val="auto"/>
                <w:highlight w:val="none"/>
              </w:rPr>
            </w:pPr>
          </w:p>
        </w:tc>
        <w:tc>
          <w:tcPr>
            <w:tcW w:w="1072" w:type="dxa"/>
          </w:tcPr>
          <w:p w14:paraId="59F026CA">
            <w:pPr>
              <w:pStyle w:val="214"/>
              <w:rPr>
                <w:rFonts w:hint="eastAsia"/>
                <w:color w:val="auto"/>
                <w:highlight w:val="none"/>
              </w:rPr>
            </w:pPr>
          </w:p>
        </w:tc>
        <w:tc>
          <w:tcPr>
            <w:tcW w:w="879" w:type="dxa"/>
          </w:tcPr>
          <w:p w14:paraId="5CE2587B">
            <w:pPr>
              <w:pStyle w:val="214"/>
              <w:rPr>
                <w:rFonts w:hint="eastAsia"/>
                <w:color w:val="auto"/>
                <w:highlight w:val="none"/>
              </w:rPr>
            </w:pPr>
          </w:p>
        </w:tc>
        <w:tc>
          <w:tcPr>
            <w:tcW w:w="1015" w:type="dxa"/>
          </w:tcPr>
          <w:p w14:paraId="640F9CC2">
            <w:pPr>
              <w:pStyle w:val="214"/>
              <w:rPr>
                <w:rFonts w:hint="eastAsia"/>
                <w:color w:val="auto"/>
                <w:highlight w:val="none"/>
              </w:rPr>
            </w:pPr>
          </w:p>
        </w:tc>
        <w:tc>
          <w:tcPr>
            <w:tcW w:w="933" w:type="dxa"/>
          </w:tcPr>
          <w:p w14:paraId="25004D56">
            <w:pPr>
              <w:pStyle w:val="214"/>
              <w:rPr>
                <w:rFonts w:hint="eastAsia"/>
                <w:color w:val="auto"/>
                <w:highlight w:val="none"/>
              </w:rPr>
            </w:pPr>
          </w:p>
        </w:tc>
        <w:tc>
          <w:tcPr>
            <w:tcW w:w="933" w:type="dxa"/>
          </w:tcPr>
          <w:p w14:paraId="5928435C">
            <w:pPr>
              <w:pStyle w:val="214"/>
              <w:rPr>
                <w:rFonts w:hint="eastAsia"/>
                <w:color w:val="auto"/>
                <w:highlight w:val="none"/>
              </w:rPr>
            </w:pPr>
          </w:p>
        </w:tc>
        <w:tc>
          <w:tcPr>
            <w:tcW w:w="808" w:type="dxa"/>
          </w:tcPr>
          <w:p w14:paraId="5E933881">
            <w:pPr>
              <w:pStyle w:val="214"/>
              <w:rPr>
                <w:rFonts w:hint="eastAsia"/>
                <w:color w:val="auto"/>
                <w:highlight w:val="none"/>
              </w:rPr>
            </w:pPr>
          </w:p>
        </w:tc>
        <w:tc>
          <w:tcPr>
            <w:tcW w:w="792" w:type="dxa"/>
            <w:tcBorders>
              <w:right w:val="single" w:color="000000" w:sz="12" w:space="0"/>
            </w:tcBorders>
          </w:tcPr>
          <w:p w14:paraId="0F6C97A6">
            <w:pPr>
              <w:pStyle w:val="214"/>
              <w:rPr>
                <w:rFonts w:hint="eastAsia"/>
                <w:color w:val="auto"/>
                <w:highlight w:val="none"/>
              </w:rPr>
            </w:pPr>
          </w:p>
        </w:tc>
      </w:tr>
      <w:tr w14:paraId="0BFB6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51203323">
            <w:pPr>
              <w:pStyle w:val="214"/>
              <w:rPr>
                <w:rFonts w:hint="eastAsia"/>
                <w:color w:val="auto"/>
                <w:highlight w:val="none"/>
              </w:rPr>
            </w:pPr>
          </w:p>
        </w:tc>
        <w:tc>
          <w:tcPr>
            <w:tcW w:w="665" w:type="dxa"/>
          </w:tcPr>
          <w:p w14:paraId="57E90413">
            <w:pPr>
              <w:pStyle w:val="214"/>
              <w:rPr>
                <w:rFonts w:hint="eastAsia"/>
                <w:color w:val="auto"/>
                <w:highlight w:val="none"/>
              </w:rPr>
            </w:pPr>
          </w:p>
        </w:tc>
        <w:tc>
          <w:tcPr>
            <w:tcW w:w="763" w:type="dxa"/>
          </w:tcPr>
          <w:p w14:paraId="0EFB652C">
            <w:pPr>
              <w:pStyle w:val="214"/>
              <w:rPr>
                <w:rFonts w:hint="eastAsia"/>
                <w:color w:val="auto"/>
                <w:highlight w:val="none"/>
              </w:rPr>
            </w:pPr>
          </w:p>
        </w:tc>
        <w:tc>
          <w:tcPr>
            <w:tcW w:w="779" w:type="dxa"/>
          </w:tcPr>
          <w:p w14:paraId="6D68C8E7">
            <w:pPr>
              <w:pStyle w:val="214"/>
              <w:rPr>
                <w:rFonts w:hint="eastAsia"/>
                <w:color w:val="auto"/>
                <w:highlight w:val="none"/>
              </w:rPr>
            </w:pPr>
          </w:p>
        </w:tc>
        <w:tc>
          <w:tcPr>
            <w:tcW w:w="678" w:type="dxa"/>
          </w:tcPr>
          <w:p w14:paraId="052FF7C2">
            <w:pPr>
              <w:pStyle w:val="214"/>
              <w:rPr>
                <w:rFonts w:hint="eastAsia"/>
                <w:color w:val="auto"/>
                <w:highlight w:val="none"/>
              </w:rPr>
            </w:pPr>
          </w:p>
        </w:tc>
        <w:tc>
          <w:tcPr>
            <w:tcW w:w="1072" w:type="dxa"/>
          </w:tcPr>
          <w:p w14:paraId="24901230">
            <w:pPr>
              <w:pStyle w:val="214"/>
              <w:rPr>
                <w:rFonts w:hint="eastAsia"/>
                <w:color w:val="auto"/>
                <w:highlight w:val="none"/>
              </w:rPr>
            </w:pPr>
          </w:p>
        </w:tc>
        <w:tc>
          <w:tcPr>
            <w:tcW w:w="879" w:type="dxa"/>
          </w:tcPr>
          <w:p w14:paraId="6FA82F0E">
            <w:pPr>
              <w:pStyle w:val="214"/>
              <w:rPr>
                <w:rFonts w:hint="eastAsia"/>
                <w:color w:val="auto"/>
                <w:highlight w:val="none"/>
              </w:rPr>
            </w:pPr>
          </w:p>
        </w:tc>
        <w:tc>
          <w:tcPr>
            <w:tcW w:w="1015" w:type="dxa"/>
          </w:tcPr>
          <w:p w14:paraId="44B42105">
            <w:pPr>
              <w:pStyle w:val="214"/>
              <w:rPr>
                <w:rFonts w:hint="eastAsia"/>
                <w:color w:val="auto"/>
                <w:highlight w:val="none"/>
              </w:rPr>
            </w:pPr>
          </w:p>
        </w:tc>
        <w:tc>
          <w:tcPr>
            <w:tcW w:w="933" w:type="dxa"/>
          </w:tcPr>
          <w:p w14:paraId="52CCB1E4">
            <w:pPr>
              <w:pStyle w:val="214"/>
              <w:rPr>
                <w:rFonts w:hint="eastAsia"/>
                <w:color w:val="auto"/>
                <w:highlight w:val="none"/>
              </w:rPr>
            </w:pPr>
          </w:p>
        </w:tc>
        <w:tc>
          <w:tcPr>
            <w:tcW w:w="933" w:type="dxa"/>
          </w:tcPr>
          <w:p w14:paraId="6D706AA8">
            <w:pPr>
              <w:pStyle w:val="214"/>
              <w:rPr>
                <w:rFonts w:hint="eastAsia"/>
                <w:color w:val="auto"/>
                <w:highlight w:val="none"/>
              </w:rPr>
            </w:pPr>
          </w:p>
        </w:tc>
        <w:tc>
          <w:tcPr>
            <w:tcW w:w="808" w:type="dxa"/>
          </w:tcPr>
          <w:p w14:paraId="4DCFFB3E">
            <w:pPr>
              <w:pStyle w:val="214"/>
              <w:rPr>
                <w:rFonts w:hint="eastAsia"/>
                <w:color w:val="auto"/>
                <w:highlight w:val="none"/>
              </w:rPr>
            </w:pPr>
          </w:p>
        </w:tc>
        <w:tc>
          <w:tcPr>
            <w:tcW w:w="792" w:type="dxa"/>
            <w:tcBorders>
              <w:right w:val="single" w:color="000000" w:sz="12" w:space="0"/>
            </w:tcBorders>
          </w:tcPr>
          <w:p w14:paraId="70A9D4CB">
            <w:pPr>
              <w:pStyle w:val="214"/>
              <w:rPr>
                <w:rFonts w:hint="eastAsia"/>
                <w:color w:val="auto"/>
                <w:highlight w:val="none"/>
              </w:rPr>
            </w:pPr>
          </w:p>
        </w:tc>
      </w:tr>
      <w:tr w14:paraId="3A8F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6644A480">
            <w:pPr>
              <w:pStyle w:val="214"/>
              <w:rPr>
                <w:rFonts w:hint="eastAsia"/>
                <w:color w:val="auto"/>
                <w:highlight w:val="none"/>
              </w:rPr>
            </w:pPr>
          </w:p>
        </w:tc>
        <w:tc>
          <w:tcPr>
            <w:tcW w:w="665" w:type="dxa"/>
          </w:tcPr>
          <w:p w14:paraId="6A075AE8">
            <w:pPr>
              <w:pStyle w:val="214"/>
              <w:rPr>
                <w:rFonts w:hint="eastAsia"/>
                <w:color w:val="auto"/>
                <w:highlight w:val="none"/>
              </w:rPr>
            </w:pPr>
          </w:p>
        </w:tc>
        <w:tc>
          <w:tcPr>
            <w:tcW w:w="763" w:type="dxa"/>
          </w:tcPr>
          <w:p w14:paraId="1379321F">
            <w:pPr>
              <w:pStyle w:val="214"/>
              <w:rPr>
                <w:rFonts w:hint="eastAsia"/>
                <w:color w:val="auto"/>
                <w:highlight w:val="none"/>
              </w:rPr>
            </w:pPr>
          </w:p>
        </w:tc>
        <w:tc>
          <w:tcPr>
            <w:tcW w:w="779" w:type="dxa"/>
          </w:tcPr>
          <w:p w14:paraId="6EF5E920">
            <w:pPr>
              <w:pStyle w:val="214"/>
              <w:rPr>
                <w:rFonts w:hint="eastAsia"/>
                <w:color w:val="auto"/>
                <w:highlight w:val="none"/>
              </w:rPr>
            </w:pPr>
          </w:p>
        </w:tc>
        <w:tc>
          <w:tcPr>
            <w:tcW w:w="678" w:type="dxa"/>
          </w:tcPr>
          <w:p w14:paraId="14B4471B">
            <w:pPr>
              <w:pStyle w:val="214"/>
              <w:rPr>
                <w:rFonts w:hint="eastAsia"/>
                <w:color w:val="auto"/>
                <w:highlight w:val="none"/>
              </w:rPr>
            </w:pPr>
          </w:p>
        </w:tc>
        <w:tc>
          <w:tcPr>
            <w:tcW w:w="1072" w:type="dxa"/>
          </w:tcPr>
          <w:p w14:paraId="11A2DC75">
            <w:pPr>
              <w:pStyle w:val="214"/>
              <w:rPr>
                <w:rFonts w:hint="eastAsia"/>
                <w:color w:val="auto"/>
                <w:highlight w:val="none"/>
              </w:rPr>
            </w:pPr>
          </w:p>
        </w:tc>
        <w:tc>
          <w:tcPr>
            <w:tcW w:w="879" w:type="dxa"/>
          </w:tcPr>
          <w:p w14:paraId="3B76488C">
            <w:pPr>
              <w:pStyle w:val="214"/>
              <w:rPr>
                <w:rFonts w:hint="eastAsia"/>
                <w:color w:val="auto"/>
                <w:highlight w:val="none"/>
              </w:rPr>
            </w:pPr>
          </w:p>
        </w:tc>
        <w:tc>
          <w:tcPr>
            <w:tcW w:w="1015" w:type="dxa"/>
          </w:tcPr>
          <w:p w14:paraId="2219C2E8">
            <w:pPr>
              <w:pStyle w:val="214"/>
              <w:rPr>
                <w:rFonts w:hint="eastAsia"/>
                <w:color w:val="auto"/>
                <w:highlight w:val="none"/>
              </w:rPr>
            </w:pPr>
          </w:p>
        </w:tc>
        <w:tc>
          <w:tcPr>
            <w:tcW w:w="933" w:type="dxa"/>
          </w:tcPr>
          <w:p w14:paraId="25A8D263">
            <w:pPr>
              <w:pStyle w:val="214"/>
              <w:rPr>
                <w:rFonts w:hint="eastAsia"/>
                <w:color w:val="auto"/>
                <w:highlight w:val="none"/>
              </w:rPr>
            </w:pPr>
          </w:p>
        </w:tc>
        <w:tc>
          <w:tcPr>
            <w:tcW w:w="933" w:type="dxa"/>
          </w:tcPr>
          <w:p w14:paraId="1829499C">
            <w:pPr>
              <w:pStyle w:val="214"/>
              <w:rPr>
                <w:rFonts w:hint="eastAsia"/>
                <w:color w:val="auto"/>
                <w:highlight w:val="none"/>
              </w:rPr>
            </w:pPr>
          </w:p>
        </w:tc>
        <w:tc>
          <w:tcPr>
            <w:tcW w:w="808" w:type="dxa"/>
          </w:tcPr>
          <w:p w14:paraId="4E03AF86">
            <w:pPr>
              <w:pStyle w:val="214"/>
              <w:rPr>
                <w:rFonts w:hint="eastAsia"/>
                <w:color w:val="auto"/>
                <w:highlight w:val="none"/>
              </w:rPr>
            </w:pPr>
          </w:p>
        </w:tc>
        <w:tc>
          <w:tcPr>
            <w:tcW w:w="792" w:type="dxa"/>
            <w:tcBorders>
              <w:right w:val="single" w:color="000000" w:sz="12" w:space="0"/>
            </w:tcBorders>
          </w:tcPr>
          <w:p w14:paraId="5A6577AB">
            <w:pPr>
              <w:pStyle w:val="214"/>
              <w:rPr>
                <w:rFonts w:hint="eastAsia"/>
                <w:color w:val="auto"/>
                <w:highlight w:val="none"/>
              </w:rPr>
            </w:pPr>
          </w:p>
        </w:tc>
      </w:tr>
      <w:tr w14:paraId="65631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40E38C86">
            <w:pPr>
              <w:pStyle w:val="214"/>
              <w:rPr>
                <w:rFonts w:hint="eastAsia"/>
                <w:color w:val="auto"/>
                <w:highlight w:val="none"/>
              </w:rPr>
            </w:pPr>
          </w:p>
        </w:tc>
        <w:tc>
          <w:tcPr>
            <w:tcW w:w="665" w:type="dxa"/>
          </w:tcPr>
          <w:p w14:paraId="28266442">
            <w:pPr>
              <w:pStyle w:val="214"/>
              <w:rPr>
                <w:rFonts w:hint="eastAsia"/>
                <w:color w:val="auto"/>
                <w:highlight w:val="none"/>
              </w:rPr>
            </w:pPr>
          </w:p>
        </w:tc>
        <w:tc>
          <w:tcPr>
            <w:tcW w:w="763" w:type="dxa"/>
          </w:tcPr>
          <w:p w14:paraId="0D45604E">
            <w:pPr>
              <w:pStyle w:val="214"/>
              <w:rPr>
                <w:rFonts w:hint="eastAsia"/>
                <w:color w:val="auto"/>
                <w:highlight w:val="none"/>
              </w:rPr>
            </w:pPr>
          </w:p>
        </w:tc>
        <w:tc>
          <w:tcPr>
            <w:tcW w:w="779" w:type="dxa"/>
          </w:tcPr>
          <w:p w14:paraId="1917A605">
            <w:pPr>
              <w:pStyle w:val="214"/>
              <w:rPr>
                <w:rFonts w:hint="eastAsia"/>
                <w:color w:val="auto"/>
                <w:highlight w:val="none"/>
              </w:rPr>
            </w:pPr>
          </w:p>
        </w:tc>
        <w:tc>
          <w:tcPr>
            <w:tcW w:w="678" w:type="dxa"/>
          </w:tcPr>
          <w:p w14:paraId="338F123B">
            <w:pPr>
              <w:pStyle w:val="214"/>
              <w:rPr>
                <w:rFonts w:hint="eastAsia"/>
                <w:color w:val="auto"/>
                <w:highlight w:val="none"/>
              </w:rPr>
            </w:pPr>
          </w:p>
        </w:tc>
        <w:tc>
          <w:tcPr>
            <w:tcW w:w="1072" w:type="dxa"/>
          </w:tcPr>
          <w:p w14:paraId="42FED688">
            <w:pPr>
              <w:pStyle w:val="214"/>
              <w:rPr>
                <w:rFonts w:hint="eastAsia"/>
                <w:color w:val="auto"/>
                <w:highlight w:val="none"/>
              </w:rPr>
            </w:pPr>
          </w:p>
        </w:tc>
        <w:tc>
          <w:tcPr>
            <w:tcW w:w="879" w:type="dxa"/>
          </w:tcPr>
          <w:p w14:paraId="65277A4C">
            <w:pPr>
              <w:pStyle w:val="214"/>
              <w:rPr>
                <w:rFonts w:hint="eastAsia"/>
                <w:color w:val="auto"/>
                <w:highlight w:val="none"/>
              </w:rPr>
            </w:pPr>
          </w:p>
        </w:tc>
        <w:tc>
          <w:tcPr>
            <w:tcW w:w="1015" w:type="dxa"/>
          </w:tcPr>
          <w:p w14:paraId="554CBF6B">
            <w:pPr>
              <w:pStyle w:val="214"/>
              <w:rPr>
                <w:rFonts w:hint="eastAsia"/>
                <w:color w:val="auto"/>
                <w:highlight w:val="none"/>
              </w:rPr>
            </w:pPr>
          </w:p>
        </w:tc>
        <w:tc>
          <w:tcPr>
            <w:tcW w:w="933" w:type="dxa"/>
          </w:tcPr>
          <w:p w14:paraId="2E22575F">
            <w:pPr>
              <w:pStyle w:val="214"/>
              <w:rPr>
                <w:rFonts w:hint="eastAsia"/>
                <w:color w:val="auto"/>
                <w:highlight w:val="none"/>
              </w:rPr>
            </w:pPr>
          </w:p>
        </w:tc>
        <w:tc>
          <w:tcPr>
            <w:tcW w:w="933" w:type="dxa"/>
          </w:tcPr>
          <w:p w14:paraId="47C7B136">
            <w:pPr>
              <w:pStyle w:val="214"/>
              <w:rPr>
                <w:rFonts w:hint="eastAsia"/>
                <w:color w:val="auto"/>
                <w:highlight w:val="none"/>
              </w:rPr>
            </w:pPr>
          </w:p>
        </w:tc>
        <w:tc>
          <w:tcPr>
            <w:tcW w:w="808" w:type="dxa"/>
          </w:tcPr>
          <w:p w14:paraId="6AA72B98">
            <w:pPr>
              <w:pStyle w:val="214"/>
              <w:rPr>
                <w:rFonts w:hint="eastAsia"/>
                <w:color w:val="auto"/>
                <w:highlight w:val="none"/>
              </w:rPr>
            </w:pPr>
          </w:p>
        </w:tc>
        <w:tc>
          <w:tcPr>
            <w:tcW w:w="792" w:type="dxa"/>
            <w:tcBorders>
              <w:right w:val="single" w:color="000000" w:sz="12" w:space="0"/>
            </w:tcBorders>
          </w:tcPr>
          <w:p w14:paraId="63B00DE8">
            <w:pPr>
              <w:pStyle w:val="214"/>
              <w:rPr>
                <w:rFonts w:hint="eastAsia"/>
                <w:color w:val="auto"/>
                <w:highlight w:val="none"/>
              </w:rPr>
            </w:pPr>
          </w:p>
        </w:tc>
      </w:tr>
      <w:tr w14:paraId="626FD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6DEC7E95">
            <w:pPr>
              <w:pStyle w:val="214"/>
              <w:rPr>
                <w:rFonts w:hint="eastAsia"/>
                <w:color w:val="auto"/>
                <w:highlight w:val="none"/>
              </w:rPr>
            </w:pPr>
          </w:p>
        </w:tc>
        <w:tc>
          <w:tcPr>
            <w:tcW w:w="665" w:type="dxa"/>
          </w:tcPr>
          <w:p w14:paraId="446FE0C2">
            <w:pPr>
              <w:pStyle w:val="214"/>
              <w:rPr>
                <w:rFonts w:hint="eastAsia"/>
                <w:color w:val="auto"/>
                <w:highlight w:val="none"/>
              </w:rPr>
            </w:pPr>
          </w:p>
        </w:tc>
        <w:tc>
          <w:tcPr>
            <w:tcW w:w="763" w:type="dxa"/>
          </w:tcPr>
          <w:p w14:paraId="64654A30">
            <w:pPr>
              <w:pStyle w:val="214"/>
              <w:rPr>
                <w:rFonts w:hint="eastAsia"/>
                <w:color w:val="auto"/>
                <w:highlight w:val="none"/>
              </w:rPr>
            </w:pPr>
          </w:p>
        </w:tc>
        <w:tc>
          <w:tcPr>
            <w:tcW w:w="779" w:type="dxa"/>
          </w:tcPr>
          <w:p w14:paraId="776DAC78">
            <w:pPr>
              <w:pStyle w:val="214"/>
              <w:rPr>
                <w:rFonts w:hint="eastAsia"/>
                <w:color w:val="auto"/>
                <w:highlight w:val="none"/>
              </w:rPr>
            </w:pPr>
          </w:p>
        </w:tc>
        <w:tc>
          <w:tcPr>
            <w:tcW w:w="678" w:type="dxa"/>
          </w:tcPr>
          <w:p w14:paraId="12307280">
            <w:pPr>
              <w:pStyle w:val="214"/>
              <w:rPr>
                <w:rFonts w:hint="eastAsia"/>
                <w:color w:val="auto"/>
                <w:highlight w:val="none"/>
              </w:rPr>
            </w:pPr>
          </w:p>
        </w:tc>
        <w:tc>
          <w:tcPr>
            <w:tcW w:w="1072" w:type="dxa"/>
          </w:tcPr>
          <w:p w14:paraId="10BD0DA2">
            <w:pPr>
              <w:pStyle w:val="214"/>
              <w:rPr>
                <w:rFonts w:hint="eastAsia"/>
                <w:color w:val="auto"/>
                <w:highlight w:val="none"/>
              </w:rPr>
            </w:pPr>
          </w:p>
        </w:tc>
        <w:tc>
          <w:tcPr>
            <w:tcW w:w="879" w:type="dxa"/>
          </w:tcPr>
          <w:p w14:paraId="75A3FDD6">
            <w:pPr>
              <w:pStyle w:val="214"/>
              <w:rPr>
                <w:rFonts w:hint="eastAsia"/>
                <w:color w:val="auto"/>
                <w:highlight w:val="none"/>
              </w:rPr>
            </w:pPr>
          </w:p>
        </w:tc>
        <w:tc>
          <w:tcPr>
            <w:tcW w:w="1015" w:type="dxa"/>
          </w:tcPr>
          <w:p w14:paraId="6A118B6A">
            <w:pPr>
              <w:pStyle w:val="214"/>
              <w:rPr>
                <w:rFonts w:hint="eastAsia"/>
                <w:color w:val="auto"/>
                <w:highlight w:val="none"/>
              </w:rPr>
            </w:pPr>
          </w:p>
        </w:tc>
        <w:tc>
          <w:tcPr>
            <w:tcW w:w="933" w:type="dxa"/>
          </w:tcPr>
          <w:p w14:paraId="4A13E19C">
            <w:pPr>
              <w:pStyle w:val="214"/>
              <w:rPr>
                <w:rFonts w:hint="eastAsia"/>
                <w:color w:val="auto"/>
                <w:highlight w:val="none"/>
              </w:rPr>
            </w:pPr>
          </w:p>
        </w:tc>
        <w:tc>
          <w:tcPr>
            <w:tcW w:w="933" w:type="dxa"/>
          </w:tcPr>
          <w:p w14:paraId="3A13939F">
            <w:pPr>
              <w:pStyle w:val="214"/>
              <w:rPr>
                <w:rFonts w:hint="eastAsia"/>
                <w:color w:val="auto"/>
                <w:highlight w:val="none"/>
              </w:rPr>
            </w:pPr>
          </w:p>
        </w:tc>
        <w:tc>
          <w:tcPr>
            <w:tcW w:w="808" w:type="dxa"/>
          </w:tcPr>
          <w:p w14:paraId="45B1AC9A">
            <w:pPr>
              <w:pStyle w:val="214"/>
              <w:rPr>
                <w:rFonts w:hint="eastAsia"/>
                <w:color w:val="auto"/>
                <w:highlight w:val="none"/>
              </w:rPr>
            </w:pPr>
          </w:p>
        </w:tc>
        <w:tc>
          <w:tcPr>
            <w:tcW w:w="792" w:type="dxa"/>
            <w:tcBorders>
              <w:right w:val="single" w:color="000000" w:sz="12" w:space="0"/>
            </w:tcBorders>
          </w:tcPr>
          <w:p w14:paraId="40765BD2">
            <w:pPr>
              <w:pStyle w:val="214"/>
              <w:rPr>
                <w:rFonts w:hint="eastAsia"/>
                <w:color w:val="auto"/>
                <w:highlight w:val="none"/>
              </w:rPr>
            </w:pPr>
          </w:p>
        </w:tc>
      </w:tr>
      <w:tr w14:paraId="3B7B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06AE03B3">
            <w:pPr>
              <w:pStyle w:val="214"/>
              <w:rPr>
                <w:rFonts w:hint="eastAsia"/>
                <w:color w:val="auto"/>
                <w:highlight w:val="none"/>
              </w:rPr>
            </w:pPr>
          </w:p>
        </w:tc>
        <w:tc>
          <w:tcPr>
            <w:tcW w:w="665" w:type="dxa"/>
          </w:tcPr>
          <w:p w14:paraId="73FD1B62">
            <w:pPr>
              <w:pStyle w:val="214"/>
              <w:rPr>
                <w:rFonts w:hint="eastAsia"/>
                <w:color w:val="auto"/>
                <w:highlight w:val="none"/>
              </w:rPr>
            </w:pPr>
          </w:p>
        </w:tc>
        <w:tc>
          <w:tcPr>
            <w:tcW w:w="763" w:type="dxa"/>
          </w:tcPr>
          <w:p w14:paraId="0B34B848">
            <w:pPr>
              <w:pStyle w:val="214"/>
              <w:rPr>
                <w:rFonts w:hint="eastAsia"/>
                <w:color w:val="auto"/>
                <w:highlight w:val="none"/>
              </w:rPr>
            </w:pPr>
          </w:p>
        </w:tc>
        <w:tc>
          <w:tcPr>
            <w:tcW w:w="779" w:type="dxa"/>
          </w:tcPr>
          <w:p w14:paraId="78B6BF07">
            <w:pPr>
              <w:pStyle w:val="214"/>
              <w:rPr>
                <w:rFonts w:hint="eastAsia"/>
                <w:color w:val="auto"/>
                <w:highlight w:val="none"/>
              </w:rPr>
            </w:pPr>
          </w:p>
        </w:tc>
        <w:tc>
          <w:tcPr>
            <w:tcW w:w="678" w:type="dxa"/>
          </w:tcPr>
          <w:p w14:paraId="431E02F3">
            <w:pPr>
              <w:pStyle w:val="214"/>
              <w:rPr>
                <w:rFonts w:hint="eastAsia"/>
                <w:color w:val="auto"/>
                <w:highlight w:val="none"/>
              </w:rPr>
            </w:pPr>
          </w:p>
        </w:tc>
        <w:tc>
          <w:tcPr>
            <w:tcW w:w="1072" w:type="dxa"/>
          </w:tcPr>
          <w:p w14:paraId="674FFA21">
            <w:pPr>
              <w:pStyle w:val="214"/>
              <w:rPr>
                <w:rFonts w:hint="eastAsia"/>
                <w:color w:val="auto"/>
                <w:highlight w:val="none"/>
              </w:rPr>
            </w:pPr>
          </w:p>
        </w:tc>
        <w:tc>
          <w:tcPr>
            <w:tcW w:w="879" w:type="dxa"/>
          </w:tcPr>
          <w:p w14:paraId="5ED90718">
            <w:pPr>
              <w:pStyle w:val="214"/>
              <w:rPr>
                <w:rFonts w:hint="eastAsia"/>
                <w:color w:val="auto"/>
                <w:highlight w:val="none"/>
              </w:rPr>
            </w:pPr>
          </w:p>
        </w:tc>
        <w:tc>
          <w:tcPr>
            <w:tcW w:w="1015" w:type="dxa"/>
          </w:tcPr>
          <w:p w14:paraId="222A2A28">
            <w:pPr>
              <w:pStyle w:val="214"/>
              <w:rPr>
                <w:rFonts w:hint="eastAsia"/>
                <w:color w:val="auto"/>
                <w:highlight w:val="none"/>
              </w:rPr>
            </w:pPr>
          </w:p>
        </w:tc>
        <w:tc>
          <w:tcPr>
            <w:tcW w:w="933" w:type="dxa"/>
          </w:tcPr>
          <w:p w14:paraId="742076E1">
            <w:pPr>
              <w:pStyle w:val="214"/>
              <w:rPr>
                <w:rFonts w:hint="eastAsia"/>
                <w:color w:val="auto"/>
                <w:highlight w:val="none"/>
              </w:rPr>
            </w:pPr>
          </w:p>
        </w:tc>
        <w:tc>
          <w:tcPr>
            <w:tcW w:w="933" w:type="dxa"/>
          </w:tcPr>
          <w:p w14:paraId="383C7078">
            <w:pPr>
              <w:pStyle w:val="214"/>
              <w:rPr>
                <w:rFonts w:hint="eastAsia"/>
                <w:color w:val="auto"/>
                <w:highlight w:val="none"/>
              </w:rPr>
            </w:pPr>
          </w:p>
        </w:tc>
        <w:tc>
          <w:tcPr>
            <w:tcW w:w="808" w:type="dxa"/>
          </w:tcPr>
          <w:p w14:paraId="6359FF9A">
            <w:pPr>
              <w:pStyle w:val="214"/>
              <w:rPr>
                <w:rFonts w:hint="eastAsia"/>
                <w:color w:val="auto"/>
                <w:highlight w:val="none"/>
              </w:rPr>
            </w:pPr>
          </w:p>
        </w:tc>
        <w:tc>
          <w:tcPr>
            <w:tcW w:w="792" w:type="dxa"/>
            <w:tcBorders>
              <w:right w:val="single" w:color="000000" w:sz="12" w:space="0"/>
            </w:tcBorders>
          </w:tcPr>
          <w:p w14:paraId="1D76F040">
            <w:pPr>
              <w:pStyle w:val="214"/>
              <w:rPr>
                <w:rFonts w:hint="eastAsia"/>
                <w:color w:val="auto"/>
                <w:highlight w:val="none"/>
              </w:rPr>
            </w:pPr>
          </w:p>
        </w:tc>
      </w:tr>
      <w:tr w14:paraId="4672A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2CA35F85">
            <w:pPr>
              <w:pStyle w:val="214"/>
              <w:rPr>
                <w:rFonts w:hint="eastAsia"/>
                <w:color w:val="auto"/>
                <w:highlight w:val="none"/>
              </w:rPr>
            </w:pPr>
          </w:p>
        </w:tc>
        <w:tc>
          <w:tcPr>
            <w:tcW w:w="665" w:type="dxa"/>
          </w:tcPr>
          <w:p w14:paraId="0032FA95">
            <w:pPr>
              <w:pStyle w:val="214"/>
              <w:rPr>
                <w:rFonts w:hint="eastAsia"/>
                <w:color w:val="auto"/>
                <w:highlight w:val="none"/>
              </w:rPr>
            </w:pPr>
          </w:p>
        </w:tc>
        <w:tc>
          <w:tcPr>
            <w:tcW w:w="763" w:type="dxa"/>
          </w:tcPr>
          <w:p w14:paraId="380D7EB0">
            <w:pPr>
              <w:pStyle w:val="214"/>
              <w:rPr>
                <w:rFonts w:hint="eastAsia"/>
                <w:color w:val="auto"/>
                <w:highlight w:val="none"/>
              </w:rPr>
            </w:pPr>
          </w:p>
        </w:tc>
        <w:tc>
          <w:tcPr>
            <w:tcW w:w="779" w:type="dxa"/>
          </w:tcPr>
          <w:p w14:paraId="43CCF5E2">
            <w:pPr>
              <w:pStyle w:val="214"/>
              <w:rPr>
                <w:rFonts w:hint="eastAsia"/>
                <w:color w:val="auto"/>
                <w:highlight w:val="none"/>
              </w:rPr>
            </w:pPr>
          </w:p>
        </w:tc>
        <w:tc>
          <w:tcPr>
            <w:tcW w:w="678" w:type="dxa"/>
          </w:tcPr>
          <w:p w14:paraId="011E5348">
            <w:pPr>
              <w:pStyle w:val="214"/>
              <w:rPr>
                <w:rFonts w:hint="eastAsia"/>
                <w:color w:val="auto"/>
                <w:highlight w:val="none"/>
              </w:rPr>
            </w:pPr>
          </w:p>
        </w:tc>
        <w:tc>
          <w:tcPr>
            <w:tcW w:w="1072" w:type="dxa"/>
          </w:tcPr>
          <w:p w14:paraId="0AD1544B">
            <w:pPr>
              <w:pStyle w:val="214"/>
              <w:rPr>
                <w:rFonts w:hint="eastAsia"/>
                <w:color w:val="auto"/>
                <w:highlight w:val="none"/>
              </w:rPr>
            </w:pPr>
          </w:p>
        </w:tc>
        <w:tc>
          <w:tcPr>
            <w:tcW w:w="879" w:type="dxa"/>
          </w:tcPr>
          <w:p w14:paraId="609A4CF6">
            <w:pPr>
              <w:pStyle w:val="214"/>
              <w:rPr>
                <w:rFonts w:hint="eastAsia"/>
                <w:color w:val="auto"/>
                <w:highlight w:val="none"/>
              </w:rPr>
            </w:pPr>
          </w:p>
        </w:tc>
        <w:tc>
          <w:tcPr>
            <w:tcW w:w="1015" w:type="dxa"/>
          </w:tcPr>
          <w:p w14:paraId="778730D8">
            <w:pPr>
              <w:pStyle w:val="214"/>
              <w:rPr>
                <w:rFonts w:hint="eastAsia"/>
                <w:color w:val="auto"/>
                <w:highlight w:val="none"/>
              </w:rPr>
            </w:pPr>
          </w:p>
        </w:tc>
        <w:tc>
          <w:tcPr>
            <w:tcW w:w="933" w:type="dxa"/>
          </w:tcPr>
          <w:p w14:paraId="7E750264">
            <w:pPr>
              <w:pStyle w:val="214"/>
              <w:rPr>
                <w:rFonts w:hint="eastAsia"/>
                <w:color w:val="auto"/>
                <w:highlight w:val="none"/>
              </w:rPr>
            </w:pPr>
          </w:p>
        </w:tc>
        <w:tc>
          <w:tcPr>
            <w:tcW w:w="933" w:type="dxa"/>
          </w:tcPr>
          <w:p w14:paraId="60459EA9">
            <w:pPr>
              <w:pStyle w:val="214"/>
              <w:rPr>
                <w:rFonts w:hint="eastAsia"/>
                <w:color w:val="auto"/>
                <w:highlight w:val="none"/>
              </w:rPr>
            </w:pPr>
          </w:p>
        </w:tc>
        <w:tc>
          <w:tcPr>
            <w:tcW w:w="808" w:type="dxa"/>
          </w:tcPr>
          <w:p w14:paraId="16C1FDEF">
            <w:pPr>
              <w:pStyle w:val="214"/>
              <w:rPr>
                <w:rFonts w:hint="eastAsia"/>
                <w:color w:val="auto"/>
                <w:highlight w:val="none"/>
              </w:rPr>
            </w:pPr>
          </w:p>
        </w:tc>
        <w:tc>
          <w:tcPr>
            <w:tcW w:w="792" w:type="dxa"/>
            <w:tcBorders>
              <w:right w:val="single" w:color="000000" w:sz="12" w:space="0"/>
            </w:tcBorders>
          </w:tcPr>
          <w:p w14:paraId="3E3C21D9">
            <w:pPr>
              <w:pStyle w:val="214"/>
              <w:rPr>
                <w:rFonts w:hint="eastAsia"/>
                <w:color w:val="auto"/>
                <w:highlight w:val="none"/>
              </w:rPr>
            </w:pPr>
          </w:p>
        </w:tc>
      </w:tr>
      <w:tr w14:paraId="29DDC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1A268148">
            <w:pPr>
              <w:pStyle w:val="214"/>
              <w:rPr>
                <w:rFonts w:hint="eastAsia"/>
                <w:color w:val="auto"/>
                <w:highlight w:val="none"/>
              </w:rPr>
            </w:pPr>
          </w:p>
        </w:tc>
        <w:tc>
          <w:tcPr>
            <w:tcW w:w="665" w:type="dxa"/>
          </w:tcPr>
          <w:p w14:paraId="4E18D08C">
            <w:pPr>
              <w:pStyle w:val="214"/>
              <w:rPr>
                <w:rFonts w:hint="eastAsia"/>
                <w:color w:val="auto"/>
                <w:highlight w:val="none"/>
              </w:rPr>
            </w:pPr>
          </w:p>
        </w:tc>
        <w:tc>
          <w:tcPr>
            <w:tcW w:w="763" w:type="dxa"/>
          </w:tcPr>
          <w:p w14:paraId="5C1E9D47">
            <w:pPr>
              <w:pStyle w:val="214"/>
              <w:rPr>
                <w:rFonts w:hint="eastAsia"/>
                <w:color w:val="auto"/>
                <w:highlight w:val="none"/>
              </w:rPr>
            </w:pPr>
          </w:p>
        </w:tc>
        <w:tc>
          <w:tcPr>
            <w:tcW w:w="779" w:type="dxa"/>
          </w:tcPr>
          <w:p w14:paraId="38C8889C">
            <w:pPr>
              <w:pStyle w:val="214"/>
              <w:rPr>
                <w:rFonts w:hint="eastAsia"/>
                <w:color w:val="auto"/>
                <w:highlight w:val="none"/>
              </w:rPr>
            </w:pPr>
          </w:p>
        </w:tc>
        <w:tc>
          <w:tcPr>
            <w:tcW w:w="678" w:type="dxa"/>
          </w:tcPr>
          <w:p w14:paraId="5AFC449D">
            <w:pPr>
              <w:pStyle w:val="214"/>
              <w:rPr>
                <w:rFonts w:hint="eastAsia"/>
                <w:color w:val="auto"/>
                <w:highlight w:val="none"/>
              </w:rPr>
            </w:pPr>
          </w:p>
        </w:tc>
        <w:tc>
          <w:tcPr>
            <w:tcW w:w="1072" w:type="dxa"/>
          </w:tcPr>
          <w:p w14:paraId="779E9C98">
            <w:pPr>
              <w:pStyle w:val="214"/>
              <w:rPr>
                <w:rFonts w:hint="eastAsia"/>
                <w:color w:val="auto"/>
                <w:highlight w:val="none"/>
              </w:rPr>
            </w:pPr>
          </w:p>
        </w:tc>
        <w:tc>
          <w:tcPr>
            <w:tcW w:w="879" w:type="dxa"/>
          </w:tcPr>
          <w:p w14:paraId="3A2E0716">
            <w:pPr>
              <w:pStyle w:val="214"/>
              <w:rPr>
                <w:rFonts w:hint="eastAsia"/>
                <w:color w:val="auto"/>
                <w:highlight w:val="none"/>
              </w:rPr>
            </w:pPr>
          </w:p>
        </w:tc>
        <w:tc>
          <w:tcPr>
            <w:tcW w:w="1015" w:type="dxa"/>
          </w:tcPr>
          <w:p w14:paraId="07C84A65">
            <w:pPr>
              <w:pStyle w:val="214"/>
              <w:rPr>
                <w:rFonts w:hint="eastAsia"/>
                <w:color w:val="auto"/>
                <w:highlight w:val="none"/>
              </w:rPr>
            </w:pPr>
          </w:p>
        </w:tc>
        <w:tc>
          <w:tcPr>
            <w:tcW w:w="933" w:type="dxa"/>
          </w:tcPr>
          <w:p w14:paraId="4D9C8F8C">
            <w:pPr>
              <w:pStyle w:val="214"/>
              <w:rPr>
                <w:rFonts w:hint="eastAsia"/>
                <w:color w:val="auto"/>
                <w:highlight w:val="none"/>
              </w:rPr>
            </w:pPr>
          </w:p>
        </w:tc>
        <w:tc>
          <w:tcPr>
            <w:tcW w:w="933" w:type="dxa"/>
          </w:tcPr>
          <w:p w14:paraId="42380A14">
            <w:pPr>
              <w:pStyle w:val="214"/>
              <w:rPr>
                <w:rFonts w:hint="eastAsia"/>
                <w:color w:val="auto"/>
                <w:highlight w:val="none"/>
              </w:rPr>
            </w:pPr>
          </w:p>
        </w:tc>
        <w:tc>
          <w:tcPr>
            <w:tcW w:w="808" w:type="dxa"/>
          </w:tcPr>
          <w:p w14:paraId="793A350E">
            <w:pPr>
              <w:pStyle w:val="214"/>
              <w:rPr>
                <w:rFonts w:hint="eastAsia"/>
                <w:color w:val="auto"/>
                <w:highlight w:val="none"/>
              </w:rPr>
            </w:pPr>
          </w:p>
        </w:tc>
        <w:tc>
          <w:tcPr>
            <w:tcW w:w="792" w:type="dxa"/>
            <w:tcBorders>
              <w:right w:val="single" w:color="000000" w:sz="12" w:space="0"/>
            </w:tcBorders>
          </w:tcPr>
          <w:p w14:paraId="2A1C429A">
            <w:pPr>
              <w:pStyle w:val="214"/>
              <w:rPr>
                <w:rFonts w:hint="eastAsia"/>
                <w:color w:val="auto"/>
                <w:highlight w:val="none"/>
              </w:rPr>
            </w:pPr>
          </w:p>
        </w:tc>
      </w:tr>
      <w:tr w14:paraId="3BD82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4F26D7D6">
            <w:pPr>
              <w:pStyle w:val="214"/>
              <w:rPr>
                <w:rFonts w:hint="eastAsia"/>
                <w:color w:val="auto"/>
                <w:highlight w:val="none"/>
              </w:rPr>
            </w:pPr>
          </w:p>
        </w:tc>
        <w:tc>
          <w:tcPr>
            <w:tcW w:w="665" w:type="dxa"/>
          </w:tcPr>
          <w:p w14:paraId="007551EF">
            <w:pPr>
              <w:pStyle w:val="214"/>
              <w:rPr>
                <w:rFonts w:hint="eastAsia"/>
                <w:color w:val="auto"/>
                <w:highlight w:val="none"/>
              </w:rPr>
            </w:pPr>
          </w:p>
        </w:tc>
        <w:tc>
          <w:tcPr>
            <w:tcW w:w="763" w:type="dxa"/>
          </w:tcPr>
          <w:p w14:paraId="0BE6E2AB">
            <w:pPr>
              <w:pStyle w:val="214"/>
              <w:rPr>
                <w:rFonts w:hint="eastAsia"/>
                <w:color w:val="auto"/>
                <w:highlight w:val="none"/>
              </w:rPr>
            </w:pPr>
          </w:p>
        </w:tc>
        <w:tc>
          <w:tcPr>
            <w:tcW w:w="779" w:type="dxa"/>
          </w:tcPr>
          <w:p w14:paraId="11F7A688">
            <w:pPr>
              <w:pStyle w:val="214"/>
              <w:rPr>
                <w:rFonts w:hint="eastAsia"/>
                <w:color w:val="auto"/>
                <w:highlight w:val="none"/>
              </w:rPr>
            </w:pPr>
          </w:p>
        </w:tc>
        <w:tc>
          <w:tcPr>
            <w:tcW w:w="678" w:type="dxa"/>
          </w:tcPr>
          <w:p w14:paraId="26007C2B">
            <w:pPr>
              <w:pStyle w:val="214"/>
              <w:rPr>
                <w:rFonts w:hint="eastAsia"/>
                <w:color w:val="auto"/>
                <w:highlight w:val="none"/>
              </w:rPr>
            </w:pPr>
          </w:p>
        </w:tc>
        <w:tc>
          <w:tcPr>
            <w:tcW w:w="1072" w:type="dxa"/>
          </w:tcPr>
          <w:p w14:paraId="42C842E6">
            <w:pPr>
              <w:pStyle w:val="214"/>
              <w:rPr>
                <w:rFonts w:hint="eastAsia"/>
                <w:color w:val="auto"/>
                <w:highlight w:val="none"/>
              </w:rPr>
            </w:pPr>
          </w:p>
        </w:tc>
        <w:tc>
          <w:tcPr>
            <w:tcW w:w="879" w:type="dxa"/>
          </w:tcPr>
          <w:p w14:paraId="1DF85E5F">
            <w:pPr>
              <w:pStyle w:val="214"/>
              <w:rPr>
                <w:rFonts w:hint="eastAsia"/>
                <w:color w:val="auto"/>
                <w:highlight w:val="none"/>
              </w:rPr>
            </w:pPr>
          </w:p>
        </w:tc>
        <w:tc>
          <w:tcPr>
            <w:tcW w:w="1015" w:type="dxa"/>
          </w:tcPr>
          <w:p w14:paraId="3CEA2CCA">
            <w:pPr>
              <w:pStyle w:val="214"/>
              <w:rPr>
                <w:rFonts w:hint="eastAsia"/>
                <w:color w:val="auto"/>
                <w:highlight w:val="none"/>
              </w:rPr>
            </w:pPr>
          </w:p>
        </w:tc>
        <w:tc>
          <w:tcPr>
            <w:tcW w:w="933" w:type="dxa"/>
          </w:tcPr>
          <w:p w14:paraId="02BAD51D">
            <w:pPr>
              <w:pStyle w:val="214"/>
              <w:rPr>
                <w:rFonts w:hint="eastAsia"/>
                <w:color w:val="auto"/>
                <w:highlight w:val="none"/>
              </w:rPr>
            </w:pPr>
          </w:p>
        </w:tc>
        <w:tc>
          <w:tcPr>
            <w:tcW w:w="933" w:type="dxa"/>
          </w:tcPr>
          <w:p w14:paraId="29062FB6">
            <w:pPr>
              <w:pStyle w:val="214"/>
              <w:rPr>
                <w:rFonts w:hint="eastAsia"/>
                <w:color w:val="auto"/>
                <w:highlight w:val="none"/>
              </w:rPr>
            </w:pPr>
          </w:p>
        </w:tc>
        <w:tc>
          <w:tcPr>
            <w:tcW w:w="808" w:type="dxa"/>
          </w:tcPr>
          <w:p w14:paraId="40CB2307">
            <w:pPr>
              <w:pStyle w:val="214"/>
              <w:rPr>
                <w:rFonts w:hint="eastAsia"/>
                <w:color w:val="auto"/>
                <w:highlight w:val="none"/>
              </w:rPr>
            </w:pPr>
          </w:p>
        </w:tc>
        <w:tc>
          <w:tcPr>
            <w:tcW w:w="792" w:type="dxa"/>
            <w:tcBorders>
              <w:right w:val="single" w:color="000000" w:sz="12" w:space="0"/>
            </w:tcBorders>
          </w:tcPr>
          <w:p w14:paraId="07FDD843">
            <w:pPr>
              <w:pStyle w:val="214"/>
              <w:rPr>
                <w:rFonts w:hint="eastAsia"/>
                <w:color w:val="auto"/>
                <w:highlight w:val="none"/>
              </w:rPr>
            </w:pPr>
          </w:p>
        </w:tc>
      </w:tr>
      <w:tr w14:paraId="1A093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03EA3791">
            <w:pPr>
              <w:pStyle w:val="214"/>
              <w:rPr>
                <w:rFonts w:hint="eastAsia"/>
                <w:color w:val="auto"/>
                <w:highlight w:val="none"/>
              </w:rPr>
            </w:pPr>
          </w:p>
        </w:tc>
        <w:tc>
          <w:tcPr>
            <w:tcW w:w="665" w:type="dxa"/>
          </w:tcPr>
          <w:p w14:paraId="5A6F47D8">
            <w:pPr>
              <w:pStyle w:val="214"/>
              <w:rPr>
                <w:rFonts w:hint="eastAsia"/>
                <w:color w:val="auto"/>
                <w:highlight w:val="none"/>
              </w:rPr>
            </w:pPr>
          </w:p>
        </w:tc>
        <w:tc>
          <w:tcPr>
            <w:tcW w:w="763" w:type="dxa"/>
          </w:tcPr>
          <w:p w14:paraId="2F715F12">
            <w:pPr>
              <w:pStyle w:val="214"/>
              <w:rPr>
                <w:rFonts w:hint="eastAsia"/>
                <w:color w:val="auto"/>
                <w:highlight w:val="none"/>
              </w:rPr>
            </w:pPr>
          </w:p>
        </w:tc>
        <w:tc>
          <w:tcPr>
            <w:tcW w:w="779" w:type="dxa"/>
          </w:tcPr>
          <w:p w14:paraId="6B6CF297">
            <w:pPr>
              <w:pStyle w:val="214"/>
              <w:rPr>
                <w:rFonts w:hint="eastAsia"/>
                <w:color w:val="auto"/>
                <w:highlight w:val="none"/>
              </w:rPr>
            </w:pPr>
          </w:p>
        </w:tc>
        <w:tc>
          <w:tcPr>
            <w:tcW w:w="678" w:type="dxa"/>
          </w:tcPr>
          <w:p w14:paraId="57934D8A">
            <w:pPr>
              <w:pStyle w:val="214"/>
              <w:rPr>
                <w:rFonts w:hint="eastAsia"/>
                <w:color w:val="auto"/>
                <w:highlight w:val="none"/>
              </w:rPr>
            </w:pPr>
          </w:p>
        </w:tc>
        <w:tc>
          <w:tcPr>
            <w:tcW w:w="1072" w:type="dxa"/>
          </w:tcPr>
          <w:p w14:paraId="704F1B54">
            <w:pPr>
              <w:pStyle w:val="214"/>
              <w:rPr>
                <w:rFonts w:hint="eastAsia"/>
                <w:color w:val="auto"/>
                <w:highlight w:val="none"/>
              </w:rPr>
            </w:pPr>
          </w:p>
        </w:tc>
        <w:tc>
          <w:tcPr>
            <w:tcW w:w="879" w:type="dxa"/>
          </w:tcPr>
          <w:p w14:paraId="1DF2F0E0">
            <w:pPr>
              <w:pStyle w:val="214"/>
              <w:rPr>
                <w:rFonts w:hint="eastAsia"/>
                <w:color w:val="auto"/>
                <w:highlight w:val="none"/>
              </w:rPr>
            </w:pPr>
          </w:p>
        </w:tc>
        <w:tc>
          <w:tcPr>
            <w:tcW w:w="1015" w:type="dxa"/>
          </w:tcPr>
          <w:p w14:paraId="7A133F9D">
            <w:pPr>
              <w:pStyle w:val="214"/>
              <w:rPr>
                <w:rFonts w:hint="eastAsia"/>
                <w:color w:val="auto"/>
                <w:highlight w:val="none"/>
              </w:rPr>
            </w:pPr>
          </w:p>
        </w:tc>
        <w:tc>
          <w:tcPr>
            <w:tcW w:w="933" w:type="dxa"/>
          </w:tcPr>
          <w:p w14:paraId="7A626D8F">
            <w:pPr>
              <w:pStyle w:val="214"/>
              <w:rPr>
                <w:rFonts w:hint="eastAsia"/>
                <w:color w:val="auto"/>
                <w:highlight w:val="none"/>
              </w:rPr>
            </w:pPr>
          </w:p>
        </w:tc>
        <w:tc>
          <w:tcPr>
            <w:tcW w:w="933" w:type="dxa"/>
          </w:tcPr>
          <w:p w14:paraId="05C9F8CA">
            <w:pPr>
              <w:pStyle w:val="214"/>
              <w:rPr>
                <w:rFonts w:hint="eastAsia"/>
                <w:color w:val="auto"/>
                <w:highlight w:val="none"/>
              </w:rPr>
            </w:pPr>
          </w:p>
        </w:tc>
        <w:tc>
          <w:tcPr>
            <w:tcW w:w="808" w:type="dxa"/>
          </w:tcPr>
          <w:p w14:paraId="075EEF97">
            <w:pPr>
              <w:pStyle w:val="214"/>
              <w:rPr>
                <w:rFonts w:hint="eastAsia"/>
                <w:color w:val="auto"/>
                <w:highlight w:val="none"/>
              </w:rPr>
            </w:pPr>
          </w:p>
        </w:tc>
        <w:tc>
          <w:tcPr>
            <w:tcW w:w="792" w:type="dxa"/>
            <w:tcBorders>
              <w:right w:val="single" w:color="000000" w:sz="12" w:space="0"/>
            </w:tcBorders>
          </w:tcPr>
          <w:p w14:paraId="5EB4DFAC">
            <w:pPr>
              <w:pStyle w:val="214"/>
              <w:rPr>
                <w:rFonts w:hint="eastAsia"/>
                <w:color w:val="auto"/>
                <w:highlight w:val="none"/>
              </w:rPr>
            </w:pPr>
          </w:p>
        </w:tc>
      </w:tr>
      <w:tr w14:paraId="34A90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7AFBD37E">
            <w:pPr>
              <w:pStyle w:val="214"/>
              <w:rPr>
                <w:rFonts w:hint="eastAsia"/>
                <w:color w:val="auto"/>
                <w:highlight w:val="none"/>
              </w:rPr>
            </w:pPr>
          </w:p>
        </w:tc>
        <w:tc>
          <w:tcPr>
            <w:tcW w:w="665" w:type="dxa"/>
          </w:tcPr>
          <w:p w14:paraId="6EF0AAF6">
            <w:pPr>
              <w:pStyle w:val="214"/>
              <w:rPr>
                <w:rFonts w:hint="eastAsia"/>
                <w:color w:val="auto"/>
                <w:highlight w:val="none"/>
              </w:rPr>
            </w:pPr>
          </w:p>
        </w:tc>
        <w:tc>
          <w:tcPr>
            <w:tcW w:w="763" w:type="dxa"/>
          </w:tcPr>
          <w:p w14:paraId="0236CB95">
            <w:pPr>
              <w:pStyle w:val="214"/>
              <w:rPr>
                <w:rFonts w:hint="eastAsia"/>
                <w:color w:val="auto"/>
                <w:highlight w:val="none"/>
              </w:rPr>
            </w:pPr>
          </w:p>
        </w:tc>
        <w:tc>
          <w:tcPr>
            <w:tcW w:w="779" w:type="dxa"/>
          </w:tcPr>
          <w:p w14:paraId="731D1D4D">
            <w:pPr>
              <w:pStyle w:val="214"/>
              <w:rPr>
                <w:rFonts w:hint="eastAsia"/>
                <w:color w:val="auto"/>
                <w:highlight w:val="none"/>
              </w:rPr>
            </w:pPr>
          </w:p>
        </w:tc>
        <w:tc>
          <w:tcPr>
            <w:tcW w:w="678" w:type="dxa"/>
          </w:tcPr>
          <w:p w14:paraId="6033110D">
            <w:pPr>
              <w:pStyle w:val="214"/>
              <w:rPr>
                <w:rFonts w:hint="eastAsia"/>
                <w:color w:val="auto"/>
                <w:highlight w:val="none"/>
              </w:rPr>
            </w:pPr>
          </w:p>
        </w:tc>
        <w:tc>
          <w:tcPr>
            <w:tcW w:w="1072" w:type="dxa"/>
          </w:tcPr>
          <w:p w14:paraId="25861696">
            <w:pPr>
              <w:pStyle w:val="214"/>
              <w:rPr>
                <w:rFonts w:hint="eastAsia"/>
                <w:color w:val="auto"/>
                <w:highlight w:val="none"/>
              </w:rPr>
            </w:pPr>
          </w:p>
        </w:tc>
        <w:tc>
          <w:tcPr>
            <w:tcW w:w="879" w:type="dxa"/>
          </w:tcPr>
          <w:p w14:paraId="131459BD">
            <w:pPr>
              <w:pStyle w:val="214"/>
              <w:rPr>
                <w:rFonts w:hint="eastAsia"/>
                <w:color w:val="auto"/>
                <w:highlight w:val="none"/>
              </w:rPr>
            </w:pPr>
          </w:p>
        </w:tc>
        <w:tc>
          <w:tcPr>
            <w:tcW w:w="1015" w:type="dxa"/>
          </w:tcPr>
          <w:p w14:paraId="127944BE">
            <w:pPr>
              <w:pStyle w:val="214"/>
              <w:rPr>
                <w:rFonts w:hint="eastAsia"/>
                <w:color w:val="auto"/>
                <w:highlight w:val="none"/>
              </w:rPr>
            </w:pPr>
          </w:p>
        </w:tc>
        <w:tc>
          <w:tcPr>
            <w:tcW w:w="933" w:type="dxa"/>
          </w:tcPr>
          <w:p w14:paraId="38997FD0">
            <w:pPr>
              <w:pStyle w:val="214"/>
              <w:rPr>
                <w:rFonts w:hint="eastAsia"/>
                <w:color w:val="auto"/>
                <w:highlight w:val="none"/>
              </w:rPr>
            </w:pPr>
          </w:p>
        </w:tc>
        <w:tc>
          <w:tcPr>
            <w:tcW w:w="933" w:type="dxa"/>
          </w:tcPr>
          <w:p w14:paraId="3BE93CE6">
            <w:pPr>
              <w:pStyle w:val="214"/>
              <w:rPr>
                <w:rFonts w:hint="eastAsia"/>
                <w:color w:val="auto"/>
                <w:highlight w:val="none"/>
              </w:rPr>
            </w:pPr>
          </w:p>
        </w:tc>
        <w:tc>
          <w:tcPr>
            <w:tcW w:w="808" w:type="dxa"/>
          </w:tcPr>
          <w:p w14:paraId="34BE1453">
            <w:pPr>
              <w:pStyle w:val="214"/>
              <w:rPr>
                <w:rFonts w:hint="eastAsia"/>
                <w:color w:val="auto"/>
                <w:highlight w:val="none"/>
              </w:rPr>
            </w:pPr>
          </w:p>
        </w:tc>
        <w:tc>
          <w:tcPr>
            <w:tcW w:w="792" w:type="dxa"/>
            <w:tcBorders>
              <w:right w:val="single" w:color="000000" w:sz="12" w:space="0"/>
            </w:tcBorders>
          </w:tcPr>
          <w:p w14:paraId="5107FB5E">
            <w:pPr>
              <w:pStyle w:val="214"/>
              <w:rPr>
                <w:rFonts w:hint="eastAsia"/>
                <w:color w:val="auto"/>
                <w:highlight w:val="none"/>
              </w:rPr>
            </w:pPr>
          </w:p>
        </w:tc>
      </w:tr>
      <w:tr w14:paraId="55C5E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90" w:type="dxa"/>
            <w:tcBorders>
              <w:left w:val="single" w:color="000000" w:sz="12" w:space="0"/>
            </w:tcBorders>
          </w:tcPr>
          <w:p w14:paraId="7AE00A23">
            <w:pPr>
              <w:pStyle w:val="214"/>
              <w:rPr>
                <w:rFonts w:hint="eastAsia"/>
                <w:color w:val="auto"/>
                <w:highlight w:val="none"/>
              </w:rPr>
            </w:pPr>
          </w:p>
        </w:tc>
        <w:tc>
          <w:tcPr>
            <w:tcW w:w="665" w:type="dxa"/>
          </w:tcPr>
          <w:p w14:paraId="1B81B2DA">
            <w:pPr>
              <w:pStyle w:val="214"/>
              <w:rPr>
                <w:rFonts w:hint="eastAsia"/>
                <w:color w:val="auto"/>
                <w:highlight w:val="none"/>
              </w:rPr>
            </w:pPr>
          </w:p>
        </w:tc>
        <w:tc>
          <w:tcPr>
            <w:tcW w:w="763" w:type="dxa"/>
          </w:tcPr>
          <w:p w14:paraId="58781A64">
            <w:pPr>
              <w:pStyle w:val="214"/>
              <w:rPr>
                <w:rFonts w:hint="eastAsia"/>
                <w:color w:val="auto"/>
                <w:highlight w:val="none"/>
              </w:rPr>
            </w:pPr>
          </w:p>
        </w:tc>
        <w:tc>
          <w:tcPr>
            <w:tcW w:w="779" w:type="dxa"/>
          </w:tcPr>
          <w:p w14:paraId="5C548567">
            <w:pPr>
              <w:pStyle w:val="214"/>
              <w:rPr>
                <w:rFonts w:hint="eastAsia"/>
                <w:color w:val="auto"/>
                <w:highlight w:val="none"/>
              </w:rPr>
            </w:pPr>
          </w:p>
        </w:tc>
        <w:tc>
          <w:tcPr>
            <w:tcW w:w="678" w:type="dxa"/>
          </w:tcPr>
          <w:p w14:paraId="78B1AA89">
            <w:pPr>
              <w:pStyle w:val="214"/>
              <w:rPr>
                <w:rFonts w:hint="eastAsia"/>
                <w:color w:val="auto"/>
                <w:highlight w:val="none"/>
              </w:rPr>
            </w:pPr>
          </w:p>
        </w:tc>
        <w:tc>
          <w:tcPr>
            <w:tcW w:w="1072" w:type="dxa"/>
          </w:tcPr>
          <w:p w14:paraId="292E4937">
            <w:pPr>
              <w:pStyle w:val="214"/>
              <w:rPr>
                <w:rFonts w:hint="eastAsia"/>
                <w:color w:val="auto"/>
                <w:highlight w:val="none"/>
              </w:rPr>
            </w:pPr>
          </w:p>
        </w:tc>
        <w:tc>
          <w:tcPr>
            <w:tcW w:w="879" w:type="dxa"/>
          </w:tcPr>
          <w:p w14:paraId="7DF3FED8">
            <w:pPr>
              <w:pStyle w:val="214"/>
              <w:rPr>
                <w:rFonts w:hint="eastAsia"/>
                <w:color w:val="auto"/>
                <w:highlight w:val="none"/>
              </w:rPr>
            </w:pPr>
          </w:p>
        </w:tc>
        <w:tc>
          <w:tcPr>
            <w:tcW w:w="1015" w:type="dxa"/>
          </w:tcPr>
          <w:p w14:paraId="2CC3EF3F">
            <w:pPr>
              <w:pStyle w:val="214"/>
              <w:rPr>
                <w:rFonts w:hint="eastAsia"/>
                <w:color w:val="auto"/>
                <w:highlight w:val="none"/>
              </w:rPr>
            </w:pPr>
          </w:p>
        </w:tc>
        <w:tc>
          <w:tcPr>
            <w:tcW w:w="933" w:type="dxa"/>
          </w:tcPr>
          <w:p w14:paraId="09A271E2">
            <w:pPr>
              <w:pStyle w:val="214"/>
              <w:rPr>
                <w:rFonts w:hint="eastAsia"/>
                <w:color w:val="auto"/>
                <w:highlight w:val="none"/>
              </w:rPr>
            </w:pPr>
          </w:p>
        </w:tc>
        <w:tc>
          <w:tcPr>
            <w:tcW w:w="933" w:type="dxa"/>
          </w:tcPr>
          <w:p w14:paraId="71B27DBB">
            <w:pPr>
              <w:pStyle w:val="214"/>
              <w:rPr>
                <w:rFonts w:hint="eastAsia"/>
                <w:color w:val="auto"/>
                <w:highlight w:val="none"/>
              </w:rPr>
            </w:pPr>
          </w:p>
        </w:tc>
        <w:tc>
          <w:tcPr>
            <w:tcW w:w="808" w:type="dxa"/>
          </w:tcPr>
          <w:p w14:paraId="2A9326F3">
            <w:pPr>
              <w:pStyle w:val="214"/>
              <w:rPr>
                <w:rFonts w:hint="eastAsia"/>
                <w:color w:val="auto"/>
                <w:highlight w:val="none"/>
              </w:rPr>
            </w:pPr>
          </w:p>
        </w:tc>
        <w:tc>
          <w:tcPr>
            <w:tcW w:w="792" w:type="dxa"/>
            <w:tcBorders>
              <w:right w:val="single" w:color="000000" w:sz="12" w:space="0"/>
            </w:tcBorders>
          </w:tcPr>
          <w:p w14:paraId="1C998879">
            <w:pPr>
              <w:pStyle w:val="214"/>
              <w:rPr>
                <w:rFonts w:hint="eastAsia"/>
                <w:color w:val="auto"/>
                <w:highlight w:val="none"/>
              </w:rPr>
            </w:pPr>
          </w:p>
        </w:tc>
      </w:tr>
      <w:tr w14:paraId="4A1F0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90" w:type="dxa"/>
            <w:tcBorders>
              <w:left w:val="single" w:color="000000" w:sz="12" w:space="0"/>
            </w:tcBorders>
          </w:tcPr>
          <w:p w14:paraId="2B4374B0">
            <w:pPr>
              <w:pStyle w:val="214"/>
              <w:rPr>
                <w:rFonts w:hint="eastAsia"/>
                <w:color w:val="auto"/>
                <w:highlight w:val="none"/>
              </w:rPr>
            </w:pPr>
          </w:p>
        </w:tc>
        <w:tc>
          <w:tcPr>
            <w:tcW w:w="665" w:type="dxa"/>
          </w:tcPr>
          <w:p w14:paraId="2EDBE6A4">
            <w:pPr>
              <w:pStyle w:val="214"/>
              <w:rPr>
                <w:rFonts w:hint="eastAsia"/>
                <w:color w:val="auto"/>
                <w:highlight w:val="none"/>
              </w:rPr>
            </w:pPr>
          </w:p>
        </w:tc>
        <w:tc>
          <w:tcPr>
            <w:tcW w:w="763" w:type="dxa"/>
          </w:tcPr>
          <w:p w14:paraId="1151AC5A">
            <w:pPr>
              <w:pStyle w:val="214"/>
              <w:rPr>
                <w:rFonts w:hint="eastAsia"/>
                <w:color w:val="auto"/>
                <w:highlight w:val="none"/>
              </w:rPr>
            </w:pPr>
          </w:p>
        </w:tc>
        <w:tc>
          <w:tcPr>
            <w:tcW w:w="779" w:type="dxa"/>
          </w:tcPr>
          <w:p w14:paraId="08FA6D67">
            <w:pPr>
              <w:pStyle w:val="214"/>
              <w:rPr>
                <w:rFonts w:hint="eastAsia"/>
                <w:color w:val="auto"/>
                <w:highlight w:val="none"/>
              </w:rPr>
            </w:pPr>
          </w:p>
        </w:tc>
        <w:tc>
          <w:tcPr>
            <w:tcW w:w="678" w:type="dxa"/>
          </w:tcPr>
          <w:p w14:paraId="21DFE7CF">
            <w:pPr>
              <w:pStyle w:val="214"/>
              <w:rPr>
                <w:rFonts w:hint="eastAsia"/>
                <w:color w:val="auto"/>
                <w:highlight w:val="none"/>
              </w:rPr>
            </w:pPr>
          </w:p>
        </w:tc>
        <w:tc>
          <w:tcPr>
            <w:tcW w:w="1072" w:type="dxa"/>
          </w:tcPr>
          <w:p w14:paraId="6835B913">
            <w:pPr>
              <w:pStyle w:val="214"/>
              <w:rPr>
                <w:rFonts w:hint="eastAsia"/>
                <w:color w:val="auto"/>
                <w:highlight w:val="none"/>
              </w:rPr>
            </w:pPr>
          </w:p>
        </w:tc>
        <w:tc>
          <w:tcPr>
            <w:tcW w:w="879" w:type="dxa"/>
          </w:tcPr>
          <w:p w14:paraId="37F4FFE5">
            <w:pPr>
              <w:pStyle w:val="214"/>
              <w:rPr>
                <w:rFonts w:hint="eastAsia"/>
                <w:color w:val="auto"/>
                <w:highlight w:val="none"/>
              </w:rPr>
            </w:pPr>
          </w:p>
        </w:tc>
        <w:tc>
          <w:tcPr>
            <w:tcW w:w="1015" w:type="dxa"/>
          </w:tcPr>
          <w:p w14:paraId="2A8DB5A1">
            <w:pPr>
              <w:pStyle w:val="214"/>
              <w:rPr>
                <w:rFonts w:hint="eastAsia"/>
                <w:color w:val="auto"/>
                <w:highlight w:val="none"/>
              </w:rPr>
            </w:pPr>
          </w:p>
        </w:tc>
        <w:tc>
          <w:tcPr>
            <w:tcW w:w="933" w:type="dxa"/>
          </w:tcPr>
          <w:p w14:paraId="2A3060B0">
            <w:pPr>
              <w:pStyle w:val="214"/>
              <w:rPr>
                <w:rFonts w:hint="eastAsia"/>
                <w:color w:val="auto"/>
                <w:highlight w:val="none"/>
              </w:rPr>
            </w:pPr>
          </w:p>
        </w:tc>
        <w:tc>
          <w:tcPr>
            <w:tcW w:w="933" w:type="dxa"/>
          </w:tcPr>
          <w:p w14:paraId="68D261D8">
            <w:pPr>
              <w:pStyle w:val="214"/>
              <w:rPr>
                <w:rFonts w:hint="eastAsia"/>
                <w:color w:val="auto"/>
                <w:highlight w:val="none"/>
              </w:rPr>
            </w:pPr>
          </w:p>
        </w:tc>
        <w:tc>
          <w:tcPr>
            <w:tcW w:w="808" w:type="dxa"/>
          </w:tcPr>
          <w:p w14:paraId="1B2D8D2B">
            <w:pPr>
              <w:pStyle w:val="214"/>
              <w:rPr>
                <w:rFonts w:hint="eastAsia"/>
                <w:color w:val="auto"/>
                <w:highlight w:val="none"/>
              </w:rPr>
            </w:pPr>
          </w:p>
        </w:tc>
        <w:tc>
          <w:tcPr>
            <w:tcW w:w="792" w:type="dxa"/>
            <w:tcBorders>
              <w:right w:val="single" w:color="000000" w:sz="12" w:space="0"/>
            </w:tcBorders>
          </w:tcPr>
          <w:p w14:paraId="7447E120">
            <w:pPr>
              <w:pStyle w:val="214"/>
              <w:rPr>
                <w:rFonts w:hint="eastAsia"/>
                <w:color w:val="auto"/>
                <w:highlight w:val="none"/>
              </w:rPr>
            </w:pPr>
          </w:p>
        </w:tc>
      </w:tr>
      <w:tr w14:paraId="20359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590" w:type="dxa"/>
            <w:tcBorders>
              <w:left w:val="single" w:color="000000" w:sz="12" w:space="0"/>
              <w:bottom w:val="single" w:color="000000" w:sz="12" w:space="0"/>
            </w:tcBorders>
          </w:tcPr>
          <w:p w14:paraId="04706B6A">
            <w:pPr>
              <w:pStyle w:val="214"/>
              <w:rPr>
                <w:rFonts w:hint="eastAsia"/>
                <w:color w:val="auto"/>
                <w:highlight w:val="none"/>
              </w:rPr>
            </w:pPr>
          </w:p>
        </w:tc>
        <w:tc>
          <w:tcPr>
            <w:tcW w:w="665" w:type="dxa"/>
            <w:tcBorders>
              <w:bottom w:val="single" w:color="000000" w:sz="12" w:space="0"/>
            </w:tcBorders>
          </w:tcPr>
          <w:p w14:paraId="51651576">
            <w:pPr>
              <w:pStyle w:val="214"/>
              <w:rPr>
                <w:rFonts w:hint="eastAsia"/>
                <w:color w:val="auto"/>
                <w:highlight w:val="none"/>
              </w:rPr>
            </w:pPr>
          </w:p>
        </w:tc>
        <w:tc>
          <w:tcPr>
            <w:tcW w:w="763" w:type="dxa"/>
            <w:tcBorders>
              <w:bottom w:val="single" w:color="000000" w:sz="12" w:space="0"/>
            </w:tcBorders>
          </w:tcPr>
          <w:p w14:paraId="40890725">
            <w:pPr>
              <w:pStyle w:val="214"/>
              <w:rPr>
                <w:rFonts w:hint="eastAsia"/>
                <w:color w:val="auto"/>
                <w:highlight w:val="none"/>
              </w:rPr>
            </w:pPr>
          </w:p>
        </w:tc>
        <w:tc>
          <w:tcPr>
            <w:tcW w:w="779" w:type="dxa"/>
            <w:tcBorders>
              <w:bottom w:val="single" w:color="000000" w:sz="12" w:space="0"/>
            </w:tcBorders>
          </w:tcPr>
          <w:p w14:paraId="2086132F">
            <w:pPr>
              <w:pStyle w:val="214"/>
              <w:rPr>
                <w:rFonts w:hint="eastAsia"/>
                <w:color w:val="auto"/>
                <w:highlight w:val="none"/>
              </w:rPr>
            </w:pPr>
          </w:p>
        </w:tc>
        <w:tc>
          <w:tcPr>
            <w:tcW w:w="678" w:type="dxa"/>
            <w:tcBorders>
              <w:bottom w:val="single" w:color="000000" w:sz="12" w:space="0"/>
            </w:tcBorders>
          </w:tcPr>
          <w:p w14:paraId="2EB7AC55">
            <w:pPr>
              <w:pStyle w:val="214"/>
              <w:rPr>
                <w:rFonts w:hint="eastAsia"/>
                <w:color w:val="auto"/>
                <w:highlight w:val="none"/>
              </w:rPr>
            </w:pPr>
          </w:p>
        </w:tc>
        <w:tc>
          <w:tcPr>
            <w:tcW w:w="1072" w:type="dxa"/>
            <w:tcBorders>
              <w:bottom w:val="single" w:color="000000" w:sz="12" w:space="0"/>
            </w:tcBorders>
          </w:tcPr>
          <w:p w14:paraId="5A370A24">
            <w:pPr>
              <w:pStyle w:val="214"/>
              <w:rPr>
                <w:rFonts w:hint="eastAsia"/>
                <w:color w:val="auto"/>
                <w:highlight w:val="none"/>
              </w:rPr>
            </w:pPr>
          </w:p>
        </w:tc>
        <w:tc>
          <w:tcPr>
            <w:tcW w:w="879" w:type="dxa"/>
            <w:tcBorders>
              <w:bottom w:val="single" w:color="000000" w:sz="12" w:space="0"/>
            </w:tcBorders>
          </w:tcPr>
          <w:p w14:paraId="68D4A992">
            <w:pPr>
              <w:pStyle w:val="214"/>
              <w:rPr>
                <w:rFonts w:hint="eastAsia"/>
                <w:color w:val="auto"/>
                <w:highlight w:val="none"/>
              </w:rPr>
            </w:pPr>
          </w:p>
        </w:tc>
        <w:tc>
          <w:tcPr>
            <w:tcW w:w="1015" w:type="dxa"/>
            <w:tcBorders>
              <w:bottom w:val="single" w:color="000000" w:sz="12" w:space="0"/>
            </w:tcBorders>
          </w:tcPr>
          <w:p w14:paraId="54A822B9">
            <w:pPr>
              <w:pStyle w:val="214"/>
              <w:rPr>
                <w:rFonts w:hint="eastAsia"/>
                <w:color w:val="auto"/>
                <w:highlight w:val="none"/>
              </w:rPr>
            </w:pPr>
          </w:p>
        </w:tc>
        <w:tc>
          <w:tcPr>
            <w:tcW w:w="933" w:type="dxa"/>
            <w:tcBorders>
              <w:bottom w:val="single" w:color="000000" w:sz="12" w:space="0"/>
            </w:tcBorders>
          </w:tcPr>
          <w:p w14:paraId="313FEF4B">
            <w:pPr>
              <w:pStyle w:val="214"/>
              <w:rPr>
                <w:rFonts w:hint="eastAsia"/>
                <w:color w:val="auto"/>
                <w:highlight w:val="none"/>
              </w:rPr>
            </w:pPr>
          </w:p>
        </w:tc>
        <w:tc>
          <w:tcPr>
            <w:tcW w:w="933" w:type="dxa"/>
            <w:tcBorders>
              <w:bottom w:val="single" w:color="000000" w:sz="12" w:space="0"/>
            </w:tcBorders>
          </w:tcPr>
          <w:p w14:paraId="357D0989">
            <w:pPr>
              <w:pStyle w:val="214"/>
              <w:rPr>
                <w:rFonts w:hint="eastAsia"/>
                <w:color w:val="auto"/>
                <w:highlight w:val="none"/>
              </w:rPr>
            </w:pPr>
          </w:p>
        </w:tc>
        <w:tc>
          <w:tcPr>
            <w:tcW w:w="808" w:type="dxa"/>
            <w:tcBorders>
              <w:bottom w:val="single" w:color="000000" w:sz="12" w:space="0"/>
            </w:tcBorders>
          </w:tcPr>
          <w:p w14:paraId="0E5FF9EB">
            <w:pPr>
              <w:pStyle w:val="214"/>
              <w:rPr>
                <w:rFonts w:hint="eastAsia"/>
                <w:color w:val="auto"/>
                <w:highlight w:val="none"/>
              </w:rPr>
            </w:pPr>
          </w:p>
        </w:tc>
        <w:tc>
          <w:tcPr>
            <w:tcW w:w="792" w:type="dxa"/>
            <w:tcBorders>
              <w:bottom w:val="single" w:color="000000" w:sz="12" w:space="0"/>
              <w:right w:val="single" w:color="000000" w:sz="12" w:space="0"/>
            </w:tcBorders>
          </w:tcPr>
          <w:p w14:paraId="2D7063EA">
            <w:pPr>
              <w:pStyle w:val="214"/>
              <w:rPr>
                <w:rFonts w:hint="eastAsia"/>
                <w:color w:val="auto"/>
                <w:highlight w:val="none"/>
              </w:rPr>
            </w:pPr>
          </w:p>
        </w:tc>
      </w:tr>
    </w:tbl>
    <w:p w14:paraId="54237D7C">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67BACDC3">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r>
        <w:rPr>
          <w:rFonts w:hint="eastAsia" w:eastAsia="宋体"/>
          <w:color w:val="auto"/>
          <w:sz w:val="22"/>
          <w:highlight w:val="none"/>
          <w:u w:val="single"/>
        </w:rPr>
        <w:tab/>
      </w:r>
      <w:r>
        <w:rPr>
          <w:rFonts w:hint="eastAsia" w:eastAsia="宋体"/>
          <w:color w:val="auto"/>
          <w:sz w:val="22"/>
          <w:highlight w:val="none"/>
          <w:u w:val="single"/>
        </w:rPr>
        <w:t xml:space="preserve">  </w:t>
      </w:r>
      <w:r>
        <w:rPr>
          <w:rFonts w:hint="eastAsia" w:eastAsia="宋体"/>
          <w:color w:val="auto"/>
          <w:spacing w:val="-51"/>
          <w:sz w:val="22"/>
          <w:highlight w:val="none"/>
        </w:rPr>
        <w:t xml:space="preserve"> </w:t>
      </w:r>
    </w:p>
    <w:p w14:paraId="67A76B17">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p>
    <w:p w14:paraId="034F3834">
      <w:pPr>
        <w:rPr>
          <w:rFonts w:hint="eastAsia" w:ascii="黑体" w:hAnsi="黑体" w:eastAsia="黑体" w:cs="黑体"/>
          <w:color w:val="auto"/>
          <w:spacing w:val="-6"/>
          <w:szCs w:val="21"/>
          <w:highlight w:val="none"/>
        </w:rPr>
      </w:pPr>
      <w:r>
        <w:rPr>
          <w:rFonts w:ascii="黑体" w:hAnsi="黑体" w:eastAsia="黑体" w:cs="黑体"/>
          <w:color w:val="auto"/>
          <w:spacing w:val="-6"/>
          <w:szCs w:val="21"/>
          <w:highlight w:val="none"/>
        </w:rPr>
        <w:br w:type="page"/>
      </w:r>
    </w:p>
    <w:p w14:paraId="64409896">
      <w:pPr>
        <w:spacing w:before="68" w:line="223"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表</w:t>
      </w:r>
      <w:r>
        <w:rPr>
          <w:rFonts w:hint="eastAsia" w:ascii="宋体" w:hAnsi="宋体" w:eastAsia="宋体" w:cs="宋体"/>
          <w:color w:val="auto"/>
          <w:spacing w:val="-44"/>
          <w:szCs w:val="21"/>
          <w:highlight w:val="none"/>
        </w:rPr>
        <w:t xml:space="preserve"> </w:t>
      </w:r>
      <w:r>
        <w:rPr>
          <w:rFonts w:hint="eastAsia" w:ascii="宋体" w:hAnsi="宋体" w:eastAsia="宋体" w:cs="宋体"/>
          <w:color w:val="auto"/>
          <w:spacing w:val="-6"/>
          <w:szCs w:val="21"/>
          <w:highlight w:val="none"/>
        </w:rPr>
        <w:t>6</w:t>
      </w:r>
    </w:p>
    <w:p w14:paraId="3E1C6041">
      <w:pPr>
        <w:pStyle w:val="16"/>
        <w:spacing w:before="282" w:line="184" w:lineRule="auto"/>
        <w:jc w:val="center"/>
        <w:rPr>
          <w:rFonts w:hint="eastAsia" w:eastAsia="宋体"/>
          <w:color w:val="auto"/>
          <w:highlight w:val="none"/>
        </w:rPr>
      </w:pPr>
      <w:r>
        <w:rPr>
          <w:rFonts w:hint="eastAsia" w:eastAsia="宋体"/>
          <w:color w:val="auto"/>
          <w:spacing w:val="-1"/>
          <w:sz w:val="24"/>
          <w:szCs w:val="24"/>
          <w:highlight w:val="none"/>
        </w:rPr>
        <w:t>供货时间进度表</w:t>
      </w:r>
    </w:p>
    <w:tbl>
      <w:tblPr>
        <w:tblStyle w:val="215"/>
        <w:tblW w:w="9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2850"/>
        <w:gridCol w:w="2135"/>
        <w:gridCol w:w="2425"/>
        <w:gridCol w:w="1031"/>
      </w:tblGrid>
      <w:tr w14:paraId="6E0B8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737" w:type="dxa"/>
          </w:tcPr>
          <w:p w14:paraId="78414D65">
            <w:pPr>
              <w:spacing w:before="113" w:line="223" w:lineRule="auto"/>
              <w:ind w:left="19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序号</w:t>
            </w:r>
          </w:p>
        </w:tc>
        <w:tc>
          <w:tcPr>
            <w:tcW w:w="2850" w:type="dxa"/>
          </w:tcPr>
          <w:p w14:paraId="2982C41D">
            <w:pPr>
              <w:spacing w:before="113" w:line="222" w:lineRule="auto"/>
              <w:ind w:left="1067"/>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供货时间</w:t>
            </w:r>
          </w:p>
        </w:tc>
        <w:tc>
          <w:tcPr>
            <w:tcW w:w="2135" w:type="dxa"/>
          </w:tcPr>
          <w:p w14:paraId="70A403E8">
            <w:pPr>
              <w:spacing w:before="113" w:line="223" w:lineRule="auto"/>
              <w:ind w:left="717"/>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支付时间</w:t>
            </w:r>
          </w:p>
        </w:tc>
        <w:tc>
          <w:tcPr>
            <w:tcW w:w="2425" w:type="dxa"/>
          </w:tcPr>
          <w:p w14:paraId="2BF075D3">
            <w:pPr>
              <w:spacing w:before="113" w:line="222" w:lineRule="auto"/>
              <w:ind w:left="863"/>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支付价款</w:t>
            </w:r>
          </w:p>
        </w:tc>
        <w:tc>
          <w:tcPr>
            <w:tcW w:w="1031" w:type="dxa"/>
          </w:tcPr>
          <w:p w14:paraId="7047257B">
            <w:pPr>
              <w:spacing w:before="113" w:line="222" w:lineRule="auto"/>
              <w:ind w:left="34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备注</w:t>
            </w:r>
          </w:p>
        </w:tc>
      </w:tr>
      <w:tr w14:paraId="35B1A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7F556A46">
            <w:pPr>
              <w:spacing w:before="173" w:line="188" w:lineRule="auto"/>
              <w:ind w:left="342"/>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850" w:type="dxa"/>
          </w:tcPr>
          <w:p w14:paraId="0AF2114E">
            <w:pPr>
              <w:spacing w:before="144" w:line="219" w:lineRule="auto"/>
              <w:ind w:left="97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第一次供货</w:t>
            </w:r>
          </w:p>
        </w:tc>
        <w:tc>
          <w:tcPr>
            <w:tcW w:w="2135" w:type="dxa"/>
          </w:tcPr>
          <w:p w14:paraId="3A2E6A9D">
            <w:pPr>
              <w:pStyle w:val="214"/>
              <w:rPr>
                <w:rFonts w:hint="eastAsia"/>
                <w:color w:val="auto"/>
                <w:highlight w:val="none"/>
              </w:rPr>
            </w:pPr>
          </w:p>
        </w:tc>
        <w:tc>
          <w:tcPr>
            <w:tcW w:w="2425" w:type="dxa"/>
          </w:tcPr>
          <w:p w14:paraId="6F0580DB">
            <w:pPr>
              <w:pStyle w:val="214"/>
              <w:rPr>
                <w:rFonts w:hint="eastAsia"/>
                <w:color w:val="auto"/>
                <w:highlight w:val="none"/>
              </w:rPr>
            </w:pPr>
          </w:p>
        </w:tc>
        <w:tc>
          <w:tcPr>
            <w:tcW w:w="1031" w:type="dxa"/>
          </w:tcPr>
          <w:p w14:paraId="59D72EEB">
            <w:pPr>
              <w:pStyle w:val="214"/>
              <w:rPr>
                <w:rFonts w:hint="eastAsia"/>
                <w:color w:val="auto"/>
                <w:highlight w:val="none"/>
              </w:rPr>
            </w:pPr>
          </w:p>
        </w:tc>
      </w:tr>
      <w:tr w14:paraId="4D53A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3FA324C7">
            <w:pPr>
              <w:spacing w:before="279" w:line="57" w:lineRule="exact"/>
              <w:ind w:left="311"/>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5"/>
                <w:position w:val="1"/>
                <w:sz w:val="18"/>
                <w:szCs w:val="18"/>
                <w:highlight w:val="none"/>
              </w:rPr>
              <w:t>...</w:t>
            </w:r>
          </w:p>
        </w:tc>
        <w:tc>
          <w:tcPr>
            <w:tcW w:w="2850" w:type="dxa"/>
          </w:tcPr>
          <w:p w14:paraId="594B519E">
            <w:pPr>
              <w:spacing w:before="279" w:line="57" w:lineRule="exact"/>
              <w:ind w:left="1367"/>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5"/>
                <w:position w:val="1"/>
                <w:sz w:val="18"/>
                <w:szCs w:val="18"/>
                <w:highlight w:val="none"/>
              </w:rPr>
              <w:t>...</w:t>
            </w:r>
          </w:p>
        </w:tc>
        <w:tc>
          <w:tcPr>
            <w:tcW w:w="2135" w:type="dxa"/>
          </w:tcPr>
          <w:p w14:paraId="6681644E">
            <w:pPr>
              <w:spacing w:before="279" w:line="57" w:lineRule="exact"/>
              <w:ind w:left="1010"/>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5"/>
                <w:position w:val="1"/>
                <w:sz w:val="18"/>
                <w:szCs w:val="18"/>
                <w:highlight w:val="none"/>
              </w:rPr>
              <w:t>...</w:t>
            </w:r>
          </w:p>
        </w:tc>
        <w:tc>
          <w:tcPr>
            <w:tcW w:w="2425" w:type="dxa"/>
          </w:tcPr>
          <w:p w14:paraId="65FF9E49">
            <w:pPr>
              <w:spacing w:before="279" w:line="57" w:lineRule="exact"/>
              <w:ind w:left="1157"/>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5"/>
                <w:position w:val="1"/>
                <w:sz w:val="18"/>
                <w:szCs w:val="18"/>
                <w:highlight w:val="none"/>
              </w:rPr>
              <w:t>...</w:t>
            </w:r>
          </w:p>
        </w:tc>
        <w:tc>
          <w:tcPr>
            <w:tcW w:w="1031" w:type="dxa"/>
          </w:tcPr>
          <w:p w14:paraId="1BB1F0AE">
            <w:pPr>
              <w:spacing w:before="279" w:line="57" w:lineRule="exact"/>
              <w:ind w:left="460"/>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5"/>
                <w:position w:val="1"/>
                <w:sz w:val="18"/>
                <w:szCs w:val="18"/>
                <w:highlight w:val="none"/>
              </w:rPr>
              <w:t>...</w:t>
            </w:r>
          </w:p>
        </w:tc>
      </w:tr>
      <w:tr w14:paraId="6F9A5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37" w:type="dxa"/>
          </w:tcPr>
          <w:p w14:paraId="24A1EB6B">
            <w:pPr>
              <w:pStyle w:val="214"/>
              <w:rPr>
                <w:rFonts w:hint="eastAsia"/>
                <w:color w:val="auto"/>
                <w:highlight w:val="none"/>
              </w:rPr>
            </w:pPr>
          </w:p>
        </w:tc>
        <w:tc>
          <w:tcPr>
            <w:tcW w:w="2850" w:type="dxa"/>
          </w:tcPr>
          <w:p w14:paraId="61B54528">
            <w:pPr>
              <w:pStyle w:val="214"/>
              <w:rPr>
                <w:rFonts w:hint="eastAsia"/>
                <w:color w:val="auto"/>
                <w:highlight w:val="none"/>
              </w:rPr>
            </w:pPr>
          </w:p>
        </w:tc>
        <w:tc>
          <w:tcPr>
            <w:tcW w:w="2135" w:type="dxa"/>
          </w:tcPr>
          <w:p w14:paraId="0C9B14E8">
            <w:pPr>
              <w:pStyle w:val="214"/>
              <w:rPr>
                <w:rFonts w:hint="eastAsia"/>
                <w:color w:val="auto"/>
                <w:highlight w:val="none"/>
              </w:rPr>
            </w:pPr>
          </w:p>
        </w:tc>
        <w:tc>
          <w:tcPr>
            <w:tcW w:w="2425" w:type="dxa"/>
          </w:tcPr>
          <w:p w14:paraId="1ED39827">
            <w:pPr>
              <w:pStyle w:val="214"/>
              <w:rPr>
                <w:rFonts w:hint="eastAsia"/>
                <w:color w:val="auto"/>
                <w:highlight w:val="none"/>
              </w:rPr>
            </w:pPr>
          </w:p>
        </w:tc>
        <w:tc>
          <w:tcPr>
            <w:tcW w:w="1031" w:type="dxa"/>
          </w:tcPr>
          <w:p w14:paraId="4805754C">
            <w:pPr>
              <w:pStyle w:val="214"/>
              <w:rPr>
                <w:rFonts w:hint="eastAsia"/>
                <w:color w:val="auto"/>
                <w:highlight w:val="none"/>
              </w:rPr>
            </w:pPr>
          </w:p>
        </w:tc>
      </w:tr>
      <w:tr w14:paraId="58F8E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128E6602">
            <w:pPr>
              <w:pStyle w:val="214"/>
              <w:rPr>
                <w:rFonts w:hint="eastAsia"/>
                <w:color w:val="auto"/>
                <w:highlight w:val="none"/>
              </w:rPr>
            </w:pPr>
          </w:p>
        </w:tc>
        <w:tc>
          <w:tcPr>
            <w:tcW w:w="2850" w:type="dxa"/>
          </w:tcPr>
          <w:p w14:paraId="5B166C3E">
            <w:pPr>
              <w:pStyle w:val="214"/>
              <w:rPr>
                <w:rFonts w:hint="eastAsia"/>
                <w:color w:val="auto"/>
                <w:highlight w:val="none"/>
              </w:rPr>
            </w:pPr>
          </w:p>
        </w:tc>
        <w:tc>
          <w:tcPr>
            <w:tcW w:w="2135" w:type="dxa"/>
          </w:tcPr>
          <w:p w14:paraId="07D8D4B5">
            <w:pPr>
              <w:pStyle w:val="214"/>
              <w:rPr>
                <w:rFonts w:hint="eastAsia"/>
                <w:color w:val="auto"/>
                <w:highlight w:val="none"/>
              </w:rPr>
            </w:pPr>
          </w:p>
        </w:tc>
        <w:tc>
          <w:tcPr>
            <w:tcW w:w="2425" w:type="dxa"/>
          </w:tcPr>
          <w:p w14:paraId="75B10BFA">
            <w:pPr>
              <w:pStyle w:val="214"/>
              <w:rPr>
                <w:rFonts w:hint="eastAsia"/>
                <w:color w:val="auto"/>
                <w:highlight w:val="none"/>
              </w:rPr>
            </w:pPr>
          </w:p>
        </w:tc>
        <w:tc>
          <w:tcPr>
            <w:tcW w:w="1031" w:type="dxa"/>
          </w:tcPr>
          <w:p w14:paraId="57E10F08">
            <w:pPr>
              <w:pStyle w:val="214"/>
              <w:rPr>
                <w:rFonts w:hint="eastAsia"/>
                <w:color w:val="auto"/>
                <w:highlight w:val="none"/>
              </w:rPr>
            </w:pPr>
          </w:p>
        </w:tc>
      </w:tr>
      <w:tr w14:paraId="72179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1E347B19">
            <w:pPr>
              <w:pStyle w:val="214"/>
              <w:rPr>
                <w:rFonts w:hint="eastAsia"/>
                <w:color w:val="auto"/>
                <w:highlight w:val="none"/>
              </w:rPr>
            </w:pPr>
          </w:p>
        </w:tc>
        <w:tc>
          <w:tcPr>
            <w:tcW w:w="2850" w:type="dxa"/>
          </w:tcPr>
          <w:p w14:paraId="1D732755">
            <w:pPr>
              <w:pStyle w:val="214"/>
              <w:rPr>
                <w:rFonts w:hint="eastAsia"/>
                <w:color w:val="auto"/>
                <w:highlight w:val="none"/>
              </w:rPr>
            </w:pPr>
          </w:p>
        </w:tc>
        <w:tc>
          <w:tcPr>
            <w:tcW w:w="2135" w:type="dxa"/>
          </w:tcPr>
          <w:p w14:paraId="6546CE2C">
            <w:pPr>
              <w:pStyle w:val="214"/>
              <w:rPr>
                <w:rFonts w:hint="eastAsia"/>
                <w:color w:val="auto"/>
                <w:highlight w:val="none"/>
              </w:rPr>
            </w:pPr>
          </w:p>
        </w:tc>
        <w:tc>
          <w:tcPr>
            <w:tcW w:w="2425" w:type="dxa"/>
          </w:tcPr>
          <w:p w14:paraId="771BC70F">
            <w:pPr>
              <w:pStyle w:val="214"/>
              <w:rPr>
                <w:rFonts w:hint="eastAsia"/>
                <w:color w:val="auto"/>
                <w:highlight w:val="none"/>
              </w:rPr>
            </w:pPr>
          </w:p>
        </w:tc>
        <w:tc>
          <w:tcPr>
            <w:tcW w:w="1031" w:type="dxa"/>
          </w:tcPr>
          <w:p w14:paraId="7B975183">
            <w:pPr>
              <w:pStyle w:val="214"/>
              <w:rPr>
                <w:rFonts w:hint="eastAsia"/>
                <w:color w:val="auto"/>
                <w:highlight w:val="none"/>
              </w:rPr>
            </w:pPr>
          </w:p>
        </w:tc>
      </w:tr>
      <w:tr w14:paraId="2E067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37" w:type="dxa"/>
          </w:tcPr>
          <w:p w14:paraId="5CC7A0F8">
            <w:pPr>
              <w:pStyle w:val="214"/>
              <w:rPr>
                <w:rFonts w:hint="eastAsia"/>
                <w:color w:val="auto"/>
                <w:highlight w:val="none"/>
              </w:rPr>
            </w:pPr>
          </w:p>
        </w:tc>
        <w:tc>
          <w:tcPr>
            <w:tcW w:w="2850" w:type="dxa"/>
          </w:tcPr>
          <w:p w14:paraId="2D3BD700">
            <w:pPr>
              <w:pStyle w:val="214"/>
              <w:rPr>
                <w:rFonts w:hint="eastAsia"/>
                <w:color w:val="auto"/>
                <w:highlight w:val="none"/>
              </w:rPr>
            </w:pPr>
          </w:p>
        </w:tc>
        <w:tc>
          <w:tcPr>
            <w:tcW w:w="2135" w:type="dxa"/>
          </w:tcPr>
          <w:p w14:paraId="4C662CA2">
            <w:pPr>
              <w:pStyle w:val="214"/>
              <w:rPr>
                <w:rFonts w:hint="eastAsia"/>
                <w:color w:val="auto"/>
                <w:highlight w:val="none"/>
              </w:rPr>
            </w:pPr>
          </w:p>
        </w:tc>
        <w:tc>
          <w:tcPr>
            <w:tcW w:w="2425" w:type="dxa"/>
          </w:tcPr>
          <w:p w14:paraId="6B22B6BA">
            <w:pPr>
              <w:pStyle w:val="214"/>
              <w:rPr>
                <w:rFonts w:hint="eastAsia"/>
                <w:color w:val="auto"/>
                <w:highlight w:val="none"/>
              </w:rPr>
            </w:pPr>
          </w:p>
        </w:tc>
        <w:tc>
          <w:tcPr>
            <w:tcW w:w="1031" w:type="dxa"/>
          </w:tcPr>
          <w:p w14:paraId="7745E609">
            <w:pPr>
              <w:pStyle w:val="214"/>
              <w:rPr>
                <w:rFonts w:hint="eastAsia"/>
                <w:color w:val="auto"/>
                <w:highlight w:val="none"/>
              </w:rPr>
            </w:pPr>
          </w:p>
        </w:tc>
      </w:tr>
      <w:tr w14:paraId="123F7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77132512">
            <w:pPr>
              <w:pStyle w:val="214"/>
              <w:rPr>
                <w:rFonts w:hint="eastAsia"/>
                <w:color w:val="auto"/>
                <w:highlight w:val="none"/>
              </w:rPr>
            </w:pPr>
          </w:p>
        </w:tc>
        <w:tc>
          <w:tcPr>
            <w:tcW w:w="2850" w:type="dxa"/>
          </w:tcPr>
          <w:p w14:paraId="55AD647C">
            <w:pPr>
              <w:pStyle w:val="214"/>
              <w:rPr>
                <w:rFonts w:hint="eastAsia"/>
                <w:color w:val="auto"/>
                <w:highlight w:val="none"/>
              </w:rPr>
            </w:pPr>
          </w:p>
        </w:tc>
        <w:tc>
          <w:tcPr>
            <w:tcW w:w="2135" w:type="dxa"/>
          </w:tcPr>
          <w:p w14:paraId="7760B0CC">
            <w:pPr>
              <w:pStyle w:val="214"/>
              <w:rPr>
                <w:rFonts w:hint="eastAsia"/>
                <w:color w:val="auto"/>
                <w:highlight w:val="none"/>
              </w:rPr>
            </w:pPr>
          </w:p>
        </w:tc>
        <w:tc>
          <w:tcPr>
            <w:tcW w:w="2425" w:type="dxa"/>
          </w:tcPr>
          <w:p w14:paraId="119CB8FB">
            <w:pPr>
              <w:pStyle w:val="214"/>
              <w:rPr>
                <w:rFonts w:hint="eastAsia"/>
                <w:color w:val="auto"/>
                <w:highlight w:val="none"/>
              </w:rPr>
            </w:pPr>
          </w:p>
        </w:tc>
        <w:tc>
          <w:tcPr>
            <w:tcW w:w="1031" w:type="dxa"/>
          </w:tcPr>
          <w:p w14:paraId="4B433152">
            <w:pPr>
              <w:pStyle w:val="214"/>
              <w:rPr>
                <w:rFonts w:hint="eastAsia"/>
                <w:color w:val="auto"/>
                <w:highlight w:val="none"/>
              </w:rPr>
            </w:pPr>
          </w:p>
        </w:tc>
      </w:tr>
      <w:tr w14:paraId="3FEF2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6A059FF3">
            <w:pPr>
              <w:pStyle w:val="214"/>
              <w:rPr>
                <w:rFonts w:hint="eastAsia"/>
                <w:color w:val="auto"/>
                <w:highlight w:val="none"/>
              </w:rPr>
            </w:pPr>
          </w:p>
        </w:tc>
        <w:tc>
          <w:tcPr>
            <w:tcW w:w="2850" w:type="dxa"/>
          </w:tcPr>
          <w:p w14:paraId="404AE342">
            <w:pPr>
              <w:pStyle w:val="214"/>
              <w:rPr>
                <w:rFonts w:hint="eastAsia"/>
                <w:color w:val="auto"/>
                <w:highlight w:val="none"/>
              </w:rPr>
            </w:pPr>
          </w:p>
        </w:tc>
        <w:tc>
          <w:tcPr>
            <w:tcW w:w="2135" w:type="dxa"/>
          </w:tcPr>
          <w:p w14:paraId="7B5FB24C">
            <w:pPr>
              <w:pStyle w:val="214"/>
              <w:rPr>
                <w:rFonts w:hint="eastAsia"/>
                <w:color w:val="auto"/>
                <w:highlight w:val="none"/>
              </w:rPr>
            </w:pPr>
          </w:p>
        </w:tc>
        <w:tc>
          <w:tcPr>
            <w:tcW w:w="2425" w:type="dxa"/>
          </w:tcPr>
          <w:p w14:paraId="78588126">
            <w:pPr>
              <w:pStyle w:val="214"/>
              <w:rPr>
                <w:rFonts w:hint="eastAsia"/>
                <w:color w:val="auto"/>
                <w:highlight w:val="none"/>
              </w:rPr>
            </w:pPr>
          </w:p>
        </w:tc>
        <w:tc>
          <w:tcPr>
            <w:tcW w:w="1031" w:type="dxa"/>
          </w:tcPr>
          <w:p w14:paraId="02B8F62B">
            <w:pPr>
              <w:pStyle w:val="214"/>
              <w:rPr>
                <w:rFonts w:hint="eastAsia"/>
                <w:color w:val="auto"/>
                <w:highlight w:val="none"/>
              </w:rPr>
            </w:pPr>
          </w:p>
        </w:tc>
      </w:tr>
      <w:tr w14:paraId="559DB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37" w:type="dxa"/>
          </w:tcPr>
          <w:p w14:paraId="787B978A">
            <w:pPr>
              <w:pStyle w:val="214"/>
              <w:rPr>
                <w:rFonts w:hint="eastAsia"/>
                <w:color w:val="auto"/>
                <w:highlight w:val="none"/>
              </w:rPr>
            </w:pPr>
          </w:p>
        </w:tc>
        <w:tc>
          <w:tcPr>
            <w:tcW w:w="2850" w:type="dxa"/>
          </w:tcPr>
          <w:p w14:paraId="463C3472">
            <w:pPr>
              <w:pStyle w:val="214"/>
              <w:rPr>
                <w:rFonts w:hint="eastAsia"/>
                <w:color w:val="auto"/>
                <w:highlight w:val="none"/>
              </w:rPr>
            </w:pPr>
          </w:p>
        </w:tc>
        <w:tc>
          <w:tcPr>
            <w:tcW w:w="2135" w:type="dxa"/>
          </w:tcPr>
          <w:p w14:paraId="04F2E9C7">
            <w:pPr>
              <w:pStyle w:val="214"/>
              <w:rPr>
                <w:rFonts w:hint="eastAsia"/>
                <w:color w:val="auto"/>
                <w:highlight w:val="none"/>
              </w:rPr>
            </w:pPr>
          </w:p>
        </w:tc>
        <w:tc>
          <w:tcPr>
            <w:tcW w:w="2425" w:type="dxa"/>
          </w:tcPr>
          <w:p w14:paraId="364E8E1D">
            <w:pPr>
              <w:pStyle w:val="214"/>
              <w:rPr>
                <w:rFonts w:hint="eastAsia"/>
                <w:color w:val="auto"/>
                <w:highlight w:val="none"/>
              </w:rPr>
            </w:pPr>
          </w:p>
        </w:tc>
        <w:tc>
          <w:tcPr>
            <w:tcW w:w="1031" w:type="dxa"/>
          </w:tcPr>
          <w:p w14:paraId="413BF714">
            <w:pPr>
              <w:pStyle w:val="214"/>
              <w:rPr>
                <w:rFonts w:hint="eastAsia"/>
                <w:color w:val="auto"/>
                <w:highlight w:val="none"/>
              </w:rPr>
            </w:pPr>
          </w:p>
        </w:tc>
      </w:tr>
      <w:tr w14:paraId="7DCDD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4758D58D">
            <w:pPr>
              <w:pStyle w:val="214"/>
              <w:rPr>
                <w:rFonts w:hint="eastAsia"/>
                <w:color w:val="auto"/>
                <w:highlight w:val="none"/>
              </w:rPr>
            </w:pPr>
          </w:p>
        </w:tc>
        <w:tc>
          <w:tcPr>
            <w:tcW w:w="2850" w:type="dxa"/>
          </w:tcPr>
          <w:p w14:paraId="780707F3">
            <w:pPr>
              <w:pStyle w:val="214"/>
              <w:rPr>
                <w:rFonts w:hint="eastAsia"/>
                <w:color w:val="auto"/>
                <w:highlight w:val="none"/>
              </w:rPr>
            </w:pPr>
          </w:p>
        </w:tc>
        <w:tc>
          <w:tcPr>
            <w:tcW w:w="2135" w:type="dxa"/>
          </w:tcPr>
          <w:p w14:paraId="15DC2527">
            <w:pPr>
              <w:pStyle w:val="214"/>
              <w:rPr>
                <w:rFonts w:hint="eastAsia"/>
                <w:color w:val="auto"/>
                <w:highlight w:val="none"/>
              </w:rPr>
            </w:pPr>
          </w:p>
        </w:tc>
        <w:tc>
          <w:tcPr>
            <w:tcW w:w="2425" w:type="dxa"/>
          </w:tcPr>
          <w:p w14:paraId="673E0E4C">
            <w:pPr>
              <w:pStyle w:val="214"/>
              <w:rPr>
                <w:rFonts w:hint="eastAsia"/>
                <w:color w:val="auto"/>
                <w:highlight w:val="none"/>
              </w:rPr>
            </w:pPr>
          </w:p>
        </w:tc>
        <w:tc>
          <w:tcPr>
            <w:tcW w:w="1031" w:type="dxa"/>
          </w:tcPr>
          <w:p w14:paraId="7CD2EF6B">
            <w:pPr>
              <w:pStyle w:val="214"/>
              <w:rPr>
                <w:rFonts w:hint="eastAsia"/>
                <w:color w:val="auto"/>
                <w:highlight w:val="none"/>
              </w:rPr>
            </w:pPr>
          </w:p>
        </w:tc>
      </w:tr>
      <w:tr w14:paraId="1DFF9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37" w:type="dxa"/>
          </w:tcPr>
          <w:p w14:paraId="4089F39E">
            <w:pPr>
              <w:pStyle w:val="214"/>
              <w:rPr>
                <w:rFonts w:hint="eastAsia"/>
                <w:color w:val="auto"/>
                <w:highlight w:val="none"/>
              </w:rPr>
            </w:pPr>
          </w:p>
        </w:tc>
        <w:tc>
          <w:tcPr>
            <w:tcW w:w="2850" w:type="dxa"/>
          </w:tcPr>
          <w:p w14:paraId="39ABF1F4">
            <w:pPr>
              <w:pStyle w:val="214"/>
              <w:rPr>
                <w:rFonts w:hint="eastAsia"/>
                <w:color w:val="auto"/>
                <w:highlight w:val="none"/>
              </w:rPr>
            </w:pPr>
          </w:p>
        </w:tc>
        <w:tc>
          <w:tcPr>
            <w:tcW w:w="2135" w:type="dxa"/>
          </w:tcPr>
          <w:p w14:paraId="12521A06">
            <w:pPr>
              <w:pStyle w:val="214"/>
              <w:rPr>
                <w:rFonts w:hint="eastAsia"/>
                <w:color w:val="auto"/>
                <w:highlight w:val="none"/>
              </w:rPr>
            </w:pPr>
          </w:p>
        </w:tc>
        <w:tc>
          <w:tcPr>
            <w:tcW w:w="2425" w:type="dxa"/>
          </w:tcPr>
          <w:p w14:paraId="71FBBEE3">
            <w:pPr>
              <w:pStyle w:val="214"/>
              <w:rPr>
                <w:rFonts w:hint="eastAsia"/>
                <w:color w:val="auto"/>
                <w:highlight w:val="none"/>
              </w:rPr>
            </w:pPr>
          </w:p>
        </w:tc>
        <w:tc>
          <w:tcPr>
            <w:tcW w:w="1031" w:type="dxa"/>
          </w:tcPr>
          <w:p w14:paraId="2FA9196B">
            <w:pPr>
              <w:pStyle w:val="214"/>
              <w:rPr>
                <w:rFonts w:hint="eastAsia"/>
                <w:color w:val="auto"/>
                <w:highlight w:val="none"/>
              </w:rPr>
            </w:pPr>
          </w:p>
        </w:tc>
      </w:tr>
      <w:tr w14:paraId="282D0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37" w:type="dxa"/>
          </w:tcPr>
          <w:p w14:paraId="7A6B521B">
            <w:pPr>
              <w:pStyle w:val="214"/>
              <w:rPr>
                <w:rFonts w:hint="eastAsia"/>
                <w:color w:val="auto"/>
                <w:highlight w:val="none"/>
              </w:rPr>
            </w:pPr>
          </w:p>
        </w:tc>
        <w:tc>
          <w:tcPr>
            <w:tcW w:w="2850" w:type="dxa"/>
          </w:tcPr>
          <w:p w14:paraId="1E5F90FF">
            <w:pPr>
              <w:pStyle w:val="214"/>
              <w:rPr>
                <w:rFonts w:hint="eastAsia"/>
                <w:color w:val="auto"/>
                <w:highlight w:val="none"/>
              </w:rPr>
            </w:pPr>
          </w:p>
        </w:tc>
        <w:tc>
          <w:tcPr>
            <w:tcW w:w="2135" w:type="dxa"/>
          </w:tcPr>
          <w:p w14:paraId="7F9542C0">
            <w:pPr>
              <w:pStyle w:val="214"/>
              <w:rPr>
                <w:rFonts w:hint="eastAsia"/>
                <w:color w:val="auto"/>
                <w:highlight w:val="none"/>
              </w:rPr>
            </w:pPr>
          </w:p>
        </w:tc>
        <w:tc>
          <w:tcPr>
            <w:tcW w:w="2425" w:type="dxa"/>
          </w:tcPr>
          <w:p w14:paraId="20AD77E8">
            <w:pPr>
              <w:pStyle w:val="214"/>
              <w:rPr>
                <w:rFonts w:hint="eastAsia"/>
                <w:color w:val="auto"/>
                <w:highlight w:val="none"/>
              </w:rPr>
            </w:pPr>
          </w:p>
        </w:tc>
        <w:tc>
          <w:tcPr>
            <w:tcW w:w="1031" w:type="dxa"/>
          </w:tcPr>
          <w:p w14:paraId="6DBA0F95">
            <w:pPr>
              <w:pStyle w:val="214"/>
              <w:rPr>
                <w:rFonts w:hint="eastAsia"/>
                <w:color w:val="auto"/>
                <w:highlight w:val="none"/>
              </w:rPr>
            </w:pPr>
          </w:p>
        </w:tc>
      </w:tr>
      <w:tr w14:paraId="36738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37" w:type="dxa"/>
          </w:tcPr>
          <w:p w14:paraId="3121BEE6">
            <w:pPr>
              <w:pStyle w:val="214"/>
              <w:rPr>
                <w:rFonts w:hint="eastAsia"/>
                <w:color w:val="auto"/>
                <w:highlight w:val="none"/>
              </w:rPr>
            </w:pPr>
          </w:p>
        </w:tc>
        <w:tc>
          <w:tcPr>
            <w:tcW w:w="2850" w:type="dxa"/>
          </w:tcPr>
          <w:p w14:paraId="7AD519FA">
            <w:pPr>
              <w:pStyle w:val="214"/>
              <w:rPr>
                <w:rFonts w:hint="eastAsia"/>
                <w:color w:val="auto"/>
                <w:highlight w:val="none"/>
              </w:rPr>
            </w:pPr>
          </w:p>
        </w:tc>
        <w:tc>
          <w:tcPr>
            <w:tcW w:w="2135" w:type="dxa"/>
          </w:tcPr>
          <w:p w14:paraId="4DEBDE93">
            <w:pPr>
              <w:pStyle w:val="214"/>
              <w:rPr>
                <w:rFonts w:hint="eastAsia"/>
                <w:color w:val="auto"/>
                <w:highlight w:val="none"/>
              </w:rPr>
            </w:pPr>
          </w:p>
        </w:tc>
        <w:tc>
          <w:tcPr>
            <w:tcW w:w="2425" w:type="dxa"/>
          </w:tcPr>
          <w:p w14:paraId="48A5B3F1">
            <w:pPr>
              <w:pStyle w:val="214"/>
              <w:rPr>
                <w:rFonts w:hint="eastAsia"/>
                <w:color w:val="auto"/>
                <w:highlight w:val="none"/>
              </w:rPr>
            </w:pPr>
          </w:p>
        </w:tc>
        <w:tc>
          <w:tcPr>
            <w:tcW w:w="1031" w:type="dxa"/>
          </w:tcPr>
          <w:p w14:paraId="0C8D8F61">
            <w:pPr>
              <w:pStyle w:val="214"/>
              <w:rPr>
                <w:rFonts w:hint="eastAsia"/>
                <w:color w:val="auto"/>
                <w:highlight w:val="none"/>
              </w:rPr>
            </w:pPr>
          </w:p>
        </w:tc>
      </w:tr>
    </w:tbl>
    <w:p w14:paraId="1B431105">
      <w:pPr>
        <w:pStyle w:val="16"/>
        <w:widowControl/>
        <w:kinsoku w:val="0"/>
        <w:autoSpaceDE w:val="0"/>
        <w:autoSpaceDN w:val="0"/>
        <w:adjustRightInd w:val="0"/>
        <w:snapToGrid w:val="0"/>
        <w:spacing w:before="128" w:line="440" w:lineRule="atLeast"/>
        <w:textAlignment w:val="baseline"/>
        <w:rPr>
          <w:rFonts w:hint="eastAsia" w:eastAsia="宋体"/>
          <w:color w:val="auto"/>
          <w:sz w:val="22"/>
          <w:highlight w:val="none"/>
        </w:rPr>
      </w:pPr>
      <w:r>
        <w:rPr>
          <w:rFonts w:hint="eastAsia" w:eastAsia="宋体"/>
          <w:color w:val="auto"/>
          <w:spacing w:val="-2"/>
          <w:sz w:val="20"/>
          <w:szCs w:val="20"/>
          <w:highlight w:val="none"/>
        </w:rPr>
        <w:t>甲方（盖章）：</w:t>
      </w:r>
      <w:r>
        <w:rPr>
          <w:rFonts w:hint="eastAsia" w:eastAsia="宋体"/>
          <w:color w:val="auto"/>
          <w:spacing w:val="4"/>
          <w:sz w:val="22"/>
          <w:highlight w:val="none"/>
        </w:rPr>
        <w:t xml:space="preserve">     </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乙方（盖章）：</w:t>
      </w:r>
      <w:r>
        <w:rPr>
          <w:rFonts w:hint="eastAsia" w:eastAsia="宋体"/>
          <w:color w:val="auto"/>
          <w:spacing w:val="1"/>
          <w:sz w:val="22"/>
          <w:highlight w:val="none"/>
        </w:rPr>
        <w:t xml:space="preserve"> </w:t>
      </w:r>
      <w:r>
        <w:rPr>
          <w:rFonts w:hint="eastAsia" w:eastAsia="宋体"/>
          <w:color w:val="auto"/>
          <w:sz w:val="22"/>
          <w:highlight w:val="none"/>
          <w:u w:val="single"/>
        </w:rPr>
        <w:t xml:space="preserve">                </w:t>
      </w:r>
    </w:p>
    <w:p w14:paraId="5F446CFD">
      <w:pPr>
        <w:pStyle w:val="16"/>
        <w:widowControl/>
        <w:kinsoku w:val="0"/>
        <w:autoSpaceDE w:val="0"/>
        <w:autoSpaceDN w:val="0"/>
        <w:adjustRightInd w:val="0"/>
        <w:snapToGrid w:val="0"/>
        <w:spacing w:before="198" w:line="440" w:lineRule="atLeast"/>
        <w:textAlignment w:val="baseline"/>
        <w:rPr>
          <w:rFonts w:hint="eastAsia" w:eastAsia="宋体"/>
          <w:color w:val="auto"/>
          <w:spacing w:val="-51"/>
          <w:sz w:val="22"/>
          <w:highlight w:val="none"/>
        </w:rPr>
      </w:pPr>
      <w:r>
        <w:rPr>
          <w:rFonts w:hint="eastAsia" w:eastAsia="宋体"/>
          <w:color w:val="auto"/>
          <w:spacing w:val="-2"/>
          <w:sz w:val="20"/>
          <w:szCs w:val="20"/>
          <w:highlight w:val="none"/>
        </w:rPr>
        <w:t>委托代理人签字：</w:t>
      </w:r>
      <w:r>
        <w:rPr>
          <w:rFonts w:hint="eastAsia" w:eastAsia="宋体"/>
          <w:color w:val="auto"/>
          <w:spacing w:val="-1"/>
          <w:sz w:val="22"/>
          <w:highlight w:val="none"/>
          <w:u w:val="single"/>
        </w:rPr>
        <w:t xml:space="preserve">               </w:t>
      </w:r>
      <w:r>
        <w:rPr>
          <w:rFonts w:hint="eastAsia" w:eastAsia="宋体"/>
          <w:color w:val="auto"/>
          <w:spacing w:val="-1"/>
          <w:sz w:val="22"/>
          <w:highlight w:val="none"/>
        </w:rPr>
        <w:t xml:space="preserve">                       </w:t>
      </w:r>
      <w:r>
        <w:rPr>
          <w:rFonts w:hint="eastAsia" w:eastAsia="宋体"/>
          <w:color w:val="auto"/>
          <w:spacing w:val="-2"/>
          <w:sz w:val="20"/>
          <w:szCs w:val="20"/>
          <w:highlight w:val="none"/>
        </w:rPr>
        <w:t>委托代理人签字：</w:t>
      </w:r>
      <w:r>
        <w:rPr>
          <w:rFonts w:hint="eastAsia" w:eastAsia="宋体"/>
          <w:color w:val="auto"/>
          <w:spacing w:val="-2"/>
          <w:sz w:val="22"/>
          <w:highlight w:val="none"/>
        </w:rPr>
        <w:t xml:space="preserve">  </w:t>
      </w:r>
      <w:r>
        <w:rPr>
          <w:rFonts w:hint="eastAsia" w:eastAsia="宋体"/>
          <w:color w:val="auto"/>
          <w:spacing w:val="-2"/>
          <w:sz w:val="22"/>
          <w:highlight w:val="none"/>
          <w:u w:val="single"/>
        </w:rPr>
        <w:t xml:space="preserve">                </w:t>
      </w:r>
      <w:r>
        <w:rPr>
          <w:rFonts w:hint="eastAsia" w:eastAsia="宋体"/>
          <w:color w:val="auto"/>
          <w:sz w:val="22"/>
          <w:highlight w:val="none"/>
          <w:u w:val="single"/>
        </w:rPr>
        <w:tab/>
      </w:r>
      <w:r>
        <w:rPr>
          <w:rFonts w:hint="eastAsia" w:eastAsia="宋体"/>
          <w:color w:val="auto"/>
          <w:sz w:val="22"/>
          <w:highlight w:val="none"/>
          <w:u w:val="single"/>
        </w:rPr>
        <w:t xml:space="preserve">  </w:t>
      </w:r>
      <w:r>
        <w:rPr>
          <w:rFonts w:hint="eastAsia" w:eastAsia="宋体"/>
          <w:color w:val="auto"/>
          <w:spacing w:val="-51"/>
          <w:sz w:val="22"/>
          <w:highlight w:val="none"/>
        </w:rPr>
        <w:t xml:space="preserve"> </w:t>
      </w:r>
    </w:p>
    <w:p w14:paraId="0383CDA6">
      <w:pPr>
        <w:pStyle w:val="16"/>
        <w:widowControl/>
        <w:kinsoku w:val="0"/>
        <w:autoSpaceDE w:val="0"/>
        <w:autoSpaceDN w:val="0"/>
        <w:adjustRightInd w:val="0"/>
        <w:snapToGrid w:val="0"/>
        <w:spacing w:before="198" w:line="440" w:lineRule="atLeast"/>
        <w:textAlignment w:val="baseline"/>
        <w:rPr>
          <w:rFonts w:hint="eastAsia" w:eastAsia="宋体"/>
          <w:color w:val="auto"/>
          <w:spacing w:val="7"/>
          <w:sz w:val="22"/>
          <w:highlight w:val="none"/>
        </w:rPr>
      </w:pP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u w:val="single"/>
        </w:rPr>
        <w:t xml:space="preserve"> </w:t>
      </w:r>
      <w:r>
        <w:rPr>
          <w:rFonts w:hint="eastAsia" w:eastAsia="宋体"/>
          <w:color w:val="auto"/>
          <w:spacing w:val="7"/>
          <w:sz w:val="22"/>
          <w:highlight w:val="none"/>
        </w:rPr>
        <w:t>日</w:t>
      </w:r>
      <w:r>
        <w:rPr>
          <w:rFonts w:hint="eastAsia" w:eastAsia="宋体"/>
          <w:color w:val="auto"/>
          <w:spacing w:val="-2"/>
          <w:sz w:val="20"/>
          <w:szCs w:val="20"/>
          <w:highlight w:val="none"/>
        </w:rPr>
        <w:t xml:space="preserve"> </w:t>
      </w:r>
      <w:r>
        <w:rPr>
          <w:rFonts w:hint="eastAsia" w:eastAsia="宋体"/>
          <w:color w:val="auto"/>
          <w:sz w:val="22"/>
          <w:highlight w:val="none"/>
        </w:rPr>
        <w:t xml:space="preserve">                        </w:t>
      </w:r>
      <w:r>
        <w:rPr>
          <w:rFonts w:hint="eastAsia" w:eastAsia="宋体"/>
          <w:color w:val="auto"/>
          <w:spacing w:val="-2"/>
          <w:sz w:val="20"/>
          <w:szCs w:val="20"/>
          <w:highlight w:val="none"/>
        </w:rPr>
        <w:t xml:space="preserve">      </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年</w:t>
      </w:r>
      <w:r>
        <w:rPr>
          <w:rFonts w:hint="eastAsia" w:eastAsia="宋体"/>
          <w:color w:val="auto"/>
          <w:spacing w:val="-2"/>
          <w:sz w:val="20"/>
          <w:szCs w:val="20"/>
          <w:highlight w:val="none"/>
          <w:u w:val="single"/>
        </w:rPr>
        <w:t xml:space="preserve">       </w:t>
      </w:r>
      <w:r>
        <w:rPr>
          <w:rFonts w:hint="eastAsia" w:eastAsia="宋体"/>
          <w:color w:val="auto"/>
          <w:spacing w:val="-2"/>
          <w:sz w:val="20"/>
          <w:szCs w:val="20"/>
          <w:highlight w:val="none"/>
        </w:rPr>
        <w:t>月</w:t>
      </w:r>
      <w:r>
        <w:rPr>
          <w:rFonts w:hint="eastAsia" w:eastAsia="宋体"/>
          <w:color w:val="auto"/>
          <w:spacing w:val="-2"/>
          <w:sz w:val="20"/>
          <w:szCs w:val="20"/>
          <w:highlight w:val="none"/>
          <w:u w:val="single"/>
        </w:rPr>
        <w:t xml:space="preserve">     </w:t>
      </w:r>
      <w:r>
        <w:rPr>
          <w:rFonts w:hint="eastAsia" w:eastAsia="宋体"/>
          <w:color w:val="auto"/>
          <w:spacing w:val="7"/>
          <w:sz w:val="22"/>
          <w:highlight w:val="none"/>
        </w:rPr>
        <w:t>日</w:t>
      </w:r>
    </w:p>
    <w:p w14:paraId="01AA0E07">
      <w:pPr>
        <w:rPr>
          <w:rFonts w:hint="eastAsia" w:ascii="黑体" w:hAnsi="黑体" w:eastAsia="黑体" w:cs="黑体"/>
          <w:color w:val="auto"/>
          <w:spacing w:val="-6"/>
          <w:szCs w:val="21"/>
          <w:highlight w:val="none"/>
        </w:rPr>
      </w:pPr>
    </w:p>
    <w:p w14:paraId="5961DFCD">
      <w:pPr>
        <w:rPr>
          <w:rFonts w:hint="eastAsia" w:ascii="宋体" w:hAnsi="宋体" w:eastAsia="宋体" w:cs="宋体"/>
          <w:b/>
          <w:bCs/>
          <w:color w:val="auto"/>
          <w:spacing w:val="-1"/>
          <w:sz w:val="28"/>
          <w:szCs w:val="28"/>
          <w:highlight w:val="none"/>
        </w:rPr>
      </w:pPr>
    </w:p>
    <w:p w14:paraId="43FEF692">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9135C69">
      <w:pPr>
        <w:pStyle w:val="2"/>
        <w:adjustRightInd w:val="0"/>
        <w:snapToGrid w:val="0"/>
        <w:spacing w:before="0" w:after="0" w:line="360" w:lineRule="auto"/>
        <w:jc w:val="center"/>
        <w:rPr>
          <w:rFonts w:hint="eastAsia" w:eastAsia="宋体"/>
          <w:color w:val="auto"/>
          <w:sz w:val="32"/>
          <w:szCs w:val="32"/>
          <w:highlight w:val="none"/>
        </w:rPr>
      </w:pPr>
      <w:bookmarkStart w:id="137" w:name="_Toc357158890"/>
      <w:bookmarkStart w:id="138" w:name="_Toc20227"/>
      <w:r>
        <w:rPr>
          <w:rFonts w:hint="eastAsia" w:eastAsia="宋体"/>
          <w:color w:val="auto"/>
          <w:sz w:val="32"/>
          <w:szCs w:val="32"/>
          <w:highlight w:val="none"/>
        </w:rPr>
        <w:t>第六章  投标文件格式</w:t>
      </w:r>
      <w:bookmarkEnd w:id="137"/>
      <w:bookmarkEnd w:id="138"/>
    </w:p>
    <w:p w14:paraId="5EF2B243">
      <w:pPr>
        <w:pStyle w:val="4"/>
        <w:adjustRightInd w:val="0"/>
        <w:snapToGrid w:val="0"/>
        <w:spacing w:line="360" w:lineRule="auto"/>
        <w:rPr>
          <w:rFonts w:hint="eastAsia" w:ascii="宋体" w:hAnsi="宋体" w:eastAsia="宋体" w:cs="宋体"/>
          <w:color w:val="auto"/>
          <w:highlight w:val="none"/>
        </w:rPr>
      </w:pPr>
    </w:p>
    <w:p w14:paraId="040E8AC4">
      <w:pPr>
        <w:adjustRightInd w:val="0"/>
        <w:snapToGrid w:val="0"/>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澄江市机关幼儿园食堂食材配送服务采购项目第</w:t>
      </w:r>
      <w:r>
        <w:rPr>
          <w:rFonts w:hint="eastAsia" w:ascii="宋体" w:hAnsi="宋体" w:eastAsia="宋体" w:cs="宋体"/>
          <w:b/>
          <w:bCs/>
          <w:color w:val="auto"/>
          <w:sz w:val="52"/>
          <w:szCs w:val="52"/>
          <w:highlight w:val="none"/>
          <w:u w:val="single"/>
          <w:lang w:val="en-US" w:eastAsia="zh-CN"/>
        </w:rPr>
        <w:t xml:space="preserve">   </w:t>
      </w:r>
      <w:r>
        <w:rPr>
          <w:rFonts w:hint="eastAsia" w:ascii="宋体" w:hAnsi="宋体" w:eastAsia="宋体" w:cs="宋体"/>
          <w:b/>
          <w:bCs/>
          <w:color w:val="auto"/>
          <w:sz w:val="52"/>
          <w:szCs w:val="52"/>
          <w:highlight w:val="none"/>
        </w:rPr>
        <w:t>片区</w:t>
      </w:r>
      <w:r>
        <w:rPr>
          <w:rFonts w:hint="eastAsia" w:ascii="宋体" w:hAnsi="宋体" w:eastAsia="宋体" w:cs="宋体"/>
          <w:b/>
          <w:bCs/>
          <w:color w:val="auto"/>
          <w:sz w:val="52"/>
          <w:szCs w:val="52"/>
          <w:highlight w:val="none"/>
          <w:lang w:eastAsia="zh-CN"/>
        </w:rPr>
        <w:t>（</w:t>
      </w:r>
      <w:r>
        <w:rPr>
          <w:rFonts w:hint="eastAsia" w:ascii="宋体" w:hAnsi="宋体" w:eastAsia="宋体" w:cs="宋体"/>
          <w:b/>
          <w:bCs/>
          <w:color w:val="auto"/>
          <w:sz w:val="52"/>
          <w:szCs w:val="52"/>
          <w:highlight w:val="none"/>
        </w:rPr>
        <w:t>第</w:t>
      </w:r>
      <w:r>
        <w:rPr>
          <w:rFonts w:hint="eastAsia" w:ascii="宋体" w:hAnsi="宋体" w:eastAsia="宋体" w:cs="宋体"/>
          <w:b/>
          <w:bCs/>
          <w:color w:val="auto"/>
          <w:sz w:val="52"/>
          <w:szCs w:val="52"/>
          <w:highlight w:val="none"/>
          <w:u w:val="single"/>
        </w:rPr>
        <w:t xml:space="preserve">   </w:t>
      </w:r>
      <w:r>
        <w:rPr>
          <w:rFonts w:hint="eastAsia" w:ascii="宋体" w:hAnsi="宋体" w:eastAsia="宋体" w:cs="宋体"/>
          <w:b/>
          <w:bCs/>
          <w:color w:val="auto"/>
          <w:sz w:val="52"/>
          <w:szCs w:val="52"/>
          <w:highlight w:val="none"/>
        </w:rPr>
        <w:t>包</w:t>
      </w:r>
      <w:r>
        <w:rPr>
          <w:rFonts w:hint="eastAsia" w:ascii="宋体" w:hAnsi="宋体" w:eastAsia="宋体" w:cs="宋体"/>
          <w:b/>
          <w:bCs/>
          <w:color w:val="auto"/>
          <w:sz w:val="52"/>
          <w:szCs w:val="52"/>
          <w:highlight w:val="none"/>
          <w:lang w:eastAsia="zh-CN"/>
        </w:rPr>
        <w:t>）</w:t>
      </w:r>
    </w:p>
    <w:p w14:paraId="74C068A7">
      <w:pPr>
        <w:adjustRightInd w:val="0"/>
        <w:snapToGrid w:val="0"/>
        <w:spacing w:line="360" w:lineRule="auto"/>
        <w:jc w:val="center"/>
        <w:rPr>
          <w:rFonts w:hint="eastAsia" w:ascii="宋体" w:hAnsi="宋体" w:eastAsia="宋体" w:cs="宋体"/>
          <w:b/>
          <w:bCs/>
          <w:color w:val="auto"/>
          <w:sz w:val="24"/>
          <w:szCs w:val="24"/>
          <w:highlight w:val="none"/>
        </w:rPr>
      </w:pPr>
    </w:p>
    <w:p w14:paraId="4B0EC30D">
      <w:pPr>
        <w:adjustRightInd w:val="0"/>
        <w:snapToGrid w:val="0"/>
        <w:spacing w:line="360" w:lineRule="auto"/>
        <w:jc w:val="center"/>
        <w:rPr>
          <w:rFonts w:hint="eastAsia" w:ascii="宋体" w:hAnsi="宋体" w:eastAsia="宋体" w:cs="宋体"/>
          <w:b/>
          <w:bCs/>
          <w:color w:val="auto"/>
          <w:sz w:val="24"/>
          <w:szCs w:val="24"/>
          <w:highlight w:val="none"/>
        </w:rPr>
      </w:pPr>
    </w:p>
    <w:p w14:paraId="29AFB9EB">
      <w:pPr>
        <w:pStyle w:val="51"/>
        <w:rPr>
          <w:rFonts w:hint="eastAsia"/>
          <w:color w:val="auto"/>
          <w:highlight w:val="none"/>
        </w:rPr>
      </w:pPr>
    </w:p>
    <w:p w14:paraId="23F6EFF4">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项目编号：ZZGL-2026004F</w:t>
      </w:r>
    </w:p>
    <w:p w14:paraId="62938D9B">
      <w:pPr>
        <w:adjustRightInd w:val="0"/>
        <w:snapToGrid w:val="0"/>
        <w:spacing w:line="360" w:lineRule="auto"/>
        <w:rPr>
          <w:rFonts w:hint="eastAsia" w:ascii="宋体" w:hAnsi="宋体" w:eastAsia="宋体" w:cs="宋体"/>
          <w:b/>
          <w:bCs/>
          <w:color w:val="auto"/>
          <w:sz w:val="24"/>
          <w:szCs w:val="24"/>
          <w:highlight w:val="none"/>
        </w:rPr>
      </w:pPr>
    </w:p>
    <w:p w14:paraId="420EC207">
      <w:pPr>
        <w:adjustRightInd w:val="0"/>
        <w:snapToGrid w:val="0"/>
        <w:spacing w:line="360" w:lineRule="auto"/>
        <w:rPr>
          <w:rFonts w:hint="eastAsia" w:ascii="宋体" w:hAnsi="宋体" w:eastAsia="宋体" w:cs="宋体"/>
          <w:b/>
          <w:bCs/>
          <w:color w:val="auto"/>
          <w:sz w:val="24"/>
          <w:szCs w:val="24"/>
          <w:highlight w:val="none"/>
        </w:rPr>
      </w:pPr>
    </w:p>
    <w:p w14:paraId="0219BEB8">
      <w:pPr>
        <w:adjustRightInd w:val="0"/>
        <w:snapToGrid w:val="0"/>
        <w:spacing w:line="360" w:lineRule="auto"/>
        <w:rPr>
          <w:rFonts w:hint="eastAsia" w:ascii="宋体" w:hAnsi="宋体" w:eastAsia="宋体" w:cs="宋体"/>
          <w:b/>
          <w:bCs/>
          <w:color w:val="auto"/>
          <w:sz w:val="24"/>
          <w:szCs w:val="24"/>
          <w:highlight w:val="none"/>
        </w:rPr>
      </w:pPr>
    </w:p>
    <w:p w14:paraId="4A2E7295">
      <w:pPr>
        <w:adjustRightInd w:val="0"/>
        <w:snapToGrid w:val="0"/>
        <w:spacing w:line="360" w:lineRule="auto"/>
        <w:rPr>
          <w:rFonts w:hint="eastAsia" w:ascii="宋体" w:hAnsi="宋体" w:eastAsia="宋体" w:cs="宋体"/>
          <w:b/>
          <w:bCs/>
          <w:color w:val="auto"/>
          <w:sz w:val="24"/>
          <w:szCs w:val="24"/>
          <w:highlight w:val="none"/>
        </w:rPr>
      </w:pPr>
    </w:p>
    <w:p w14:paraId="0E62C511">
      <w:pPr>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投 标 文 件</w:t>
      </w:r>
    </w:p>
    <w:p w14:paraId="583C96A2">
      <w:pPr>
        <w:adjustRightInd w:val="0"/>
        <w:snapToGrid w:val="0"/>
        <w:spacing w:line="360" w:lineRule="auto"/>
        <w:rPr>
          <w:rFonts w:hint="eastAsia" w:ascii="宋体" w:hAnsi="宋体" w:eastAsia="宋体" w:cs="宋体"/>
          <w:b/>
          <w:bCs/>
          <w:color w:val="auto"/>
          <w:sz w:val="24"/>
          <w:szCs w:val="24"/>
          <w:highlight w:val="none"/>
        </w:rPr>
      </w:pPr>
    </w:p>
    <w:p w14:paraId="437DC867">
      <w:pPr>
        <w:adjustRightInd w:val="0"/>
        <w:snapToGrid w:val="0"/>
        <w:spacing w:line="360" w:lineRule="auto"/>
        <w:rPr>
          <w:rFonts w:hint="eastAsia" w:ascii="宋体" w:hAnsi="宋体" w:eastAsia="宋体" w:cs="宋体"/>
          <w:b/>
          <w:bCs/>
          <w:color w:val="auto"/>
          <w:sz w:val="24"/>
          <w:szCs w:val="24"/>
          <w:highlight w:val="none"/>
        </w:rPr>
      </w:pPr>
    </w:p>
    <w:p w14:paraId="3F7B10D6">
      <w:pPr>
        <w:adjustRightInd w:val="0"/>
        <w:snapToGrid w:val="0"/>
        <w:spacing w:line="360" w:lineRule="auto"/>
        <w:rPr>
          <w:rFonts w:hint="eastAsia" w:ascii="宋体" w:hAnsi="宋体" w:eastAsia="宋体" w:cs="宋体"/>
          <w:b/>
          <w:bCs/>
          <w:color w:val="auto"/>
          <w:sz w:val="24"/>
          <w:szCs w:val="24"/>
          <w:highlight w:val="none"/>
        </w:rPr>
      </w:pPr>
    </w:p>
    <w:p w14:paraId="1E248054">
      <w:pPr>
        <w:adjustRightInd w:val="0"/>
        <w:snapToGrid w:val="0"/>
        <w:spacing w:line="360" w:lineRule="auto"/>
        <w:rPr>
          <w:rFonts w:hint="eastAsia" w:ascii="宋体" w:hAnsi="宋体" w:eastAsia="宋体" w:cs="宋体"/>
          <w:b/>
          <w:bCs/>
          <w:color w:val="auto"/>
          <w:sz w:val="24"/>
          <w:szCs w:val="24"/>
          <w:highlight w:val="none"/>
        </w:rPr>
      </w:pPr>
    </w:p>
    <w:p w14:paraId="60C09D46">
      <w:pPr>
        <w:adjustRightInd w:val="0"/>
        <w:snapToGrid w:val="0"/>
        <w:spacing w:line="360" w:lineRule="auto"/>
        <w:jc w:val="left"/>
        <w:rPr>
          <w:rFonts w:hint="eastAsia" w:ascii="宋体" w:hAnsi="宋体" w:eastAsia="宋体" w:cs="宋体"/>
          <w:bCs/>
          <w:color w:val="auto"/>
          <w:sz w:val="30"/>
          <w:szCs w:val="30"/>
          <w:highlight w:val="none"/>
          <w:u w:val="single"/>
        </w:rPr>
      </w:pPr>
    </w:p>
    <w:p w14:paraId="0B3F9A39">
      <w:pPr>
        <w:tabs>
          <w:tab w:val="left" w:pos="426"/>
        </w:tabs>
        <w:adjustRightInd w:val="0"/>
        <w:snapToGrid w:val="0"/>
        <w:spacing w:line="360" w:lineRule="auto"/>
        <w:jc w:val="left"/>
        <w:rPr>
          <w:rFonts w:hint="eastAsia" w:ascii="宋体" w:hAnsi="宋体" w:eastAsia="宋体" w:cs="宋体"/>
          <w:bCs/>
          <w:color w:val="auto"/>
          <w:sz w:val="30"/>
          <w:szCs w:val="30"/>
          <w:highlight w:val="none"/>
          <w:u w:val="single"/>
        </w:rPr>
      </w:pPr>
      <w:bookmarkStart w:id="139" w:name="_Toc357500959"/>
      <w:bookmarkStart w:id="140" w:name="_Toc357158891"/>
      <w:bookmarkStart w:id="141" w:name="_Toc300235340"/>
      <w:r>
        <w:rPr>
          <w:rFonts w:hint="eastAsia" w:ascii="宋体" w:hAnsi="宋体" w:eastAsia="宋体" w:cs="宋体"/>
          <w:bCs/>
          <w:color w:val="auto"/>
          <w:sz w:val="30"/>
          <w:szCs w:val="30"/>
          <w:highlight w:val="none"/>
        </w:rPr>
        <w:t>投标人：</w:t>
      </w:r>
      <w:r>
        <w:rPr>
          <w:rFonts w:hint="eastAsia" w:ascii="宋体" w:hAnsi="宋体" w:eastAsia="宋体" w:cs="宋体"/>
          <w:bCs/>
          <w:color w:val="auto"/>
          <w:sz w:val="30"/>
          <w:szCs w:val="30"/>
          <w:highlight w:val="none"/>
          <w:u w:val="single"/>
        </w:rPr>
        <w:t xml:space="preserve">                                          （盖单位章） </w:t>
      </w:r>
    </w:p>
    <w:p w14:paraId="7C1222FF">
      <w:pPr>
        <w:tabs>
          <w:tab w:val="left" w:pos="426"/>
        </w:tabs>
        <w:adjustRightInd w:val="0"/>
        <w:snapToGrid w:val="0"/>
        <w:spacing w:line="360" w:lineRule="auto"/>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法定代表人或其委托代理人：</w:t>
      </w:r>
      <w:r>
        <w:rPr>
          <w:rFonts w:hint="eastAsia" w:ascii="宋体" w:hAnsi="宋体" w:eastAsia="宋体" w:cs="宋体"/>
          <w:bCs/>
          <w:color w:val="auto"/>
          <w:sz w:val="30"/>
          <w:szCs w:val="30"/>
          <w:highlight w:val="none"/>
          <w:u w:val="single"/>
        </w:rPr>
        <w:t xml:space="preserve">                      （签字或签章） </w:t>
      </w:r>
    </w:p>
    <w:p w14:paraId="2C3A54F7">
      <w:pPr>
        <w:adjustRightInd w:val="0"/>
        <w:snapToGrid w:val="0"/>
        <w:spacing w:line="360" w:lineRule="auto"/>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日期：</w:t>
      </w:r>
      <w:r>
        <w:rPr>
          <w:rFonts w:hint="eastAsia" w:ascii="宋体" w:hAnsi="宋体" w:eastAsia="宋体" w:cs="宋体"/>
          <w:bCs/>
          <w:color w:val="auto"/>
          <w:sz w:val="30"/>
          <w:szCs w:val="30"/>
          <w:highlight w:val="none"/>
          <w:u w:val="single"/>
        </w:rPr>
        <w:t xml:space="preserve">     </w:t>
      </w:r>
      <w:r>
        <w:rPr>
          <w:rFonts w:hint="eastAsia" w:ascii="宋体" w:hAnsi="宋体" w:eastAsia="宋体" w:cs="宋体"/>
          <w:bCs/>
          <w:color w:val="auto"/>
          <w:sz w:val="30"/>
          <w:szCs w:val="30"/>
          <w:highlight w:val="none"/>
        </w:rPr>
        <w:t>年</w:t>
      </w:r>
      <w:r>
        <w:rPr>
          <w:rFonts w:hint="eastAsia" w:ascii="宋体" w:hAnsi="宋体" w:eastAsia="宋体" w:cs="宋体"/>
          <w:bCs/>
          <w:color w:val="auto"/>
          <w:sz w:val="30"/>
          <w:szCs w:val="30"/>
          <w:highlight w:val="none"/>
          <w:u w:val="single"/>
        </w:rPr>
        <w:t xml:space="preserve">     </w:t>
      </w:r>
      <w:r>
        <w:rPr>
          <w:rFonts w:hint="eastAsia" w:ascii="宋体" w:hAnsi="宋体" w:eastAsia="宋体" w:cs="宋体"/>
          <w:bCs/>
          <w:color w:val="auto"/>
          <w:sz w:val="30"/>
          <w:szCs w:val="30"/>
          <w:highlight w:val="none"/>
        </w:rPr>
        <w:t>月</w:t>
      </w:r>
      <w:r>
        <w:rPr>
          <w:rFonts w:hint="eastAsia" w:ascii="宋体" w:hAnsi="宋体" w:eastAsia="宋体" w:cs="宋体"/>
          <w:bCs/>
          <w:color w:val="auto"/>
          <w:sz w:val="30"/>
          <w:szCs w:val="30"/>
          <w:highlight w:val="none"/>
          <w:u w:val="single"/>
        </w:rPr>
        <w:t xml:space="preserve">     </w:t>
      </w:r>
      <w:r>
        <w:rPr>
          <w:rFonts w:hint="eastAsia" w:ascii="宋体" w:hAnsi="宋体" w:eastAsia="宋体" w:cs="宋体"/>
          <w:bCs/>
          <w:color w:val="auto"/>
          <w:sz w:val="30"/>
          <w:szCs w:val="30"/>
          <w:highlight w:val="none"/>
        </w:rPr>
        <w:t>日</w:t>
      </w:r>
    </w:p>
    <w:p w14:paraId="48394621">
      <w:pPr>
        <w:adjustRightInd w:val="0"/>
        <w:snapToGrid w:val="0"/>
        <w:spacing w:line="360" w:lineRule="auto"/>
        <w:rPr>
          <w:rFonts w:hint="eastAsia" w:ascii="宋体" w:hAnsi="宋体" w:eastAsia="宋体" w:cs="宋体"/>
          <w:color w:val="auto"/>
          <w:highlight w:val="none"/>
        </w:rPr>
      </w:pPr>
    </w:p>
    <w:p w14:paraId="5ADB9825">
      <w:pPr>
        <w:adjustRightInd w:val="0"/>
        <w:snapToGrid w:val="0"/>
        <w:spacing w:line="360" w:lineRule="auto"/>
        <w:rPr>
          <w:rFonts w:hint="eastAsia" w:ascii="宋体" w:hAnsi="宋体" w:eastAsia="宋体" w:cs="宋体"/>
          <w:color w:val="auto"/>
          <w:highlight w:val="none"/>
        </w:rPr>
      </w:pPr>
    </w:p>
    <w:p w14:paraId="02505F32">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139"/>
    <w:bookmarkEnd w:id="140"/>
    <w:p w14:paraId="64DEA74F">
      <w:pPr>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开标一览表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994"/>
      </w:tblGrid>
      <w:tr w14:paraId="3C7D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0" w:hRule="atLeast"/>
          <w:jc w:val="center"/>
        </w:trPr>
        <w:tc>
          <w:tcPr>
            <w:tcW w:w="2745" w:type="dxa"/>
            <w:vAlign w:val="center"/>
          </w:tcPr>
          <w:p w14:paraId="6E25433F">
            <w:pPr>
              <w:pStyle w:val="16"/>
              <w:adjustRightInd w:val="0"/>
              <w:snapToGrid w:val="0"/>
              <w:spacing w:after="0" w:line="360" w:lineRule="auto"/>
              <w:jc w:val="center"/>
              <w:rPr>
                <w:rFonts w:hint="eastAsia" w:eastAsia="宋体"/>
                <w:color w:val="auto"/>
                <w:kern w:val="0"/>
                <w:sz w:val="24"/>
                <w:szCs w:val="24"/>
                <w:highlight w:val="none"/>
              </w:rPr>
            </w:pPr>
            <w:r>
              <w:rPr>
                <w:rFonts w:hint="eastAsia" w:eastAsia="宋体"/>
                <w:color w:val="auto"/>
                <w:kern w:val="0"/>
                <w:sz w:val="24"/>
                <w:szCs w:val="24"/>
                <w:highlight w:val="none"/>
              </w:rPr>
              <w:t>项目名称</w:t>
            </w:r>
          </w:p>
        </w:tc>
        <w:tc>
          <w:tcPr>
            <w:tcW w:w="6994" w:type="dxa"/>
            <w:vAlign w:val="center"/>
          </w:tcPr>
          <w:p w14:paraId="3AFF9860">
            <w:pPr>
              <w:pStyle w:val="16"/>
              <w:adjustRightInd w:val="0"/>
              <w:snapToGrid w:val="0"/>
              <w:spacing w:after="0" w:line="360" w:lineRule="auto"/>
              <w:rPr>
                <w:rFonts w:hint="eastAsia" w:eastAsia="宋体"/>
                <w:color w:val="auto"/>
                <w:kern w:val="0"/>
                <w:sz w:val="24"/>
                <w:szCs w:val="24"/>
                <w:highlight w:val="none"/>
              </w:rPr>
            </w:pPr>
            <w:r>
              <w:rPr>
                <w:rFonts w:eastAsia="宋体"/>
                <w:color w:val="auto"/>
                <w:kern w:val="0"/>
                <w:sz w:val="24"/>
                <w:szCs w:val="24"/>
                <w:highlight w:val="none"/>
              </w:rPr>
              <w:t>澄江市机关幼儿园食堂食材配送服务采购项目</w:t>
            </w:r>
            <w:r>
              <w:rPr>
                <w:rFonts w:hint="eastAsia" w:eastAsia="宋体"/>
                <w:color w:val="auto"/>
                <w:kern w:val="0"/>
                <w:sz w:val="24"/>
                <w:szCs w:val="24"/>
                <w:highlight w:val="none"/>
              </w:rPr>
              <w:t>第</w:t>
            </w:r>
            <w:r>
              <w:rPr>
                <w:rFonts w:hint="eastAsia" w:eastAsia="宋体"/>
                <w:color w:val="auto"/>
                <w:kern w:val="0"/>
                <w:sz w:val="24"/>
                <w:szCs w:val="24"/>
                <w:highlight w:val="none"/>
                <w:u w:val="single"/>
              </w:rPr>
              <w:t xml:space="preserve"> </w:t>
            </w:r>
            <w:r>
              <w:rPr>
                <w:rFonts w:hint="eastAsia" w:eastAsia="宋体"/>
                <w:color w:val="auto"/>
                <w:kern w:val="0"/>
                <w:sz w:val="24"/>
                <w:szCs w:val="24"/>
                <w:highlight w:val="none"/>
                <w:u w:val="single"/>
                <w:lang w:val="en-US" w:eastAsia="zh-CN"/>
              </w:rPr>
              <w:t xml:space="preserve"> </w:t>
            </w:r>
            <w:r>
              <w:rPr>
                <w:rFonts w:hint="eastAsia" w:eastAsia="宋体"/>
                <w:color w:val="auto"/>
                <w:kern w:val="0"/>
                <w:sz w:val="24"/>
                <w:szCs w:val="24"/>
                <w:highlight w:val="none"/>
              </w:rPr>
              <w:t>片区（第</w:t>
            </w:r>
            <w:r>
              <w:rPr>
                <w:rFonts w:hint="eastAsia" w:eastAsia="宋体"/>
                <w:color w:val="auto"/>
                <w:kern w:val="0"/>
                <w:sz w:val="24"/>
                <w:szCs w:val="24"/>
                <w:highlight w:val="none"/>
                <w:u w:val="single"/>
              </w:rPr>
              <w:t xml:space="preserve">  </w:t>
            </w:r>
            <w:r>
              <w:rPr>
                <w:rFonts w:hint="eastAsia" w:eastAsia="宋体"/>
                <w:color w:val="auto"/>
                <w:kern w:val="0"/>
                <w:sz w:val="24"/>
                <w:szCs w:val="24"/>
                <w:highlight w:val="none"/>
              </w:rPr>
              <w:t>包）</w:t>
            </w:r>
          </w:p>
        </w:tc>
      </w:tr>
      <w:tr w14:paraId="28B7D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2745" w:type="dxa"/>
            <w:vAlign w:val="center"/>
          </w:tcPr>
          <w:p w14:paraId="0EFE0A6F">
            <w:pPr>
              <w:pStyle w:val="16"/>
              <w:adjustRightInd w:val="0"/>
              <w:snapToGrid w:val="0"/>
              <w:spacing w:after="0" w:line="360" w:lineRule="auto"/>
              <w:jc w:val="center"/>
              <w:rPr>
                <w:rFonts w:hint="eastAsia" w:eastAsia="宋体"/>
                <w:color w:val="auto"/>
                <w:kern w:val="0"/>
                <w:sz w:val="24"/>
                <w:szCs w:val="24"/>
                <w:highlight w:val="none"/>
              </w:rPr>
            </w:pPr>
            <w:r>
              <w:rPr>
                <w:rFonts w:hint="eastAsia" w:eastAsia="宋体"/>
                <w:color w:val="auto"/>
                <w:kern w:val="0"/>
                <w:sz w:val="24"/>
                <w:szCs w:val="24"/>
                <w:highlight w:val="none"/>
              </w:rPr>
              <w:t>竞标报价</w:t>
            </w:r>
          </w:p>
        </w:tc>
        <w:tc>
          <w:tcPr>
            <w:tcW w:w="6994" w:type="dxa"/>
            <w:vAlign w:val="center"/>
          </w:tcPr>
          <w:p w14:paraId="739E52C7">
            <w:pPr>
              <w:pStyle w:val="16"/>
              <w:adjustRightInd w:val="0"/>
              <w:snapToGrid w:val="0"/>
              <w:spacing w:after="0" w:line="360" w:lineRule="auto"/>
              <w:rPr>
                <w:rFonts w:hint="eastAsia" w:eastAsia="宋体"/>
                <w:color w:val="auto"/>
                <w:kern w:val="0"/>
                <w:sz w:val="24"/>
                <w:szCs w:val="24"/>
                <w:highlight w:val="none"/>
              </w:rPr>
            </w:pPr>
            <w:r>
              <w:rPr>
                <w:rFonts w:hint="eastAsia" w:eastAsia="宋体"/>
                <w:color w:val="auto"/>
                <w:kern w:val="0"/>
                <w:sz w:val="24"/>
                <w:szCs w:val="24"/>
                <w:highlight w:val="none"/>
              </w:rPr>
              <w:t>优惠下浮</w:t>
            </w:r>
            <w:r>
              <w:rPr>
                <w:rFonts w:hint="eastAsia" w:eastAsia="宋体"/>
                <w:color w:val="auto"/>
                <w:kern w:val="0"/>
                <w:sz w:val="24"/>
                <w:szCs w:val="24"/>
                <w:highlight w:val="none"/>
                <w:u w:val="single"/>
              </w:rPr>
              <w:t xml:space="preserve">       </w:t>
            </w:r>
            <w:r>
              <w:rPr>
                <w:rFonts w:hint="eastAsia" w:eastAsia="宋体"/>
                <w:color w:val="auto"/>
                <w:kern w:val="0"/>
                <w:sz w:val="24"/>
                <w:szCs w:val="24"/>
                <w:highlight w:val="none"/>
              </w:rPr>
              <w:t>%</w:t>
            </w:r>
          </w:p>
        </w:tc>
      </w:tr>
      <w:tr w14:paraId="3543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2745" w:type="dxa"/>
            <w:vAlign w:val="center"/>
          </w:tcPr>
          <w:p w14:paraId="1C5C906B">
            <w:pPr>
              <w:pStyle w:val="16"/>
              <w:adjustRightInd w:val="0"/>
              <w:snapToGrid w:val="0"/>
              <w:spacing w:after="0" w:line="360" w:lineRule="auto"/>
              <w:jc w:val="center"/>
              <w:rPr>
                <w:rFonts w:hint="eastAsia" w:eastAsia="宋体"/>
                <w:color w:val="auto"/>
                <w:kern w:val="0"/>
                <w:sz w:val="24"/>
                <w:szCs w:val="24"/>
                <w:highlight w:val="none"/>
              </w:rPr>
            </w:pPr>
            <w:r>
              <w:rPr>
                <w:rFonts w:hint="eastAsia" w:eastAsia="宋体"/>
                <w:color w:val="auto"/>
                <w:kern w:val="0"/>
                <w:sz w:val="24"/>
                <w:szCs w:val="24"/>
                <w:highlight w:val="none"/>
              </w:rPr>
              <w:t>合同履行期限</w:t>
            </w:r>
          </w:p>
        </w:tc>
        <w:tc>
          <w:tcPr>
            <w:tcW w:w="6994" w:type="dxa"/>
            <w:vAlign w:val="center"/>
          </w:tcPr>
          <w:p w14:paraId="33B5B960">
            <w:pPr>
              <w:pStyle w:val="16"/>
              <w:adjustRightInd w:val="0"/>
              <w:snapToGrid w:val="0"/>
              <w:spacing w:after="0" w:line="360" w:lineRule="auto"/>
              <w:rPr>
                <w:rFonts w:hint="eastAsia" w:eastAsia="宋体"/>
                <w:color w:val="auto"/>
                <w:kern w:val="0"/>
                <w:sz w:val="24"/>
                <w:szCs w:val="24"/>
                <w:highlight w:val="none"/>
              </w:rPr>
            </w:pPr>
          </w:p>
        </w:tc>
      </w:tr>
      <w:tr w14:paraId="0876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2745" w:type="dxa"/>
            <w:vAlign w:val="center"/>
          </w:tcPr>
          <w:p w14:paraId="3F0ED611">
            <w:pPr>
              <w:pStyle w:val="16"/>
              <w:adjustRightInd w:val="0"/>
              <w:snapToGrid w:val="0"/>
              <w:spacing w:after="0" w:line="360" w:lineRule="auto"/>
              <w:jc w:val="center"/>
              <w:rPr>
                <w:rFonts w:hint="eastAsia" w:eastAsia="宋体"/>
                <w:color w:val="auto"/>
                <w:kern w:val="0"/>
                <w:sz w:val="24"/>
                <w:szCs w:val="24"/>
                <w:highlight w:val="none"/>
              </w:rPr>
            </w:pPr>
            <w:r>
              <w:rPr>
                <w:rFonts w:hint="eastAsia" w:eastAsia="宋体"/>
                <w:color w:val="auto"/>
                <w:kern w:val="0"/>
                <w:sz w:val="24"/>
                <w:szCs w:val="24"/>
                <w:highlight w:val="none"/>
              </w:rPr>
              <w:t>质量标准</w:t>
            </w:r>
          </w:p>
        </w:tc>
        <w:tc>
          <w:tcPr>
            <w:tcW w:w="6994" w:type="dxa"/>
            <w:vAlign w:val="center"/>
          </w:tcPr>
          <w:p w14:paraId="4AE6840D">
            <w:pPr>
              <w:pStyle w:val="16"/>
              <w:adjustRightInd w:val="0"/>
              <w:snapToGrid w:val="0"/>
              <w:spacing w:after="0" w:line="360" w:lineRule="auto"/>
              <w:rPr>
                <w:rFonts w:hint="eastAsia" w:eastAsia="宋体"/>
                <w:color w:val="auto"/>
                <w:kern w:val="0"/>
                <w:sz w:val="24"/>
                <w:szCs w:val="24"/>
                <w:highlight w:val="none"/>
              </w:rPr>
            </w:pPr>
          </w:p>
        </w:tc>
      </w:tr>
      <w:tr w14:paraId="0B18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jc w:val="center"/>
        </w:trPr>
        <w:tc>
          <w:tcPr>
            <w:tcW w:w="2745" w:type="dxa"/>
            <w:vAlign w:val="center"/>
          </w:tcPr>
          <w:p w14:paraId="35BD8C11">
            <w:pPr>
              <w:pStyle w:val="16"/>
              <w:adjustRightInd w:val="0"/>
              <w:snapToGrid w:val="0"/>
              <w:spacing w:after="0" w:line="360" w:lineRule="auto"/>
              <w:jc w:val="center"/>
              <w:rPr>
                <w:rFonts w:hint="eastAsia" w:eastAsia="宋体"/>
                <w:color w:val="auto"/>
                <w:kern w:val="0"/>
                <w:sz w:val="24"/>
                <w:szCs w:val="24"/>
                <w:highlight w:val="none"/>
              </w:rPr>
            </w:pPr>
            <w:r>
              <w:rPr>
                <w:rFonts w:hint="eastAsia" w:eastAsia="宋体"/>
                <w:color w:val="auto"/>
                <w:kern w:val="0"/>
                <w:sz w:val="24"/>
                <w:szCs w:val="24"/>
                <w:highlight w:val="none"/>
              </w:rPr>
              <w:t>备注</w:t>
            </w:r>
          </w:p>
        </w:tc>
        <w:tc>
          <w:tcPr>
            <w:tcW w:w="6994" w:type="dxa"/>
            <w:vAlign w:val="center"/>
          </w:tcPr>
          <w:p w14:paraId="6223E0AE">
            <w:pPr>
              <w:pStyle w:val="16"/>
              <w:adjustRightInd w:val="0"/>
              <w:snapToGrid w:val="0"/>
              <w:spacing w:after="0" w:line="360" w:lineRule="auto"/>
              <w:rPr>
                <w:rFonts w:hint="eastAsia" w:eastAsia="宋体"/>
                <w:color w:val="auto"/>
                <w:kern w:val="0"/>
                <w:sz w:val="24"/>
                <w:szCs w:val="24"/>
                <w:highlight w:val="none"/>
              </w:rPr>
            </w:pPr>
          </w:p>
        </w:tc>
      </w:tr>
    </w:tbl>
    <w:p w14:paraId="0FF0AE12">
      <w:pPr>
        <w:pStyle w:val="16"/>
        <w:adjustRightInd w:val="0"/>
        <w:snapToGrid w:val="0"/>
        <w:spacing w:after="0" w:line="360" w:lineRule="auto"/>
        <w:rPr>
          <w:rFonts w:hint="eastAsia" w:eastAsia="宋体"/>
          <w:color w:val="auto"/>
          <w:highlight w:val="none"/>
        </w:rPr>
      </w:pPr>
    </w:p>
    <w:p w14:paraId="55BD39CF">
      <w:pPr>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投标人全称（盖单位章）：</w:t>
      </w:r>
      <w:r>
        <w:rPr>
          <w:rFonts w:hint="eastAsia" w:ascii="宋体" w:hAnsi="宋体" w:eastAsia="宋体" w:cs="宋体"/>
          <w:color w:val="auto"/>
          <w:sz w:val="24"/>
          <w:szCs w:val="24"/>
          <w:highlight w:val="none"/>
          <w:u w:val="single"/>
        </w:rPr>
        <w:t xml:space="preserve">                            </w:t>
      </w:r>
    </w:p>
    <w:p w14:paraId="0759D83E">
      <w:pPr>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Cs/>
          <w:color w:val="auto"/>
          <w:sz w:val="24"/>
          <w:szCs w:val="24"/>
          <w:highlight w:val="none"/>
        </w:rPr>
        <w:t>或其委托代理人（签字或签章）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BE3BE1A">
      <w:pPr>
        <w:adjustRightInd w:val="0"/>
        <w:snapToGrid w:val="0"/>
        <w:spacing w:line="360" w:lineRule="auto"/>
        <w:ind w:firstLine="480" w:firstLineChars="200"/>
        <w:contextualSpacing/>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日期：______年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8AD2C78">
      <w:pPr>
        <w:adjustRightInd w:val="0"/>
        <w:snapToGrid w:val="0"/>
        <w:spacing w:line="360" w:lineRule="auto"/>
        <w:rPr>
          <w:rFonts w:hint="eastAsia" w:ascii="宋体" w:hAnsi="宋体" w:eastAsia="宋体" w:cs="宋体"/>
          <w:color w:val="auto"/>
          <w:highlight w:val="none"/>
        </w:rPr>
      </w:pPr>
    </w:p>
    <w:p w14:paraId="0829DA0A">
      <w:pPr>
        <w:pStyle w:val="51"/>
        <w:adjustRightInd w:val="0"/>
        <w:snapToGrid w:val="0"/>
        <w:spacing w:before="0" w:after="0" w:line="360" w:lineRule="auto"/>
        <w:rPr>
          <w:rFonts w:hint="eastAsia" w:eastAsia="宋体"/>
          <w:color w:val="auto"/>
          <w:highlight w:val="none"/>
        </w:rPr>
      </w:pPr>
      <w:r>
        <w:rPr>
          <w:rFonts w:hint="eastAsia" w:eastAsia="宋体"/>
          <w:color w:val="auto"/>
          <w:highlight w:val="none"/>
        </w:rPr>
        <w:br w:type="page"/>
      </w:r>
    </w:p>
    <w:p w14:paraId="5716BFF6">
      <w:pPr>
        <w:pStyle w:val="3"/>
        <w:adjustRightInd w:val="0"/>
        <w:snapToGrid w:val="0"/>
        <w:spacing w:before="0" w:after="0" w:line="360" w:lineRule="auto"/>
        <w:rPr>
          <w:rFonts w:hint="eastAsia" w:ascii="宋体" w:hAnsi="宋体" w:eastAsia="宋体"/>
          <w:bCs w:val="0"/>
          <w:color w:val="auto"/>
          <w:sz w:val="28"/>
          <w:szCs w:val="28"/>
          <w:highlight w:val="none"/>
        </w:rPr>
      </w:pPr>
      <w:bookmarkStart w:id="142" w:name="_Toc352783562"/>
      <w:bookmarkStart w:id="143" w:name="_Toc350930234"/>
      <w:bookmarkStart w:id="144" w:name="_Toc354231820"/>
      <w:bookmarkStart w:id="145" w:name="_Toc350330519"/>
      <w:bookmarkStart w:id="146" w:name="_Toc351117903"/>
      <w:bookmarkStart w:id="147" w:name="_Toc277679098"/>
      <w:bookmarkStart w:id="148" w:name="_Toc355054077"/>
      <w:bookmarkStart w:id="149" w:name="_Toc350930019"/>
      <w:bookmarkStart w:id="150" w:name="_Toc218692287"/>
      <w:bookmarkStart w:id="151" w:name="_Toc20869"/>
      <w:r>
        <w:rPr>
          <w:rFonts w:hint="eastAsia" w:ascii="宋体" w:hAnsi="宋体" w:eastAsia="宋体"/>
          <w:bCs w:val="0"/>
          <w:color w:val="auto"/>
          <w:sz w:val="28"/>
          <w:szCs w:val="28"/>
          <w:highlight w:val="none"/>
        </w:rPr>
        <w:t>一、</w:t>
      </w:r>
      <w:bookmarkEnd w:id="142"/>
      <w:bookmarkEnd w:id="143"/>
      <w:bookmarkEnd w:id="144"/>
      <w:bookmarkEnd w:id="145"/>
      <w:bookmarkEnd w:id="146"/>
      <w:bookmarkEnd w:id="147"/>
      <w:bookmarkEnd w:id="148"/>
      <w:bookmarkEnd w:id="149"/>
      <w:r>
        <w:rPr>
          <w:rFonts w:hint="eastAsia" w:ascii="宋体" w:hAnsi="宋体" w:eastAsia="宋体"/>
          <w:bCs w:val="0"/>
          <w:color w:val="auto"/>
          <w:sz w:val="28"/>
          <w:szCs w:val="28"/>
          <w:highlight w:val="none"/>
        </w:rPr>
        <w:t>资格审查部分</w:t>
      </w:r>
      <w:bookmarkEnd w:id="150"/>
      <w:bookmarkEnd w:id="151"/>
    </w:p>
    <w:p w14:paraId="606FEA16">
      <w:pPr>
        <w:adjustRightInd w:val="0"/>
        <w:snapToGrid w:val="0"/>
        <w:spacing w:line="360" w:lineRule="auto"/>
        <w:jc w:val="center"/>
        <w:rPr>
          <w:rFonts w:hint="eastAsia" w:ascii="宋体" w:hAnsi="宋体" w:eastAsia="宋体" w:cs="宋体"/>
          <w:b/>
          <w:color w:val="auto"/>
          <w:sz w:val="28"/>
          <w:szCs w:val="28"/>
          <w:highlight w:val="none"/>
        </w:rPr>
      </w:pPr>
      <w:bookmarkStart w:id="152" w:name="_Toc112639262"/>
      <w:r>
        <w:rPr>
          <w:rFonts w:hint="eastAsia" w:ascii="宋体" w:hAnsi="宋体" w:eastAsia="宋体" w:cs="宋体"/>
          <w:b/>
          <w:color w:val="auto"/>
          <w:sz w:val="28"/>
          <w:szCs w:val="28"/>
          <w:highlight w:val="none"/>
        </w:rPr>
        <w:t>1、投标人基本情况表</w:t>
      </w:r>
      <w:bookmarkEnd w:id="152"/>
    </w:p>
    <w:tbl>
      <w:tblPr>
        <w:tblStyle w:val="43"/>
        <w:tblpPr w:leftFromText="180" w:rightFromText="180" w:vertAnchor="text" w:horzAnchor="margin" w:tblpXSpec="center" w:tblpY="158"/>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723"/>
        <w:gridCol w:w="1267"/>
        <w:gridCol w:w="3090"/>
      </w:tblGrid>
      <w:tr w14:paraId="316A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526" w:type="dxa"/>
            <w:vAlign w:val="center"/>
          </w:tcPr>
          <w:p w14:paraId="770A185D">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企业名称</w:t>
            </w:r>
          </w:p>
        </w:tc>
        <w:tc>
          <w:tcPr>
            <w:tcW w:w="8080" w:type="dxa"/>
            <w:gridSpan w:val="3"/>
          </w:tcPr>
          <w:p w14:paraId="15DCB1DC">
            <w:pPr>
              <w:autoSpaceDE w:val="0"/>
              <w:autoSpaceDN w:val="0"/>
              <w:adjustRightInd w:val="0"/>
              <w:snapToGrid w:val="0"/>
              <w:spacing w:line="360" w:lineRule="auto"/>
              <w:jc w:val="left"/>
              <w:rPr>
                <w:rFonts w:hint="eastAsia" w:ascii="宋体" w:hAnsi="宋体" w:eastAsia="宋体" w:cs="宋体"/>
                <w:color w:val="auto"/>
                <w:highlight w:val="none"/>
                <w:lang w:val="zh-CN"/>
              </w:rPr>
            </w:pPr>
          </w:p>
        </w:tc>
      </w:tr>
      <w:tr w14:paraId="239E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Align w:val="center"/>
          </w:tcPr>
          <w:p w14:paraId="348316FE">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主管机关</w:t>
            </w:r>
          </w:p>
        </w:tc>
        <w:tc>
          <w:tcPr>
            <w:tcW w:w="8080" w:type="dxa"/>
            <w:gridSpan w:val="3"/>
          </w:tcPr>
          <w:p w14:paraId="7BB905DE">
            <w:pPr>
              <w:autoSpaceDE w:val="0"/>
              <w:autoSpaceDN w:val="0"/>
              <w:adjustRightInd w:val="0"/>
              <w:snapToGrid w:val="0"/>
              <w:spacing w:line="360" w:lineRule="auto"/>
              <w:jc w:val="left"/>
              <w:rPr>
                <w:rFonts w:hint="eastAsia" w:ascii="宋体" w:hAnsi="宋体" w:eastAsia="宋体" w:cs="宋体"/>
                <w:color w:val="auto"/>
                <w:highlight w:val="none"/>
                <w:lang w:val="zh-CN"/>
              </w:rPr>
            </w:pPr>
          </w:p>
        </w:tc>
      </w:tr>
      <w:tr w14:paraId="0728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Align w:val="center"/>
          </w:tcPr>
          <w:p w14:paraId="14BCAC6B">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经济类型</w:t>
            </w:r>
          </w:p>
        </w:tc>
        <w:tc>
          <w:tcPr>
            <w:tcW w:w="3723" w:type="dxa"/>
          </w:tcPr>
          <w:p w14:paraId="09898F5A">
            <w:pPr>
              <w:autoSpaceDE w:val="0"/>
              <w:autoSpaceDN w:val="0"/>
              <w:adjustRightInd w:val="0"/>
              <w:snapToGrid w:val="0"/>
              <w:spacing w:line="360" w:lineRule="auto"/>
              <w:jc w:val="left"/>
              <w:rPr>
                <w:rFonts w:hint="eastAsia" w:ascii="宋体" w:hAnsi="宋体" w:eastAsia="宋体" w:cs="宋体"/>
                <w:color w:val="auto"/>
                <w:highlight w:val="none"/>
                <w:lang w:val="zh-CN"/>
              </w:rPr>
            </w:pPr>
          </w:p>
        </w:tc>
        <w:tc>
          <w:tcPr>
            <w:tcW w:w="1267" w:type="dxa"/>
          </w:tcPr>
          <w:p w14:paraId="1BF05D50">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成立时间</w:t>
            </w:r>
          </w:p>
        </w:tc>
        <w:tc>
          <w:tcPr>
            <w:tcW w:w="3090" w:type="dxa"/>
          </w:tcPr>
          <w:p w14:paraId="645CF1C9">
            <w:pPr>
              <w:autoSpaceDE w:val="0"/>
              <w:autoSpaceDN w:val="0"/>
              <w:adjustRightInd w:val="0"/>
              <w:snapToGrid w:val="0"/>
              <w:spacing w:line="360" w:lineRule="auto"/>
              <w:jc w:val="left"/>
              <w:rPr>
                <w:rFonts w:hint="eastAsia" w:ascii="宋体" w:hAnsi="宋体" w:eastAsia="宋体" w:cs="宋体"/>
                <w:color w:val="auto"/>
                <w:highlight w:val="none"/>
                <w:lang w:val="zh-CN"/>
              </w:rPr>
            </w:pPr>
          </w:p>
        </w:tc>
      </w:tr>
      <w:tr w14:paraId="2DD1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Align w:val="center"/>
          </w:tcPr>
          <w:p w14:paraId="268E58E2">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法定代表人</w:t>
            </w:r>
          </w:p>
        </w:tc>
        <w:tc>
          <w:tcPr>
            <w:tcW w:w="3723" w:type="dxa"/>
          </w:tcPr>
          <w:p w14:paraId="522296AE">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姓名</w:t>
            </w:r>
          </w:p>
        </w:tc>
        <w:tc>
          <w:tcPr>
            <w:tcW w:w="1267" w:type="dxa"/>
          </w:tcPr>
          <w:p w14:paraId="7C5BB1DD">
            <w:pPr>
              <w:autoSpaceDE w:val="0"/>
              <w:autoSpaceDN w:val="0"/>
              <w:adjustRightInd w:val="0"/>
              <w:snapToGrid w:val="0"/>
              <w:spacing w:line="360" w:lineRule="auto"/>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身份证号及电话</w:t>
            </w:r>
          </w:p>
        </w:tc>
        <w:tc>
          <w:tcPr>
            <w:tcW w:w="3090" w:type="dxa"/>
          </w:tcPr>
          <w:p w14:paraId="5869600A">
            <w:pPr>
              <w:autoSpaceDE w:val="0"/>
              <w:autoSpaceDN w:val="0"/>
              <w:adjustRightInd w:val="0"/>
              <w:snapToGrid w:val="0"/>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身份证号：</w:t>
            </w:r>
          </w:p>
          <w:p w14:paraId="6ED81E75">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电话：</w:t>
            </w:r>
          </w:p>
        </w:tc>
      </w:tr>
      <w:tr w14:paraId="53F0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Align w:val="center"/>
          </w:tcPr>
          <w:p w14:paraId="6C82AA83">
            <w:pPr>
              <w:autoSpaceDE w:val="0"/>
              <w:autoSpaceDN w:val="0"/>
              <w:adjustRightInd w:val="0"/>
              <w:snapToGrid w:val="0"/>
              <w:spacing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授权代理人</w:t>
            </w:r>
          </w:p>
        </w:tc>
        <w:tc>
          <w:tcPr>
            <w:tcW w:w="3723" w:type="dxa"/>
          </w:tcPr>
          <w:p w14:paraId="238FFC91">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姓名</w:t>
            </w:r>
          </w:p>
        </w:tc>
        <w:tc>
          <w:tcPr>
            <w:tcW w:w="1267" w:type="dxa"/>
            <w:vAlign w:val="top"/>
          </w:tcPr>
          <w:p w14:paraId="700D6B61">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身份证号及电话</w:t>
            </w:r>
          </w:p>
        </w:tc>
        <w:tc>
          <w:tcPr>
            <w:tcW w:w="3090" w:type="dxa"/>
            <w:vAlign w:val="top"/>
          </w:tcPr>
          <w:p w14:paraId="510E1F7F">
            <w:pPr>
              <w:autoSpaceDE w:val="0"/>
              <w:autoSpaceDN w:val="0"/>
              <w:adjustRightInd w:val="0"/>
              <w:snapToGrid w:val="0"/>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身份证号：</w:t>
            </w:r>
          </w:p>
          <w:p w14:paraId="28BC4523">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电话：</w:t>
            </w:r>
          </w:p>
        </w:tc>
      </w:tr>
      <w:tr w14:paraId="6D0A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Align w:val="center"/>
          </w:tcPr>
          <w:p w14:paraId="5123B14F">
            <w:pPr>
              <w:autoSpaceDE w:val="0"/>
              <w:autoSpaceDN w:val="0"/>
              <w:adjustRightInd w:val="0"/>
              <w:snapToGrid w:val="0"/>
              <w:spacing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项目负责人</w:t>
            </w:r>
          </w:p>
        </w:tc>
        <w:tc>
          <w:tcPr>
            <w:tcW w:w="3723" w:type="dxa"/>
          </w:tcPr>
          <w:p w14:paraId="1E8F5ED5">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姓名</w:t>
            </w:r>
          </w:p>
        </w:tc>
        <w:tc>
          <w:tcPr>
            <w:tcW w:w="1267" w:type="dxa"/>
            <w:vAlign w:val="top"/>
          </w:tcPr>
          <w:p w14:paraId="0EF78F8B">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身份证号及电话</w:t>
            </w:r>
          </w:p>
        </w:tc>
        <w:tc>
          <w:tcPr>
            <w:tcW w:w="3090" w:type="dxa"/>
            <w:vAlign w:val="top"/>
          </w:tcPr>
          <w:p w14:paraId="04022E3C">
            <w:pPr>
              <w:autoSpaceDE w:val="0"/>
              <w:autoSpaceDN w:val="0"/>
              <w:adjustRightInd w:val="0"/>
              <w:snapToGrid w:val="0"/>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身份证号：</w:t>
            </w:r>
          </w:p>
          <w:p w14:paraId="0305EC52">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电话：</w:t>
            </w:r>
          </w:p>
        </w:tc>
      </w:tr>
      <w:tr w14:paraId="11CB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Merge w:val="restart"/>
            <w:vAlign w:val="center"/>
          </w:tcPr>
          <w:p w14:paraId="415823E7">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工商登记</w:t>
            </w:r>
          </w:p>
        </w:tc>
        <w:tc>
          <w:tcPr>
            <w:tcW w:w="8080" w:type="dxa"/>
            <w:gridSpan w:val="3"/>
            <w:vAlign w:val="center"/>
          </w:tcPr>
          <w:p w14:paraId="0C38EA7A">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登记机关：                      注册资本金: </w:t>
            </w:r>
          </w:p>
        </w:tc>
      </w:tr>
      <w:tr w14:paraId="791B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Merge w:val="continue"/>
            <w:vAlign w:val="center"/>
          </w:tcPr>
          <w:p w14:paraId="1E9DE84A">
            <w:pPr>
              <w:autoSpaceDE w:val="0"/>
              <w:autoSpaceDN w:val="0"/>
              <w:adjustRightInd w:val="0"/>
              <w:snapToGrid w:val="0"/>
              <w:spacing w:line="360" w:lineRule="auto"/>
              <w:jc w:val="center"/>
              <w:rPr>
                <w:rFonts w:hint="eastAsia" w:ascii="宋体" w:hAnsi="宋体" w:eastAsia="宋体" w:cs="宋体"/>
                <w:color w:val="auto"/>
                <w:highlight w:val="none"/>
                <w:lang w:val="zh-CN"/>
              </w:rPr>
            </w:pPr>
          </w:p>
        </w:tc>
        <w:tc>
          <w:tcPr>
            <w:tcW w:w="8080" w:type="dxa"/>
            <w:gridSpan w:val="3"/>
            <w:vAlign w:val="center"/>
          </w:tcPr>
          <w:p w14:paraId="5E0B5176">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rPr>
              <w:t>统一社会信用代码</w:t>
            </w:r>
            <w:r>
              <w:rPr>
                <w:rFonts w:hint="eastAsia" w:ascii="宋体" w:hAnsi="宋体" w:eastAsia="宋体" w:cs="宋体"/>
                <w:color w:val="auto"/>
                <w:highlight w:val="none"/>
                <w:lang w:val="zh-CN"/>
              </w:rPr>
              <w:t xml:space="preserve">：                        </w:t>
            </w:r>
          </w:p>
        </w:tc>
      </w:tr>
      <w:tr w14:paraId="3D89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Merge w:val="restart"/>
            <w:vAlign w:val="center"/>
          </w:tcPr>
          <w:p w14:paraId="3EFCF7AE">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经营范围</w:t>
            </w:r>
          </w:p>
        </w:tc>
        <w:tc>
          <w:tcPr>
            <w:tcW w:w="8080" w:type="dxa"/>
            <w:gridSpan w:val="3"/>
            <w:vAlign w:val="center"/>
          </w:tcPr>
          <w:p w14:paraId="6490E090">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主营：                        </w:t>
            </w:r>
          </w:p>
        </w:tc>
      </w:tr>
      <w:tr w14:paraId="66F8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Merge w:val="continue"/>
            <w:vAlign w:val="center"/>
          </w:tcPr>
          <w:p w14:paraId="2EF82D2C">
            <w:pPr>
              <w:autoSpaceDE w:val="0"/>
              <w:autoSpaceDN w:val="0"/>
              <w:adjustRightInd w:val="0"/>
              <w:snapToGrid w:val="0"/>
              <w:spacing w:line="360" w:lineRule="auto"/>
              <w:jc w:val="center"/>
              <w:rPr>
                <w:rFonts w:hint="eastAsia" w:ascii="宋体" w:hAnsi="宋体" w:eastAsia="宋体" w:cs="宋体"/>
                <w:color w:val="auto"/>
                <w:highlight w:val="none"/>
                <w:lang w:val="zh-CN"/>
              </w:rPr>
            </w:pPr>
          </w:p>
        </w:tc>
        <w:tc>
          <w:tcPr>
            <w:tcW w:w="8080" w:type="dxa"/>
            <w:gridSpan w:val="3"/>
            <w:vAlign w:val="center"/>
          </w:tcPr>
          <w:p w14:paraId="2FBEAD68">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兼营：</w:t>
            </w:r>
          </w:p>
        </w:tc>
      </w:tr>
      <w:tr w14:paraId="2099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exact"/>
        </w:trPr>
        <w:tc>
          <w:tcPr>
            <w:tcW w:w="1526" w:type="dxa"/>
            <w:vAlign w:val="center"/>
          </w:tcPr>
          <w:p w14:paraId="08716791">
            <w:pPr>
              <w:autoSpaceDE w:val="0"/>
              <w:autoSpaceDN w:val="0"/>
              <w:adjustRightInd w:val="0"/>
              <w:snapToGrid w:val="0"/>
              <w:spacing w:line="360" w:lineRule="auto"/>
              <w:ind w:left="178" w:hanging="178" w:hangingChars="85"/>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企业详细地址</w:t>
            </w:r>
          </w:p>
        </w:tc>
        <w:tc>
          <w:tcPr>
            <w:tcW w:w="8080" w:type="dxa"/>
            <w:gridSpan w:val="3"/>
            <w:vAlign w:val="center"/>
          </w:tcPr>
          <w:p w14:paraId="6B122363">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公司本部：      省    市    区    路     号</w:t>
            </w:r>
          </w:p>
          <w:p w14:paraId="6F4D9E4F">
            <w:pPr>
              <w:autoSpaceDE w:val="0"/>
              <w:autoSpaceDN w:val="0"/>
              <w:adjustRightInd w:val="0"/>
              <w:snapToGrid w:val="0"/>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分公司（办事处）：      省    市    区    路     号</w:t>
            </w:r>
          </w:p>
        </w:tc>
      </w:tr>
      <w:tr w14:paraId="0E73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526" w:type="dxa"/>
            <w:vMerge w:val="restart"/>
            <w:vAlign w:val="center"/>
          </w:tcPr>
          <w:p w14:paraId="0E2BE685">
            <w:pPr>
              <w:autoSpaceDE w:val="0"/>
              <w:autoSpaceDN w:val="0"/>
              <w:adjustRightInd w:val="0"/>
              <w:snapToGrid w:val="0"/>
              <w:spacing w:line="360" w:lineRule="auto"/>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通信联系</w:t>
            </w:r>
          </w:p>
        </w:tc>
        <w:tc>
          <w:tcPr>
            <w:tcW w:w="8080" w:type="dxa"/>
            <w:gridSpan w:val="3"/>
            <w:vAlign w:val="center"/>
          </w:tcPr>
          <w:p w14:paraId="1838C38E">
            <w:pPr>
              <w:autoSpaceDE w:val="0"/>
              <w:autoSpaceDN w:val="0"/>
              <w:adjustRightInd w:val="0"/>
              <w:snapToGrid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企业联系电话：                传真:             电子邮箱:</w:t>
            </w:r>
          </w:p>
        </w:tc>
      </w:tr>
      <w:tr w14:paraId="70F9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trPr>
        <w:tc>
          <w:tcPr>
            <w:tcW w:w="1526" w:type="dxa"/>
            <w:vMerge w:val="continue"/>
            <w:vAlign w:val="center"/>
          </w:tcPr>
          <w:p w14:paraId="7B996402">
            <w:pPr>
              <w:autoSpaceDE w:val="0"/>
              <w:autoSpaceDN w:val="0"/>
              <w:adjustRightInd w:val="0"/>
              <w:snapToGrid w:val="0"/>
              <w:spacing w:line="360" w:lineRule="auto"/>
              <w:jc w:val="center"/>
              <w:rPr>
                <w:rFonts w:hint="eastAsia" w:ascii="宋体" w:hAnsi="宋体" w:eastAsia="宋体" w:cs="宋体"/>
                <w:color w:val="auto"/>
                <w:highlight w:val="none"/>
                <w:lang w:val="zh-CN"/>
              </w:rPr>
            </w:pPr>
          </w:p>
        </w:tc>
        <w:tc>
          <w:tcPr>
            <w:tcW w:w="8080" w:type="dxa"/>
            <w:gridSpan w:val="3"/>
            <w:vAlign w:val="center"/>
          </w:tcPr>
          <w:p w14:paraId="5370409D">
            <w:pPr>
              <w:autoSpaceDE w:val="0"/>
              <w:autoSpaceDN w:val="0"/>
              <w:adjustRightInd w:val="0"/>
              <w:snapToGrid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业务联系人：              电话：</w:t>
            </w:r>
          </w:p>
        </w:tc>
      </w:tr>
    </w:tbl>
    <w:p w14:paraId="57A4EC63">
      <w:pPr>
        <w:adjustRightInd w:val="0"/>
        <w:snapToGrid w:val="0"/>
        <w:spacing w:line="360" w:lineRule="auto"/>
        <w:jc w:val="center"/>
        <w:rPr>
          <w:rFonts w:hint="eastAsia" w:ascii="宋体" w:hAnsi="宋体" w:eastAsia="宋体" w:cs="宋体"/>
          <w:b/>
          <w:color w:val="auto"/>
          <w:sz w:val="28"/>
          <w:szCs w:val="28"/>
          <w:highlight w:val="none"/>
        </w:rPr>
      </w:pPr>
    </w:p>
    <w:p w14:paraId="1F449196">
      <w:pPr>
        <w:adjustRightInd w:val="0"/>
        <w:snapToGrid w:val="0"/>
        <w:spacing w:line="360" w:lineRule="auto"/>
        <w:ind w:firstLine="482" w:firstLineChars="200"/>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注：1、投标人需随此表后提供有效营业执照等复印件加盖公章。</w:t>
      </w:r>
    </w:p>
    <w:p w14:paraId="7D926A05">
      <w:pPr>
        <w:adjustRightInd w:val="0"/>
        <w:snapToGrid w:val="0"/>
        <w:spacing w:line="360" w:lineRule="auto"/>
        <w:jc w:val="left"/>
        <w:rPr>
          <w:rFonts w:hint="eastAsia" w:ascii="宋体" w:hAnsi="宋体" w:eastAsia="宋体" w:cs="宋体"/>
          <w:b/>
          <w:bCs/>
          <w:color w:val="auto"/>
          <w:sz w:val="24"/>
          <w:szCs w:val="32"/>
          <w:highlight w:val="none"/>
        </w:rPr>
      </w:pPr>
    </w:p>
    <w:p w14:paraId="23FBCD16">
      <w:pPr>
        <w:pStyle w:val="16"/>
        <w:adjustRightInd w:val="0"/>
        <w:snapToGrid w:val="0"/>
        <w:spacing w:after="0" w:line="360" w:lineRule="auto"/>
        <w:rPr>
          <w:rFonts w:hint="eastAsia" w:eastAsia="宋体"/>
          <w:color w:val="auto"/>
          <w:highlight w:val="none"/>
        </w:rPr>
      </w:pPr>
    </w:p>
    <w:p w14:paraId="60B0414A">
      <w:pPr>
        <w:pStyle w:val="16"/>
        <w:adjustRightInd w:val="0"/>
        <w:snapToGrid w:val="0"/>
        <w:spacing w:after="0" w:line="360" w:lineRule="auto"/>
        <w:rPr>
          <w:rFonts w:hint="eastAsia" w:eastAsia="宋体"/>
          <w:color w:val="auto"/>
          <w:highlight w:val="none"/>
        </w:rPr>
      </w:pPr>
    </w:p>
    <w:p w14:paraId="0A00DC3A">
      <w:pPr>
        <w:adjustRightInd w:val="0"/>
        <w:snapToGrid w:val="0"/>
        <w:spacing w:line="360" w:lineRule="auto"/>
        <w:rPr>
          <w:rFonts w:hint="eastAsia" w:ascii="宋体" w:hAnsi="宋体" w:eastAsia="宋体" w:cs="宋体"/>
          <w:color w:val="auto"/>
          <w:highlight w:val="none"/>
        </w:rPr>
      </w:pPr>
    </w:p>
    <w:p w14:paraId="5487E00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BE56D4D">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2.法定代表人身份证明</w:t>
      </w:r>
    </w:p>
    <w:p w14:paraId="2937CA3D">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002A75E9">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5459D5C5">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5B551C02">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FA1F6F0">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65690927">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09D88B2F">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 </w:t>
      </w:r>
      <w:r>
        <w:rPr>
          <w:rFonts w:hint="eastAsia" w:ascii="宋体" w:hAnsi="宋体" w:eastAsia="宋体" w:cs="宋体"/>
          <w:color w:val="auto"/>
          <w:sz w:val="24"/>
          <w:szCs w:val="24"/>
          <w:highlight w:val="none"/>
          <w:u w:val="single"/>
        </w:rPr>
        <w:t xml:space="preserve">         （投标人单位名称）         </w:t>
      </w:r>
      <w:r>
        <w:rPr>
          <w:rFonts w:hint="eastAsia" w:ascii="宋体" w:hAnsi="宋体" w:eastAsia="宋体" w:cs="宋体"/>
          <w:color w:val="auto"/>
          <w:sz w:val="24"/>
          <w:szCs w:val="24"/>
          <w:highlight w:val="none"/>
        </w:rPr>
        <w:t>的法定代表人。</w:t>
      </w:r>
    </w:p>
    <w:p w14:paraId="1D70957E">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2803DFF3">
      <w:pPr>
        <w:adjustRightInd w:val="0"/>
        <w:snapToGrid w:val="0"/>
        <w:spacing w:line="360" w:lineRule="auto"/>
        <w:jc w:val="left"/>
        <w:rPr>
          <w:rFonts w:hint="eastAsia" w:ascii="宋体" w:hAnsi="宋体" w:eastAsia="宋体" w:cs="宋体"/>
          <w:color w:val="auto"/>
          <w:sz w:val="24"/>
          <w:szCs w:val="24"/>
          <w:highlight w:val="none"/>
        </w:rPr>
      </w:pPr>
    </w:p>
    <w:p w14:paraId="2CCDE0C7">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（盖单位章）</w:t>
      </w:r>
    </w:p>
    <w:p w14:paraId="1482B062">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6777A42">
      <w:pPr>
        <w:adjustRightInd w:val="0"/>
        <w:snapToGrid w:val="0"/>
        <w:spacing w:line="360" w:lineRule="auto"/>
        <w:jc w:val="center"/>
        <w:rPr>
          <w:rFonts w:hint="eastAsia" w:ascii="宋体" w:hAnsi="宋体" w:eastAsia="宋体" w:cs="宋体"/>
          <w:b/>
          <w:color w:val="auto"/>
          <w:sz w:val="24"/>
          <w:szCs w:val="24"/>
          <w:highlight w:val="none"/>
        </w:rPr>
      </w:pPr>
    </w:p>
    <w:p w14:paraId="72820999">
      <w:pPr>
        <w:adjustRightInd w:val="0"/>
        <w:snapToGrid w:val="0"/>
        <w:spacing w:line="360" w:lineRule="auto"/>
        <w:jc w:val="center"/>
        <w:rPr>
          <w:rFonts w:hint="eastAsia" w:ascii="宋体" w:hAnsi="宋体" w:eastAsia="宋体" w:cs="宋体"/>
          <w:b/>
          <w:color w:val="auto"/>
          <w:sz w:val="24"/>
          <w:szCs w:val="24"/>
          <w:highlight w:val="none"/>
        </w:rPr>
      </w:pPr>
    </w:p>
    <w:p w14:paraId="6F9671BF">
      <w:pPr>
        <w:adjustRightInd w:val="0"/>
        <w:snapToGrid w:val="0"/>
        <w:spacing w:line="360" w:lineRule="auto"/>
        <w:ind w:firstLine="602" w:firstLineChars="25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附：法定代表人身份证复印件；</w:t>
      </w:r>
    </w:p>
    <w:p w14:paraId="1385F502">
      <w:pPr>
        <w:adjustRightInd w:val="0"/>
        <w:snapToGrid w:val="0"/>
        <w:spacing w:line="360" w:lineRule="auto"/>
        <w:rPr>
          <w:rFonts w:hint="eastAsia" w:ascii="宋体" w:hAnsi="宋体" w:eastAsia="宋体" w:cs="宋体"/>
          <w:b/>
          <w:color w:val="auto"/>
          <w:sz w:val="24"/>
          <w:szCs w:val="24"/>
          <w:highlight w:val="none"/>
        </w:rPr>
      </w:pPr>
    </w:p>
    <w:p w14:paraId="38014FD6">
      <w:pPr>
        <w:pStyle w:val="51"/>
        <w:adjustRightInd w:val="0"/>
        <w:snapToGrid w:val="0"/>
        <w:spacing w:before="0" w:after="0" w:line="360" w:lineRule="auto"/>
        <w:rPr>
          <w:rFonts w:hint="eastAsia" w:eastAsia="宋体"/>
          <w:color w:val="auto"/>
          <w:highlight w:val="none"/>
        </w:rPr>
      </w:pPr>
    </w:p>
    <w:p w14:paraId="58DF1D2D">
      <w:pPr>
        <w:adjustRightInd w:val="0"/>
        <w:snapToGrid w:val="0"/>
        <w:spacing w:line="360" w:lineRule="auto"/>
        <w:rPr>
          <w:rFonts w:hint="eastAsia" w:ascii="宋体" w:hAnsi="宋体" w:eastAsia="宋体" w:cs="宋体"/>
          <w:color w:val="auto"/>
          <w:highlight w:val="none"/>
        </w:rPr>
      </w:pPr>
    </w:p>
    <w:p w14:paraId="5A9A5B1D">
      <w:pPr>
        <w:pStyle w:val="51"/>
        <w:adjustRightInd w:val="0"/>
        <w:snapToGrid w:val="0"/>
        <w:spacing w:before="0" w:after="0" w:line="360" w:lineRule="auto"/>
        <w:rPr>
          <w:rFonts w:hint="eastAsia" w:eastAsia="宋体"/>
          <w:color w:val="auto"/>
          <w:highlight w:val="none"/>
        </w:rPr>
      </w:pPr>
    </w:p>
    <w:p w14:paraId="7D0680E7">
      <w:pPr>
        <w:adjustRightInd w:val="0"/>
        <w:snapToGrid w:val="0"/>
        <w:spacing w:line="360" w:lineRule="auto"/>
        <w:rPr>
          <w:rFonts w:hint="eastAsia" w:ascii="宋体" w:hAnsi="宋体" w:eastAsia="宋体" w:cs="宋体"/>
          <w:color w:val="auto"/>
          <w:highlight w:val="none"/>
        </w:rPr>
      </w:pPr>
    </w:p>
    <w:p w14:paraId="2BF3DFD5">
      <w:pPr>
        <w:pStyle w:val="51"/>
        <w:adjustRightInd w:val="0"/>
        <w:snapToGrid w:val="0"/>
        <w:spacing w:before="0" w:after="0" w:line="360" w:lineRule="auto"/>
        <w:rPr>
          <w:rFonts w:hint="eastAsia" w:eastAsia="宋体"/>
          <w:color w:val="auto"/>
          <w:highlight w:val="none"/>
        </w:rPr>
      </w:pPr>
    </w:p>
    <w:p w14:paraId="1BB6FC4F">
      <w:pPr>
        <w:adjustRightInd w:val="0"/>
        <w:snapToGrid w:val="0"/>
        <w:spacing w:line="360" w:lineRule="auto"/>
        <w:rPr>
          <w:rFonts w:hint="eastAsia" w:ascii="宋体" w:hAnsi="宋体" w:eastAsia="宋体" w:cs="宋体"/>
          <w:color w:val="auto"/>
          <w:highlight w:val="none"/>
        </w:rPr>
      </w:pPr>
    </w:p>
    <w:p w14:paraId="60E6302B">
      <w:pPr>
        <w:pStyle w:val="51"/>
        <w:adjustRightInd w:val="0"/>
        <w:snapToGrid w:val="0"/>
        <w:spacing w:before="0" w:after="0" w:line="360" w:lineRule="auto"/>
        <w:rPr>
          <w:rFonts w:hint="eastAsia" w:eastAsia="宋体"/>
          <w:color w:val="auto"/>
          <w:highlight w:val="none"/>
        </w:rPr>
      </w:pPr>
    </w:p>
    <w:p w14:paraId="48C228F2">
      <w:pPr>
        <w:adjustRightInd w:val="0"/>
        <w:snapToGrid w:val="0"/>
        <w:spacing w:line="360" w:lineRule="auto"/>
        <w:rPr>
          <w:rFonts w:hint="eastAsia" w:ascii="宋体" w:hAnsi="宋体" w:eastAsia="宋体" w:cs="宋体"/>
          <w:color w:val="auto"/>
          <w:highlight w:val="none"/>
        </w:rPr>
      </w:pPr>
    </w:p>
    <w:p w14:paraId="53442C75">
      <w:pPr>
        <w:adjustRightInd w:val="0"/>
        <w:snapToGrid w:val="0"/>
        <w:spacing w:line="360" w:lineRule="auto"/>
        <w:rPr>
          <w:rFonts w:hint="eastAsia" w:ascii="宋体" w:hAnsi="宋体" w:eastAsia="宋体" w:cs="宋体"/>
          <w:color w:val="auto"/>
          <w:highlight w:val="none"/>
        </w:rPr>
      </w:pPr>
    </w:p>
    <w:p w14:paraId="7C8E524E">
      <w:pPr>
        <w:adjustRightInd w:val="0"/>
        <w:snapToGrid w:val="0"/>
        <w:spacing w:line="360" w:lineRule="auto"/>
        <w:rPr>
          <w:rFonts w:hint="eastAsia" w:ascii="宋体" w:hAnsi="宋体" w:eastAsia="宋体" w:cs="宋体"/>
          <w:color w:val="auto"/>
          <w:highlight w:val="none"/>
        </w:rPr>
      </w:pPr>
    </w:p>
    <w:p w14:paraId="5739DA97">
      <w:pPr>
        <w:adjustRightInd w:val="0"/>
        <w:snapToGrid w:val="0"/>
        <w:spacing w:line="360" w:lineRule="auto"/>
        <w:rPr>
          <w:rFonts w:hint="eastAsia" w:ascii="宋体" w:hAnsi="宋体" w:eastAsia="宋体" w:cs="宋体"/>
          <w:color w:val="auto"/>
          <w:highlight w:val="none"/>
        </w:rPr>
      </w:pPr>
    </w:p>
    <w:p w14:paraId="531BD85B">
      <w:pPr>
        <w:adjustRightInd w:val="0"/>
        <w:snapToGrid w:val="0"/>
        <w:spacing w:line="360" w:lineRule="auto"/>
        <w:rPr>
          <w:rFonts w:hint="eastAsia" w:ascii="宋体" w:hAnsi="宋体" w:eastAsia="宋体" w:cs="宋体"/>
          <w:color w:val="auto"/>
          <w:highlight w:val="none"/>
        </w:rPr>
      </w:pPr>
    </w:p>
    <w:p w14:paraId="73A97532">
      <w:pPr>
        <w:pStyle w:val="16"/>
        <w:adjustRightInd w:val="0"/>
        <w:snapToGrid w:val="0"/>
        <w:spacing w:after="0" w:line="360" w:lineRule="auto"/>
        <w:rPr>
          <w:rFonts w:hint="eastAsia" w:eastAsia="宋体"/>
          <w:color w:val="auto"/>
          <w:highlight w:val="none"/>
        </w:rPr>
      </w:pPr>
    </w:p>
    <w:p w14:paraId="37482510">
      <w:pPr>
        <w:adjustRightInd w:val="0"/>
        <w:snapToGrid w:val="0"/>
        <w:spacing w:line="360" w:lineRule="auto"/>
        <w:rPr>
          <w:rFonts w:hint="eastAsia" w:ascii="宋体" w:hAnsi="宋体" w:eastAsia="宋体" w:cs="宋体"/>
          <w:color w:val="auto"/>
          <w:highlight w:val="none"/>
        </w:rPr>
      </w:pPr>
    </w:p>
    <w:p w14:paraId="42CC8213">
      <w:pPr>
        <w:adjustRightInd w:val="0"/>
        <w:snapToGrid w:val="0"/>
        <w:spacing w:line="360" w:lineRule="auto"/>
        <w:rPr>
          <w:rFonts w:hint="eastAsia" w:ascii="宋体" w:hAnsi="宋体" w:eastAsia="宋体" w:cs="宋体"/>
          <w:color w:val="auto"/>
          <w:highlight w:val="none"/>
        </w:rPr>
      </w:pPr>
    </w:p>
    <w:p w14:paraId="220FC38F">
      <w:pPr>
        <w:adjustRightInd w:val="0"/>
        <w:snapToGrid w:val="0"/>
        <w:spacing w:line="360" w:lineRule="auto"/>
        <w:rPr>
          <w:rFonts w:hint="eastAsia" w:ascii="宋体" w:hAnsi="宋体" w:eastAsia="宋体" w:cs="宋体"/>
          <w:color w:val="auto"/>
          <w:highlight w:val="none"/>
        </w:rPr>
      </w:pPr>
    </w:p>
    <w:p w14:paraId="1F47010B">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3.授权委托书</w:t>
      </w:r>
    </w:p>
    <w:p w14:paraId="10F81038">
      <w:pPr>
        <w:adjustRightInd w:val="0"/>
        <w:snapToGrid w:val="0"/>
        <w:spacing w:line="360" w:lineRule="auto"/>
        <w:jc w:val="left"/>
        <w:rPr>
          <w:rFonts w:hint="eastAsia" w:ascii="宋体" w:hAnsi="宋体" w:eastAsia="宋体" w:cs="宋体"/>
          <w:b/>
          <w:color w:val="auto"/>
          <w:sz w:val="24"/>
          <w:szCs w:val="24"/>
          <w:highlight w:val="none"/>
        </w:rPr>
      </w:pPr>
    </w:p>
    <w:p w14:paraId="6E32E825">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的法定代表人，现委托我公司员工</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（项目名称及包件号）       </w:t>
      </w:r>
      <w:r>
        <w:rPr>
          <w:rFonts w:hint="eastAsia" w:ascii="宋体" w:hAnsi="宋体" w:eastAsia="宋体" w:cs="宋体"/>
          <w:color w:val="auto"/>
          <w:sz w:val="24"/>
          <w:szCs w:val="24"/>
          <w:highlight w:val="none"/>
        </w:rPr>
        <w:t>投标文件、签订合同和处理有关事宜，其法律后果由我方承担。</w:t>
      </w:r>
    </w:p>
    <w:p w14:paraId="608D9A25">
      <w:pPr>
        <w:adjustRightInd w:val="0"/>
        <w:snapToGrid w:val="0"/>
        <w:spacing w:line="360" w:lineRule="auto"/>
        <w:ind w:firstLine="600" w:firstLineChars="2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p>
    <w:p w14:paraId="60578AA9">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35740820">
      <w:pPr>
        <w:adjustRightInd w:val="0"/>
        <w:snapToGrid w:val="0"/>
        <w:spacing w:line="360" w:lineRule="auto"/>
        <w:ind w:firstLine="602" w:firstLineChars="25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附：委托代理人身份证复印件。</w:t>
      </w:r>
    </w:p>
    <w:p w14:paraId="1E7A09DC">
      <w:pPr>
        <w:adjustRightInd w:val="0"/>
        <w:snapToGrid w:val="0"/>
        <w:spacing w:line="360" w:lineRule="auto"/>
        <w:ind w:firstLine="600" w:firstLineChars="250"/>
        <w:jc w:val="left"/>
        <w:rPr>
          <w:rFonts w:hint="eastAsia" w:ascii="宋体" w:hAnsi="宋体" w:eastAsia="宋体" w:cs="宋体"/>
          <w:color w:val="auto"/>
          <w:sz w:val="24"/>
          <w:szCs w:val="24"/>
          <w:highlight w:val="none"/>
        </w:rPr>
      </w:pPr>
    </w:p>
    <w:p w14:paraId="4DBC6F32">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（盖单位章）</w:t>
      </w:r>
    </w:p>
    <w:p w14:paraId="093CE5D1">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（签字或签章）</w:t>
      </w:r>
    </w:p>
    <w:p w14:paraId="501FB44B">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A7EF9AB">
      <w:pPr>
        <w:adjustRightInd w:val="0"/>
        <w:snapToGrid w:val="0"/>
        <w:spacing w:line="360" w:lineRule="auto"/>
        <w:ind w:firstLine="600" w:firstLineChars="250"/>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u w:val="single"/>
          <w:lang w:val="en-US" w:eastAsia="zh-CN"/>
        </w:rPr>
        <w:t xml:space="preserve">                      </w:t>
      </w:r>
    </w:p>
    <w:p w14:paraId="481FEA1F">
      <w:pPr>
        <w:adjustRightInd w:val="0"/>
        <w:snapToGrid w:val="0"/>
        <w:spacing w:line="360" w:lineRule="auto"/>
        <w:ind w:firstLine="600" w:firstLineChars="2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委托代理人姓名：</w:t>
      </w:r>
      <w:r>
        <w:rPr>
          <w:rFonts w:hint="eastAsia" w:ascii="宋体" w:hAnsi="宋体" w:eastAsia="宋体" w:cs="宋体"/>
          <w:color w:val="auto"/>
          <w:sz w:val="24"/>
          <w:szCs w:val="24"/>
          <w:highlight w:val="none"/>
          <w:u w:val="single"/>
        </w:rPr>
        <w:t xml:space="preserve">                     </w:t>
      </w:r>
    </w:p>
    <w:p w14:paraId="25B8B4DE">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945F3F7">
      <w:pPr>
        <w:adjustRightInd w:val="0"/>
        <w:snapToGrid w:val="0"/>
        <w:spacing w:line="360" w:lineRule="auto"/>
        <w:ind w:firstLine="600" w:firstLineChars="250"/>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u w:val="single"/>
          <w:lang w:val="en-US" w:eastAsia="zh-CN"/>
        </w:rPr>
        <w:t xml:space="preserve">                       </w:t>
      </w:r>
    </w:p>
    <w:p w14:paraId="4F79C3DF">
      <w:pPr>
        <w:adjustRightInd w:val="0"/>
        <w:snapToGrid w:val="0"/>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14651C4">
      <w:pPr>
        <w:adjustRightInd w:val="0"/>
        <w:snapToGrid w:val="0"/>
        <w:spacing w:line="360" w:lineRule="auto"/>
        <w:jc w:val="left"/>
        <w:rPr>
          <w:rFonts w:hint="eastAsia" w:ascii="宋体" w:hAnsi="宋体" w:eastAsia="宋体" w:cs="宋体"/>
          <w:color w:val="auto"/>
          <w:sz w:val="24"/>
          <w:szCs w:val="24"/>
          <w:highlight w:val="none"/>
        </w:rPr>
      </w:pPr>
    </w:p>
    <w:p w14:paraId="15A2D6EC">
      <w:pPr>
        <w:pStyle w:val="16"/>
        <w:adjustRightInd w:val="0"/>
        <w:snapToGrid w:val="0"/>
        <w:spacing w:after="0" w:line="360" w:lineRule="auto"/>
        <w:rPr>
          <w:rFonts w:hint="eastAsia" w:eastAsia="宋体"/>
          <w:color w:val="auto"/>
          <w:highlight w:val="none"/>
        </w:rPr>
      </w:pPr>
    </w:p>
    <w:p w14:paraId="23E2793A">
      <w:pPr>
        <w:adjustRightInd w:val="0"/>
        <w:snapToGrid w:val="0"/>
        <w:spacing w:line="360" w:lineRule="auto"/>
        <w:rPr>
          <w:rFonts w:hint="eastAsia" w:ascii="宋体" w:hAnsi="宋体" w:eastAsia="宋体" w:cs="宋体"/>
          <w:color w:val="auto"/>
          <w:highlight w:val="none"/>
        </w:rPr>
      </w:pPr>
    </w:p>
    <w:p w14:paraId="5A52DFF5">
      <w:pPr>
        <w:pStyle w:val="16"/>
        <w:adjustRightInd w:val="0"/>
        <w:snapToGrid w:val="0"/>
        <w:spacing w:after="0" w:line="360" w:lineRule="auto"/>
        <w:rPr>
          <w:rFonts w:hint="eastAsia" w:eastAsia="宋体"/>
          <w:color w:val="auto"/>
          <w:highlight w:val="none"/>
        </w:rPr>
      </w:pPr>
    </w:p>
    <w:p w14:paraId="2E1D9F2D">
      <w:pPr>
        <w:adjustRightInd w:val="0"/>
        <w:snapToGrid w:val="0"/>
        <w:spacing w:line="360" w:lineRule="auto"/>
        <w:rPr>
          <w:rFonts w:hint="eastAsia" w:ascii="宋体" w:hAnsi="宋体" w:eastAsia="宋体" w:cs="宋体"/>
          <w:color w:val="auto"/>
          <w:highlight w:val="none"/>
        </w:rPr>
      </w:pPr>
    </w:p>
    <w:p w14:paraId="20E7AB5A">
      <w:pPr>
        <w:pStyle w:val="16"/>
        <w:adjustRightInd w:val="0"/>
        <w:snapToGrid w:val="0"/>
        <w:spacing w:after="0" w:line="360" w:lineRule="auto"/>
        <w:rPr>
          <w:rFonts w:hint="eastAsia" w:eastAsia="宋体"/>
          <w:color w:val="auto"/>
          <w:highlight w:val="none"/>
        </w:rPr>
      </w:pPr>
    </w:p>
    <w:p w14:paraId="48CC76EF">
      <w:pPr>
        <w:adjustRightInd w:val="0"/>
        <w:snapToGrid w:val="0"/>
        <w:spacing w:line="360" w:lineRule="auto"/>
        <w:rPr>
          <w:rFonts w:hint="eastAsia" w:ascii="宋体" w:hAnsi="宋体" w:eastAsia="宋体" w:cs="宋体"/>
          <w:color w:val="auto"/>
          <w:highlight w:val="none"/>
        </w:rPr>
      </w:pPr>
    </w:p>
    <w:p w14:paraId="211CCF41">
      <w:pPr>
        <w:pStyle w:val="16"/>
        <w:adjustRightInd w:val="0"/>
        <w:snapToGrid w:val="0"/>
        <w:spacing w:after="0" w:line="360" w:lineRule="auto"/>
        <w:rPr>
          <w:rFonts w:hint="eastAsia" w:eastAsia="宋体"/>
          <w:color w:val="auto"/>
          <w:highlight w:val="none"/>
        </w:rPr>
      </w:pPr>
    </w:p>
    <w:p w14:paraId="6DBDE4A1">
      <w:pPr>
        <w:adjustRightInd w:val="0"/>
        <w:snapToGrid w:val="0"/>
        <w:spacing w:line="360" w:lineRule="auto"/>
        <w:rPr>
          <w:rFonts w:hint="eastAsia" w:ascii="宋体" w:hAnsi="宋体" w:eastAsia="宋体" w:cs="宋体"/>
          <w:color w:val="auto"/>
          <w:highlight w:val="none"/>
        </w:rPr>
      </w:pPr>
    </w:p>
    <w:p w14:paraId="22FFE675">
      <w:pPr>
        <w:pStyle w:val="16"/>
        <w:adjustRightInd w:val="0"/>
        <w:snapToGrid w:val="0"/>
        <w:spacing w:after="0" w:line="360" w:lineRule="auto"/>
        <w:rPr>
          <w:rFonts w:hint="eastAsia" w:eastAsia="宋体"/>
          <w:color w:val="auto"/>
          <w:highlight w:val="none"/>
        </w:rPr>
      </w:pPr>
    </w:p>
    <w:p w14:paraId="2C76547F">
      <w:pPr>
        <w:adjustRightInd w:val="0"/>
        <w:snapToGrid w:val="0"/>
        <w:spacing w:line="360" w:lineRule="auto"/>
        <w:rPr>
          <w:rFonts w:hint="eastAsia" w:ascii="宋体" w:hAnsi="宋体" w:eastAsia="宋体" w:cs="宋体"/>
          <w:color w:val="auto"/>
          <w:highlight w:val="none"/>
        </w:rPr>
      </w:pPr>
    </w:p>
    <w:p w14:paraId="1CA9C318">
      <w:pPr>
        <w:adjustRightInd w:val="0"/>
        <w:snapToGrid w:val="0"/>
        <w:spacing w:line="360" w:lineRule="auto"/>
        <w:rPr>
          <w:rFonts w:hint="eastAsia" w:ascii="宋体" w:hAnsi="宋体" w:eastAsia="宋体" w:cs="宋体"/>
          <w:color w:val="auto"/>
          <w:highlight w:val="none"/>
        </w:rPr>
      </w:pPr>
    </w:p>
    <w:p w14:paraId="5D209195">
      <w:pPr>
        <w:adjustRightInd w:val="0"/>
        <w:snapToGrid w:val="0"/>
        <w:spacing w:line="360" w:lineRule="auto"/>
        <w:rPr>
          <w:rFonts w:hint="eastAsia" w:ascii="宋体" w:hAnsi="宋体" w:eastAsia="宋体" w:cs="宋体"/>
          <w:color w:val="auto"/>
          <w:highlight w:val="none"/>
        </w:rPr>
      </w:pPr>
    </w:p>
    <w:p w14:paraId="5CCD1DCA">
      <w:pPr>
        <w:pStyle w:val="22"/>
        <w:rPr>
          <w:rFonts w:hint="eastAsia" w:eastAsia="宋体" w:cs="宋体"/>
          <w:color w:val="auto"/>
          <w:highlight w:val="none"/>
        </w:rPr>
      </w:pPr>
    </w:p>
    <w:p w14:paraId="66EB5ACB">
      <w:pPr>
        <w:adjustRightInd w:val="0"/>
        <w:snapToGrid w:val="0"/>
        <w:spacing w:line="360" w:lineRule="auto"/>
        <w:jc w:val="center"/>
        <w:rPr>
          <w:rFonts w:hint="eastAsia" w:ascii="宋体" w:hAnsi="宋体" w:eastAsia="宋体" w:cs="宋体"/>
          <w:b/>
          <w:color w:val="auto"/>
          <w:sz w:val="28"/>
          <w:szCs w:val="28"/>
          <w:highlight w:val="none"/>
        </w:rPr>
      </w:pPr>
      <w:bookmarkStart w:id="153" w:name="_Toc435514855"/>
      <w:bookmarkStart w:id="154" w:name="_Toc435515295"/>
      <w:bookmarkStart w:id="155" w:name="_Toc275865606"/>
      <w:r>
        <w:rPr>
          <w:rFonts w:hint="eastAsia" w:ascii="宋体" w:hAnsi="宋体" w:eastAsia="宋体" w:cs="宋体"/>
          <w:b/>
          <w:color w:val="auto"/>
          <w:sz w:val="28"/>
          <w:szCs w:val="28"/>
          <w:highlight w:val="none"/>
        </w:rPr>
        <w:t>4.</w:t>
      </w:r>
      <w:bookmarkStart w:id="156" w:name="_Hlk37924201"/>
      <w:r>
        <w:rPr>
          <w:rFonts w:hint="eastAsia" w:ascii="宋体" w:hAnsi="宋体" w:eastAsia="宋体" w:cs="宋体"/>
          <w:b/>
          <w:color w:val="auto"/>
          <w:sz w:val="28"/>
          <w:szCs w:val="28"/>
          <w:highlight w:val="none"/>
        </w:rPr>
        <w:t>投标人资格声明函</w:t>
      </w:r>
      <w:bookmarkEnd w:id="153"/>
      <w:bookmarkEnd w:id="154"/>
      <w:bookmarkEnd w:id="155"/>
      <w:bookmarkEnd w:id="156"/>
    </w:p>
    <w:p w14:paraId="6B1D60ED">
      <w:pPr>
        <w:adjustRightInd w:val="0"/>
        <w:snapToGrid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rPr>
        <w:t xml:space="preserve">         （采购人、代理机构）   </w:t>
      </w:r>
    </w:p>
    <w:p w14:paraId="2CFF9AE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关于贵公司</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 xml:space="preserve">日发布 </w:t>
      </w:r>
      <w:r>
        <w:rPr>
          <w:rFonts w:hint="eastAsia" w:ascii="宋体" w:hAnsi="宋体" w:eastAsia="宋体" w:cs="宋体"/>
          <w:color w:val="auto"/>
          <w:sz w:val="24"/>
          <w:szCs w:val="24"/>
          <w:highlight w:val="none"/>
          <w:u w:val="single"/>
        </w:rPr>
        <w:t xml:space="preserve">（项目名称及包件号）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）告，本公司（企业）愿意参加投标，并声明：</w:t>
      </w:r>
    </w:p>
    <w:p w14:paraId="24D10578">
      <w:pPr>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1.本公司（企业）</w:t>
      </w:r>
      <w:r>
        <w:rPr>
          <w:rFonts w:hint="eastAsia" w:ascii="宋体" w:hAnsi="宋体" w:eastAsia="宋体" w:cs="宋体"/>
          <w:bCs/>
          <w:color w:val="auto"/>
          <w:sz w:val="24"/>
          <w:szCs w:val="24"/>
          <w:highlight w:val="none"/>
        </w:rPr>
        <w:t>具备《中华人民共和国政府采购法》第二十二条</w:t>
      </w:r>
      <w:r>
        <w:rPr>
          <w:rFonts w:hint="eastAsia" w:ascii="宋体" w:hAnsi="宋体" w:eastAsia="宋体" w:cs="宋体"/>
          <w:color w:val="auto"/>
          <w:sz w:val="24"/>
          <w:szCs w:val="24"/>
          <w:highlight w:val="none"/>
        </w:rPr>
        <w:t>及《中华人民共和国政府采购法实施条例》第十七条的相关要求；</w:t>
      </w:r>
    </w:p>
    <w:p w14:paraId="45A9CFD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2.我公司承诺在“信用中国”网站(www.creditchina.gov.cn) 中未被列入：失信被执行人、重大税收违法失信主体名单、严重失信主体名单查询；在“中国政府采购网”(www.ccgp.gov.cn) 中未被列入：政府采购严重违法失信行为记录名单；</w:t>
      </w:r>
    </w:p>
    <w:p w14:paraId="14034BF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3.本公司（企业）的单位负责人与所参投的本采购项目包组的其他投标人的单位负责人不为同一人且与其他投标人之间不存在直接控股、管理关系。</w:t>
      </w:r>
    </w:p>
    <w:p w14:paraId="4FDE32D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中华人民共和国政府采购法实施条例》的规定，本公司（企业）如为本采购项目包组提供整体设计、规范编制或者项目管理、监理、检测等服务的投标人，不得再参加该采购项目包组的其他采购活动。否则，由此所造成的损失、不良后果及法律责任，一律由我公司（企业）承担。</w:t>
      </w:r>
    </w:p>
    <w:p w14:paraId="5C9F4EE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5.本公司（企业）承诺在本次招标采购活动中，如有违法、违规、弄虚作假行为，所造成的损失、不良后果及法律责任，一律由我公司（企业）承担。</w:t>
      </w:r>
    </w:p>
    <w:p w14:paraId="6BC67A01">
      <w:pPr>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35CCAF8D">
      <w:pPr>
        <w:autoSpaceDE w:val="0"/>
        <w:autoSpaceDN w:val="0"/>
        <w:adjustRightInd w:val="0"/>
        <w:snapToGrid w:val="0"/>
        <w:spacing w:line="360" w:lineRule="auto"/>
        <w:ind w:firstLine="472" w:firstLineChars="196"/>
        <w:rPr>
          <w:rFonts w:hint="eastAsia" w:ascii="宋体" w:hAnsi="宋体" w:eastAsia="宋体" w:cs="宋体"/>
          <w:b/>
          <w:color w:val="auto"/>
          <w:sz w:val="24"/>
          <w:szCs w:val="24"/>
          <w:highlight w:val="none"/>
        </w:rPr>
      </w:pPr>
    </w:p>
    <w:p w14:paraId="09BF3844">
      <w:pPr>
        <w:autoSpaceDE w:val="0"/>
        <w:autoSpaceDN w:val="0"/>
        <w:adjustRightInd w:val="0"/>
        <w:snapToGrid w:val="0"/>
        <w:spacing w:line="360" w:lineRule="auto"/>
        <w:ind w:firstLine="472" w:firstLineChars="19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3548964A">
      <w:pPr>
        <w:pStyle w:val="162"/>
        <w:numPr>
          <w:ilvl w:val="0"/>
          <w:numId w:val="4"/>
        </w:numPr>
        <w:autoSpaceDE w:val="0"/>
        <w:autoSpaceDN w:val="0"/>
        <w:adjustRightInd w:val="0"/>
        <w:snapToGrid w:val="0"/>
        <w:spacing w:line="360" w:lineRule="auto"/>
        <w:ind w:left="420" w:firstLineChars="0"/>
        <w:rPr>
          <w:rFonts w:hint="eastAsia" w:eastAsia="宋体"/>
          <w:color w:val="auto"/>
          <w:sz w:val="24"/>
          <w:szCs w:val="24"/>
          <w:highlight w:val="none"/>
        </w:rPr>
      </w:pPr>
      <w:r>
        <w:rPr>
          <w:rFonts w:hint="eastAsia" w:eastAsia="宋体"/>
          <w:color w:val="auto"/>
          <w:sz w:val="24"/>
          <w:szCs w:val="24"/>
          <w:highlight w:val="none"/>
        </w:rPr>
        <w:t>本声明函必须提供且内容不得擅自删改，否则视为无效投标。</w:t>
      </w:r>
    </w:p>
    <w:p w14:paraId="5C5329AC">
      <w:pPr>
        <w:pStyle w:val="162"/>
        <w:numPr>
          <w:ilvl w:val="0"/>
          <w:numId w:val="4"/>
        </w:numPr>
        <w:adjustRightInd w:val="0"/>
        <w:snapToGrid w:val="0"/>
        <w:spacing w:line="360" w:lineRule="auto"/>
        <w:ind w:left="420" w:firstLineChars="0"/>
        <w:rPr>
          <w:rFonts w:hint="eastAsia" w:eastAsia="宋体"/>
          <w:color w:val="auto"/>
          <w:sz w:val="24"/>
          <w:szCs w:val="24"/>
          <w:highlight w:val="none"/>
        </w:rPr>
      </w:pPr>
      <w:r>
        <w:rPr>
          <w:rFonts w:hint="eastAsia" w:eastAsia="宋体"/>
          <w:color w:val="auto"/>
          <w:sz w:val="24"/>
          <w:szCs w:val="24"/>
          <w:highlight w:val="none"/>
        </w:rPr>
        <w:t>本声明函如有虚假或与事实不符的，作无效投标处理。</w:t>
      </w:r>
    </w:p>
    <w:p w14:paraId="2A16FE1F">
      <w:pPr>
        <w:adjustRightInd w:val="0"/>
        <w:snapToGrid w:val="0"/>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w:t>
      </w:r>
    </w:p>
    <w:p w14:paraId="1B2CA480">
      <w:pPr>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w:t>
      </w:r>
    </w:p>
    <w:p w14:paraId="740DFDD7">
      <w:pPr>
        <w:adjustRightInd w:val="0"/>
        <w:snapToGrid w:val="0"/>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单位公章：</w:t>
      </w:r>
      <w:r>
        <w:rPr>
          <w:rFonts w:hint="eastAsia" w:ascii="宋体" w:hAnsi="宋体" w:eastAsia="宋体" w:cs="宋体"/>
          <w:color w:val="auto"/>
          <w:sz w:val="24"/>
          <w:szCs w:val="24"/>
          <w:highlight w:val="none"/>
          <w:u w:val="single"/>
        </w:rPr>
        <w:t xml:space="preserve">                          </w:t>
      </w:r>
    </w:p>
    <w:p w14:paraId="2A81D829">
      <w:pPr>
        <w:adjustRightInd w:val="0"/>
        <w:snapToGrid w:val="0"/>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0A906257">
      <w:pPr>
        <w:adjustRightInd w:val="0"/>
        <w:snapToGrid w:val="0"/>
        <w:spacing w:line="360" w:lineRule="auto"/>
        <w:ind w:firstLine="420"/>
        <w:rPr>
          <w:rFonts w:hint="eastAsia" w:ascii="宋体" w:hAnsi="宋体" w:eastAsia="宋体" w:cs="宋体"/>
          <w:color w:val="auto"/>
          <w:sz w:val="24"/>
          <w:szCs w:val="24"/>
          <w:highlight w:val="none"/>
          <w:u w:val="single"/>
        </w:rPr>
      </w:pPr>
    </w:p>
    <w:p w14:paraId="7F1904CC">
      <w:pPr>
        <w:adjustRightInd w:val="0"/>
        <w:snapToGrid w:val="0"/>
        <w:spacing w:line="360" w:lineRule="auto"/>
        <w:ind w:firstLine="420"/>
        <w:rPr>
          <w:rFonts w:hint="eastAsia" w:ascii="宋体" w:hAnsi="宋体" w:eastAsia="宋体" w:cs="宋体"/>
          <w:color w:val="auto"/>
          <w:sz w:val="24"/>
          <w:szCs w:val="24"/>
          <w:highlight w:val="none"/>
          <w:u w:val="single"/>
        </w:rPr>
        <w:sectPr>
          <w:footerReference r:id="rId13" w:type="default"/>
          <w:pgSz w:w="11906" w:h="16838"/>
          <w:pgMar w:top="1134" w:right="1134" w:bottom="1134" w:left="1134" w:header="851" w:footer="850" w:gutter="0"/>
          <w:cols w:space="720" w:num="1"/>
          <w:docGrid w:linePitch="312" w:charSpace="0"/>
        </w:sectPr>
      </w:pPr>
    </w:p>
    <w:p w14:paraId="7951EA27">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 其他资格审查材料</w:t>
      </w:r>
    </w:p>
    <w:p w14:paraId="7E11198F">
      <w:pPr>
        <w:pStyle w:val="51"/>
        <w:adjustRightInd w:val="0"/>
        <w:snapToGrid w:val="0"/>
        <w:spacing w:before="0" w:after="0" w:line="360" w:lineRule="auto"/>
        <w:jc w:val="center"/>
        <w:rPr>
          <w:rFonts w:hint="eastAsia" w:eastAsia="宋体"/>
          <w:color w:val="auto"/>
          <w:highlight w:val="none"/>
        </w:rPr>
      </w:pPr>
      <w:r>
        <w:rPr>
          <w:rFonts w:hint="eastAsia" w:eastAsia="宋体"/>
          <w:color w:val="auto"/>
          <w:highlight w:val="none"/>
        </w:rPr>
        <w:t>格式自拟</w:t>
      </w:r>
    </w:p>
    <w:p w14:paraId="59BCC283">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203AA60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1.具备《中华人民共和国政府采购法》第二十二条规定的条件：</w:t>
      </w:r>
    </w:p>
    <w:p w14:paraId="5700012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1.1投标人须具有独立承担民事责任的能力：投标人须在中华人民共和国境内注册，具备有效的营业执照或其他等效证明材料；</w:t>
      </w:r>
    </w:p>
    <w:p w14:paraId="466A271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1.2投标人自行承诺符合《中华人民共和国政府采购法》第二十二条规定及《中华人民共和国政府采购法实施条例》第十七条的相关要求（加盖公章）</w:t>
      </w:r>
    </w:p>
    <w:p w14:paraId="7FB3AE8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参加政府采购活动前三年内，在经营活动中没有重大违法记录（重大违法记录，是指投标人因违法经营受到刑事处罚或者责令停产停业、吊销许可证或者执照、较大数额罚款等行政处罚）的书面声明（加盖公章）；</w:t>
      </w:r>
    </w:p>
    <w:p w14:paraId="2F6348D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2.投标人自行承诺在“信用中国”网站(www.creditchina.gov.cn) 中未被列入：失信被执行人、重大税收违法失信主体名单、严重失信主体名单查询；在“中国政府采购网”(www.ccgp.gov.cn) 中未被列入：政府采购严重违法失信行为记录名单（加盖公章）。</w:t>
      </w:r>
    </w:p>
    <w:p w14:paraId="183B6C12">
      <w:pPr>
        <w:adjustRightInd w:val="0"/>
        <w:snapToGrid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3.特定资格要求：投标人应具备有效的《食品生产许可证》或《食品经营许可证》。</w:t>
      </w:r>
    </w:p>
    <w:p w14:paraId="71E8511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4"/>
          <w:highlight w:val="none"/>
        </w:rPr>
        <w:t>本项目不接受联合体投标。</w:t>
      </w:r>
    </w:p>
    <w:p w14:paraId="3CA263FF">
      <w:pPr>
        <w:adjustRightInd w:val="0"/>
        <w:snapToGrid w:val="0"/>
        <w:spacing w:line="360" w:lineRule="auto"/>
        <w:rPr>
          <w:rFonts w:hint="eastAsia" w:ascii="宋体" w:hAnsi="宋体" w:eastAsia="宋体" w:cs="宋体"/>
          <w:color w:val="auto"/>
          <w:highlight w:val="none"/>
        </w:rPr>
      </w:pPr>
    </w:p>
    <w:p w14:paraId="6F6DD747">
      <w:pPr>
        <w:pStyle w:val="16"/>
        <w:adjustRightInd w:val="0"/>
        <w:snapToGrid w:val="0"/>
        <w:spacing w:after="0" w:line="360" w:lineRule="auto"/>
        <w:rPr>
          <w:rFonts w:hint="eastAsia" w:eastAsia="宋体"/>
          <w:color w:val="auto"/>
          <w:highlight w:val="none"/>
        </w:rPr>
      </w:pPr>
    </w:p>
    <w:p w14:paraId="58B9636E">
      <w:pPr>
        <w:adjustRightInd w:val="0"/>
        <w:snapToGrid w:val="0"/>
        <w:spacing w:line="360" w:lineRule="auto"/>
        <w:rPr>
          <w:rFonts w:hint="eastAsia" w:ascii="宋体" w:hAnsi="宋体" w:eastAsia="宋体" w:cs="宋体"/>
          <w:color w:val="auto"/>
          <w:highlight w:val="none"/>
        </w:rPr>
      </w:pPr>
    </w:p>
    <w:p w14:paraId="4FDCC49A">
      <w:pPr>
        <w:pStyle w:val="16"/>
        <w:adjustRightInd w:val="0"/>
        <w:snapToGrid w:val="0"/>
        <w:spacing w:after="0" w:line="360" w:lineRule="auto"/>
        <w:rPr>
          <w:rFonts w:hint="eastAsia" w:eastAsia="宋体"/>
          <w:color w:val="auto"/>
          <w:highlight w:val="none"/>
        </w:rPr>
      </w:pPr>
    </w:p>
    <w:p w14:paraId="206B1D2D">
      <w:pPr>
        <w:adjustRightInd w:val="0"/>
        <w:snapToGrid w:val="0"/>
        <w:spacing w:line="360" w:lineRule="auto"/>
        <w:rPr>
          <w:rFonts w:hint="eastAsia" w:ascii="宋体" w:hAnsi="宋体" w:eastAsia="宋体" w:cs="宋体"/>
          <w:color w:val="auto"/>
          <w:highlight w:val="none"/>
        </w:rPr>
      </w:pPr>
    </w:p>
    <w:p w14:paraId="60BC3C16">
      <w:pPr>
        <w:pStyle w:val="16"/>
        <w:adjustRightInd w:val="0"/>
        <w:snapToGrid w:val="0"/>
        <w:spacing w:after="0" w:line="360" w:lineRule="auto"/>
        <w:rPr>
          <w:rFonts w:hint="eastAsia" w:eastAsia="宋体"/>
          <w:color w:val="auto"/>
          <w:highlight w:val="none"/>
        </w:rPr>
      </w:pPr>
    </w:p>
    <w:p w14:paraId="60E199EF">
      <w:pPr>
        <w:adjustRightInd w:val="0"/>
        <w:snapToGrid w:val="0"/>
        <w:spacing w:line="360" w:lineRule="auto"/>
        <w:rPr>
          <w:rFonts w:hint="eastAsia" w:ascii="宋体" w:hAnsi="宋体" w:eastAsia="宋体" w:cs="宋体"/>
          <w:color w:val="auto"/>
          <w:highlight w:val="none"/>
        </w:rPr>
      </w:pPr>
    </w:p>
    <w:p w14:paraId="29204F7B">
      <w:pPr>
        <w:pStyle w:val="16"/>
        <w:adjustRightInd w:val="0"/>
        <w:snapToGrid w:val="0"/>
        <w:spacing w:after="0" w:line="360" w:lineRule="auto"/>
        <w:rPr>
          <w:rFonts w:hint="eastAsia" w:eastAsia="宋体"/>
          <w:color w:val="auto"/>
          <w:highlight w:val="none"/>
        </w:rPr>
      </w:pPr>
    </w:p>
    <w:p w14:paraId="1640B5B3">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3AAFB4E">
      <w:pPr>
        <w:pStyle w:val="3"/>
        <w:adjustRightInd w:val="0"/>
        <w:snapToGrid w:val="0"/>
        <w:spacing w:before="0" w:after="0" w:line="360" w:lineRule="auto"/>
        <w:rPr>
          <w:rFonts w:hint="eastAsia" w:ascii="宋体" w:hAnsi="宋体" w:eastAsia="宋体"/>
          <w:bCs w:val="0"/>
          <w:color w:val="auto"/>
          <w:sz w:val="28"/>
          <w:szCs w:val="28"/>
          <w:highlight w:val="none"/>
        </w:rPr>
      </w:pPr>
      <w:bookmarkStart w:id="157" w:name="_Toc218692288"/>
      <w:bookmarkStart w:id="158" w:name="_Toc24558"/>
      <w:r>
        <w:rPr>
          <w:rFonts w:hint="eastAsia" w:ascii="宋体" w:hAnsi="宋体" w:eastAsia="宋体"/>
          <w:bCs w:val="0"/>
          <w:color w:val="auto"/>
          <w:sz w:val="28"/>
          <w:szCs w:val="28"/>
          <w:highlight w:val="none"/>
        </w:rPr>
        <w:t>二、投标函及商务部分</w:t>
      </w:r>
      <w:bookmarkEnd w:id="157"/>
      <w:bookmarkEnd w:id="158"/>
    </w:p>
    <w:p w14:paraId="5E3EE719">
      <w:pPr>
        <w:adjustRightInd w:val="0"/>
        <w:snapToGrid w:val="0"/>
        <w:spacing w:line="360" w:lineRule="auto"/>
        <w:jc w:val="center"/>
        <w:rPr>
          <w:rFonts w:hint="eastAsia" w:ascii="宋体" w:hAnsi="宋体" w:eastAsia="宋体" w:cs="宋体"/>
          <w:b/>
          <w:bCs/>
          <w:color w:val="auto"/>
          <w:sz w:val="30"/>
          <w:szCs w:val="30"/>
          <w:highlight w:val="none"/>
        </w:rPr>
      </w:pPr>
      <w:bookmarkStart w:id="159" w:name="_Toc351117890"/>
      <w:bookmarkStart w:id="160" w:name="_Toc350330507"/>
      <w:bookmarkStart w:id="161" w:name="_Toc350930006"/>
      <w:bookmarkStart w:id="162" w:name="_Toc350930221"/>
      <w:r>
        <w:rPr>
          <w:rFonts w:hint="eastAsia" w:ascii="宋体" w:hAnsi="宋体" w:eastAsia="宋体" w:cs="宋体"/>
          <w:b/>
          <w:color w:val="auto"/>
          <w:sz w:val="30"/>
          <w:szCs w:val="30"/>
          <w:highlight w:val="none"/>
        </w:rPr>
        <w:t>1.</w:t>
      </w:r>
      <w:bookmarkEnd w:id="159"/>
      <w:bookmarkEnd w:id="160"/>
      <w:bookmarkEnd w:id="161"/>
      <w:bookmarkEnd w:id="162"/>
      <w:r>
        <w:rPr>
          <w:rFonts w:hint="eastAsia" w:ascii="宋体" w:hAnsi="宋体" w:eastAsia="宋体" w:cs="宋体"/>
          <w:b/>
          <w:bCs/>
          <w:color w:val="auto"/>
          <w:sz w:val="30"/>
          <w:szCs w:val="30"/>
          <w:highlight w:val="none"/>
        </w:rPr>
        <w:t>投标函</w:t>
      </w:r>
    </w:p>
    <w:p w14:paraId="04DB6F71">
      <w:pPr>
        <w:adjustRightInd w:val="0"/>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 xml:space="preserve">  {采购人名称} </w:t>
      </w:r>
    </w:p>
    <w:p w14:paraId="2A6BFF8E">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1.根据你方招标编号为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 xml:space="preserve">         （项目名称及包件号）  </w:t>
      </w:r>
      <w:r>
        <w:rPr>
          <w:rFonts w:hint="eastAsia" w:ascii="宋体" w:hAnsi="宋体" w:eastAsia="宋体" w:cs="宋体"/>
          <w:bCs/>
          <w:color w:val="auto"/>
          <w:sz w:val="24"/>
          <w:szCs w:val="24"/>
          <w:highlight w:val="none"/>
        </w:rPr>
        <w:t>招标文件，遵照《中华人民共和国政府采购法》等有关规定，经研究上述招标文件的所有内容后，我方完全响应招标文件并按要求作出承诺，我方愿意</w:t>
      </w:r>
      <w:r>
        <w:rPr>
          <w:rFonts w:hint="eastAsia" w:ascii="宋体" w:hAnsi="宋体" w:eastAsia="宋体" w:cs="宋体"/>
          <w:b/>
          <w:color w:val="auto"/>
          <w:sz w:val="24"/>
          <w:szCs w:val="24"/>
          <w:highlight w:val="none"/>
          <w:u w:val="single"/>
        </w:rPr>
        <w:t>严格按照《开标一览表》</w:t>
      </w:r>
      <w:r>
        <w:rPr>
          <w:rFonts w:hint="eastAsia" w:ascii="宋体" w:hAnsi="宋体" w:eastAsia="宋体" w:cs="宋体"/>
          <w:bCs/>
          <w:color w:val="auto"/>
          <w:sz w:val="24"/>
          <w:szCs w:val="24"/>
          <w:highlight w:val="none"/>
        </w:rPr>
        <w:t>作为投标报价，承担本项目所有工作及售后服务。</w:t>
      </w:r>
    </w:p>
    <w:p w14:paraId="2DBF66D8">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2.我方已详细审查全部招标文件，包括修改文件（如有的话）以及全部参考资料和有关附件。我们完全理解并同意放弃对这方面有不明及误解的权利。</w:t>
      </w:r>
    </w:p>
    <w:p w14:paraId="27A9428C">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3.投标有效期为自投标截止日起</w:t>
      </w:r>
      <w:r>
        <w:rPr>
          <w:rFonts w:hint="eastAsia" w:ascii="宋体" w:hAnsi="宋体" w:eastAsia="宋体" w:cs="宋体"/>
          <w:bCs/>
          <w:color w:val="auto"/>
          <w:sz w:val="24"/>
          <w:szCs w:val="24"/>
          <w:highlight w:val="none"/>
          <w:u w:val="single"/>
        </w:rPr>
        <w:t xml:space="preserve"> 90 </w:t>
      </w:r>
      <w:r>
        <w:rPr>
          <w:rFonts w:hint="eastAsia" w:ascii="宋体" w:hAnsi="宋体" w:eastAsia="宋体" w:cs="宋体"/>
          <w:bCs/>
          <w:color w:val="auto"/>
          <w:sz w:val="24"/>
          <w:szCs w:val="24"/>
          <w:highlight w:val="none"/>
        </w:rPr>
        <w:t>日。</w:t>
      </w:r>
    </w:p>
    <w:p w14:paraId="05D077D3">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4.除非另外达成协议并生效，你方的中标通知书和本投标文件将成为约束双方的合同文件的组成部分。</w:t>
      </w:r>
    </w:p>
    <w:p w14:paraId="25CC817A">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5.同意应贵方要求提供与本投标有关的任何数据或资料。</w:t>
      </w:r>
    </w:p>
    <w:p w14:paraId="1D85E81D">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6.我们理解采购人或者采购代理机构与评标委员会并无义务必须接受最低报价的投标或其它任何投标，完全理解采购代理机构拒绝迟到的任何投标和最低投标报价不是被授予中标的唯一条件。</w:t>
      </w:r>
    </w:p>
    <w:p w14:paraId="1AF1414F">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7．我们愿意遵守采购代理机构招标文件的各项规定，自愿参加投标，并已清楚招标文件的要求及有关文件规定，并严格按照招标文件的规定履行全部责任和义务。</w:t>
      </w:r>
    </w:p>
    <w:p w14:paraId="0F224027">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8.如果我们的投标被接受，则直至合同生效时止，本投标始终有效并不撤回已递交的投标文件。</w:t>
      </w:r>
    </w:p>
    <w:p w14:paraId="60074E20">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9.我们已经详细地阅读并完全明白了全部招标文件及附件，包括澄清（如有）及参考文件，我们完全理解本招标文件的要求，我们同意放弃对招标文件提出不明或误解的一切权力。</w:t>
      </w:r>
    </w:p>
    <w:p w14:paraId="13D92168">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10.我们同意提供采购人或者采购代理机构与评标委员会要求的有关投标的一切数据或资料。</w:t>
      </w:r>
    </w:p>
    <w:p w14:paraId="249B1A58">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11.如果我们未对招标文件全部要求作出实质性响应，则完全同意并接受按无效投标处理。 </w:t>
      </w:r>
    </w:p>
    <w:p w14:paraId="33AFDCD8">
      <w:pPr>
        <w:adjustRightInd w:val="0"/>
        <w:snapToGrid w:val="0"/>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如果我们提供的声明或承诺不真实，则完全同意认定为我司提供虚假材料，并同意作相应处理。</w:t>
      </w:r>
    </w:p>
    <w:p w14:paraId="17F83B57">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13.其他服务承诺和优惠承诺：</w:t>
      </w:r>
      <w:r>
        <w:rPr>
          <w:rFonts w:hint="eastAsia" w:ascii="宋体" w:hAnsi="宋体" w:eastAsia="宋体" w:cs="宋体"/>
          <w:bCs/>
          <w:color w:val="auto"/>
          <w:sz w:val="24"/>
          <w:szCs w:val="24"/>
          <w:highlight w:val="none"/>
          <w:u w:val="single"/>
        </w:rPr>
        <w:t>（由投标人自行承诺）</w:t>
      </w:r>
    </w:p>
    <w:p w14:paraId="0D59AEE1">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与本投标有关的正式通讯地址为；</w:t>
      </w:r>
    </w:p>
    <w:p w14:paraId="54C4A183">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 标 人：</w:t>
      </w:r>
      <w:r>
        <w:rPr>
          <w:rFonts w:hint="eastAsia" w:ascii="宋体" w:hAnsi="宋体" w:eastAsia="宋体" w:cs="宋体"/>
          <w:bCs/>
          <w:color w:val="auto"/>
          <w:sz w:val="24"/>
          <w:szCs w:val="24"/>
          <w:highlight w:val="none"/>
          <w:u w:val="single"/>
        </w:rPr>
        <w:t xml:space="preserve">                              （盖单位章）       </w:t>
      </w:r>
    </w:p>
    <w:p w14:paraId="6BEB5A9A">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单位地址：</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p>
    <w:p w14:paraId="50B49393">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u w:val="single"/>
        </w:rPr>
        <w:t xml:space="preserve">                            （签字或签章） </w:t>
      </w:r>
    </w:p>
    <w:p w14:paraId="3C53D4E3">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邮政编码：</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传真：</w:t>
      </w:r>
      <w:r>
        <w:rPr>
          <w:rFonts w:hint="eastAsia" w:ascii="宋体" w:hAnsi="宋体" w:eastAsia="宋体" w:cs="宋体"/>
          <w:bCs/>
          <w:color w:val="auto"/>
          <w:sz w:val="24"/>
          <w:szCs w:val="24"/>
          <w:highlight w:val="none"/>
          <w:u w:val="single"/>
        </w:rPr>
        <w:t xml:space="preserve">           </w:t>
      </w:r>
    </w:p>
    <w:p w14:paraId="16D7C2AF">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开户银行名称：</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p>
    <w:p w14:paraId="6A86799B">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开户银行账号：</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p>
    <w:p w14:paraId="7D4D9B31">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开户银行地址：</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p>
    <w:p w14:paraId="1A664111">
      <w:pPr>
        <w:adjustRightInd w:val="0"/>
        <w:snapToGrid w:val="0"/>
        <w:spacing w:line="360" w:lineRule="auto"/>
        <w:ind w:firstLine="480" w:firstLineChars="200"/>
        <w:contextualSpacing/>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开户银行电话：</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p>
    <w:p w14:paraId="6FD1C158">
      <w:pPr>
        <w:adjustRightInd w:val="0"/>
        <w:snapToGrid w:val="0"/>
        <w:spacing w:line="360" w:lineRule="auto"/>
        <w:ind w:firstLine="480" w:firstLineChars="200"/>
        <w:contextualSpacing/>
        <w:jc w:val="left"/>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p>
    <w:p w14:paraId="0036D2B2">
      <w:pPr>
        <w:adjustRightInd w:val="0"/>
        <w:snapToGrid w:val="0"/>
        <w:spacing w:line="360" w:lineRule="auto"/>
        <w:contextualSpacing/>
        <w:jc w:val="left"/>
        <w:rPr>
          <w:rFonts w:hint="eastAsia" w:ascii="宋体" w:hAnsi="宋体" w:eastAsia="宋体" w:cs="宋体"/>
          <w:b/>
          <w:color w:val="auto"/>
          <w:sz w:val="24"/>
          <w:szCs w:val="24"/>
          <w:highlight w:val="none"/>
        </w:rPr>
      </w:pPr>
    </w:p>
    <w:p w14:paraId="3A663390">
      <w:pPr>
        <w:adjustRightInd w:val="0"/>
        <w:snapToGrid w:val="0"/>
        <w:spacing w:line="360" w:lineRule="auto"/>
        <w:contextualSpacing/>
        <w:jc w:val="left"/>
        <w:rPr>
          <w:rFonts w:hint="eastAsia" w:ascii="宋体" w:hAnsi="宋体" w:eastAsia="宋体" w:cs="宋体"/>
          <w:b/>
          <w:color w:val="auto"/>
          <w:sz w:val="24"/>
          <w:szCs w:val="24"/>
          <w:highlight w:val="none"/>
        </w:rPr>
      </w:pPr>
    </w:p>
    <w:p w14:paraId="089B3397">
      <w:pPr>
        <w:adjustRightInd w:val="0"/>
        <w:snapToGrid w:val="0"/>
        <w:spacing w:line="360" w:lineRule="auto"/>
        <w:contextualSpacing/>
        <w:jc w:val="left"/>
        <w:rPr>
          <w:rFonts w:hint="eastAsia" w:ascii="宋体" w:hAnsi="宋体" w:eastAsia="宋体" w:cs="宋体"/>
          <w:b/>
          <w:color w:val="auto"/>
          <w:sz w:val="24"/>
          <w:szCs w:val="24"/>
          <w:highlight w:val="none"/>
        </w:rPr>
      </w:pPr>
    </w:p>
    <w:p w14:paraId="279FD164">
      <w:pPr>
        <w:adjustRightInd w:val="0"/>
        <w:snapToGrid w:val="0"/>
        <w:spacing w:line="360" w:lineRule="auto"/>
        <w:contextualSpacing/>
        <w:jc w:val="left"/>
        <w:rPr>
          <w:rFonts w:hint="eastAsia" w:ascii="宋体" w:hAnsi="宋体" w:eastAsia="宋体" w:cs="宋体"/>
          <w:b/>
          <w:color w:val="auto"/>
          <w:sz w:val="24"/>
          <w:szCs w:val="24"/>
          <w:highlight w:val="none"/>
        </w:rPr>
      </w:pPr>
    </w:p>
    <w:p w14:paraId="211BC358">
      <w:pPr>
        <w:pStyle w:val="16"/>
        <w:adjustRightInd w:val="0"/>
        <w:snapToGrid w:val="0"/>
        <w:spacing w:after="0" w:line="360" w:lineRule="auto"/>
        <w:contextualSpacing/>
        <w:rPr>
          <w:rFonts w:hint="eastAsia" w:eastAsia="宋体"/>
          <w:color w:val="auto"/>
          <w:highlight w:val="none"/>
        </w:rPr>
      </w:pPr>
    </w:p>
    <w:p w14:paraId="5CE2C404">
      <w:pPr>
        <w:adjustRightInd w:val="0"/>
        <w:snapToGrid w:val="0"/>
        <w:spacing w:line="360" w:lineRule="auto"/>
        <w:contextualSpacing/>
        <w:rPr>
          <w:rFonts w:hint="eastAsia" w:ascii="宋体" w:hAnsi="宋体" w:eastAsia="宋体" w:cs="宋体"/>
          <w:color w:val="auto"/>
          <w:highlight w:val="none"/>
        </w:rPr>
      </w:pPr>
    </w:p>
    <w:p w14:paraId="46E82770">
      <w:pPr>
        <w:pStyle w:val="16"/>
        <w:adjustRightInd w:val="0"/>
        <w:snapToGrid w:val="0"/>
        <w:spacing w:after="0" w:line="360" w:lineRule="auto"/>
        <w:contextualSpacing/>
        <w:rPr>
          <w:rFonts w:hint="eastAsia" w:eastAsia="宋体"/>
          <w:color w:val="auto"/>
          <w:highlight w:val="none"/>
        </w:rPr>
      </w:pPr>
    </w:p>
    <w:p w14:paraId="1A1FAE9B">
      <w:pPr>
        <w:adjustRightInd w:val="0"/>
        <w:snapToGrid w:val="0"/>
        <w:spacing w:line="360" w:lineRule="auto"/>
        <w:contextualSpacing/>
        <w:rPr>
          <w:rFonts w:hint="eastAsia" w:ascii="宋体" w:hAnsi="宋体" w:eastAsia="宋体" w:cs="宋体"/>
          <w:color w:val="auto"/>
          <w:highlight w:val="none"/>
        </w:rPr>
      </w:pPr>
    </w:p>
    <w:p w14:paraId="00792CDD">
      <w:pPr>
        <w:adjustRightInd w:val="0"/>
        <w:snapToGrid w:val="0"/>
        <w:spacing w:line="360" w:lineRule="auto"/>
        <w:contextualSpacing/>
        <w:rPr>
          <w:rFonts w:hint="eastAsia" w:ascii="宋体" w:hAnsi="宋体" w:eastAsia="宋体" w:cs="宋体"/>
          <w:color w:val="auto"/>
          <w:highlight w:val="none"/>
        </w:rPr>
      </w:pPr>
    </w:p>
    <w:p w14:paraId="14C5BB8F">
      <w:pPr>
        <w:adjustRightInd w:val="0"/>
        <w:snapToGrid w:val="0"/>
        <w:spacing w:line="360" w:lineRule="auto"/>
        <w:contextualSpacing/>
        <w:rPr>
          <w:rFonts w:hint="eastAsia" w:ascii="宋体" w:hAnsi="宋体" w:eastAsia="宋体" w:cs="宋体"/>
          <w:color w:val="auto"/>
          <w:highlight w:val="none"/>
        </w:rPr>
      </w:pPr>
    </w:p>
    <w:p w14:paraId="795446D1">
      <w:pPr>
        <w:adjustRightInd w:val="0"/>
        <w:snapToGrid w:val="0"/>
        <w:spacing w:line="360" w:lineRule="auto"/>
        <w:contextualSpacing/>
        <w:rPr>
          <w:rFonts w:hint="eastAsia" w:ascii="宋体" w:hAnsi="宋体" w:eastAsia="宋体" w:cs="宋体"/>
          <w:color w:val="auto"/>
          <w:highlight w:val="none"/>
        </w:rPr>
      </w:pPr>
    </w:p>
    <w:p w14:paraId="4B7AC467">
      <w:pPr>
        <w:adjustRightInd w:val="0"/>
        <w:snapToGrid w:val="0"/>
        <w:spacing w:line="360" w:lineRule="auto"/>
        <w:contextualSpacing/>
        <w:rPr>
          <w:rFonts w:hint="eastAsia" w:ascii="宋体" w:hAnsi="宋体" w:eastAsia="宋体" w:cs="宋体"/>
          <w:color w:val="auto"/>
          <w:highlight w:val="none"/>
        </w:rPr>
      </w:pPr>
    </w:p>
    <w:p w14:paraId="5D577F3C">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2EB2F0C">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2.廉洁自律承诺书</w:t>
      </w:r>
    </w:p>
    <w:p w14:paraId="148A2E7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我公司参加了</w:t>
      </w:r>
      <w:r>
        <w:rPr>
          <w:rFonts w:hint="eastAsia" w:ascii="宋体" w:hAnsi="宋体" w:eastAsia="宋体" w:cs="宋体"/>
          <w:bCs/>
          <w:color w:val="auto"/>
          <w:sz w:val="24"/>
          <w:highlight w:val="none"/>
          <w:u w:val="single"/>
        </w:rPr>
        <w:t xml:space="preserve">      （项目名称及包件号）</w:t>
      </w:r>
      <w:r>
        <w:rPr>
          <w:rFonts w:hint="eastAsia" w:ascii="宋体" w:hAnsi="宋体" w:eastAsia="宋体" w:cs="宋体"/>
          <w:bCs/>
          <w:color w:val="auto"/>
          <w:sz w:val="24"/>
          <w:highlight w:val="none"/>
        </w:rPr>
        <w:t>的投标</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为维护市场公平竞争，营造诚实守信的招投标交易环境，</w:t>
      </w:r>
      <w:r>
        <w:rPr>
          <w:rFonts w:hint="eastAsia" w:ascii="宋体" w:hAnsi="宋体" w:eastAsia="宋体" w:cs="宋体"/>
          <w:color w:val="auto"/>
          <w:sz w:val="24"/>
          <w:szCs w:val="24"/>
          <w:highlight w:val="none"/>
        </w:rPr>
        <w:t>确保招标工作的公平、公正、公开，我们承诺如下事项：</w:t>
      </w:r>
    </w:p>
    <w:p w14:paraId="4887BCE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1.自觉遵守国家法律法规及</w:t>
      </w:r>
      <w:r>
        <w:rPr>
          <w:rFonts w:hint="eastAsia" w:ascii="宋体" w:hAnsi="宋体" w:eastAsia="宋体" w:cs="宋体"/>
          <w:color w:val="auto"/>
          <w:sz w:val="24"/>
          <w:highlight w:val="none"/>
        </w:rPr>
        <w:t>省</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市</w:t>
      </w:r>
      <w:r>
        <w:rPr>
          <w:rFonts w:hint="eastAsia" w:ascii="宋体" w:hAnsi="宋体" w:eastAsia="宋体" w:cs="宋体"/>
          <w:color w:val="auto"/>
          <w:sz w:val="24"/>
          <w:szCs w:val="24"/>
          <w:highlight w:val="none"/>
        </w:rPr>
        <w:t>有关廉政建设制度。</w:t>
      </w:r>
    </w:p>
    <w:p w14:paraId="64E7B8F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szCs w:val="24"/>
          <w:highlight w:val="none"/>
        </w:rPr>
        <w:t>我公司提交的材料无任何伪造、修改、虚假成份，材料所述内容均为本公司真实拥有。若违反本承诺一经查实，本公司愿意接受公开通报</w:t>
      </w:r>
      <w:r>
        <w:rPr>
          <w:rFonts w:hint="eastAsia" w:ascii="宋体" w:hAnsi="宋体" w:eastAsia="宋体" w:cs="宋体"/>
          <w:color w:val="auto"/>
          <w:sz w:val="24"/>
          <w:highlight w:val="none"/>
        </w:rPr>
        <w:t>并接受相关处罚。</w:t>
      </w:r>
    </w:p>
    <w:p w14:paraId="67F31CD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szCs w:val="24"/>
          <w:highlight w:val="none"/>
        </w:rPr>
        <w:t>不使用不正当手段妨碍、排挤其它投标单位或串通投标。</w:t>
      </w:r>
    </w:p>
    <w:p w14:paraId="35CE011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4"/>
          <w:highlight w:val="none"/>
        </w:rPr>
        <w:t>.按照招标文件规定的方式进行投标，不隐瞒本单位投标资质的真实情况，投标资质符合规定。保证不会以其他人名义投标或者以其他方式弄虚作假，骗取中标。</w:t>
      </w:r>
    </w:p>
    <w:p w14:paraId="62F90C7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若中标</w:t>
      </w:r>
      <w:r>
        <w:rPr>
          <w:rFonts w:hint="eastAsia" w:ascii="宋体" w:hAnsi="宋体" w:eastAsia="宋体" w:cs="宋体"/>
          <w:color w:val="auto"/>
          <w:sz w:val="24"/>
          <w:szCs w:val="24"/>
          <w:highlight w:val="none"/>
        </w:rPr>
        <w:t>不将关键性工作进行分包。</w:t>
      </w:r>
    </w:p>
    <w:p w14:paraId="7FC43F5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szCs w:val="24"/>
          <w:highlight w:val="none"/>
        </w:rPr>
        <w:t>.不以任何方式向采购人员或者评标成员赠送礼品、礼金及有价证券；不宴请或邀请招标方的任何人参加高档娱乐消费、旅游等活动；不以任何形式报销招标方的任何人以及亲友的各种票据及费用；不进行可能影响招标公平、公正的任何活动。</w:t>
      </w:r>
    </w:p>
    <w:p w14:paraId="09168BF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szCs w:val="24"/>
          <w:highlight w:val="none"/>
        </w:rPr>
        <w:t>.不向涉及招标的部门及个人支付好处费、介绍费；购置或提供通讯工具、交通工具、电脑等。</w:t>
      </w:r>
    </w:p>
    <w:p w14:paraId="19F3B0C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szCs w:val="24"/>
          <w:highlight w:val="none"/>
        </w:rPr>
        <w:t>.一旦发现相关人员在招标过程中有索要财物等不廉洁行为，坚决予以抵制。</w:t>
      </w:r>
    </w:p>
    <w:p w14:paraId="70B9965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szCs w:val="24"/>
          <w:highlight w:val="none"/>
        </w:rPr>
        <w:t>.我方自愿将本承诺书作为投标文件及合同的附件，具有同等的法律效力。</w:t>
      </w:r>
    </w:p>
    <w:p w14:paraId="15F73CF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szCs w:val="24"/>
          <w:highlight w:val="none"/>
        </w:rPr>
        <w:t>.若违反上述承诺或违反有关法律法规以及</w:t>
      </w:r>
      <w:r>
        <w:rPr>
          <w:rFonts w:hint="eastAsia" w:ascii="宋体" w:hAnsi="宋体" w:eastAsia="宋体" w:cs="宋体"/>
          <w:color w:val="auto"/>
          <w:sz w:val="24"/>
          <w:highlight w:val="none"/>
        </w:rPr>
        <w:t>省、市</w:t>
      </w:r>
      <w:r>
        <w:rPr>
          <w:rFonts w:hint="eastAsia" w:ascii="宋体" w:hAnsi="宋体" w:eastAsia="宋体" w:cs="宋体"/>
          <w:color w:val="auto"/>
          <w:sz w:val="24"/>
          <w:szCs w:val="24"/>
          <w:highlight w:val="none"/>
        </w:rPr>
        <w:t>有关规定，</w:t>
      </w:r>
      <w:r>
        <w:rPr>
          <w:rFonts w:hint="eastAsia" w:ascii="宋体" w:hAnsi="宋体" w:eastAsia="宋体" w:cs="宋体"/>
          <w:color w:val="auto"/>
          <w:sz w:val="24"/>
          <w:highlight w:val="none"/>
        </w:rPr>
        <w:t>我公司</w:t>
      </w:r>
      <w:r>
        <w:rPr>
          <w:rFonts w:hint="eastAsia" w:ascii="宋体" w:hAnsi="宋体" w:eastAsia="宋体" w:cs="宋体"/>
          <w:color w:val="auto"/>
          <w:sz w:val="24"/>
          <w:szCs w:val="24"/>
          <w:highlight w:val="none"/>
        </w:rPr>
        <w:t>自愿按规定接受处罚。</w:t>
      </w:r>
    </w:p>
    <w:p w14:paraId="3CAD419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rPr>
        <w:t>.本承诺书自签署之日起生效。</w:t>
      </w:r>
    </w:p>
    <w:p w14:paraId="3512CB1C">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217C94C5">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投标人全称（盖单位章）：</w:t>
      </w:r>
      <w:r>
        <w:rPr>
          <w:rFonts w:hint="eastAsia" w:ascii="宋体" w:hAnsi="宋体" w:eastAsia="宋体" w:cs="宋体"/>
          <w:color w:val="auto"/>
          <w:sz w:val="24"/>
          <w:szCs w:val="24"/>
          <w:highlight w:val="none"/>
          <w:u w:val="single"/>
        </w:rPr>
        <w:t xml:space="preserve">                               </w:t>
      </w:r>
    </w:p>
    <w:p w14:paraId="28E63C53">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Cs/>
          <w:color w:val="auto"/>
          <w:sz w:val="24"/>
          <w:szCs w:val="24"/>
          <w:highlight w:val="none"/>
        </w:rPr>
        <w:t>或其委托代理人（签字或签章）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D7429F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日期：______年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082B59A">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0EED9830">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1A67EF83">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5991C270">
      <w:pPr>
        <w:adjustRightInd w:val="0"/>
        <w:snapToGrid w:val="0"/>
        <w:spacing w:line="360" w:lineRule="auto"/>
        <w:rPr>
          <w:rFonts w:hint="eastAsia" w:ascii="宋体" w:hAnsi="宋体" w:eastAsia="宋体" w:cs="宋体"/>
          <w:color w:val="auto"/>
          <w:highlight w:val="none"/>
        </w:rPr>
        <w:sectPr>
          <w:pgSz w:w="11906" w:h="16838"/>
          <w:pgMar w:top="1134" w:right="1134" w:bottom="1134" w:left="1134" w:header="851" w:footer="850" w:gutter="0"/>
          <w:cols w:space="720" w:num="1"/>
          <w:docGrid w:linePitch="312" w:charSpace="0"/>
        </w:sectPr>
      </w:pPr>
    </w:p>
    <w:p w14:paraId="75EECDDD">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3.保证金缴纳凭证</w:t>
      </w:r>
    </w:p>
    <w:p w14:paraId="74FF2638">
      <w:pPr>
        <w:adjustRightInd w:val="0"/>
        <w:snapToGrid w:val="0"/>
        <w:spacing w:line="360" w:lineRule="auto"/>
        <w:rPr>
          <w:rFonts w:hint="eastAsia" w:ascii="宋体" w:hAnsi="宋体" w:eastAsia="宋体" w:cs="宋体"/>
          <w:color w:val="auto"/>
          <w:highlight w:val="none"/>
        </w:rPr>
        <w:sectPr>
          <w:pgSz w:w="11906" w:h="16838"/>
          <w:pgMar w:top="1134" w:right="1134" w:bottom="1134" w:left="1134" w:header="851" w:footer="850" w:gutter="0"/>
          <w:cols w:space="720" w:num="1"/>
          <w:docGrid w:linePitch="312" w:charSpace="0"/>
        </w:sectPr>
      </w:pPr>
    </w:p>
    <w:p w14:paraId="0594D704">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4.中小企业声明函（服务）</w:t>
      </w:r>
    </w:p>
    <w:p w14:paraId="43B0AF37">
      <w:pPr>
        <w:autoSpaceDE w:val="0"/>
        <w:autoSpaceDN w:val="0"/>
        <w:adjustRightInd w:val="0"/>
        <w:spacing w:line="360" w:lineRule="auto"/>
        <w:ind w:firstLine="720" w:firstLineChars="3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本公司 </w:t>
      </w:r>
      <w:r>
        <w:rPr>
          <w:rFonts w:hint="eastAsia" w:ascii="宋体" w:hAnsi="宋体" w:eastAsia="宋体" w:cs="宋体"/>
          <w:color w:val="auto"/>
          <w:kern w:val="0"/>
          <w:sz w:val="24"/>
          <w:szCs w:val="24"/>
          <w:highlight w:val="none"/>
        </w:rPr>
        <w:t>郑重声明，根据《政府采购促进中小企业发展管理办法》（财库﹝2020﹞46号）的规定，</w:t>
      </w:r>
      <w:r>
        <w:rPr>
          <w:rFonts w:hint="eastAsia" w:ascii="宋体" w:hAnsi="宋体" w:eastAsia="宋体" w:cs="宋体"/>
          <w:color w:val="auto"/>
          <w:kern w:val="0"/>
          <w:sz w:val="24"/>
          <w:szCs w:val="24"/>
          <w:highlight w:val="none"/>
          <w:u w:val="single"/>
        </w:rPr>
        <w:t xml:space="preserve">本公司 </w:t>
      </w:r>
      <w:r>
        <w:rPr>
          <w:rFonts w:hint="eastAsia" w:ascii="宋体" w:hAnsi="宋体" w:eastAsia="宋体" w:cs="宋体"/>
          <w:color w:val="auto"/>
          <w:kern w:val="0"/>
          <w:sz w:val="24"/>
          <w:szCs w:val="24"/>
          <w:highlight w:val="none"/>
        </w:rPr>
        <w:t>参加</w:t>
      </w:r>
      <w:r>
        <w:rPr>
          <w:rFonts w:hint="eastAsia" w:ascii="宋体" w:hAnsi="宋体" w:eastAsia="宋体" w:cs="宋体"/>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（项目名称）</w:t>
      </w:r>
      <w:r>
        <w:rPr>
          <w:rFonts w:hint="eastAsia" w:ascii="宋体" w:hAnsi="宋体" w:eastAsia="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3B13CA8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（标的名称）</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（采购文件中明确的所属行业）</w:t>
      </w:r>
      <w:r>
        <w:rPr>
          <w:rFonts w:hint="eastAsia" w:ascii="宋体" w:hAnsi="宋体" w:eastAsia="宋体" w:cs="宋体"/>
          <w:color w:val="auto"/>
          <w:kern w:val="0"/>
          <w:sz w:val="24"/>
          <w:szCs w:val="24"/>
          <w:highlight w:val="none"/>
        </w:rPr>
        <w:t>行业；制造商为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7F29501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（标的名称）</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（采购文件中明确的所属行业）</w:t>
      </w:r>
      <w:r>
        <w:rPr>
          <w:rFonts w:hint="eastAsia" w:ascii="宋体" w:hAnsi="宋体" w:eastAsia="宋体" w:cs="宋体"/>
          <w:color w:val="auto"/>
          <w:kern w:val="0"/>
          <w:sz w:val="24"/>
          <w:szCs w:val="24"/>
          <w:highlight w:val="none"/>
        </w:rPr>
        <w:t>行业；制造商为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5320CE5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1F56DF5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C7D197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5D570F0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p>
    <w:p w14:paraId="153DA03A">
      <w:pPr>
        <w:autoSpaceDE w:val="0"/>
        <w:autoSpaceDN w:val="0"/>
        <w:adjustRightInd w:val="0"/>
        <w:spacing w:line="360" w:lineRule="auto"/>
        <w:ind w:firstLine="4080" w:firstLineChars="17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企业名称（电子签章）：</w:t>
      </w:r>
    </w:p>
    <w:p w14:paraId="2F00F93D">
      <w:pPr>
        <w:spacing w:line="360" w:lineRule="auto"/>
        <w:ind w:firstLine="4080" w:firstLineChars="17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14:paraId="49DE9889">
      <w:pPr>
        <w:rPr>
          <w:rFonts w:hint="eastAsia" w:ascii="宋体" w:hAnsi="宋体" w:eastAsia="宋体" w:cs="宋体"/>
          <w:color w:val="auto"/>
          <w:kern w:val="0"/>
          <w:sz w:val="32"/>
          <w:szCs w:val="32"/>
          <w:highlight w:val="none"/>
        </w:rPr>
      </w:pPr>
    </w:p>
    <w:p w14:paraId="0DEFF42B">
      <w:pPr>
        <w:rPr>
          <w:rFonts w:hint="eastAsia" w:ascii="宋体" w:hAnsi="宋体" w:eastAsia="宋体" w:cs="宋体"/>
          <w:b/>
          <w:bCs/>
          <w:color w:val="auto"/>
          <w:sz w:val="24"/>
          <w:highlight w:val="none"/>
        </w:rPr>
      </w:pPr>
      <w:bookmarkStart w:id="163" w:name="_Toc54785349"/>
      <w:bookmarkStart w:id="164" w:name="_Toc27952"/>
      <w:bookmarkStart w:id="165" w:name="_Toc32207"/>
    </w:p>
    <w:p w14:paraId="787D2A91">
      <w:pPr>
        <w:rPr>
          <w:rFonts w:hint="eastAsia" w:ascii="宋体" w:hAnsi="宋体" w:eastAsia="宋体" w:cs="宋体"/>
          <w:snapToGrid w:val="0"/>
          <w:color w:val="auto"/>
          <w:kern w:val="0"/>
          <w:sz w:val="24"/>
          <w:highlight w:val="none"/>
        </w:rPr>
      </w:pPr>
      <w:bookmarkStart w:id="166" w:name="_Toc15739"/>
      <w:bookmarkStart w:id="167" w:name="_Toc6056"/>
      <w:bookmarkStart w:id="168" w:name="_Toc10053"/>
      <w:bookmarkStart w:id="169" w:name="_Toc10358"/>
      <w:bookmarkStart w:id="170" w:name="_Toc30314"/>
      <w:r>
        <w:rPr>
          <w:rFonts w:hint="eastAsia" w:ascii="宋体" w:hAnsi="宋体" w:eastAsia="宋体" w:cs="宋体"/>
          <w:snapToGrid w:val="0"/>
          <w:color w:val="auto"/>
          <w:kern w:val="0"/>
          <w:sz w:val="24"/>
          <w:highlight w:val="none"/>
        </w:rPr>
        <w:br w:type="page"/>
      </w:r>
    </w:p>
    <w:p w14:paraId="325918C7">
      <w:pPr>
        <w:jc w:val="center"/>
        <w:rPr>
          <w:rFonts w:hint="eastAsia" w:ascii="宋体" w:hAnsi="宋体" w:eastAsia="宋体" w:cs="宋体"/>
          <w:snapToGrid w:val="0"/>
          <w:color w:val="auto"/>
          <w:kern w:val="0"/>
          <w:sz w:val="24"/>
          <w:highlight w:val="none"/>
        </w:rPr>
      </w:pPr>
    </w:p>
    <w:p w14:paraId="71BA3586">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5.监狱企业证明文件（如有）</w:t>
      </w:r>
      <w:bookmarkEnd w:id="163"/>
      <w:bookmarkEnd w:id="164"/>
      <w:bookmarkEnd w:id="165"/>
      <w:bookmarkEnd w:id="166"/>
      <w:bookmarkEnd w:id="167"/>
      <w:bookmarkEnd w:id="168"/>
      <w:bookmarkEnd w:id="169"/>
      <w:bookmarkEnd w:id="170"/>
    </w:p>
    <w:p w14:paraId="7BF1EE4F">
      <w:pPr>
        <w:spacing w:line="360" w:lineRule="auto"/>
        <w:ind w:firstLine="480" w:firstLineChars="200"/>
        <w:jc w:val="left"/>
        <w:rPr>
          <w:rFonts w:hint="eastAsia" w:ascii="宋体" w:hAnsi="宋体" w:eastAsia="宋体" w:cs="宋体"/>
          <w:color w:val="auto"/>
          <w:sz w:val="24"/>
          <w:highlight w:val="none"/>
        </w:rPr>
      </w:pPr>
    </w:p>
    <w:p w14:paraId="694F0EC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898970">
      <w:pPr>
        <w:spacing w:line="40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监狱企业参加政府采购活动时，应当提供由省级以上监狱管理局、戒毒管理局（含新疆生产建设兵团）出具的属于监狱企业的证明文件。</w:t>
      </w:r>
    </w:p>
    <w:p w14:paraId="5F1D840E">
      <w:pPr>
        <w:rPr>
          <w:rFonts w:hint="eastAsia" w:ascii="宋体" w:hAnsi="宋体" w:eastAsia="宋体" w:cs="宋体"/>
          <w:color w:val="auto"/>
          <w:sz w:val="24"/>
          <w:highlight w:val="none"/>
        </w:rPr>
      </w:pPr>
    </w:p>
    <w:p w14:paraId="6533C29A">
      <w:pPr>
        <w:rPr>
          <w:rFonts w:hint="eastAsia" w:ascii="宋体" w:hAnsi="宋体" w:eastAsia="宋体" w:cs="宋体"/>
          <w:snapToGrid w:val="0"/>
          <w:color w:val="auto"/>
          <w:kern w:val="0"/>
          <w:sz w:val="24"/>
          <w:highlight w:val="none"/>
        </w:rPr>
      </w:pPr>
      <w:bookmarkStart w:id="171" w:name="_Toc28494"/>
      <w:bookmarkStart w:id="172" w:name="_Toc10740"/>
      <w:bookmarkStart w:id="173" w:name="_Toc54785350"/>
      <w:bookmarkStart w:id="174" w:name="_Toc12329"/>
      <w:bookmarkStart w:id="175" w:name="_Toc11734"/>
      <w:bookmarkStart w:id="176" w:name="_Toc14750"/>
      <w:bookmarkStart w:id="177" w:name="_Toc6983"/>
      <w:bookmarkStart w:id="178" w:name="_Toc14113"/>
    </w:p>
    <w:p w14:paraId="17A823B6">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6.残疾人福利性单位声明函（如有）</w:t>
      </w:r>
      <w:bookmarkEnd w:id="171"/>
      <w:bookmarkEnd w:id="172"/>
      <w:bookmarkEnd w:id="173"/>
      <w:bookmarkEnd w:id="174"/>
      <w:bookmarkEnd w:id="175"/>
      <w:bookmarkEnd w:id="176"/>
      <w:bookmarkEnd w:id="177"/>
      <w:bookmarkEnd w:id="178"/>
    </w:p>
    <w:p w14:paraId="17307977">
      <w:pPr>
        <w:spacing w:line="400" w:lineRule="exact"/>
        <w:jc w:val="center"/>
        <w:rPr>
          <w:rFonts w:hint="eastAsia" w:ascii="宋体" w:hAnsi="宋体" w:eastAsia="宋体" w:cs="宋体"/>
          <w:b/>
          <w:bCs/>
          <w:color w:val="auto"/>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b/>
          <w:bCs/>
          <w:color w:val="auto"/>
          <w:sz w:val="24"/>
          <w:highlight w:val="none"/>
        </w:rPr>
        <w:t>《残疾人福利性单位声明函》（原件。符合《三部门联合发布关于促进残疾人就业政府采购政策的通知》（财库〔2017〕141号）价格扣减条件的投标人须提交）</w:t>
      </w:r>
    </w:p>
    <w:p w14:paraId="169C313C">
      <w:pPr>
        <w:spacing w:before="120" w:beforeLines="50" w:after="120" w:afterLines="50" w:line="500" w:lineRule="exac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残疾人福利性单位声明函（若是）</w:t>
      </w:r>
    </w:p>
    <w:p w14:paraId="29C3391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单位的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2FE711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46B5AEF8">
      <w:pPr>
        <w:spacing w:line="360" w:lineRule="auto"/>
        <w:ind w:firstLine="482" w:firstLineChars="200"/>
        <w:rPr>
          <w:rFonts w:hint="eastAsia" w:ascii="宋体" w:hAnsi="宋体" w:eastAsia="宋体" w:cs="宋体"/>
          <w:b/>
          <w:color w:val="auto"/>
          <w:sz w:val="24"/>
          <w:highlight w:val="none"/>
        </w:rPr>
      </w:pPr>
    </w:p>
    <w:p w14:paraId="44E09BB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投标人（电子签章）：</w:t>
      </w:r>
      <w:r>
        <w:rPr>
          <w:rFonts w:hint="eastAsia" w:ascii="宋体" w:hAnsi="宋体" w:eastAsia="宋体" w:cs="宋体"/>
          <w:color w:val="auto"/>
          <w:sz w:val="24"/>
          <w:highlight w:val="none"/>
          <w:u w:val="single"/>
        </w:rPr>
        <w:t xml:space="preserve">                                 </w:t>
      </w:r>
    </w:p>
    <w:p w14:paraId="5C8FF5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法定代表人或其委托代理人（签字或签章）：</w:t>
      </w:r>
      <w:r>
        <w:rPr>
          <w:rFonts w:hint="eastAsia" w:ascii="宋体" w:hAnsi="宋体" w:eastAsia="宋体" w:cs="宋体"/>
          <w:color w:val="auto"/>
          <w:sz w:val="24"/>
          <w:highlight w:val="none"/>
          <w:u w:val="single"/>
        </w:rPr>
        <w:t xml:space="preserve">                  </w:t>
      </w:r>
    </w:p>
    <w:p w14:paraId="05E3F9F4">
      <w:pPr>
        <w:spacing w:line="360" w:lineRule="auto"/>
        <w:ind w:firstLine="480" w:firstLineChars="200"/>
        <w:rPr>
          <w:rFonts w:hint="eastAsia" w:ascii="宋体" w:hAnsi="宋体" w:eastAsia="宋体" w:cs="宋体"/>
          <w:color w:val="auto"/>
          <w:sz w:val="24"/>
          <w:highlight w:val="none"/>
        </w:rPr>
        <w:sectPr>
          <w:pgSz w:w="11906" w:h="16838"/>
          <w:pgMar w:top="1134" w:right="1134" w:bottom="1134" w:left="1134" w:header="851" w:footer="850" w:gutter="0"/>
          <w:cols w:space="720" w:num="1"/>
          <w:docGrid w:linePitch="312" w:charSpace="0"/>
        </w:sect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F052C0C">
      <w:pPr>
        <w:snapToGrid w:val="0"/>
        <w:spacing w:line="360" w:lineRule="auto"/>
        <w:contextualSpacing/>
        <w:jc w:val="center"/>
        <w:rPr>
          <w:rFonts w:hint="eastAsia" w:ascii="宋体" w:hAnsi="宋体" w:eastAsia="宋体" w:cs="宋体"/>
          <w:color w:val="auto"/>
          <w:sz w:val="44"/>
          <w:szCs w:val="44"/>
          <w:highlight w:val="none"/>
        </w:rPr>
      </w:pPr>
      <w:r>
        <w:rPr>
          <w:rFonts w:hint="eastAsia" w:ascii="宋体" w:hAnsi="宋体" w:eastAsia="宋体" w:cs="宋体"/>
          <w:b/>
          <w:bCs/>
          <w:color w:val="auto"/>
          <w:sz w:val="30"/>
          <w:szCs w:val="30"/>
          <w:highlight w:val="none"/>
          <w:lang w:val="en-US" w:eastAsia="zh-CN"/>
        </w:rPr>
        <w:t>7.</w:t>
      </w:r>
      <w:r>
        <w:rPr>
          <w:rFonts w:hint="eastAsia" w:ascii="宋体" w:hAnsi="宋体" w:eastAsia="宋体" w:cs="宋体"/>
          <w:b/>
          <w:bCs/>
          <w:color w:val="auto"/>
          <w:sz w:val="30"/>
          <w:szCs w:val="30"/>
          <w:highlight w:val="none"/>
        </w:rPr>
        <w:t>投标保证金退还申请书</w:t>
      </w:r>
    </w:p>
    <w:p w14:paraId="746C08F8">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致：云南中诏项目管理有限公司</w:t>
      </w:r>
    </w:p>
    <w:p w14:paraId="2D03CAA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我司于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日参加贵公司</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color w:val="auto"/>
          <w:sz w:val="28"/>
          <w:szCs w:val="28"/>
          <w:highlight w:val="none"/>
        </w:rPr>
        <w:t>项目投标，同时招标文件要求向贵司交纳投标保证金，共计人民币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元（大写：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A44EE35">
      <w:pPr>
        <w:spacing w:line="360" w:lineRule="auto"/>
        <w:ind w:left="279" w:leftChars="133"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根据《中华人民共和国政府采购法实施条例》的规定，现申请退还</w:t>
      </w:r>
      <w:r>
        <w:rPr>
          <w:rFonts w:hint="eastAsia" w:ascii="宋体" w:hAnsi="宋体" w:eastAsia="宋体" w:cs="宋体"/>
          <w:color w:val="auto"/>
          <w:sz w:val="28"/>
          <w:szCs w:val="28"/>
          <w:highlight w:val="none"/>
          <w:u w:val="single"/>
        </w:rPr>
        <w:t xml:space="preserve">     （项目名称及标段号）</w:t>
      </w:r>
      <w:r>
        <w:rPr>
          <w:rFonts w:hint="eastAsia" w:ascii="宋体" w:hAnsi="宋体" w:eastAsia="宋体" w:cs="宋体"/>
          <w:color w:val="auto"/>
          <w:sz w:val="28"/>
          <w:szCs w:val="28"/>
          <w:highlight w:val="none"/>
        </w:rPr>
        <w:t>的投标保证金</w:t>
      </w:r>
      <w:r>
        <w:rPr>
          <w:rFonts w:hint="eastAsia" w:ascii="宋体" w:hAnsi="宋体" w:eastAsia="宋体" w:cs="宋体"/>
          <w:color w:val="auto"/>
          <w:sz w:val="28"/>
          <w:szCs w:val="28"/>
          <w:highlight w:val="none"/>
          <w:u w:val="single"/>
        </w:rPr>
        <w:t>人民币    元整（￥      元）</w:t>
      </w:r>
      <w:r>
        <w:rPr>
          <w:rFonts w:hint="eastAsia" w:ascii="宋体" w:hAnsi="宋体" w:eastAsia="宋体" w:cs="宋体"/>
          <w:color w:val="auto"/>
          <w:sz w:val="28"/>
          <w:szCs w:val="28"/>
          <w:highlight w:val="none"/>
        </w:rPr>
        <w:t xml:space="preserve"> 到以下账户：</w:t>
      </w:r>
    </w:p>
    <w:p w14:paraId="126B0240">
      <w:pPr>
        <w:spacing w:line="360" w:lineRule="auto"/>
        <w:ind w:firstLine="562" w:firstLineChars="200"/>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开户名：</w:t>
      </w:r>
      <w:r>
        <w:rPr>
          <w:rFonts w:hint="eastAsia" w:ascii="宋体" w:hAnsi="宋体" w:eastAsia="宋体" w:cs="宋体"/>
          <w:b/>
          <w:bCs/>
          <w:color w:val="auto"/>
          <w:sz w:val="28"/>
          <w:szCs w:val="28"/>
          <w:highlight w:val="none"/>
          <w:u w:val="single"/>
        </w:rPr>
        <w:t xml:space="preserve">                         ；</w:t>
      </w:r>
    </w:p>
    <w:p w14:paraId="6BF274D7">
      <w:pPr>
        <w:spacing w:line="360" w:lineRule="auto"/>
        <w:ind w:firstLine="562" w:firstLineChars="200"/>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开户行：</w:t>
      </w:r>
      <w:r>
        <w:rPr>
          <w:rFonts w:hint="eastAsia" w:ascii="宋体" w:hAnsi="宋体" w:eastAsia="宋体" w:cs="宋体"/>
          <w:b/>
          <w:bCs/>
          <w:color w:val="auto"/>
          <w:sz w:val="28"/>
          <w:szCs w:val="28"/>
          <w:highlight w:val="none"/>
          <w:u w:val="single"/>
        </w:rPr>
        <w:t xml:space="preserve">                         ；</w:t>
      </w:r>
    </w:p>
    <w:p w14:paraId="0AC2E493">
      <w:pPr>
        <w:spacing w:line="360" w:lineRule="auto"/>
        <w:ind w:firstLine="562" w:firstLineChars="200"/>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账  号：</w:t>
      </w:r>
      <w:r>
        <w:rPr>
          <w:rFonts w:hint="eastAsia" w:ascii="宋体" w:hAnsi="宋体" w:eastAsia="宋体" w:cs="宋体"/>
          <w:b/>
          <w:bCs/>
          <w:color w:val="auto"/>
          <w:sz w:val="28"/>
          <w:szCs w:val="28"/>
          <w:highlight w:val="none"/>
          <w:u w:val="single"/>
        </w:rPr>
        <w:t xml:space="preserve">                         ；</w:t>
      </w:r>
    </w:p>
    <w:p w14:paraId="4B541870">
      <w:pPr>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联系人：</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             </w:t>
      </w:r>
    </w:p>
    <w:p w14:paraId="63DA247F">
      <w:pPr>
        <w:spacing w:line="36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联系电话：</w:t>
      </w:r>
      <w:r>
        <w:rPr>
          <w:rFonts w:hint="eastAsia" w:ascii="宋体" w:hAnsi="宋体" w:eastAsia="宋体" w:cs="宋体"/>
          <w:b/>
          <w:bCs/>
          <w:color w:val="auto"/>
          <w:sz w:val="28"/>
          <w:szCs w:val="28"/>
          <w:highlight w:val="none"/>
          <w:u w:val="single"/>
        </w:rPr>
        <w:t xml:space="preserve">                       ；</w:t>
      </w:r>
    </w:p>
    <w:p w14:paraId="70E1BA73">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53552D4C">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1.后附开户许可证加盖公章。</w:t>
      </w:r>
    </w:p>
    <w:p w14:paraId="5B4B8C30">
      <w:pPr>
        <w:spacing w:line="360" w:lineRule="auto"/>
        <w:ind w:firstLine="422" w:firstLineChars="200"/>
        <w:rPr>
          <w:rFonts w:hint="eastAsia" w:ascii="宋体" w:hAnsi="宋体" w:eastAsia="宋体" w:cs="宋体"/>
          <w:b/>
          <w:bCs/>
          <w:color w:val="auto"/>
          <w:sz w:val="28"/>
          <w:szCs w:val="28"/>
          <w:highlight w:val="none"/>
          <w:u w:val="single"/>
        </w:rPr>
      </w:pPr>
      <w:r>
        <w:rPr>
          <w:rFonts w:hint="eastAsia" w:ascii="宋体" w:hAnsi="宋体" w:eastAsia="宋体" w:cs="宋体"/>
          <w:b/>
          <w:bCs/>
          <w:color w:val="auto"/>
          <w:highlight w:val="none"/>
        </w:rPr>
        <w:t>3.本《投标保证金退还申请书》账户填写信息须与提供的《开户许可证》信息一致。</w:t>
      </w:r>
    </w:p>
    <w:p w14:paraId="74BDD6F2">
      <w:pPr>
        <w:wordWrap w:val="0"/>
        <w:jc w:val="right"/>
        <w:rPr>
          <w:rFonts w:hint="eastAsia" w:ascii="宋体" w:hAnsi="宋体" w:eastAsia="宋体" w:cs="宋体"/>
          <w:color w:val="auto"/>
          <w:sz w:val="28"/>
          <w:szCs w:val="28"/>
          <w:highlight w:val="none"/>
        </w:rPr>
      </w:pPr>
    </w:p>
    <w:p w14:paraId="7688D918">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申请单位（电子签章）：</w:t>
      </w:r>
      <w:r>
        <w:rPr>
          <w:rFonts w:hint="eastAsia" w:ascii="宋体" w:hAnsi="宋体" w:eastAsia="宋体" w:cs="宋体"/>
          <w:color w:val="auto"/>
          <w:sz w:val="28"/>
          <w:szCs w:val="28"/>
          <w:highlight w:val="none"/>
          <w:u w:val="single"/>
        </w:rPr>
        <w:t xml:space="preserve">                </w:t>
      </w:r>
    </w:p>
    <w:p w14:paraId="534FFDF9">
      <w:pPr>
        <w:jc w:val="right"/>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年   月   日</w:t>
      </w:r>
    </w:p>
    <w:p w14:paraId="47E24C6B">
      <w:pPr>
        <w:pStyle w:val="16"/>
        <w:rPr>
          <w:rFonts w:hint="eastAsia" w:eastAsia="宋体"/>
          <w:color w:val="auto"/>
          <w:highlight w:val="none"/>
        </w:rPr>
      </w:pPr>
    </w:p>
    <w:p w14:paraId="2E14B4E7">
      <w:pPr>
        <w:adjustRightInd w:val="0"/>
        <w:snapToGrid w:val="0"/>
        <w:spacing w:line="360" w:lineRule="auto"/>
        <w:rPr>
          <w:rFonts w:hint="eastAsia" w:ascii="宋体" w:hAnsi="宋体" w:eastAsia="宋体" w:cs="宋体"/>
          <w:color w:val="auto"/>
          <w:highlight w:val="none"/>
        </w:rPr>
        <w:sectPr>
          <w:pgSz w:w="11906" w:h="16838"/>
          <w:pgMar w:top="1134" w:right="1134" w:bottom="1134" w:left="1134" w:header="851" w:footer="850" w:gutter="0"/>
          <w:cols w:space="720" w:num="1"/>
          <w:docGrid w:linePitch="312" w:charSpace="0"/>
        </w:sectPr>
      </w:pPr>
    </w:p>
    <w:p w14:paraId="04A9F329">
      <w:pPr>
        <w:pStyle w:val="3"/>
        <w:adjustRightInd w:val="0"/>
        <w:snapToGrid w:val="0"/>
        <w:spacing w:before="0" w:after="0" w:line="360" w:lineRule="auto"/>
        <w:rPr>
          <w:rFonts w:hint="eastAsia" w:ascii="宋体" w:hAnsi="宋体" w:eastAsia="宋体"/>
          <w:bCs w:val="0"/>
          <w:color w:val="auto"/>
          <w:sz w:val="28"/>
          <w:szCs w:val="28"/>
          <w:highlight w:val="none"/>
        </w:rPr>
      </w:pPr>
      <w:bookmarkStart w:id="179" w:name="_Toc218692289"/>
      <w:bookmarkStart w:id="180" w:name="_Toc6297"/>
      <w:r>
        <w:rPr>
          <w:rFonts w:hint="eastAsia" w:ascii="宋体" w:hAnsi="宋体" w:eastAsia="宋体"/>
          <w:bCs w:val="0"/>
          <w:color w:val="auto"/>
          <w:sz w:val="28"/>
          <w:szCs w:val="28"/>
          <w:highlight w:val="none"/>
        </w:rPr>
        <w:t>三、投标文件技术部分（技术部分应包括但不限于以下内容）</w:t>
      </w:r>
      <w:bookmarkEnd w:id="179"/>
      <w:bookmarkEnd w:id="180"/>
      <w:r>
        <w:rPr>
          <w:rFonts w:hint="eastAsia" w:ascii="宋体" w:hAnsi="宋体" w:eastAsia="宋体"/>
          <w:bCs w:val="0"/>
          <w:color w:val="auto"/>
          <w:sz w:val="28"/>
          <w:szCs w:val="28"/>
          <w:highlight w:val="none"/>
        </w:rPr>
        <w:t xml:space="preserve"> </w:t>
      </w:r>
    </w:p>
    <w:p w14:paraId="0E3A30D9">
      <w:pPr>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投标人根据自身实际情况，结合本项目特点，编制符合本项目的实施方案。方案包含但不限于以下内容：</w:t>
      </w:r>
    </w:p>
    <w:p w14:paraId="4E94C28E">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（一）产品来源渠道</w:t>
      </w:r>
    </w:p>
    <w:p w14:paraId="3F0CAAF3">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（二）供货实施方案</w:t>
      </w:r>
    </w:p>
    <w:p w14:paraId="4E08D161">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（三）安全、质量责任</w:t>
      </w:r>
    </w:p>
    <w:p w14:paraId="65578574">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（四）售后服务能力、售后服务方案</w:t>
      </w:r>
    </w:p>
    <w:p w14:paraId="68FFB383">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（五）管理制度</w:t>
      </w:r>
    </w:p>
    <w:p w14:paraId="7A7F90BC">
      <w:pPr>
        <w:adjustRightInd w:val="0"/>
        <w:snapToGrid w:val="0"/>
        <w:spacing w:line="360" w:lineRule="auto"/>
        <w:ind w:firstLine="602" w:firstLineChars="2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（六）业绩</w:t>
      </w:r>
    </w:p>
    <w:p w14:paraId="2DF7E191">
      <w:pPr>
        <w:adjustRightInd w:val="0"/>
        <w:snapToGrid w:val="0"/>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部分表格如下（结合以上内容使用，没有提供表格的自行拟定）</w:t>
      </w:r>
    </w:p>
    <w:p w14:paraId="47139B24">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类似业绩表</w:t>
      </w:r>
    </w:p>
    <w:tbl>
      <w:tblPr>
        <w:tblStyle w:val="43"/>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674"/>
        <w:gridCol w:w="1830"/>
        <w:gridCol w:w="1635"/>
        <w:gridCol w:w="2192"/>
        <w:gridCol w:w="1357"/>
      </w:tblGrid>
      <w:tr w14:paraId="3F45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vAlign w:val="center"/>
          </w:tcPr>
          <w:p w14:paraId="4FB03D6D">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序号</w:t>
            </w:r>
          </w:p>
        </w:tc>
        <w:tc>
          <w:tcPr>
            <w:tcW w:w="1674" w:type="dxa"/>
            <w:tcBorders>
              <w:top w:val="single" w:color="auto" w:sz="4" w:space="0"/>
              <w:left w:val="single" w:color="auto" w:sz="4" w:space="0"/>
              <w:bottom w:val="single" w:color="auto" w:sz="4" w:space="0"/>
              <w:right w:val="single" w:color="auto" w:sz="4" w:space="0"/>
            </w:tcBorders>
            <w:vAlign w:val="center"/>
          </w:tcPr>
          <w:p w14:paraId="50B776F4">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项目名称</w:t>
            </w:r>
          </w:p>
        </w:tc>
        <w:tc>
          <w:tcPr>
            <w:tcW w:w="1830" w:type="dxa"/>
            <w:tcBorders>
              <w:top w:val="single" w:color="auto" w:sz="4" w:space="0"/>
              <w:left w:val="single" w:color="auto" w:sz="4" w:space="0"/>
              <w:bottom w:val="single" w:color="auto" w:sz="4" w:space="0"/>
              <w:right w:val="single" w:color="auto" w:sz="4" w:space="0"/>
            </w:tcBorders>
            <w:vAlign w:val="center"/>
          </w:tcPr>
          <w:p w14:paraId="5A29D4DC">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采购内容</w:t>
            </w:r>
          </w:p>
        </w:tc>
        <w:tc>
          <w:tcPr>
            <w:tcW w:w="1635" w:type="dxa"/>
            <w:tcBorders>
              <w:top w:val="single" w:color="auto" w:sz="4" w:space="0"/>
              <w:left w:val="single" w:color="auto" w:sz="4" w:space="0"/>
              <w:bottom w:val="single" w:color="auto" w:sz="4" w:space="0"/>
              <w:right w:val="single" w:color="auto" w:sz="4" w:space="0"/>
            </w:tcBorders>
            <w:vAlign w:val="center"/>
          </w:tcPr>
          <w:p w14:paraId="5EA68186">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业主单位</w:t>
            </w:r>
          </w:p>
        </w:tc>
        <w:tc>
          <w:tcPr>
            <w:tcW w:w="2192" w:type="dxa"/>
            <w:tcBorders>
              <w:top w:val="single" w:color="auto" w:sz="4" w:space="0"/>
              <w:left w:val="single" w:color="auto" w:sz="4" w:space="0"/>
              <w:bottom w:val="single" w:color="auto" w:sz="4" w:space="0"/>
              <w:right w:val="single" w:color="auto" w:sz="4" w:space="0"/>
            </w:tcBorders>
            <w:vAlign w:val="center"/>
          </w:tcPr>
          <w:p w14:paraId="08DCD82C">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合同金额</w:t>
            </w:r>
          </w:p>
        </w:tc>
        <w:tc>
          <w:tcPr>
            <w:tcW w:w="1357" w:type="dxa"/>
            <w:tcBorders>
              <w:top w:val="single" w:color="auto" w:sz="4" w:space="0"/>
              <w:left w:val="single" w:color="auto" w:sz="4" w:space="0"/>
              <w:bottom w:val="single" w:color="auto" w:sz="4" w:space="0"/>
              <w:right w:val="single" w:color="auto" w:sz="4" w:space="0"/>
            </w:tcBorders>
            <w:vAlign w:val="center"/>
          </w:tcPr>
          <w:p w14:paraId="49717BD8">
            <w:pPr>
              <w:spacing w:line="360" w:lineRule="auto"/>
              <w:jc w:val="center"/>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索引页码</w:t>
            </w:r>
          </w:p>
        </w:tc>
      </w:tr>
      <w:tr w14:paraId="094E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082853E9">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23F14445">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582FB1A7">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7BE6565A">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5DD9BB08">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10FAFD6E">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r w14:paraId="35ED2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3A2052AC">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3B72221B">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5CCCFCF4">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059333AD">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32D77644">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7F729A05">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r w14:paraId="51A3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3A11F1B5">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29B9DC06">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74D45C35">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6C746021">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5156D79C">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0318401E">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r w14:paraId="5B2A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25C90830">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3ECACB58">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52109D42">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3747BED8">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044420E3">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36439C8B">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r w14:paraId="65F9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4B8FDBCE">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109C970D">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64F45432">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0315B396">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0F43AEBC">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60F015AC">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r w14:paraId="1C72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9" w:type="dxa"/>
            <w:tcBorders>
              <w:top w:val="single" w:color="auto" w:sz="4" w:space="0"/>
              <w:left w:val="single" w:color="auto" w:sz="4" w:space="0"/>
              <w:bottom w:val="single" w:color="auto" w:sz="4" w:space="0"/>
              <w:right w:val="single" w:color="auto" w:sz="4" w:space="0"/>
            </w:tcBorders>
          </w:tcPr>
          <w:p w14:paraId="0D99D882">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74" w:type="dxa"/>
            <w:tcBorders>
              <w:top w:val="single" w:color="auto" w:sz="4" w:space="0"/>
              <w:left w:val="single" w:color="auto" w:sz="4" w:space="0"/>
              <w:bottom w:val="single" w:color="auto" w:sz="4" w:space="0"/>
              <w:right w:val="single" w:color="auto" w:sz="4" w:space="0"/>
            </w:tcBorders>
          </w:tcPr>
          <w:p w14:paraId="5E446BE6">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830" w:type="dxa"/>
            <w:tcBorders>
              <w:top w:val="single" w:color="auto" w:sz="4" w:space="0"/>
              <w:left w:val="single" w:color="auto" w:sz="4" w:space="0"/>
              <w:bottom w:val="single" w:color="auto" w:sz="4" w:space="0"/>
              <w:right w:val="single" w:color="auto" w:sz="4" w:space="0"/>
            </w:tcBorders>
          </w:tcPr>
          <w:p w14:paraId="768312C5">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635" w:type="dxa"/>
            <w:tcBorders>
              <w:top w:val="single" w:color="auto" w:sz="4" w:space="0"/>
              <w:left w:val="single" w:color="auto" w:sz="4" w:space="0"/>
              <w:bottom w:val="single" w:color="auto" w:sz="4" w:space="0"/>
              <w:right w:val="single" w:color="auto" w:sz="4" w:space="0"/>
            </w:tcBorders>
          </w:tcPr>
          <w:p w14:paraId="357926EC">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2192" w:type="dxa"/>
            <w:tcBorders>
              <w:top w:val="single" w:color="auto" w:sz="4" w:space="0"/>
              <w:left w:val="single" w:color="auto" w:sz="4" w:space="0"/>
              <w:bottom w:val="single" w:color="auto" w:sz="4" w:space="0"/>
              <w:right w:val="single" w:color="auto" w:sz="4" w:space="0"/>
            </w:tcBorders>
          </w:tcPr>
          <w:p w14:paraId="0CDE5DC2">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c>
          <w:tcPr>
            <w:tcW w:w="1357" w:type="dxa"/>
            <w:tcBorders>
              <w:top w:val="single" w:color="auto" w:sz="4" w:space="0"/>
              <w:left w:val="single" w:color="auto" w:sz="4" w:space="0"/>
              <w:bottom w:val="single" w:color="auto" w:sz="4" w:space="0"/>
              <w:right w:val="single" w:color="auto" w:sz="4" w:space="0"/>
            </w:tcBorders>
          </w:tcPr>
          <w:p w14:paraId="41E06DF7">
            <w:pPr>
              <w:spacing w:line="360" w:lineRule="auto"/>
              <w:ind w:firstLine="600" w:firstLineChars="250"/>
              <w:jc w:val="left"/>
              <w:rPr>
                <w:rFonts w:hint="eastAsia" w:ascii="宋体" w:hAnsi="宋体" w:eastAsia="宋体" w:cs="宋体"/>
                <w:bCs/>
                <w:color w:val="auto"/>
                <w:sz w:val="24"/>
                <w:szCs w:val="24"/>
                <w:highlight w:val="none"/>
                <w:shd w:val="clear" w:color="auto" w:fill="FFFFFF"/>
              </w:rPr>
            </w:pPr>
          </w:p>
        </w:tc>
      </w:tr>
    </w:tbl>
    <w:p w14:paraId="4B850A2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注：在填写时，如本表格不适合供应商的实际情况，可根据本表格式自行划表填写。</w:t>
      </w:r>
    </w:p>
    <w:p w14:paraId="6FBA0B3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附：成交通知书或合同书扫描件。</w:t>
      </w:r>
    </w:p>
    <w:p w14:paraId="54E948C2">
      <w:pPr>
        <w:spacing w:line="40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11FB33A3">
      <w:pPr>
        <w:spacing w:line="59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投标人全称（盖单位章）：</w:t>
      </w:r>
    </w:p>
    <w:p w14:paraId="115593E2">
      <w:pPr>
        <w:spacing w:line="5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法定代表人或供应商授权代表（签字或签章）：</w:t>
      </w:r>
    </w:p>
    <w:p w14:paraId="41E09C1E">
      <w:pPr>
        <w:spacing w:line="59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年    月    日     </w:t>
      </w:r>
    </w:p>
    <w:p w14:paraId="295C9AA7">
      <w:pPr>
        <w:adjustRightInd w:val="0"/>
        <w:snapToGrid w:val="0"/>
        <w:spacing w:line="360" w:lineRule="auto"/>
        <w:ind w:firstLine="480" w:firstLineChars="200"/>
        <w:jc w:val="left"/>
        <w:rPr>
          <w:rFonts w:hint="eastAsia" w:ascii="宋体" w:hAnsi="宋体" w:eastAsia="宋体" w:cs="宋体"/>
          <w:bCs/>
          <w:color w:val="auto"/>
          <w:kern w:val="0"/>
          <w:sz w:val="24"/>
          <w:highlight w:val="none"/>
        </w:rPr>
      </w:pPr>
    </w:p>
    <w:p w14:paraId="4F9C36A8">
      <w:pPr>
        <w:adjustRightInd w:val="0"/>
        <w:snapToGrid w:val="0"/>
        <w:spacing w:line="360" w:lineRule="auto"/>
        <w:jc w:val="center"/>
        <w:rPr>
          <w:rFonts w:hint="eastAsia" w:ascii="宋体" w:hAnsi="宋体" w:eastAsia="宋体" w:cs="宋体"/>
          <w:b/>
          <w:bCs/>
          <w:color w:val="auto"/>
          <w:sz w:val="24"/>
          <w:szCs w:val="24"/>
          <w:highlight w:val="none"/>
        </w:rPr>
        <w:sectPr>
          <w:pgSz w:w="11906" w:h="16838"/>
          <w:pgMar w:top="1134" w:right="1134" w:bottom="1134" w:left="1134" w:header="851" w:footer="850" w:gutter="0"/>
          <w:cols w:space="720" w:num="1"/>
          <w:docGrid w:linePitch="312" w:charSpace="0"/>
        </w:sectPr>
      </w:pPr>
      <w:bookmarkStart w:id="181" w:name="_Hlk37921417"/>
    </w:p>
    <w:bookmarkEnd w:id="181"/>
    <w:p w14:paraId="5FC87EE1">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拟投项目人员一览表</w:t>
      </w:r>
    </w:p>
    <w:p w14:paraId="164EC726">
      <w:pPr>
        <w:adjustRightInd w:val="0"/>
        <w:snapToGrid w:val="0"/>
        <w:spacing w:line="360" w:lineRule="auto"/>
        <w:contextualSpacing/>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项目名称及包件号</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4BBDCC38">
      <w:pPr>
        <w:adjustRightInd w:val="0"/>
        <w:snapToGrid w:val="0"/>
        <w:spacing w:line="360" w:lineRule="auto"/>
        <w:contextualSpacing/>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p>
    <w:tbl>
      <w:tblPr>
        <w:tblStyle w:val="43"/>
        <w:tblW w:w="96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3"/>
        <w:gridCol w:w="1559"/>
        <w:gridCol w:w="2410"/>
        <w:gridCol w:w="1418"/>
        <w:gridCol w:w="1715"/>
        <w:gridCol w:w="1276"/>
      </w:tblGrid>
      <w:tr w14:paraId="01E5C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1293" w:type="dxa"/>
            <w:tcBorders>
              <w:top w:val="single" w:color="auto" w:sz="4" w:space="0"/>
              <w:left w:val="single" w:color="auto" w:sz="4" w:space="0"/>
              <w:bottom w:val="single" w:color="auto" w:sz="4" w:space="0"/>
              <w:right w:val="single" w:color="auto" w:sz="4" w:space="0"/>
            </w:tcBorders>
            <w:vAlign w:val="center"/>
          </w:tcPr>
          <w:p w14:paraId="28AEEE62">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6E405361">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410" w:type="dxa"/>
            <w:tcBorders>
              <w:top w:val="single" w:color="auto" w:sz="4" w:space="0"/>
              <w:left w:val="single" w:color="auto" w:sz="4" w:space="0"/>
              <w:bottom w:val="single" w:color="auto" w:sz="4" w:space="0"/>
              <w:right w:val="single" w:color="auto" w:sz="4" w:space="0"/>
            </w:tcBorders>
            <w:vAlign w:val="center"/>
          </w:tcPr>
          <w:p w14:paraId="7CF8668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担任本次项目的职务</w:t>
            </w:r>
          </w:p>
        </w:tc>
        <w:tc>
          <w:tcPr>
            <w:tcW w:w="1418" w:type="dxa"/>
            <w:tcBorders>
              <w:top w:val="single" w:color="auto" w:sz="4" w:space="0"/>
              <w:left w:val="single" w:color="auto" w:sz="4" w:space="0"/>
              <w:bottom w:val="single" w:color="auto" w:sz="4" w:space="0"/>
              <w:right w:val="single" w:color="auto" w:sz="4" w:space="0"/>
            </w:tcBorders>
            <w:vAlign w:val="center"/>
          </w:tcPr>
          <w:p w14:paraId="7E438C76">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715" w:type="dxa"/>
            <w:tcBorders>
              <w:top w:val="single" w:color="auto" w:sz="4" w:space="0"/>
              <w:left w:val="single" w:color="auto" w:sz="4" w:space="0"/>
              <w:bottom w:val="single" w:color="auto" w:sz="4" w:space="0"/>
              <w:right w:val="single" w:color="auto" w:sz="4" w:space="0"/>
            </w:tcBorders>
            <w:vAlign w:val="center"/>
          </w:tcPr>
          <w:p w14:paraId="617C5201">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从业年限</w:t>
            </w:r>
          </w:p>
        </w:tc>
        <w:tc>
          <w:tcPr>
            <w:tcW w:w="1276" w:type="dxa"/>
            <w:tcBorders>
              <w:top w:val="single" w:color="auto" w:sz="4" w:space="0"/>
              <w:left w:val="single" w:color="auto" w:sz="4" w:space="0"/>
              <w:bottom w:val="single" w:color="auto" w:sz="4" w:space="0"/>
              <w:right w:val="single" w:color="auto" w:sz="4" w:space="0"/>
            </w:tcBorders>
            <w:vAlign w:val="center"/>
          </w:tcPr>
          <w:p w14:paraId="235E4D54">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E7DA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1293" w:type="dxa"/>
            <w:tcBorders>
              <w:top w:val="single" w:color="auto" w:sz="4" w:space="0"/>
              <w:left w:val="single" w:color="auto" w:sz="4" w:space="0"/>
              <w:bottom w:val="single" w:color="auto" w:sz="4" w:space="0"/>
              <w:right w:val="single" w:color="auto" w:sz="4" w:space="0"/>
            </w:tcBorders>
            <w:vAlign w:val="center"/>
          </w:tcPr>
          <w:p w14:paraId="3D3F215C">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F435589">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3148DB24">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38EDE9B">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715" w:type="dxa"/>
            <w:tcBorders>
              <w:top w:val="single" w:color="auto" w:sz="4" w:space="0"/>
              <w:left w:val="single" w:color="auto" w:sz="4" w:space="0"/>
              <w:bottom w:val="single" w:color="auto" w:sz="4" w:space="0"/>
              <w:right w:val="single" w:color="auto" w:sz="4" w:space="0"/>
            </w:tcBorders>
            <w:vAlign w:val="center"/>
          </w:tcPr>
          <w:p w14:paraId="1AC6BD6B">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B19B357">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r>
      <w:tr w14:paraId="6B4323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1293" w:type="dxa"/>
            <w:tcBorders>
              <w:top w:val="single" w:color="auto" w:sz="4" w:space="0"/>
              <w:left w:val="single" w:color="auto" w:sz="4" w:space="0"/>
              <w:bottom w:val="single" w:color="auto" w:sz="4" w:space="0"/>
              <w:right w:val="single" w:color="auto" w:sz="4" w:space="0"/>
            </w:tcBorders>
            <w:vAlign w:val="center"/>
          </w:tcPr>
          <w:p w14:paraId="3F284440">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05A5C74">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39FA115B">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EC4EA28">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715" w:type="dxa"/>
            <w:tcBorders>
              <w:top w:val="single" w:color="auto" w:sz="4" w:space="0"/>
              <w:left w:val="single" w:color="auto" w:sz="4" w:space="0"/>
              <w:bottom w:val="single" w:color="auto" w:sz="4" w:space="0"/>
              <w:right w:val="single" w:color="auto" w:sz="4" w:space="0"/>
            </w:tcBorders>
            <w:vAlign w:val="center"/>
          </w:tcPr>
          <w:p w14:paraId="3111E4E3">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8CEB1E0">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r>
      <w:tr w14:paraId="4EBA9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1293" w:type="dxa"/>
            <w:tcBorders>
              <w:top w:val="single" w:color="auto" w:sz="4" w:space="0"/>
              <w:left w:val="single" w:color="auto" w:sz="4" w:space="0"/>
              <w:bottom w:val="single" w:color="auto" w:sz="4" w:space="0"/>
              <w:right w:val="single" w:color="auto" w:sz="4" w:space="0"/>
            </w:tcBorders>
            <w:vAlign w:val="center"/>
          </w:tcPr>
          <w:p w14:paraId="1B5C4393">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7F32C32">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439F3D69">
            <w:pPr>
              <w:pStyle w:val="24"/>
              <w:adjustRightInd w:val="0"/>
              <w:snapToGrid w:val="0"/>
              <w:spacing w:line="360" w:lineRule="auto"/>
              <w:ind w:left="0" w:leftChars="0" w:firstLine="480" w:firstLineChars="200"/>
              <w:jc w:val="center"/>
              <w:rPr>
                <w:rFonts w:hint="eastAsia" w:ascii="宋体" w:hAnsi="宋体" w:eastAsia="宋体" w:cs="宋体"/>
                <w:color w:val="auto"/>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C46E5C3">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715" w:type="dxa"/>
            <w:tcBorders>
              <w:top w:val="single" w:color="auto" w:sz="4" w:space="0"/>
              <w:left w:val="single" w:color="auto" w:sz="4" w:space="0"/>
              <w:bottom w:val="single" w:color="auto" w:sz="4" w:space="0"/>
              <w:right w:val="single" w:color="auto" w:sz="4" w:space="0"/>
            </w:tcBorders>
            <w:vAlign w:val="center"/>
          </w:tcPr>
          <w:p w14:paraId="63699370">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7652409">
            <w:pPr>
              <w:adjustRightInd w:val="0"/>
              <w:snapToGrid w:val="0"/>
              <w:spacing w:line="360" w:lineRule="auto"/>
              <w:ind w:firstLine="480" w:firstLineChars="200"/>
              <w:jc w:val="center"/>
              <w:rPr>
                <w:rFonts w:hint="eastAsia" w:ascii="宋体" w:hAnsi="宋体" w:eastAsia="宋体" w:cs="宋体"/>
                <w:color w:val="auto"/>
                <w:sz w:val="24"/>
                <w:szCs w:val="24"/>
                <w:highlight w:val="none"/>
              </w:rPr>
            </w:pPr>
          </w:p>
        </w:tc>
      </w:tr>
    </w:tbl>
    <w:p w14:paraId="4B067D88">
      <w:pPr>
        <w:adjustRightInd w:val="0"/>
        <w:snapToGrid w:val="0"/>
        <w:spacing w:line="360" w:lineRule="auto"/>
        <w:jc w:val="left"/>
        <w:rPr>
          <w:rFonts w:hint="eastAsia" w:ascii="宋体" w:hAnsi="宋体" w:eastAsia="宋体" w:cs="宋体"/>
          <w:color w:val="auto"/>
          <w:sz w:val="24"/>
          <w:szCs w:val="24"/>
          <w:highlight w:val="none"/>
        </w:rPr>
      </w:pPr>
    </w:p>
    <w:p w14:paraId="2C5C843D">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附：相关证书材料。</w:t>
      </w:r>
    </w:p>
    <w:bookmarkEnd w:id="141"/>
    <w:p w14:paraId="67B5304B">
      <w:pPr>
        <w:adjustRightInd w:val="0"/>
        <w:snapToGrid w:val="0"/>
        <w:spacing w:line="360" w:lineRule="auto"/>
        <w:jc w:val="center"/>
        <w:rPr>
          <w:rFonts w:hint="eastAsia" w:ascii="宋体" w:hAnsi="宋体" w:eastAsia="宋体" w:cs="宋体"/>
          <w:b/>
          <w:bCs/>
          <w:color w:val="auto"/>
          <w:sz w:val="24"/>
          <w:szCs w:val="24"/>
          <w:highlight w:val="none"/>
        </w:rPr>
      </w:pPr>
    </w:p>
    <w:p w14:paraId="719E91AB">
      <w:pPr>
        <w:adjustRightInd w:val="0"/>
        <w:snapToGrid w:val="0"/>
        <w:spacing w:line="360" w:lineRule="auto"/>
        <w:jc w:val="center"/>
        <w:rPr>
          <w:rFonts w:hint="eastAsia" w:ascii="宋体" w:hAnsi="宋体" w:eastAsia="宋体" w:cs="宋体"/>
          <w:b/>
          <w:bCs/>
          <w:color w:val="auto"/>
          <w:sz w:val="24"/>
          <w:szCs w:val="24"/>
          <w:highlight w:val="none"/>
        </w:rPr>
      </w:pPr>
    </w:p>
    <w:p w14:paraId="4CB982B0">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企业证书</w:t>
      </w:r>
    </w:p>
    <w:p w14:paraId="7929096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（1）投标企业证书</w:t>
      </w:r>
    </w:p>
    <w:tbl>
      <w:tblPr>
        <w:tblStyle w:val="43"/>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714"/>
        <w:gridCol w:w="1921"/>
        <w:gridCol w:w="2189"/>
        <w:gridCol w:w="2970"/>
      </w:tblGrid>
      <w:tr w14:paraId="2CAC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06" w:type="dxa"/>
            <w:vAlign w:val="center"/>
          </w:tcPr>
          <w:p w14:paraId="3A82D8C1">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714" w:type="dxa"/>
            <w:vAlign w:val="center"/>
          </w:tcPr>
          <w:p w14:paraId="01FB2239">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证书名称</w:t>
            </w:r>
          </w:p>
        </w:tc>
        <w:tc>
          <w:tcPr>
            <w:tcW w:w="1921" w:type="dxa"/>
            <w:vAlign w:val="center"/>
          </w:tcPr>
          <w:p w14:paraId="5857E95C">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颁发机构</w:t>
            </w:r>
          </w:p>
        </w:tc>
        <w:tc>
          <w:tcPr>
            <w:tcW w:w="2189" w:type="dxa"/>
            <w:vAlign w:val="center"/>
          </w:tcPr>
          <w:p w14:paraId="039EF320">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颁发时间</w:t>
            </w:r>
          </w:p>
        </w:tc>
        <w:tc>
          <w:tcPr>
            <w:tcW w:w="2970" w:type="dxa"/>
            <w:vAlign w:val="center"/>
          </w:tcPr>
          <w:p w14:paraId="161BE4C8">
            <w:pPr>
              <w:adjustRightInd w:val="0"/>
              <w:snapToGri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3F22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6" w:type="dxa"/>
          </w:tcPr>
          <w:p w14:paraId="0DAB7F6C">
            <w:pPr>
              <w:adjustRightInd w:val="0"/>
              <w:snapToGrid w:val="0"/>
              <w:spacing w:line="360" w:lineRule="auto"/>
              <w:ind w:firstLine="600" w:firstLineChars="250"/>
              <w:jc w:val="left"/>
              <w:rPr>
                <w:rFonts w:hint="eastAsia" w:ascii="宋体" w:hAnsi="宋体" w:eastAsia="宋体" w:cs="宋体"/>
                <w:bCs/>
                <w:color w:val="auto"/>
                <w:sz w:val="24"/>
                <w:szCs w:val="24"/>
                <w:highlight w:val="none"/>
              </w:rPr>
            </w:pPr>
          </w:p>
        </w:tc>
        <w:tc>
          <w:tcPr>
            <w:tcW w:w="1714" w:type="dxa"/>
          </w:tcPr>
          <w:p w14:paraId="01BE94CC">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1921" w:type="dxa"/>
          </w:tcPr>
          <w:p w14:paraId="473796E7">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189" w:type="dxa"/>
          </w:tcPr>
          <w:p w14:paraId="42C90814">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970" w:type="dxa"/>
          </w:tcPr>
          <w:p w14:paraId="4EA66FF6">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r>
      <w:tr w14:paraId="68DA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06" w:type="dxa"/>
          </w:tcPr>
          <w:p w14:paraId="2FAFC028">
            <w:pPr>
              <w:adjustRightInd w:val="0"/>
              <w:snapToGrid w:val="0"/>
              <w:spacing w:line="360" w:lineRule="auto"/>
              <w:ind w:firstLine="600" w:firstLineChars="250"/>
              <w:jc w:val="left"/>
              <w:rPr>
                <w:rFonts w:hint="eastAsia" w:ascii="宋体" w:hAnsi="宋体" w:eastAsia="宋体" w:cs="宋体"/>
                <w:bCs/>
                <w:color w:val="auto"/>
                <w:sz w:val="24"/>
                <w:szCs w:val="24"/>
                <w:highlight w:val="none"/>
              </w:rPr>
            </w:pPr>
          </w:p>
        </w:tc>
        <w:tc>
          <w:tcPr>
            <w:tcW w:w="1714" w:type="dxa"/>
          </w:tcPr>
          <w:p w14:paraId="59091CF0">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1921" w:type="dxa"/>
          </w:tcPr>
          <w:p w14:paraId="30887ABD">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189" w:type="dxa"/>
          </w:tcPr>
          <w:p w14:paraId="65B862DF">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970" w:type="dxa"/>
          </w:tcPr>
          <w:p w14:paraId="28BE9CD7">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r>
      <w:tr w14:paraId="4F4D1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6" w:type="dxa"/>
          </w:tcPr>
          <w:p w14:paraId="517AC61F">
            <w:pPr>
              <w:adjustRightInd w:val="0"/>
              <w:snapToGrid w:val="0"/>
              <w:spacing w:line="360" w:lineRule="auto"/>
              <w:ind w:firstLine="600" w:firstLineChars="250"/>
              <w:jc w:val="left"/>
              <w:rPr>
                <w:rFonts w:hint="eastAsia" w:ascii="宋体" w:hAnsi="宋体" w:eastAsia="宋体" w:cs="宋体"/>
                <w:bCs/>
                <w:color w:val="auto"/>
                <w:sz w:val="24"/>
                <w:szCs w:val="24"/>
                <w:highlight w:val="none"/>
              </w:rPr>
            </w:pPr>
          </w:p>
        </w:tc>
        <w:tc>
          <w:tcPr>
            <w:tcW w:w="1714" w:type="dxa"/>
          </w:tcPr>
          <w:p w14:paraId="7C219C4E">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1921" w:type="dxa"/>
          </w:tcPr>
          <w:p w14:paraId="7BA3D2A5">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189" w:type="dxa"/>
          </w:tcPr>
          <w:p w14:paraId="584757EA">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970" w:type="dxa"/>
          </w:tcPr>
          <w:p w14:paraId="3666F7DE">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r>
      <w:tr w14:paraId="5543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06" w:type="dxa"/>
          </w:tcPr>
          <w:p w14:paraId="67517A78">
            <w:pPr>
              <w:adjustRightInd w:val="0"/>
              <w:snapToGrid w:val="0"/>
              <w:spacing w:line="360" w:lineRule="auto"/>
              <w:ind w:firstLine="600" w:firstLineChars="250"/>
              <w:jc w:val="left"/>
              <w:rPr>
                <w:rFonts w:hint="eastAsia" w:ascii="宋体" w:hAnsi="宋体" w:eastAsia="宋体" w:cs="宋体"/>
                <w:bCs/>
                <w:color w:val="auto"/>
                <w:sz w:val="24"/>
                <w:szCs w:val="24"/>
                <w:highlight w:val="none"/>
              </w:rPr>
            </w:pPr>
          </w:p>
        </w:tc>
        <w:tc>
          <w:tcPr>
            <w:tcW w:w="1714" w:type="dxa"/>
          </w:tcPr>
          <w:p w14:paraId="76335026">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1921" w:type="dxa"/>
          </w:tcPr>
          <w:p w14:paraId="35610A8F">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189" w:type="dxa"/>
          </w:tcPr>
          <w:p w14:paraId="7CBB9DC4">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c>
          <w:tcPr>
            <w:tcW w:w="2970" w:type="dxa"/>
          </w:tcPr>
          <w:p w14:paraId="6EDE8CD2">
            <w:pPr>
              <w:adjustRightInd w:val="0"/>
              <w:snapToGrid w:val="0"/>
              <w:spacing w:line="360" w:lineRule="auto"/>
              <w:ind w:firstLine="600" w:firstLineChars="250"/>
              <w:jc w:val="center"/>
              <w:rPr>
                <w:rFonts w:hint="eastAsia" w:ascii="宋体" w:hAnsi="宋体" w:eastAsia="宋体" w:cs="宋体"/>
                <w:bCs/>
                <w:color w:val="auto"/>
                <w:sz w:val="24"/>
                <w:szCs w:val="24"/>
                <w:highlight w:val="none"/>
              </w:rPr>
            </w:pPr>
          </w:p>
        </w:tc>
      </w:tr>
    </w:tbl>
    <w:p w14:paraId="5A46F9C9">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后附相关材料加盖公章</w:t>
      </w:r>
    </w:p>
    <w:p w14:paraId="20224F65">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投标人全称（盖单位章）：</w:t>
      </w:r>
      <w:r>
        <w:rPr>
          <w:rFonts w:hint="eastAsia" w:ascii="宋体" w:hAnsi="宋体" w:eastAsia="宋体" w:cs="宋体"/>
          <w:color w:val="auto"/>
          <w:sz w:val="24"/>
          <w:szCs w:val="24"/>
          <w:highlight w:val="none"/>
          <w:u w:val="single"/>
        </w:rPr>
        <w:t xml:space="preserve">                               </w:t>
      </w:r>
    </w:p>
    <w:p w14:paraId="6CC4514F">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bCs/>
          <w:color w:val="auto"/>
          <w:sz w:val="24"/>
          <w:szCs w:val="24"/>
          <w:highlight w:val="none"/>
        </w:rPr>
        <w:t>（签字或签章）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F9527CC">
      <w:pPr>
        <w:adjustRightInd w:val="0"/>
        <w:snapToGrid w:val="0"/>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日期：_______年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EB81FC0">
      <w:pPr>
        <w:adjustRightInd w:val="0"/>
        <w:snapToGrid w:val="0"/>
        <w:spacing w:line="360" w:lineRule="auto"/>
        <w:ind w:firstLine="600" w:firstLineChars="250"/>
        <w:jc w:val="left"/>
        <w:rPr>
          <w:rFonts w:hint="eastAsia" w:ascii="宋体" w:hAnsi="宋体" w:eastAsia="宋体" w:cs="宋体"/>
          <w:color w:val="auto"/>
          <w:sz w:val="24"/>
          <w:szCs w:val="24"/>
          <w:highlight w:val="none"/>
        </w:rPr>
      </w:pPr>
    </w:p>
    <w:p w14:paraId="7D143774">
      <w:pPr>
        <w:adjustRightInd w:val="0"/>
        <w:snapToGrid w:val="0"/>
        <w:spacing w:line="360" w:lineRule="auto"/>
        <w:jc w:val="left"/>
        <w:rPr>
          <w:rFonts w:hint="eastAsia" w:ascii="宋体" w:hAnsi="宋体" w:eastAsia="宋体" w:cs="宋体"/>
          <w:color w:val="auto"/>
          <w:sz w:val="24"/>
          <w:szCs w:val="24"/>
          <w:highlight w:val="none"/>
        </w:rPr>
      </w:pPr>
    </w:p>
    <w:p w14:paraId="3047502E">
      <w:pPr>
        <w:adjustRightInd w:val="0"/>
        <w:snapToGrid w:val="0"/>
        <w:spacing w:line="360" w:lineRule="auto"/>
        <w:ind w:firstLine="482" w:firstLineChars="200"/>
        <w:jc w:val="left"/>
        <w:rPr>
          <w:rFonts w:hint="eastAsia" w:ascii="宋体" w:hAnsi="宋体" w:eastAsia="宋体" w:cs="宋体"/>
          <w:b/>
          <w:bCs/>
          <w:color w:val="auto"/>
          <w:sz w:val="24"/>
          <w:szCs w:val="24"/>
          <w:highlight w:val="none"/>
        </w:rPr>
      </w:pPr>
    </w:p>
    <w:p w14:paraId="6E7B1C3C">
      <w:pPr>
        <w:adjustRightInd w:val="0"/>
        <w:snapToGrid w:val="0"/>
        <w:spacing w:line="360" w:lineRule="auto"/>
        <w:ind w:firstLine="600" w:firstLineChars="250"/>
        <w:jc w:val="left"/>
        <w:rPr>
          <w:rFonts w:hint="eastAsia" w:ascii="宋体" w:hAnsi="宋体" w:eastAsia="宋体" w:cs="宋体"/>
          <w:color w:val="auto"/>
          <w:sz w:val="24"/>
          <w:szCs w:val="24"/>
          <w:highlight w:val="none"/>
        </w:rPr>
      </w:pPr>
    </w:p>
    <w:p w14:paraId="0E043E51">
      <w:pPr>
        <w:adjustRightInd w:val="0"/>
        <w:snapToGrid w:val="0"/>
        <w:spacing w:line="360" w:lineRule="auto"/>
        <w:jc w:val="left"/>
        <w:rPr>
          <w:rFonts w:hint="eastAsia" w:ascii="宋体" w:hAnsi="宋体" w:eastAsia="宋体" w:cs="宋体"/>
          <w:color w:val="auto"/>
          <w:sz w:val="24"/>
          <w:szCs w:val="24"/>
          <w:highlight w:val="none"/>
        </w:rPr>
      </w:pPr>
    </w:p>
    <w:sectPr>
      <w:headerReference r:id="rId14" w:type="default"/>
      <w:footerReference r:id="rId15" w:type="default"/>
      <w:pgSz w:w="11906" w:h="16838"/>
      <w:pgMar w:top="1134" w:right="1134" w:bottom="1134" w:left="1134" w:header="851"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C7BB2">
    <w:pPr>
      <w:pStyle w:val="27"/>
      <w:rPr>
        <w:rStyle w:val="47"/>
        <w:rFonts w:hint="eastAsia"/>
      </w:rPr>
    </w:pPr>
    <w:r>
      <w:fldChar w:fldCharType="begin"/>
    </w:r>
    <w:r>
      <w:rPr>
        <w:rStyle w:val="47"/>
      </w:rPr>
      <w:instrText xml:space="preserve">PAGE  </w:instrText>
    </w:r>
    <w:r>
      <w:fldChar w:fldCharType="end"/>
    </w:r>
  </w:p>
  <w:p w14:paraId="3BC5EA9E">
    <w:pPr>
      <w:pStyle w:val="27"/>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F252A88">
                          <w:pPr>
                            <w:pStyle w:val="27"/>
                            <w:rPr>
                              <w:rStyle w:val="47"/>
                              <w:rFonts w:hint="eastAsia"/>
                            </w:rPr>
                          </w:pPr>
                          <w:r>
                            <w:fldChar w:fldCharType="begin"/>
                          </w:r>
                          <w:r>
                            <w:rPr>
                              <w:rStyle w:val="47"/>
                            </w:rPr>
                            <w:instrText xml:space="preserve">PAGE  </w:instrText>
                          </w:r>
                          <w:r>
                            <w:fldChar w:fldCharType="separate"/>
                          </w:r>
                          <w:r>
                            <w:rPr>
                              <w:rStyle w:val="47"/>
                            </w:rPr>
                            <w:t>- 42 -</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g37igUCAAAEBAAADgAAAGRycy9lMm9Eb2MueG1srVNLbtswEN0X6B0I&#10;7mvZRlAYguUgieGiQPoB0h6AoiiLqMghhrQl9wDtDbrqpvuey+fIkLKcNN1kkQ0xHA7fvPc4XF72&#10;pmV7hV6DLfhsMuVMWQmVttuCf/2yebPgzAdhK9GCVQU/KM8vV69fLTuXqzk00FYKGYFYn3eu4E0I&#10;Ls8yLxtlhJ+AU5YOa0AjAm1xm1UoOkI3bTafTt9mHWDlEKTynrLr4ZCfEPE5gFDXWqo1yJ1RNgyo&#10;qFoRSJJvtPN8ldjWtZLhU117FVhbcFIa0kpNKC7jmq2WIt+icI2WJwriORSeaDJCW2p6hlqLINgO&#10;9X9QRksED3WYSDDZICQ5Qipm0yfe3DXCqaSFrPbubLp/OVj5cf8Zma4KfsGZFYYe/Pjr5/H33+Of&#10;H+wi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SDfuKBQIAAAQEAAAOAAAAAAAAAAEAIAAAAB4BAABkcnMvZTJv&#10;RG9jLnhtbFBLBQYAAAAABgAGAFkBAACVBQAAAAA=&#10;">
              <v:fill on="f" focussize="0,0"/>
              <v:stroke on="f"/>
              <v:imagedata o:title=""/>
              <o:lock v:ext="edit" aspectratio="f"/>
              <v:textbox inset="0mm,0mm,0mm,0mm" style="mso-fit-shape-to-text:t;">
                <w:txbxContent>
                  <w:p w14:paraId="0F252A88">
                    <w:pPr>
                      <w:pStyle w:val="27"/>
                      <w:rPr>
                        <w:rStyle w:val="47"/>
                        <w:rFonts w:hint="eastAsia"/>
                      </w:rPr>
                    </w:pPr>
                    <w:r>
                      <w:fldChar w:fldCharType="begin"/>
                    </w:r>
                    <w:r>
                      <w:rPr>
                        <w:rStyle w:val="47"/>
                      </w:rPr>
                      <w:instrText xml:space="preserve">PAGE  </w:instrText>
                    </w:r>
                    <w:r>
                      <w:fldChar w:fldCharType="separate"/>
                    </w:r>
                    <w:r>
                      <w:rPr>
                        <w:rStyle w:val="47"/>
                      </w:rPr>
                      <w:t>- 42 -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63B7">
    <w:pPr>
      <w:spacing w:before="1" w:line="177" w:lineRule="auto"/>
      <w:ind w:left="525"/>
      <w:rPr>
        <w:rFonts w:hint="eastAsia" w:ascii="宋体" w:hAnsi="宋体" w:eastAsia="宋体" w:cs="宋体"/>
        <w:sz w:val="27"/>
        <w:szCs w:val="27"/>
      </w:rPr>
    </w:pPr>
    <w:r>
      <w:rPr>
        <w:sz w:val="2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D12B6">
                          <w:pPr>
                            <w:pStyle w:val="27"/>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14CD12B6">
                    <w:pPr>
                      <w:pStyle w:val="27"/>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D2B24">
    <w:pPr>
      <w:pStyle w:val="27"/>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4BBF1">
                          <w:pPr>
                            <w:pStyle w:val="27"/>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184BBF1">
                    <w:pPr>
                      <w:pStyle w:val="27"/>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73B90">
    <w:pPr>
      <w:pStyle w:val="27"/>
      <w:rPr>
        <w:rFonts w:hint="eastAsia" w:cs="宋体"/>
        <w:sz w:val="27"/>
        <w:szCs w:val="27"/>
      </w:rPr>
    </w:pPr>
    <w:r>
      <w:rPr>
        <w:sz w:val="2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A39879">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76A39879">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4FD1A">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p w14:paraId="7D565E76">
    <w:pPr>
      <w:pStyle w:val="27"/>
      <w:jc w:val="both"/>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E8C68">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p w14:paraId="492FAAD8">
    <w:pPr>
      <w:pStyle w:val="27"/>
      <w:jc w:val="both"/>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6D881">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p w14:paraId="4DF2BD8F">
    <w:pPr>
      <w:pStyle w:val="27"/>
      <w:tabs>
        <w:tab w:val="center" w:pos="4819"/>
        <w:tab w:val="clear" w:pos="4153"/>
      </w:tabs>
      <w:jc w:val="both"/>
      <w:rPr>
        <w:rFonts w:hint="eastAsia"/>
      </w:rPr>
    </w:pPr>
    <w:r>
      <w:rPr>
        <w:rFonts w:hint="eastAsia"/>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4F5E1">
    <w:pPr>
      <w:pStyle w:val="27"/>
      <w:pBdr>
        <w:top w:val="none" w:color="auto" w:sz="0" w:space="1"/>
      </w:pBdr>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p>
  <w:p w14:paraId="1351F12E">
    <w:pPr>
      <w:pStyle w:val="27"/>
      <w:jc w:val="both"/>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D6359">
    <w:pPr>
      <w:pStyle w:val="27"/>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3A214">
                          <w:pPr>
                            <w:pStyle w:val="27"/>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573A214">
                    <w:pPr>
                      <w:pStyle w:val="27"/>
                      <w:rPr>
                        <w:rFonts w:hint="eastAsia"/>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9807D">
    <w:pPr>
      <w:pStyle w:val="27"/>
      <w:rPr>
        <w:rFonts w:hint="eastAsia"/>
      </w:rPr>
    </w:pPr>
    <w:r>
      <w:rPr>
        <w:rFonts w:hint="eastAsia"/>
      </w:rPr>
      <w:t xml:space="preserve">云南中诏项目管理有限公司   </w:t>
    </w:r>
    <w:r>
      <w:t xml:space="preserve">      </w:t>
    </w:r>
    <w:r>
      <w:rPr>
        <w:rFonts w:hint="eastAsia"/>
      </w:rPr>
      <w:t xml:space="preserve">    </w:t>
    </w:r>
    <w:r>
      <w:t xml:space="preserve">          </w:t>
    </w:r>
    <w:r>
      <w:rPr>
        <w:rFonts w:hint="eastAsia"/>
      </w:rPr>
      <w:t xml:space="preserve">  </w:t>
    </w:r>
    <w:r>
      <w:fldChar w:fldCharType="begin"/>
    </w:r>
    <w:r>
      <w:instrText xml:space="preserve">PAGE   \* MERGEFORMAT</w:instrText>
    </w:r>
    <w:r>
      <w:fldChar w:fldCharType="separate"/>
    </w:r>
    <w:r>
      <w:t>- 60 -</w:t>
    </w:r>
    <w:r>
      <w:fldChar w:fldCharType="end"/>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联系电话：13608772096</w: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0B936">
                          <w:pPr>
                            <w:pStyle w:val="27"/>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00C0B936">
                    <w:pPr>
                      <w:pStyle w:val="27"/>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D48C9">
    <w:pPr>
      <w:pBdr>
        <w:bottom w:val="single" w:color="auto" w:sz="4" w:space="0"/>
      </w:pBdr>
      <w:jc w:val="center"/>
      <w:rPr>
        <w:rFonts w:hint="eastAsia"/>
        <w:bCs/>
        <w:szCs w:val="21"/>
      </w:rPr>
    </w:pPr>
    <w:r>
      <w:rPr>
        <w:rFonts w:hint="eastAsia"/>
        <w:bCs/>
        <w:szCs w:val="21"/>
      </w:rPr>
      <w:t>抚仙湖环卫设备采购项目招标文件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D3951">
    <w:pPr>
      <w:pStyle w:val="28"/>
      <w:jc w:val="left"/>
      <w:rPr>
        <w:rFonts w:hint="eastAsia" w:ascii="宋体" w:hAnsi="宋体" w:eastAsia="宋体"/>
      </w:rPr>
    </w:pPr>
    <w:r>
      <w:rPr>
        <w:rFonts w:hint="eastAsia" w:ascii="宋体" w:hAnsi="宋体" w:eastAsia="宋体"/>
        <w:b/>
        <w:bCs/>
      </w:rPr>
      <w:t xml:space="preserve">澄江市机关幼儿园食堂食材配送服务采购项目                                                 </w:t>
    </w:r>
    <w:r>
      <w:rPr>
        <w:rFonts w:ascii="宋体" w:hAnsi="宋体" w:eastAsia="宋体"/>
        <w:b/>
        <w:bCs/>
      </w:rPr>
      <w:t xml:space="preserve"> </w:t>
    </w:r>
    <w:r>
      <w:rPr>
        <w:rFonts w:hint="eastAsia" w:ascii="宋体" w:hAnsi="宋体" w:eastAsia="宋体"/>
        <w:b/>
        <w:bCs/>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D5982">
    <w:pPr>
      <w:pStyle w:val="28"/>
      <w:jc w:val="left"/>
      <w:rPr>
        <w:rFonts w:hint="eastAsia" w:ascii="宋体" w:hAnsi="宋体" w:eastAsia="宋体"/>
      </w:rPr>
    </w:pPr>
    <w:r>
      <w:rPr>
        <w:rFonts w:hint="eastAsia" w:ascii="宋体" w:hAnsi="宋体" w:eastAsia="宋体"/>
        <w:b/>
        <w:bCs/>
      </w:rPr>
      <w:t xml:space="preserve">澄江市机关幼儿园食堂食材配送服务采购项目                                                 </w:t>
    </w:r>
    <w:r>
      <w:rPr>
        <w:rFonts w:ascii="宋体" w:hAnsi="宋体" w:eastAsia="宋体"/>
        <w:b/>
        <w:bCs/>
      </w:rPr>
      <w:t xml:space="preserve"> </w:t>
    </w:r>
    <w:r>
      <w:rPr>
        <w:rFonts w:hint="eastAsia" w:ascii="宋体" w:hAnsi="宋体" w:eastAsia="宋体"/>
        <w:b/>
        <w:bCs/>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6FFE91"/>
    <w:multiLevelType w:val="singleLevel"/>
    <w:tmpl w:val="DC6FFE91"/>
    <w:lvl w:ilvl="0" w:tentative="0">
      <w:start w:val="3"/>
      <w:numFmt w:val="decimal"/>
      <w:lvlText w:val="%1."/>
      <w:lvlJc w:val="left"/>
      <w:pPr>
        <w:tabs>
          <w:tab w:val="left" w:pos="312"/>
        </w:tabs>
      </w:pPr>
    </w:lvl>
  </w:abstractNum>
  <w:abstractNum w:abstractNumId="1">
    <w:nsid w:val="00000029"/>
    <w:multiLevelType w:val="multilevel"/>
    <w:tmpl w:val="00000029"/>
    <w:lvl w:ilvl="0" w:tentative="0">
      <w:start w:val="1"/>
      <w:numFmt w:val="decimal"/>
      <w:lvlText w:val="%1)"/>
      <w:lvlJc w:val="left"/>
      <w:pPr>
        <w:tabs>
          <w:tab w:val="left" w:pos="420"/>
        </w:tabs>
        <w:ind w:left="1253" w:hanging="420"/>
      </w:pPr>
    </w:lvl>
    <w:lvl w:ilvl="1" w:tentative="0">
      <w:start w:val="1"/>
      <w:numFmt w:val="lowerLetter"/>
      <w:lvlText w:val="%2)"/>
      <w:lvlJc w:val="left"/>
      <w:pPr>
        <w:tabs>
          <w:tab w:val="left" w:pos="420"/>
        </w:tabs>
        <w:ind w:left="1673" w:hanging="420"/>
      </w:pPr>
    </w:lvl>
    <w:lvl w:ilvl="2" w:tentative="0">
      <w:start w:val="1"/>
      <w:numFmt w:val="lowerRoman"/>
      <w:lvlText w:val="%3."/>
      <w:lvlJc w:val="right"/>
      <w:pPr>
        <w:tabs>
          <w:tab w:val="left" w:pos="420"/>
        </w:tabs>
        <w:ind w:left="2093" w:hanging="420"/>
      </w:pPr>
    </w:lvl>
    <w:lvl w:ilvl="3" w:tentative="0">
      <w:start w:val="1"/>
      <w:numFmt w:val="decimal"/>
      <w:lvlText w:val="%4."/>
      <w:lvlJc w:val="left"/>
      <w:pPr>
        <w:tabs>
          <w:tab w:val="left" w:pos="420"/>
        </w:tabs>
        <w:ind w:left="2513" w:hanging="420"/>
      </w:pPr>
    </w:lvl>
    <w:lvl w:ilvl="4" w:tentative="0">
      <w:start w:val="1"/>
      <w:numFmt w:val="lowerLetter"/>
      <w:lvlText w:val="%5)"/>
      <w:lvlJc w:val="left"/>
      <w:pPr>
        <w:tabs>
          <w:tab w:val="left" w:pos="420"/>
        </w:tabs>
        <w:ind w:left="2933" w:hanging="420"/>
      </w:pPr>
    </w:lvl>
    <w:lvl w:ilvl="5" w:tentative="0">
      <w:start w:val="1"/>
      <w:numFmt w:val="lowerRoman"/>
      <w:lvlText w:val="%6."/>
      <w:lvlJc w:val="right"/>
      <w:pPr>
        <w:tabs>
          <w:tab w:val="left" w:pos="420"/>
        </w:tabs>
        <w:ind w:left="3353" w:hanging="420"/>
      </w:pPr>
    </w:lvl>
    <w:lvl w:ilvl="6" w:tentative="0">
      <w:start w:val="1"/>
      <w:numFmt w:val="decimal"/>
      <w:lvlText w:val="%7."/>
      <w:lvlJc w:val="left"/>
      <w:pPr>
        <w:tabs>
          <w:tab w:val="left" w:pos="420"/>
        </w:tabs>
        <w:ind w:left="3773" w:hanging="420"/>
      </w:pPr>
    </w:lvl>
    <w:lvl w:ilvl="7" w:tentative="0">
      <w:start w:val="1"/>
      <w:numFmt w:val="lowerLetter"/>
      <w:lvlText w:val="%8)"/>
      <w:lvlJc w:val="left"/>
      <w:pPr>
        <w:tabs>
          <w:tab w:val="left" w:pos="420"/>
        </w:tabs>
        <w:ind w:left="4193" w:hanging="420"/>
      </w:pPr>
    </w:lvl>
    <w:lvl w:ilvl="8" w:tentative="0">
      <w:start w:val="1"/>
      <w:numFmt w:val="lowerRoman"/>
      <w:lvlText w:val="%9."/>
      <w:lvlJc w:val="right"/>
      <w:pPr>
        <w:tabs>
          <w:tab w:val="left" w:pos="420"/>
        </w:tabs>
        <w:ind w:left="4613" w:hanging="420"/>
      </w:pPr>
    </w:lvl>
  </w:abstractNum>
  <w:abstractNum w:abstractNumId="2">
    <w:nsid w:val="0038D1C5"/>
    <w:multiLevelType w:val="singleLevel"/>
    <w:tmpl w:val="0038D1C5"/>
    <w:lvl w:ilvl="0" w:tentative="0">
      <w:start w:val="14"/>
      <w:numFmt w:val="chineseCounting"/>
      <w:suff w:val="nothing"/>
      <w:lvlText w:val="%1、"/>
      <w:lvlJc w:val="left"/>
      <w:rPr>
        <w:rFonts w:hint="eastAsia"/>
      </w:rPr>
    </w:lvl>
  </w:abstractNum>
  <w:abstractNum w:abstractNumId="3">
    <w:nsid w:val="60724B94"/>
    <w:multiLevelType w:val="multilevel"/>
    <w:tmpl w:val="60724B94"/>
    <w:lvl w:ilvl="0" w:tentative="0">
      <w:start w:val="1"/>
      <w:numFmt w:val="chineseCountingThousand"/>
      <w:pStyle w:val="210"/>
      <w:suff w:val="space"/>
      <w:lvlText w:val="第%1章"/>
      <w:lvlJc w:val="left"/>
      <w:pPr>
        <w:ind w:left="425" w:firstLine="0"/>
      </w:pPr>
      <w:rPr>
        <w:rFonts w:hint="eastAsia" w:cs="Times New Roman"/>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2411" w:firstLine="0"/>
      </w:pPr>
      <w:rPr>
        <w:rFonts w:hint="eastAsia" w:cs="Times New Roman"/>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w:lvlJc w:val="left"/>
      <w:pPr>
        <w:ind w:left="3969"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Y3OTA3NzYyZGQ1OWU3MTFkNDBlODg1ZDk5ZDY1OWQifQ=="/>
  </w:docVars>
  <w:rsids>
    <w:rsidRoot w:val="00172A27"/>
    <w:rsid w:val="00001C6F"/>
    <w:rsid w:val="00002AFF"/>
    <w:rsid w:val="000034CF"/>
    <w:rsid w:val="00003FB2"/>
    <w:rsid w:val="000047BC"/>
    <w:rsid w:val="000058DC"/>
    <w:rsid w:val="00005D13"/>
    <w:rsid w:val="00007F56"/>
    <w:rsid w:val="00010F5D"/>
    <w:rsid w:val="00011151"/>
    <w:rsid w:val="00012A69"/>
    <w:rsid w:val="00012A6C"/>
    <w:rsid w:val="000168AE"/>
    <w:rsid w:val="00017174"/>
    <w:rsid w:val="0002297E"/>
    <w:rsid w:val="000240B3"/>
    <w:rsid w:val="00025C5E"/>
    <w:rsid w:val="000261A9"/>
    <w:rsid w:val="00026382"/>
    <w:rsid w:val="000266CD"/>
    <w:rsid w:val="00027432"/>
    <w:rsid w:val="00031498"/>
    <w:rsid w:val="00031E2F"/>
    <w:rsid w:val="000323FA"/>
    <w:rsid w:val="0003355D"/>
    <w:rsid w:val="00035BA0"/>
    <w:rsid w:val="000363A0"/>
    <w:rsid w:val="00040105"/>
    <w:rsid w:val="00041098"/>
    <w:rsid w:val="000416FF"/>
    <w:rsid w:val="00042F14"/>
    <w:rsid w:val="000434E6"/>
    <w:rsid w:val="00045120"/>
    <w:rsid w:val="00046212"/>
    <w:rsid w:val="00046C56"/>
    <w:rsid w:val="000501D0"/>
    <w:rsid w:val="00051242"/>
    <w:rsid w:val="00051432"/>
    <w:rsid w:val="00051950"/>
    <w:rsid w:val="000519F2"/>
    <w:rsid w:val="0005263E"/>
    <w:rsid w:val="00053FE9"/>
    <w:rsid w:val="0005499E"/>
    <w:rsid w:val="00055F48"/>
    <w:rsid w:val="00056CC2"/>
    <w:rsid w:val="0005702A"/>
    <w:rsid w:val="00057846"/>
    <w:rsid w:val="00062030"/>
    <w:rsid w:val="000629E7"/>
    <w:rsid w:val="00063E72"/>
    <w:rsid w:val="00064474"/>
    <w:rsid w:val="00064594"/>
    <w:rsid w:val="00064C65"/>
    <w:rsid w:val="00066221"/>
    <w:rsid w:val="000665E0"/>
    <w:rsid w:val="00070B97"/>
    <w:rsid w:val="000719C5"/>
    <w:rsid w:val="00072908"/>
    <w:rsid w:val="000749B2"/>
    <w:rsid w:val="0007630E"/>
    <w:rsid w:val="00076FDD"/>
    <w:rsid w:val="00081F4B"/>
    <w:rsid w:val="00083C53"/>
    <w:rsid w:val="00085429"/>
    <w:rsid w:val="000871A3"/>
    <w:rsid w:val="00087D62"/>
    <w:rsid w:val="00091E4E"/>
    <w:rsid w:val="00092D90"/>
    <w:rsid w:val="00093B35"/>
    <w:rsid w:val="00094510"/>
    <w:rsid w:val="000962F5"/>
    <w:rsid w:val="000963F4"/>
    <w:rsid w:val="00097692"/>
    <w:rsid w:val="00097E4C"/>
    <w:rsid w:val="000A026A"/>
    <w:rsid w:val="000A0B86"/>
    <w:rsid w:val="000A12B1"/>
    <w:rsid w:val="000A13B5"/>
    <w:rsid w:val="000A242D"/>
    <w:rsid w:val="000A29C8"/>
    <w:rsid w:val="000A32B6"/>
    <w:rsid w:val="000A33CF"/>
    <w:rsid w:val="000A3E19"/>
    <w:rsid w:val="000A61CC"/>
    <w:rsid w:val="000A62F0"/>
    <w:rsid w:val="000A6D0B"/>
    <w:rsid w:val="000B1DE0"/>
    <w:rsid w:val="000B2D95"/>
    <w:rsid w:val="000B3F9E"/>
    <w:rsid w:val="000B4ABD"/>
    <w:rsid w:val="000B55E3"/>
    <w:rsid w:val="000B62AC"/>
    <w:rsid w:val="000B7778"/>
    <w:rsid w:val="000C11CF"/>
    <w:rsid w:val="000C327E"/>
    <w:rsid w:val="000C4930"/>
    <w:rsid w:val="000C4F87"/>
    <w:rsid w:val="000C7CE5"/>
    <w:rsid w:val="000C7DAC"/>
    <w:rsid w:val="000C7ECF"/>
    <w:rsid w:val="000D1A39"/>
    <w:rsid w:val="000D3CDB"/>
    <w:rsid w:val="000D546D"/>
    <w:rsid w:val="000E0B83"/>
    <w:rsid w:val="000E12C4"/>
    <w:rsid w:val="000E45EE"/>
    <w:rsid w:val="000E49F9"/>
    <w:rsid w:val="000E54FC"/>
    <w:rsid w:val="000F034E"/>
    <w:rsid w:val="000F240F"/>
    <w:rsid w:val="000F2847"/>
    <w:rsid w:val="000F2CBF"/>
    <w:rsid w:val="000F2CC7"/>
    <w:rsid w:val="000F3781"/>
    <w:rsid w:val="000F3D8E"/>
    <w:rsid w:val="000F410F"/>
    <w:rsid w:val="000F44B5"/>
    <w:rsid w:val="000F51C8"/>
    <w:rsid w:val="000F6705"/>
    <w:rsid w:val="000F6880"/>
    <w:rsid w:val="000F694C"/>
    <w:rsid w:val="000F7379"/>
    <w:rsid w:val="000F768D"/>
    <w:rsid w:val="000F773D"/>
    <w:rsid w:val="00101CC0"/>
    <w:rsid w:val="00101F85"/>
    <w:rsid w:val="00102354"/>
    <w:rsid w:val="00102997"/>
    <w:rsid w:val="00102D59"/>
    <w:rsid w:val="00102DDA"/>
    <w:rsid w:val="00105479"/>
    <w:rsid w:val="0010556E"/>
    <w:rsid w:val="00105B68"/>
    <w:rsid w:val="00106A71"/>
    <w:rsid w:val="00107FEA"/>
    <w:rsid w:val="0011159C"/>
    <w:rsid w:val="00111601"/>
    <w:rsid w:val="00111DE2"/>
    <w:rsid w:val="00112FAF"/>
    <w:rsid w:val="00113F1E"/>
    <w:rsid w:val="00115FB5"/>
    <w:rsid w:val="00117204"/>
    <w:rsid w:val="00121B59"/>
    <w:rsid w:val="00121B8B"/>
    <w:rsid w:val="00121FA1"/>
    <w:rsid w:val="00123DAB"/>
    <w:rsid w:val="0012652B"/>
    <w:rsid w:val="00126A03"/>
    <w:rsid w:val="00126A24"/>
    <w:rsid w:val="00127328"/>
    <w:rsid w:val="001276CF"/>
    <w:rsid w:val="00130047"/>
    <w:rsid w:val="0013118C"/>
    <w:rsid w:val="00131B46"/>
    <w:rsid w:val="0013350B"/>
    <w:rsid w:val="00133AE5"/>
    <w:rsid w:val="001369FF"/>
    <w:rsid w:val="00136B60"/>
    <w:rsid w:val="00137DA0"/>
    <w:rsid w:val="00141DCC"/>
    <w:rsid w:val="00144E2D"/>
    <w:rsid w:val="00145200"/>
    <w:rsid w:val="001453B5"/>
    <w:rsid w:val="001459C2"/>
    <w:rsid w:val="00145D75"/>
    <w:rsid w:val="001474D3"/>
    <w:rsid w:val="001474F7"/>
    <w:rsid w:val="00147C21"/>
    <w:rsid w:val="001500B5"/>
    <w:rsid w:val="00150408"/>
    <w:rsid w:val="001516A1"/>
    <w:rsid w:val="001526DE"/>
    <w:rsid w:val="00155791"/>
    <w:rsid w:val="00155B4D"/>
    <w:rsid w:val="001562A1"/>
    <w:rsid w:val="0015632F"/>
    <w:rsid w:val="00157A2D"/>
    <w:rsid w:val="00162982"/>
    <w:rsid w:val="00162C82"/>
    <w:rsid w:val="00162D17"/>
    <w:rsid w:val="00162E25"/>
    <w:rsid w:val="001635DE"/>
    <w:rsid w:val="001650C9"/>
    <w:rsid w:val="001653C2"/>
    <w:rsid w:val="00165767"/>
    <w:rsid w:val="00165905"/>
    <w:rsid w:val="00167981"/>
    <w:rsid w:val="00167C24"/>
    <w:rsid w:val="00170BBD"/>
    <w:rsid w:val="00170E5D"/>
    <w:rsid w:val="00171CD5"/>
    <w:rsid w:val="00172A27"/>
    <w:rsid w:val="001740D2"/>
    <w:rsid w:val="00175708"/>
    <w:rsid w:val="00175EBE"/>
    <w:rsid w:val="001766B7"/>
    <w:rsid w:val="00180BD3"/>
    <w:rsid w:val="00181B3D"/>
    <w:rsid w:val="001822D2"/>
    <w:rsid w:val="00184E50"/>
    <w:rsid w:val="00185A53"/>
    <w:rsid w:val="001901ED"/>
    <w:rsid w:val="00190B98"/>
    <w:rsid w:val="00193239"/>
    <w:rsid w:val="00193D3B"/>
    <w:rsid w:val="001946AC"/>
    <w:rsid w:val="001958F2"/>
    <w:rsid w:val="00196376"/>
    <w:rsid w:val="00196EC9"/>
    <w:rsid w:val="00197007"/>
    <w:rsid w:val="001971E3"/>
    <w:rsid w:val="001974CC"/>
    <w:rsid w:val="0019779D"/>
    <w:rsid w:val="00197F04"/>
    <w:rsid w:val="001A0CC0"/>
    <w:rsid w:val="001A3785"/>
    <w:rsid w:val="001A5249"/>
    <w:rsid w:val="001A5DE7"/>
    <w:rsid w:val="001A6836"/>
    <w:rsid w:val="001B1EEA"/>
    <w:rsid w:val="001B1EF1"/>
    <w:rsid w:val="001B5C69"/>
    <w:rsid w:val="001B5DD5"/>
    <w:rsid w:val="001B6349"/>
    <w:rsid w:val="001B6CBD"/>
    <w:rsid w:val="001B6E16"/>
    <w:rsid w:val="001B6E68"/>
    <w:rsid w:val="001B7B97"/>
    <w:rsid w:val="001C0245"/>
    <w:rsid w:val="001C1D74"/>
    <w:rsid w:val="001C1E14"/>
    <w:rsid w:val="001C252E"/>
    <w:rsid w:val="001C2C19"/>
    <w:rsid w:val="001C42FB"/>
    <w:rsid w:val="001D0ACD"/>
    <w:rsid w:val="001D0BF6"/>
    <w:rsid w:val="001D1224"/>
    <w:rsid w:val="001D5AC4"/>
    <w:rsid w:val="001D7089"/>
    <w:rsid w:val="001D725D"/>
    <w:rsid w:val="001D7BE8"/>
    <w:rsid w:val="001E1EE6"/>
    <w:rsid w:val="001E28EE"/>
    <w:rsid w:val="001E2DD1"/>
    <w:rsid w:val="001E365D"/>
    <w:rsid w:val="001E4646"/>
    <w:rsid w:val="001E4ABA"/>
    <w:rsid w:val="001E6182"/>
    <w:rsid w:val="001F1A93"/>
    <w:rsid w:val="001F1FEB"/>
    <w:rsid w:val="001F204A"/>
    <w:rsid w:val="001F2C4E"/>
    <w:rsid w:val="001F348F"/>
    <w:rsid w:val="001F4F89"/>
    <w:rsid w:val="001F5FF1"/>
    <w:rsid w:val="001F7945"/>
    <w:rsid w:val="00200DE8"/>
    <w:rsid w:val="00202D05"/>
    <w:rsid w:val="00204323"/>
    <w:rsid w:val="00204A3C"/>
    <w:rsid w:val="002060A4"/>
    <w:rsid w:val="002063E3"/>
    <w:rsid w:val="00207252"/>
    <w:rsid w:val="00211F86"/>
    <w:rsid w:val="002137DE"/>
    <w:rsid w:val="00213CB7"/>
    <w:rsid w:val="00214E09"/>
    <w:rsid w:val="0021534C"/>
    <w:rsid w:val="00215D5D"/>
    <w:rsid w:val="00216868"/>
    <w:rsid w:val="00217A85"/>
    <w:rsid w:val="0022011A"/>
    <w:rsid w:val="00222229"/>
    <w:rsid w:val="002228CB"/>
    <w:rsid w:val="00222C8A"/>
    <w:rsid w:val="00222EB9"/>
    <w:rsid w:val="00223085"/>
    <w:rsid w:val="0022364F"/>
    <w:rsid w:val="00224724"/>
    <w:rsid w:val="0022547C"/>
    <w:rsid w:val="00226E49"/>
    <w:rsid w:val="00227031"/>
    <w:rsid w:val="002303DC"/>
    <w:rsid w:val="00231111"/>
    <w:rsid w:val="00231798"/>
    <w:rsid w:val="00232F61"/>
    <w:rsid w:val="002339EB"/>
    <w:rsid w:val="00233A4B"/>
    <w:rsid w:val="0023470D"/>
    <w:rsid w:val="00234ED8"/>
    <w:rsid w:val="0023588F"/>
    <w:rsid w:val="00236F17"/>
    <w:rsid w:val="00242452"/>
    <w:rsid w:val="002426A8"/>
    <w:rsid w:val="00242B09"/>
    <w:rsid w:val="00242F5B"/>
    <w:rsid w:val="002431F3"/>
    <w:rsid w:val="002435D5"/>
    <w:rsid w:val="0024369D"/>
    <w:rsid w:val="0024418F"/>
    <w:rsid w:val="00245A9C"/>
    <w:rsid w:val="00245E7B"/>
    <w:rsid w:val="00246BAA"/>
    <w:rsid w:val="00247431"/>
    <w:rsid w:val="0025042C"/>
    <w:rsid w:val="00250653"/>
    <w:rsid w:val="002546FA"/>
    <w:rsid w:val="0025520C"/>
    <w:rsid w:val="0025536A"/>
    <w:rsid w:val="0026267E"/>
    <w:rsid w:val="00262F2C"/>
    <w:rsid w:val="002638C0"/>
    <w:rsid w:val="00264109"/>
    <w:rsid w:val="00264134"/>
    <w:rsid w:val="00264460"/>
    <w:rsid w:val="00267263"/>
    <w:rsid w:val="00267BEE"/>
    <w:rsid w:val="0027240C"/>
    <w:rsid w:val="002726DF"/>
    <w:rsid w:val="00273792"/>
    <w:rsid w:val="002746FD"/>
    <w:rsid w:val="00274BAA"/>
    <w:rsid w:val="002766DD"/>
    <w:rsid w:val="00276E7E"/>
    <w:rsid w:val="00277659"/>
    <w:rsid w:val="00277DF1"/>
    <w:rsid w:val="00281695"/>
    <w:rsid w:val="00290A4F"/>
    <w:rsid w:val="00291763"/>
    <w:rsid w:val="002918A2"/>
    <w:rsid w:val="002920CE"/>
    <w:rsid w:val="00293DF2"/>
    <w:rsid w:val="00295CA3"/>
    <w:rsid w:val="00296022"/>
    <w:rsid w:val="0029675B"/>
    <w:rsid w:val="002A0F0B"/>
    <w:rsid w:val="002A1E21"/>
    <w:rsid w:val="002A2D4E"/>
    <w:rsid w:val="002A4971"/>
    <w:rsid w:val="002A5B43"/>
    <w:rsid w:val="002A5CE7"/>
    <w:rsid w:val="002A6CF5"/>
    <w:rsid w:val="002B086D"/>
    <w:rsid w:val="002B476D"/>
    <w:rsid w:val="002B49A9"/>
    <w:rsid w:val="002B6FAF"/>
    <w:rsid w:val="002B749D"/>
    <w:rsid w:val="002B7AFD"/>
    <w:rsid w:val="002B7C98"/>
    <w:rsid w:val="002C0311"/>
    <w:rsid w:val="002C08B7"/>
    <w:rsid w:val="002C0F32"/>
    <w:rsid w:val="002C0F4E"/>
    <w:rsid w:val="002C24BF"/>
    <w:rsid w:val="002C2592"/>
    <w:rsid w:val="002C2A0C"/>
    <w:rsid w:val="002C35C6"/>
    <w:rsid w:val="002C3841"/>
    <w:rsid w:val="002C3C47"/>
    <w:rsid w:val="002C496D"/>
    <w:rsid w:val="002C5174"/>
    <w:rsid w:val="002C558A"/>
    <w:rsid w:val="002C5633"/>
    <w:rsid w:val="002C5C1C"/>
    <w:rsid w:val="002C7893"/>
    <w:rsid w:val="002C7B2D"/>
    <w:rsid w:val="002D00B2"/>
    <w:rsid w:val="002D0CB6"/>
    <w:rsid w:val="002D162F"/>
    <w:rsid w:val="002D1F0F"/>
    <w:rsid w:val="002D3718"/>
    <w:rsid w:val="002D596C"/>
    <w:rsid w:val="002D5B55"/>
    <w:rsid w:val="002D5FAF"/>
    <w:rsid w:val="002D7137"/>
    <w:rsid w:val="002E026E"/>
    <w:rsid w:val="002E2BE0"/>
    <w:rsid w:val="002E30B7"/>
    <w:rsid w:val="002E5E4E"/>
    <w:rsid w:val="002E6FDF"/>
    <w:rsid w:val="002E75CB"/>
    <w:rsid w:val="002E789D"/>
    <w:rsid w:val="002E7F92"/>
    <w:rsid w:val="002F1EF1"/>
    <w:rsid w:val="002F311F"/>
    <w:rsid w:val="002F6825"/>
    <w:rsid w:val="002F7657"/>
    <w:rsid w:val="003014F0"/>
    <w:rsid w:val="00301BFC"/>
    <w:rsid w:val="00302ED3"/>
    <w:rsid w:val="0030479E"/>
    <w:rsid w:val="00305AFD"/>
    <w:rsid w:val="0031118A"/>
    <w:rsid w:val="0031157B"/>
    <w:rsid w:val="00312598"/>
    <w:rsid w:val="00312EFF"/>
    <w:rsid w:val="003139D4"/>
    <w:rsid w:val="00314645"/>
    <w:rsid w:val="0031502D"/>
    <w:rsid w:val="00315926"/>
    <w:rsid w:val="00316201"/>
    <w:rsid w:val="00317FD6"/>
    <w:rsid w:val="003204B7"/>
    <w:rsid w:val="003231E6"/>
    <w:rsid w:val="00323D94"/>
    <w:rsid w:val="00323DA4"/>
    <w:rsid w:val="003254D1"/>
    <w:rsid w:val="00325FEF"/>
    <w:rsid w:val="00326720"/>
    <w:rsid w:val="00326735"/>
    <w:rsid w:val="00330380"/>
    <w:rsid w:val="00331F5A"/>
    <w:rsid w:val="0033397A"/>
    <w:rsid w:val="00334784"/>
    <w:rsid w:val="00334B98"/>
    <w:rsid w:val="003351B4"/>
    <w:rsid w:val="0033734E"/>
    <w:rsid w:val="00337E7F"/>
    <w:rsid w:val="00340149"/>
    <w:rsid w:val="00340375"/>
    <w:rsid w:val="00342B5E"/>
    <w:rsid w:val="00342D0A"/>
    <w:rsid w:val="0034370A"/>
    <w:rsid w:val="00343BF7"/>
    <w:rsid w:val="003441FA"/>
    <w:rsid w:val="003454C1"/>
    <w:rsid w:val="003473F3"/>
    <w:rsid w:val="003513D0"/>
    <w:rsid w:val="00351537"/>
    <w:rsid w:val="00352199"/>
    <w:rsid w:val="00354179"/>
    <w:rsid w:val="003552F5"/>
    <w:rsid w:val="0035540C"/>
    <w:rsid w:val="00355EE9"/>
    <w:rsid w:val="0035678C"/>
    <w:rsid w:val="00356ED5"/>
    <w:rsid w:val="003616E0"/>
    <w:rsid w:val="00363417"/>
    <w:rsid w:val="00363D92"/>
    <w:rsid w:val="003641C5"/>
    <w:rsid w:val="00364477"/>
    <w:rsid w:val="00364846"/>
    <w:rsid w:val="00364FFB"/>
    <w:rsid w:val="00365B79"/>
    <w:rsid w:val="003662B3"/>
    <w:rsid w:val="00366706"/>
    <w:rsid w:val="00367AFF"/>
    <w:rsid w:val="00370FBA"/>
    <w:rsid w:val="0037250F"/>
    <w:rsid w:val="0037292F"/>
    <w:rsid w:val="00372B22"/>
    <w:rsid w:val="00374895"/>
    <w:rsid w:val="00374CFB"/>
    <w:rsid w:val="0037670E"/>
    <w:rsid w:val="003768C5"/>
    <w:rsid w:val="0038012A"/>
    <w:rsid w:val="00380A05"/>
    <w:rsid w:val="003811EB"/>
    <w:rsid w:val="0038132B"/>
    <w:rsid w:val="00381C77"/>
    <w:rsid w:val="003821DB"/>
    <w:rsid w:val="00384479"/>
    <w:rsid w:val="003845B9"/>
    <w:rsid w:val="00384EE6"/>
    <w:rsid w:val="00385A45"/>
    <w:rsid w:val="00390257"/>
    <w:rsid w:val="00390285"/>
    <w:rsid w:val="00391160"/>
    <w:rsid w:val="003917C1"/>
    <w:rsid w:val="00392776"/>
    <w:rsid w:val="00393313"/>
    <w:rsid w:val="003939C5"/>
    <w:rsid w:val="00393A97"/>
    <w:rsid w:val="00395E65"/>
    <w:rsid w:val="0039643A"/>
    <w:rsid w:val="00397A73"/>
    <w:rsid w:val="003A03F4"/>
    <w:rsid w:val="003A0881"/>
    <w:rsid w:val="003A09BC"/>
    <w:rsid w:val="003A12FF"/>
    <w:rsid w:val="003A1416"/>
    <w:rsid w:val="003A2DE5"/>
    <w:rsid w:val="003A2F20"/>
    <w:rsid w:val="003A366D"/>
    <w:rsid w:val="003A3E2A"/>
    <w:rsid w:val="003A44F2"/>
    <w:rsid w:val="003A5BD5"/>
    <w:rsid w:val="003A6212"/>
    <w:rsid w:val="003B0F49"/>
    <w:rsid w:val="003B0F70"/>
    <w:rsid w:val="003B2AFF"/>
    <w:rsid w:val="003B382D"/>
    <w:rsid w:val="003B4AB4"/>
    <w:rsid w:val="003B53E2"/>
    <w:rsid w:val="003B6DB0"/>
    <w:rsid w:val="003B77E3"/>
    <w:rsid w:val="003C108A"/>
    <w:rsid w:val="003C2126"/>
    <w:rsid w:val="003C3699"/>
    <w:rsid w:val="003C51F4"/>
    <w:rsid w:val="003C646D"/>
    <w:rsid w:val="003C6553"/>
    <w:rsid w:val="003C75D7"/>
    <w:rsid w:val="003C7FCA"/>
    <w:rsid w:val="003D04CE"/>
    <w:rsid w:val="003D0648"/>
    <w:rsid w:val="003D1CDE"/>
    <w:rsid w:val="003D248B"/>
    <w:rsid w:val="003D24F5"/>
    <w:rsid w:val="003D3032"/>
    <w:rsid w:val="003D446C"/>
    <w:rsid w:val="003D5364"/>
    <w:rsid w:val="003D5C20"/>
    <w:rsid w:val="003D61B6"/>
    <w:rsid w:val="003D65C9"/>
    <w:rsid w:val="003D7456"/>
    <w:rsid w:val="003E090E"/>
    <w:rsid w:val="003E0C55"/>
    <w:rsid w:val="003E1617"/>
    <w:rsid w:val="003E3B7A"/>
    <w:rsid w:val="003E5C4A"/>
    <w:rsid w:val="003E66FC"/>
    <w:rsid w:val="003F198E"/>
    <w:rsid w:val="003F3E45"/>
    <w:rsid w:val="003F498A"/>
    <w:rsid w:val="003F4C9D"/>
    <w:rsid w:val="003F6639"/>
    <w:rsid w:val="003F74D4"/>
    <w:rsid w:val="0040115B"/>
    <w:rsid w:val="00402402"/>
    <w:rsid w:val="00402463"/>
    <w:rsid w:val="004029A8"/>
    <w:rsid w:val="004031C3"/>
    <w:rsid w:val="00404160"/>
    <w:rsid w:val="00404976"/>
    <w:rsid w:val="00405B60"/>
    <w:rsid w:val="00405E70"/>
    <w:rsid w:val="00405EAA"/>
    <w:rsid w:val="00406393"/>
    <w:rsid w:val="0040647C"/>
    <w:rsid w:val="00406683"/>
    <w:rsid w:val="004068BE"/>
    <w:rsid w:val="00407611"/>
    <w:rsid w:val="004079E6"/>
    <w:rsid w:val="004111C6"/>
    <w:rsid w:val="00411DE6"/>
    <w:rsid w:val="00411FB9"/>
    <w:rsid w:val="00413DD8"/>
    <w:rsid w:val="0041430C"/>
    <w:rsid w:val="0041505B"/>
    <w:rsid w:val="00415237"/>
    <w:rsid w:val="00415E83"/>
    <w:rsid w:val="004166A3"/>
    <w:rsid w:val="00420730"/>
    <w:rsid w:val="0042117A"/>
    <w:rsid w:val="00421B54"/>
    <w:rsid w:val="00422772"/>
    <w:rsid w:val="00422B26"/>
    <w:rsid w:val="00423956"/>
    <w:rsid w:val="00423DEF"/>
    <w:rsid w:val="0042411F"/>
    <w:rsid w:val="00425697"/>
    <w:rsid w:val="004258D8"/>
    <w:rsid w:val="0043083F"/>
    <w:rsid w:val="00430BEB"/>
    <w:rsid w:val="0043205C"/>
    <w:rsid w:val="00432BBC"/>
    <w:rsid w:val="00434595"/>
    <w:rsid w:val="004351E3"/>
    <w:rsid w:val="00436220"/>
    <w:rsid w:val="00437FBC"/>
    <w:rsid w:val="00441695"/>
    <w:rsid w:val="00445801"/>
    <w:rsid w:val="00445CAF"/>
    <w:rsid w:val="0044635F"/>
    <w:rsid w:val="00446C0E"/>
    <w:rsid w:val="00451142"/>
    <w:rsid w:val="00451DE0"/>
    <w:rsid w:val="00452B0E"/>
    <w:rsid w:val="00453247"/>
    <w:rsid w:val="0045364C"/>
    <w:rsid w:val="00453CAE"/>
    <w:rsid w:val="00454015"/>
    <w:rsid w:val="00454097"/>
    <w:rsid w:val="0045414F"/>
    <w:rsid w:val="00454DDA"/>
    <w:rsid w:val="004551E6"/>
    <w:rsid w:val="00455F72"/>
    <w:rsid w:val="00457039"/>
    <w:rsid w:val="004574FC"/>
    <w:rsid w:val="00457E89"/>
    <w:rsid w:val="00462557"/>
    <w:rsid w:val="0046494C"/>
    <w:rsid w:val="00464A4A"/>
    <w:rsid w:val="0046537B"/>
    <w:rsid w:val="0046576F"/>
    <w:rsid w:val="00466A60"/>
    <w:rsid w:val="00467419"/>
    <w:rsid w:val="0046756B"/>
    <w:rsid w:val="00470E38"/>
    <w:rsid w:val="00472CC2"/>
    <w:rsid w:val="00473643"/>
    <w:rsid w:val="004742C3"/>
    <w:rsid w:val="00475842"/>
    <w:rsid w:val="00476425"/>
    <w:rsid w:val="00476B24"/>
    <w:rsid w:val="00480966"/>
    <w:rsid w:val="004811E9"/>
    <w:rsid w:val="004814F3"/>
    <w:rsid w:val="00481DA5"/>
    <w:rsid w:val="004827A7"/>
    <w:rsid w:val="00482BA3"/>
    <w:rsid w:val="00482C3E"/>
    <w:rsid w:val="00483572"/>
    <w:rsid w:val="004850E5"/>
    <w:rsid w:val="00486C20"/>
    <w:rsid w:val="00486E0D"/>
    <w:rsid w:val="00491FF2"/>
    <w:rsid w:val="00492EC7"/>
    <w:rsid w:val="00493053"/>
    <w:rsid w:val="00494ED2"/>
    <w:rsid w:val="00495912"/>
    <w:rsid w:val="00497C78"/>
    <w:rsid w:val="00497DE6"/>
    <w:rsid w:val="004A0F05"/>
    <w:rsid w:val="004A21A7"/>
    <w:rsid w:val="004A26F9"/>
    <w:rsid w:val="004A56CB"/>
    <w:rsid w:val="004A7ED2"/>
    <w:rsid w:val="004A7EF4"/>
    <w:rsid w:val="004B0648"/>
    <w:rsid w:val="004B11A9"/>
    <w:rsid w:val="004B2015"/>
    <w:rsid w:val="004B2626"/>
    <w:rsid w:val="004B2AB5"/>
    <w:rsid w:val="004B3938"/>
    <w:rsid w:val="004B4377"/>
    <w:rsid w:val="004B442F"/>
    <w:rsid w:val="004B4860"/>
    <w:rsid w:val="004B49A6"/>
    <w:rsid w:val="004B4E1A"/>
    <w:rsid w:val="004B5C2C"/>
    <w:rsid w:val="004B6924"/>
    <w:rsid w:val="004B718D"/>
    <w:rsid w:val="004C0048"/>
    <w:rsid w:val="004C02F2"/>
    <w:rsid w:val="004C114C"/>
    <w:rsid w:val="004C1BF4"/>
    <w:rsid w:val="004C26E0"/>
    <w:rsid w:val="004C3E86"/>
    <w:rsid w:val="004C49D6"/>
    <w:rsid w:val="004C4B0F"/>
    <w:rsid w:val="004C5D81"/>
    <w:rsid w:val="004C71DA"/>
    <w:rsid w:val="004C728A"/>
    <w:rsid w:val="004D18F8"/>
    <w:rsid w:val="004D25A9"/>
    <w:rsid w:val="004D4671"/>
    <w:rsid w:val="004D4F92"/>
    <w:rsid w:val="004D5FB0"/>
    <w:rsid w:val="004D6E43"/>
    <w:rsid w:val="004E10E5"/>
    <w:rsid w:val="004E1BD0"/>
    <w:rsid w:val="004E1EAE"/>
    <w:rsid w:val="004E25D1"/>
    <w:rsid w:val="004E3C7F"/>
    <w:rsid w:val="004E4FA5"/>
    <w:rsid w:val="004E5942"/>
    <w:rsid w:val="004E779D"/>
    <w:rsid w:val="004E77A1"/>
    <w:rsid w:val="004E7842"/>
    <w:rsid w:val="004E7A69"/>
    <w:rsid w:val="004F1C51"/>
    <w:rsid w:val="004F21CA"/>
    <w:rsid w:val="004F30BF"/>
    <w:rsid w:val="004F531C"/>
    <w:rsid w:val="0050012A"/>
    <w:rsid w:val="0050129F"/>
    <w:rsid w:val="00501D17"/>
    <w:rsid w:val="005029ED"/>
    <w:rsid w:val="005037D1"/>
    <w:rsid w:val="00503CF6"/>
    <w:rsid w:val="00507B43"/>
    <w:rsid w:val="00511CE4"/>
    <w:rsid w:val="00512512"/>
    <w:rsid w:val="0051259F"/>
    <w:rsid w:val="0051458B"/>
    <w:rsid w:val="00521225"/>
    <w:rsid w:val="00521307"/>
    <w:rsid w:val="00522102"/>
    <w:rsid w:val="00523770"/>
    <w:rsid w:val="00524E36"/>
    <w:rsid w:val="005259BA"/>
    <w:rsid w:val="00525B0A"/>
    <w:rsid w:val="005310E4"/>
    <w:rsid w:val="005311E1"/>
    <w:rsid w:val="00531689"/>
    <w:rsid w:val="00533C0F"/>
    <w:rsid w:val="005348D1"/>
    <w:rsid w:val="0053509B"/>
    <w:rsid w:val="00535CDD"/>
    <w:rsid w:val="0053723C"/>
    <w:rsid w:val="00537A82"/>
    <w:rsid w:val="00542DBA"/>
    <w:rsid w:val="005446C7"/>
    <w:rsid w:val="00546BA3"/>
    <w:rsid w:val="00547FB8"/>
    <w:rsid w:val="00550E47"/>
    <w:rsid w:val="00551F16"/>
    <w:rsid w:val="0055449A"/>
    <w:rsid w:val="00555149"/>
    <w:rsid w:val="00556C36"/>
    <w:rsid w:val="005578DF"/>
    <w:rsid w:val="005579C6"/>
    <w:rsid w:val="00557FFD"/>
    <w:rsid w:val="00560018"/>
    <w:rsid w:val="00560051"/>
    <w:rsid w:val="005607FE"/>
    <w:rsid w:val="00560ECB"/>
    <w:rsid w:val="005610B2"/>
    <w:rsid w:val="00561F2A"/>
    <w:rsid w:val="00563B4A"/>
    <w:rsid w:val="005644B6"/>
    <w:rsid w:val="00565177"/>
    <w:rsid w:val="00565468"/>
    <w:rsid w:val="005669FD"/>
    <w:rsid w:val="00570BA7"/>
    <w:rsid w:val="00572A80"/>
    <w:rsid w:val="00573477"/>
    <w:rsid w:val="00574490"/>
    <w:rsid w:val="00574DD4"/>
    <w:rsid w:val="00575ECD"/>
    <w:rsid w:val="00576221"/>
    <w:rsid w:val="00576D06"/>
    <w:rsid w:val="00576E47"/>
    <w:rsid w:val="00580893"/>
    <w:rsid w:val="00581E2E"/>
    <w:rsid w:val="00582441"/>
    <w:rsid w:val="0058320B"/>
    <w:rsid w:val="00583D3A"/>
    <w:rsid w:val="0058558F"/>
    <w:rsid w:val="005903B5"/>
    <w:rsid w:val="0059115D"/>
    <w:rsid w:val="005914EF"/>
    <w:rsid w:val="005917CF"/>
    <w:rsid w:val="005933C5"/>
    <w:rsid w:val="00593C9C"/>
    <w:rsid w:val="00595D9B"/>
    <w:rsid w:val="00596293"/>
    <w:rsid w:val="005A19A4"/>
    <w:rsid w:val="005A2679"/>
    <w:rsid w:val="005A2E92"/>
    <w:rsid w:val="005A4B6D"/>
    <w:rsid w:val="005A54FC"/>
    <w:rsid w:val="005A5AEC"/>
    <w:rsid w:val="005A60CE"/>
    <w:rsid w:val="005A7749"/>
    <w:rsid w:val="005B107A"/>
    <w:rsid w:val="005B2396"/>
    <w:rsid w:val="005B23B5"/>
    <w:rsid w:val="005B275C"/>
    <w:rsid w:val="005B6DC1"/>
    <w:rsid w:val="005B704B"/>
    <w:rsid w:val="005C0D98"/>
    <w:rsid w:val="005C13CC"/>
    <w:rsid w:val="005C1725"/>
    <w:rsid w:val="005C1B76"/>
    <w:rsid w:val="005C1E11"/>
    <w:rsid w:val="005C2160"/>
    <w:rsid w:val="005C2164"/>
    <w:rsid w:val="005C6E46"/>
    <w:rsid w:val="005C70CC"/>
    <w:rsid w:val="005C77C3"/>
    <w:rsid w:val="005D0736"/>
    <w:rsid w:val="005D0EBA"/>
    <w:rsid w:val="005D140A"/>
    <w:rsid w:val="005D1A9A"/>
    <w:rsid w:val="005D23F4"/>
    <w:rsid w:val="005D356C"/>
    <w:rsid w:val="005D3F6E"/>
    <w:rsid w:val="005D4FA6"/>
    <w:rsid w:val="005D5C7E"/>
    <w:rsid w:val="005D5F77"/>
    <w:rsid w:val="005D6580"/>
    <w:rsid w:val="005D73A5"/>
    <w:rsid w:val="005E111C"/>
    <w:rsid w:val="005E342F"/>
    <w:rsid w:val="005E375D"/>
    <w:rsid w:val="005E4571"/>
    <w:rsid w:val="005E5A85"/>
    <w:rsid w:val="005E6627"/>
    <w:rsid w:val="005E7DF5"/>
    <w:rsid w:val="005F0362"/>
    <w:rsid w:val="005F0598"/>
    <w:rsid w:val="005F19B9"/>
    <w:rsid w:val="005F2DEA"/>
    <w:rsid w:val="005F32A5"/>
    <w:rsid w:val="005F35F2"/>
    <w:rsid w:val="005F3835"/>
    <w:rsid w:val="005F4EF9"/>
    <w:rsid w:val="005F505B"/>
    <w:rsid w:val="005F539B"/>
    <w:rsid w:val="005F5699"/>
    <w:rsid w:val="005F5AD3"/>
    <w:rsid w:val="005F5EB6"/>
    <w:rsid w:val="005F6206"/>
    <w:rsid w:val="0060018A"/>
    <w:rsid w:val="0060050A"/>
    <w:rsid w:val="00600C4F"/>
    <w:rsid w:val="00600EB6"/>
    <w:rsid w:val="00603C18"/>
    <w:rsid w:val="006040FE"/>
    <w:rsid w:val="00604535"/>
    <w:rsid w:val="006062E7"/>
    <w:rsid w:val="00606DEC"/>
    <w:rsid w:val="00610236"/>
    <w:rsid w:val="006105BF"/>
    <w:rsid w:val="00610613"/>
    <w:rsid w:val="0061120A"/>
    <w:rsid w:val="0061216E"/>
    <w:rsid w:val="00612AB2"/>
    <w:rsid w:val="006135CA"/>
    <w:rsid w:val="0061558B"/>
    <w:rsid w:val="00616B66"/>
    <w:rsid w:val="00616E63"/>
    <w:rsid w:val="00617A1F"/>
    <w:rsid w:val="00617A73"/>
    <w:rsid w:val="00617EC7"/>
    <w:rsid w:val="00620B5D"/>
    <w:rsid w:val="00620E79"/>
    <w:rsid w:val="00622017"/>
    <w:rsid w:val="0062431F"/>
    <w:rsid w:val="00624D43"/>
    <w:rsid w:val="00624E46"/>
    <w:rsid w:val="00625787"/>
    <w:rsid w:val="00632067"/>
    <w:rsid w:val="00633BF4"/>
    <w:rsid w:val="00634554"/>
    <w:rsid w:val="006345BD"/>
    <w:rsid w:val="00634B91"/>
    <w:rsid w:val="00635423"/>
    <w:rsid w:val="00636012"/>
    <w:rsid w:val="0063657C"/>
    <w:rsid w:val="00636B88"/>
    <w:rsid w:val="00640B58"/>
    <w:rsid w:val="00641AE0"/>
    <w:rsid w:val="00641C12"/>
    <w:rsid w:val="00642E34"/>
    <w:rsid w:val="006440E6"/>
    <w:rsid w:val="00644272"/>
    <w:rsid w:val="00645574"/>
    <w:rsid w:val="006463A8"/>
    <w:rsid w:val="006463C0"/>
    <w:rsid w:val="00646459"/>
    <w:rsid w:val="006470B4"/>
    <w:rsid w:val="00651522"/>
    <w:rsid w:val="006536E6"/>
    <w:rsid w:val="00653883"/>
    <w:rsid w:val="00654691"/>
    <w:rsid w:val="006547AA"/>
    <w:rsid w:val="00655C83"/>
    <w:rsid w:val="0065620E"/>
    <w:rsid w:val="0065705E"/>
    <w:rsid w:val="0065763E"/>
    <w:rsid w:val="00657689"/>
    <w:rsid w:val="00660BE3"/>
    <w:rsid w:val="00661725"/>
    <w:rsid w:val="0066197F"/>
    <w:rsid w:val="00665561"/>
    <w:rsid w:val="0066644B"/>
    <w:rsid w:val="0066656B"/>
    <w:rsid w:val="00667D81"/>
    <w:rsid w:val="00667D9C"/>
    <w:rsid w:val="006706E3"/>
    <w:rsid w:val="00670B34"/>
    <w:rsid w:val="00672CA2"/>
    <w:rsid w:val="006731AA"/>
    <w:rsid w:val="006734EE"/>
    <w:rsid w:val="006741C5"/>
    <w:rsid w:val="006748C4"/>
    <w:rsid w:val="0067595D"/>
    <w:rsid w:val="00677DB7"/>
    <w:rsid w:val="00681071"/>
    <w:rsid w:val="0068158B"/>
    <w:rsid w:val="00681634"/>
    <w:rsid w:val="00681A7B"/>
    <w:rsid w:val="006837F6"/>
    <w:rsid w:val="006868F7"/>
    <w:rsid w:val="00686D3A"/>
    <w:rsid w:val="00687D9C"/>
    <w:rsid w:val="00690534"/>
    <w:rsid w:val="00690807"/>
    <w:rsid w:val="00691913"/>
    <w:rsid w:val="00692929"/>
    <w:rsid w:val="00692D62"/>
    <w:rsid w:val="00694C85"/>
    <w:rsid w:val="006A0A29"/>
    <w:rsid w:val="006A1368"/>
    <w:rsid w:val="006A29C4"/>
    <w:rsid w:val="006A2D9B"/>
    <w:rsid w:val="006A351C"/>
    <w:rsid w:val="006A4E41"/>
    <w:rsid w:val="006A50A1"/>
    <w:rsid w:val="006A6318"/>
    <w:rsid w:val="006A6399"/>
    <w:rsid w:val="006A7348"/>
    <w:rsid w:val="006B1802"/>
    <w:rsid w:val="006B1C33"/>
    <w:rsid w:val="006B2C5B"/>
    <w:rsid w:val="006B2E2D"/>
    <w:rsid w:val="006B2FD7"/>
    <w:rsid w:val="006B3803"/>
    <w:rsid w:val="006B58E5"/>
    <w:rsid w:val="006B6F96"/>
    <w:rsid w:val="006B7181"/>
    <w:rsid w:val="006B7E7D"/>
    <w:rsid w:val="006C6C66"/>
    <w:rsid w:val="006C733F"/>
    <w:rsid w:val="006D007E"/>
    <w:rsid w:val="006D142C"/>
    <w:rsid w:val="006D264C"/>
    <w:rsid w:val="006D421C"/>
    <w:rsid w:val="006D56E2"/>
    <w:rsid w:val="006E0402"/>
    <w:rsid w:val="006E0F59"/>
    <w:rsid w:val="006E15B7"/>
    <w:rsid w:val="006E2250"/>
    <w:rsid w:val="006E2AA1"/>
    <w:rsid w:val="006E4B3A"/>
    <w:rsid w:val="006E6C21"/>
    <w:rsid w:val="006E708E"/>
    <w:rsid w:val="006E7934"/>
    <w:rsid w:val="006F0115"/>
    <w:rsid w:val="006F4117"/>
    <w:rsid w:val="006F43E7"/>
    <w:rsid w:val="006F5BA7"/>
    <w:rsid w:val="006F5D3C"/>
    <w:rsid w:val="006F6941"/>
    <w:rsid w:val="00700678"/>
    <w:rsid w:val="00700FDF"/>
    <w:rsid w:val="0070201B"/>
    <w:rsid w:val="00702458"/>
    <w:rsid w:val="00702CE8"/>
    <w:rsid w:val="00704415"/>
    <w:rsid w:val="007049B3"/>
    <w:rsid w:val="007109CF"/>
    <w:rsid w:val="0071355C"/>
    <w:rsid w:val="0071672B"/>
    <w:rsid w:val="00717309"/>
    <w:rsid w:val="00720215"/>
    <w:rsid w:val="00724628"/>
    <w:rsid w:val="007246A3"/>
    <w:rsid w:val="00724B78"/>
    <w:rsid w:val="00724F2E"/>
    <w:rsid w:val="0072531A"/>
    <w:rsid w:val="007255DA"/>
    <w:rsid w:val="00725795"/>
    <w:rsid w:val="00725858"/>
    <w:rsid w:val="00725A51"/>
    <w:rsid w:val="00725AD2"/>
    <w:rsid w:val="0072688D"/>
    <w:rsid w:val="00726A51"/>
    <w:rsid w:val="007275CB"/>
    <w:rsid w:val="007278CD"/>
    <w:rsid w:val="00730A1B"/>
    <w:rsid w:val="007310B1"/>
    <w:rsid w:val="00731DAE"/>
    <w:rsid w:val="00732EDE"/>
    <w:rsid w:val="00733038"/>
    <w:rsid w:val="007331C2"/>
    <w:rsid w:val="007335C9"/>
    <w:rsid w:val="007354E4"/>
    <w:rsid w:val="00735BE0"/>
    <w:rsid w:val="00736225"/>
    <w:rsid w:val="00736489"/>
    <w:rsid w:val="0073753F"/>
    <w:rsid w:val="00737738"/>
    <w:rsid w:val="00737C30"/>
    <w:rsid w:val="00737C88"/>
    <w:rsid w:val="00740428"/>
    <w:rsid w:val="0074114B"/>
    <w:rsid w:val="00741EAD"/>
    <w:rsid w:val="00742B82"/>
    <w:rsid w:val="007432D0"/>
    <w:rsid w:val="00743CB7"/>
    <w:rsid w:val="00746763"/>
    <w:rsid w:val="00746AC7"/>
    <w:rsid w:val="007509F0"/>
    <w:rsid w:val="00752B79"/>
    <w:rsid w:val="00753EC7"/>
    <w:rsid w:val="0075427D"/>
    <w:rsid w:val="00754324"/>
    <w:rsid w:val="00754E3E"/>
    <w:rsid w:val="007555F7"/>
    <w:rsid w:val="00756969"/>
    <w:rsid w:val="007600F0"/>
    <w:rsid w:val="00760CFD"/>
    <w:rsid w:val="00760E50"/>
    <w:rsid w:val="00762418"/>
    <w:rsid w:val="0076259D"/>
    <w:rsid w:val="00762B87"/>
    <w:rsid w:val="007638BD"/>
    <w:rsid w:val="00763CC5"/>
    <w:rsid w:val="00763F12"/>
    <w:rsid w:val="00764B24"/>
    <w:rsid w:val="00764F87"/>
    <w:rsid w:val="0076571F"/>
    <w:rsid w:val="007702EB"/>
    <w:rsid w:val="007703AB"/>
    <w:rsid w:val="0077061B"/>
    <w:rsid w:val="00772466"/>
    <w:rsid w:val="00772F12"/>
    <w:rsid w:val="00773418"/>
    <w:rsid w:val="00773496"/>
    <w:rsid w:val="0077353C"/>
    <w:rsid w:val="0077454A"/>
    <w:rsid w:val="00774AE9"/>
    <w:rsid w:val="0077650A"/>
    <w:rsid w:val="00776998"/>
    <w:rsid w:val="0077710E"/>
    <w:rsid w:val="007777D0"/>
    <w:rsid w:val="007802C8"/>
    <w:rsid w:val="00781324"/>
    <w:rsid w:val="00781354"/>
    <w:rsid w:val="00781577"/>
    <w:rsid w:val="00781A0F"/>
    <w:rsid w:val="00782EDE"/>
    <w:rsid w:val="00783809"/>
    <w:rsid w:val="00783DA5"/>
    <w:rsid w:val="00784A2F"/>
    <w:rsid w:val="007853E5"/>
    <w:rsid w:val="0078548F"/>
    <w:rsid w:val="00785978"/>
    <w:rsid w:val="00785CC6"/>
    <w:rsid w:val="007865A2"/>
    <w:rsid w:val="00786796"/>
    <w:rsid w:val="007870F4"/>
    <w:rsid w:val="007872BF"/>
    <w:rsid w:val="0078732F"/>
    <w:rsid w:val="007875B6"/>
    <w:rsid w:val="00790324"/>
    <w:rsid w:val="00794E8F"/>
    <w:rsid w:val="00795ED9"/>
    <w:rsid w:val="007962ED"/>
    <w:rsid w:val="00796409"/>
    <w:rsid w:val="00796BE9"/>
    <w:rsid w:val="00797C0E"/>
    <w:rsid w:val="00797F26"/>
    <w:rsid w:val="007A0868"/>
    <w:rsid w:val="007A0892"/>
    <w:rsid w:val="007A0F01"/>
    <w:rsid w:val="007A34A0"/>
    <w:rsid w:val="007A3EC8"/>
    <w:rsid w:val="007A5BA2"/>
    <w:rsid w:val="007A5FC8"/>
    <w:rsid w:val="007A6FC2"/>
    <w:rsid w:val="007B0976"/>
    <w:rsid w:val="007B0D4D"/>
    <w:rsid w:val="007B1168"/>
    <w:rsid w:val="007B1910"/>
    <w:rsid w:val="007B27A4"/>
    <w:rsid w:val="007B29F4"/>
    <w:rsid w:val="007B3B4D"/>
    <w:rsid w:val="007B4F22"/>
    <w:rsid w:val="007B5963"/>
    <w:rsid w:val="007B5A54"/>
    <w:rsid w:val="007C0CE1"/>
    <w:rsid w:val="007C38CA"/>
    <w:rsid w:val="007C4127"/>
    <w:rsid w:val="007C59C5"/>
    <w:rsid w:val="007C5A21"/>
    <w:rsid w:val="007C67C9"/>
    <w:rsid w:val="007C6B18"/>
    <w:rsid w:val="007D0288"/>
    <w:rsid w:val="007D0C62"/>
    <w:rsid w:val="007D22AB"/>
    <w:rsid w:val="007D37E9"/>
    <w:rsid w:val="007D6BF8"/>
    <w:rsid w:val="007E1EB0"/>
    <w:rsid w:val="007E3BB2"/>
    <w:rsid w:val="007E4D24"/>
    <w:rsid w:val="007E559B"/>
    <w:rsid w:val="007E6640"/>
    <w:rsid w:val="007E691D"/>
    <w:rsid w:val="007E6BE8"/>
    <w:rsid w:val="007E79A4"/>
    <w:rsid w:val="007F0617"/>
    <w:rsid w:val="007F0B56"/>
    <w:rsid w:val="007F0D67"/>
    <w:rsid w:val="007F0FEB"/>
    <w:rsid w:val="007F7D00"/>
    <w:rsid w:val="0080050C"/>
    <w:rsid w:val="008022B1"/>
    <w:rsid w:val="0080345F"/>
    <w:rsid w:val="00804204"/>
    <w:rsid w:val="008046A4"/>
    <w:rsid w:val="00805FC4"/>
    <w:rsid w:val="00806586"/>
    <w:rsid w:val="00806BB0"/>
    <w:rsid w:val="008078F0"/>
    <w:rsid w:val="00807E6A"/>
    <w:rsid w:val="00811233"/>
    <w:rsid w:val="00814DE8"/>
    <w:rsid w:val="00814E4D"/>
    <w:rsid w:val="00816389"/>
    <w:rsid w:val="008218F3"/>
    <w:rsid w:val="00822CC3"/>
    <w:rsid w:val="00824C2C"/>
    <w:rsid w:val="008261A9"/>
    <w:rsid w:val="00826F66"/>
    <w:rsid w:val="008307B6"/>
    <w:rsid w:val="00830DE8"/>
    <w:rsid w:val="0083146C"/>
    <w:rsid w:val="00831CE6"/>
    <w:rsid w:val="008327FA"/>
    <w:rsid w:val="00832DFA"/>
    <w:rsid w:val="00832E5E"/>
    <w:rsid w:val="00832ED9"/>
    <w:rsid w:val="0083519B"/>
    <w:rsid w:val="00835284"/>
    <w:rsid w:val="00835E0A"/>
    <w:rsid w:val="00840181"/>
    <w:rsid w:val="008408D1"/>
    <w:rsid w:val="00842E75"/>
    <w:rsid w:val="008446EB"/>
    <w:rsid w:val="00845301"/>
    <w:rsid w:val="0084542C"/>
    <w:rsid w:val="00845886"/>
    <w:rsid w:val="008468DA"/>
    <w:rsid w:val="008513EA"/>
    <w:rsid w:val="00851463"/>
    <w:rsid w:val="008528AD"/>
    <w:rsid w:val="00853357"/>
    <w:rsid w:val="008549D1"/>
    <w:rsid w:val="0085523D"/>
    <w:rsid w:val="00855C56"/>
    <w:rsid w:val="0085609A"/>
    <w:rsid w:val="008563BA"/>
    <w:rsid w:val="00856857"/>
    <w:rsid w:val="00857280"/>
    <w:rsid w:val="008576FD"/>
    <w:rsid w:val="0086091A"/>
    <w:rsid w:val="00861081"/>
    <w:rsid w:val="00862B52"/>
    <w:rsid w:val="00862DBC"/>
    <w:rsid w:val="008634C3"/>
    <w:rsid w:val="00863E27"/>
    <w:rsid w:val="008655E0"/>
    <w:rsid w:val="0086578D"/>
    <w:rsid w:val="00865913"/>
    <w:rsid w:val="00865BF0"/>
    <w:rsid w:val="00866059"/>
    <w:rsid w:val="0087149D"/>
    <w:rsid w:val="00871C5D"/>
    <w:rsid w:val="008725A4"/>
    <w:rsid w:val="00874384"/>
    <w:rsid w:val="008744FC"/>
    <w:rsid w:val="0087472F"/>
    <w:rsid w:val="0087548F"/>
    <w:rsid w:val="00876C5E"/>
    <w:rsid w:val="00877BDE"/>
    <w:rsid w:val="00880E0E"/>
    <w:rsid w:val="00880EE8"/>
    <w:rsid w:val="00880F68"/>
    <w:rsid w:val="0088223C"/>
    <w:rsid w:val="0088264C"/>
    <w:rsid w:val="00882883"/>
    <w:rsid w:val="00883A88"/>
    <w:rsid w:val="0088511C"/>
    <w:rsid w:val="00885169"/>
    <w:rsid w:val="00885FB4"/>
    <w:rsid w:val="008876C1"/>
    <w:rsid w:val="00890EA5"/>
    <w:rsid w:val="00894E51"/>
    <w:rsid w:val="008967AD"/>
    <w:rsid w:val="008A0E13"/>
    <w:rsid w:val="008A5119"/>
    <w:rsid w:val="008A5679"/>
    <w:rsid w:val="008B1448"/>
    <w:rsid w:val="008B2981"/>
    <w:rsid w:val="008B3455"/>
    <w:rsid w:val="008B3599"/>
    <w:rsid w:val="008B3BAC"/>
    <w:rsid w:val="008B6858"/>
    <w:rsid w:val="008B7A74"/>
    <w:rsid w:val="008B7C1C"/>
    <w:rsid w:val="008C18F6"/>
    <w:rsid w:val="008C247D"/>
    <w:rsid w:val="008C5B38"/>
    <w:rsid w:val="008C636E"/>
    <w:rsid w:val="008C676C"/>
    <w:rsid w:val="008C6CCD"/>
    <w:rsid w:val="008D1993"/>
    <w:rsid w:val="008D32F1"/>
    <w:rsid w:val="008D38C3"/>
    <w:rsid w:val="008D3E2C"/>
    <w:rsid w:val="008D40A1"/>
    <w:rsid w:val="008D716B"/>
    <w:rsid w:val="008D79EE"/>
    <w:rsid w:val="008E06A8"/>
    <w:rsid w:val="008E5169"/>
    <w:rsid w:val="008E5230"/>
    <w:rsid w:val="008E52B7"/>
    <w:rsid w:val="008E5FFF"/>
    <w:rsid w:val="008E6F0A"/>
    <w:rsid w:val="008E74F4"/>
    <w:rsid w:val="008E7816"/>
    <w:rsid w:val="008F057D"/>
    <w:rsid w:val="008F3799"/>
    <w:rsid w:val="008F38D1"/>
    <w:rsid w:val="008F5E60"/>
    <w:rsid w:val="008F6704"/>
    <w:rsid w:val="008F74B7"/>
    <w:rsid w:val="008F7D5A"/>
    <w:rsid w:val="0090024D"/>
    <w:rsid w:val="00900987"/>
    <w:rsid w:val="00900B3F"/>
    <w:rsid w:val="00901EDB"/>
    <w:rsid w:val="00903963"/>
    <w:rsid w:val="0090423E"/>
    <w:rsid w:val="009042C6"/>
    <w:rsid w:val="0090445A"/>
    <w:rsid w:val="0090793D"/>
    <w:rsid w:val="00911194"/>
    <w:rsid w:val="009125C5"/>
    <w:rsid w:val="009138C5"/>
    <w:rsid w:val="009138E0"/>
    <w:rsid w:val="00913939"/>
    <w:rsid w:val="00917365"/>
    <w:rsid w:val="00921672"/>
    <w:rsid w:val="00923CA3"/>
    <w:rsid w:val="009243D3"/>
    <w:rsid w:val="009245D0"/>
    <w:rsid w:val="009248D4"/>
    <w:rsid w:val="00924A08"/>
    <w:rsid w:val="00925344"/>
    <w:rsid w:val="00925A64"/>
    <w:rsid w:val="00925ADD"/>
    <w:rsid w:val="00927011"/>
    <w:rsid w:val="009273DB"/>
    <w:rsid w:val="00927B67"/>
    <w:rsid w:val="009307A2"/>
    <w:rsid w:val="009308F4"/>
    <w:rsid w:val="00930A66"/>
    <w:rsid w:val="00934ABF"/>
    <w:rsid w:val="00935409"/>
    <w:rsid w:val="00935F43"/>
    <w:rsid w:val="009360BB"/>
    <w:rsid w:val="00936D6F"/>
    <w:rsid w:val="009374FD"/>
    <w:rsid w:val="00937D6C"/>
    <w:rsid w:val="00941397"/>
    <w:rsid w:val="009419D4"/>
    <w:rsid w:val="0094271E"/>
    <w:rsid w:val="00943178"/>
    <w:rsid w:val="009438A6"/>
    <w:rsid w:val="00944A0D"/>
    <w:rsid w:val="00944D62"/>
    <w:rsid w:val="0094554D"/>
    <w:rsid w:val="00945BAD"/>
    <w:rsid w:val="00945BD8"/>
    <w:rsid w:val="0094600B"/>
    <w:rsid w:val="00950151"/>
    <w:rsid w:val="00950321"/>
    <w:rsid w:val="0095043D"/>
    <w:rsid w:val="00951DC3"/>
    <w:rsid w:val="009528E4"/>
    <w:rsid w:val="00953055"/>
    <w:rsid w:val="00954DA8"/>
    <w:rsid w:val="00956207"/>
    <w:rsid w:val="009564D8"/>
    <w:rsid w:val="00956BC4"/>
    <w:rsid w:val="00960CC4"/>
    <w:rsid w:val="009611EE"/>
    <w:rsid w:val="00962213"/>
    <w:rsid w:val="009643FA"/>
    <w:rsid w:val="00964C27"/>
    <w:rsid w:val="009652A9"/>
    <w:rsid w:val="00965A8D"/>
    <w:rsid w:val="00966A1B"/>
    <w:rsid w:val="009671D3"/>
    <w:rsid w:val="00967DC6"/>
    <w:rsid w:val="00967F88"/>
    <w:rsid w:val="00970075"/>
    <w:rsid w:val="009712A9"/>
    <w:rsid w:val="009717D7"/>
    <w:rsid w:val="00972C6D"/>
    <w:rsid w:val="00973079"/>
    <w:rsid w:val="00976803"/>
    <w:rsid w:val="00980604"/>
    <w:rsid w:val="00980735"/>
    <w:rsid w:val="00980FCE"/>
    <w:rsid w:val="00981872"/>
    <w:rsid w:val="009831AF"/>
    <w:rsid w:val="009843C0"/>
    <w:rsid w:val="00984693"/>
    <w:rsid w:val="00985130"/>
    <w:rsid w:val="00985BB7"/>
    <w:rsid w:val="00986E03"/>
    <w:rsid w:val="00990D58"/>
    <w:rsid w:val="009938B0"/>
    <w:rsid w:val="00994591"/>
    <w:rsid w:val="00994724"/>
    <w:rsid w:val="009956E0"/>
    <w:rsid w:val="0099631F"/>
    <w:rsid w:val="0099669E"/>
    <w:rsid w:val="0099698B"/>
    <w:rsid w:val="009A0606"/>
    <w:rsid w:val="009A3234"/>
    <w:rsid w:val="009A398A"/>
    <w:rsid w:val="009A3C26"/>
    <w:rsid w:val="009A6151"/>
    <w:rsid w:val="009B0124"/>
    <w:rsid w:val="009B0FE6"/>
    <w:rsid w:val="009B151C"/>
    <w:rsid w:val="009B1798"/>
    <w:rsid w:val="009B21C5"/>
    <w:rsid w:val="009B3834"/>
    <w:rsid w:val="009B59C3"/>
    <w:rsid w:val="009B63C7"/>
    <w:rsid w:val="009B74AE"/>
    <w:rsid w:val="009B7C12"/>
    <w:rsid w:val="009C0235"/>
    <w:rsid w:val="009C1CD3"/>
    <w:rsid w:val="009C29BF"/>
    <w:rsid w:val="009C2BF4"/>
    <w:rsid w:val="009C4C2A"/>
    <w:rsid w:val="009C4F23"/>
    <w:rsid w:val="009C527B"/>
    <w:rsid w:val="009C5FEC"/>
    <w:rsid w:val="009C6197"/>
    <w:rsid w:val="009D1876"/>
    <w:rsid w:val="009D1D8B"/>
    <w:rsid w:val="009D1D97"/>
    <w:rsid w:val="009D2BDC"/>
    <w:rsid w:val="009D523A"/>
    <w:rsid w:val="009D5EBA"/>
    <w:rsid w:val="009D638C"/>
    <w:rsid w:val="009E0EC5"/>
    <w:rsid w:val="009E0F3F"/>
    <w:rsid w:val="009E1446"/>
    <w:rsid w:val="009E14FD"/>
    <w:rsid w:val="009E416A"/>
    <w:rsid w:val="009E4E11"/>
    <w:rsid w:val="009E5405"/>
    <w:rsid w:val="009E7739"/>
    <w:rsid w:val="009F017F"/>
    <w:rsid w:val="009F01E2"/>
    <w:rsid w:val="009F081C"/>
    <w:rsid w:val="009F1B2D"/>
    <w:rsid w:val="009F267A"/>
    <w:rsid w:val="009F29FA"/>
    <w:rsid w:val="009F3679"/>
    <w:rsid w:val="009F4986"/>
    <w:rsid w:val="009F7530"/>
    <w:rsid w:val="009F7677"/>
    <w:rsid w:val="00A01602"/>
    <w:rsid w:val="00A0162F"/>
    <w:rsid w:val="00A02064"/>
    <w:rsid w:val="00A027ED"/>
    <w:rsid w:val="00A0598D"/>
    <w:rsid w:val="00A05ED9"/>
    <w:rsid w:val="00A06ECE"/>
    <w:rsid w:val="00A079FF"/>
    <w:rsid w:val="00A07E05"/>
    <w:rsid w:val="00A1006E"/>
    <w:rsid w:val="00A1208B"/>
    <w:rsid w:val="00A1235E"/>
    <w:rsid w:val="00A1313A"/>
    <w:rsid w:val="00A13383"/>
    <w:rsid w:val="00A135E4"/>
    <w:rsid w:val="00A13E2B"/>
    <w:rsid w:val="00A167B0"/>
    <w:rsid w:val="00A16C96"/>
    <w:rsid w:val="00A170E5"/>
    <w:rsid w:val="00A1739F"/>
    <w:rsid w:val="00A173B9"/>
    <w:rsid w:val="00A17A79"/>
    <w:rsid w:val="00A205AF"/>
    <w:rsid w:val="00A206E8"/>
    <w:rsid w:val="00A209C3"/>
    <w:rsid w:val="00A2100B"/>
    <w:rsid w:val="00A21378"/>
    <w:rsid w:val="00A2431D"/>
    <w:rsid w:val="00A245E9"/>
    <w:rsid w:val="00A250B4"/>
    <w:rsid w:val="00A275EB"/>
    <w:rsid w:val="00A321B0"/>
    <w:rsid w:val="00A344EE"/>
    <w:rsid w:val="00A34B33"/>
    <w:rsid w:val="00A35B8C"/>
    <w:rsid w:val="00A35FAE"/>
    <w:rsid w:val="00A37324"/>
    <w:rsid w:val="00A37E26"/>
    <w:rsid w:val="00A40308"/>
    <w:rsid w:val="00A4051B"/>
    <w:rsid w:val="00A4578D"/>
    <w:rsid w:val="00A46D7B"/>
    <w:rsid w:val="00A50B93"/>
    <w:rsid w:val="00A51223"/>
    <w:rsid w:val="00A5257D"/>
    <w:rsid w:val="00A5320D"/>
    <w:rsid w:val="00A54359"/>
    <w:rsid w:val="00A55080"/>
    <w:rsid w:val="00A56D5E"/>
    <w:rsid w:val="00A57507"/>
    <w:rsid w:val="00A5768E"/>
    <w:rsid w:val="00A57CE2"/>
    <w:rsid w:val="00A57EC2"/>
    <w:rsid w:val="00A60159"/>
    <w:rsid w:val="00A60659"/>
    <w:rsid w:val="00A61176"/>
    <w:rsid w:val="00A613FC"/>
    <w:rsid w:val="00A61656"/>
    <w:rsid w:val="00A6189C"/>
    <w:rsid w:val="00A618AD"/>
    <w:rsid w:val="00A6215D"/>
    <w:rsid w:val="00A6281E"/>
    <w:rsid w:val="00A63B4F"/>
    <w:rsid w:val="00A646FE"/>
    <w:rsid w:val="00A661DB"/>
    <w:rsid w:val="00A67143"/>
    <w:rsid w:val="00A67A9F"/>
    <w:rsid w:val="00A722F6"/>
    <w:rsid w:val="00A73AB2"/>
    <w:rsid w:val="00A75486"/>
    <w:rsid w:val="00A76C75"/>
    <w:rsid w:val="00A82FFA"/>
    <w:rsid w:val="00A83514"/>
    <w:rsid w:val="00A840EB"/>
    <w:rsid w:val="00A850B5"/>
    <w:rsid w:val="00A865D0"/>
    <w:rsid w:val="00A8703D"/>
    <w:rsid w:val="00A92069"/>
    <w:rsid w:val="00A9288A"/>
    <w:rsid w:val="00A930BE"/>
    <w:rsid w:val="00A94C9C"/>
    <w:rsid w:val="00A95050"/>
    <w:rsid w:val="00A958FE"/>
    <w:rsid w:val="00AA00D2"/>
    <w:rsid w:val="00AA0AFC"/>
    <w:rsid w:val="00AA1262"/>
    <w:rsid w:val="00AA16FE"/>
    <w:rsid w:val="00AA21FC"/>
    <w:rsid w:val="00AA28D0"/>
    <w:rsid w:val="00AA33CB"/>
    <w:rsid w:val="00AA3A83"/>
    <w:rsid w:val="00AA678D"/>
    <w:rsid w:val="00AA68BC"/>
    <w:rsid w:val="00AB02F1"/>
    <w:rsid w:val="00AB090D"/>
    <w:rsid w:val="00AB167D"/>
    <w:rsid w:val="00AB18C9"/>
    <w:rsid w:val="00AB3EF7"/>
    <w:rsid w:val="00AB3FFB"/>
    <w:rsid w:val="00AB78F9"/>
    <w:rsid w:val="00AB7FE6"/>
    <w:rsid w:val="00AC0350"/>
    <w:rsid w:val="00AC0EF1"/>
    <w:rsid w:val="00AC1B48"/>
    <w:rsid w:val="00AC41FD"/>
    <w:rsid w:val="00AC529F"/>
    <w:rsid w:val="00AC7F88"/>
    <w:rsid w:val="00AD0CFF"/>
    <w:rsid w:val="00AD0EC0"/>
    <w:rsid w:val="00AD1987"/>
    <w:rsid w:val="00AD341A"/>
    <w:rsid w:val="00AD3F8B"/>
    <w:rsid w:val="00AE0372"/>
    <w:rsid w:val="00AE10DC"/>
    <w:rsid w:val="00AE1C29"/>
    <w:rsid w:val="00AE5EC9"/>
    <w:rsid w:val="00AE67D9"/>
    <w:rsid w:val="00AE75F4"/>
    <w:rsid w:val="00AE7857"/>
    <w:rsid w:val="00AF1ABC"/>
    <w:rsid w:val="00AF32A6"/>
    <w:rsid w:val="00AF435C"/>
    <w:rsid w:val="00AF4C6D"/>
    <w:rsid w:val="00AF607B"/>
    <w:rsid w:val="00AF78EF"/>
    <w:rsid w:val="00AF7A67"/>
    <w:rsid w:val="00B00BBC"/>
    <w:rsid w:val="00B01731"/>
    <w:rsid w:val="00B01AD3"/>
    <w:rsid w:val="00B01D5B"/>
    <w:rsid w:val="00B02140"/>
    <w:rsid w:val="00B05A0D"/>
    <w:rsid w:val="00B05F3B"/>
    <w:rsid w:val="00B06A1A"/>
    <w:rsid w:val="00B06E93"/>
    <w:rsid w:val="00B0751C"/>
    <w:rsid w:val="00B07C9B"/>
    <w:rsid w:val="00B07FB9"/>
    <w:rsid w:val="00B11F20"/>
    <w:rsid w:val="00B11FE0"/>
    <w:rsid w:val="00B12D60"/>
    <w:rsid w:val="00B13882"/>
    <w:rsid w:val="00B13CB0"/>
    <w:rsid w:val="00B13F65"/>
    <w:rsid w:val="00B15184"/>
    <w:rsid w:val="00B16625"/>
    <w:rsid w:val="00B17F6E"/>
    <w:rsid w:val="00B20382"/>
    <w:rsid w:val="00B21D89"/>
    <w:rsid w:val="00B22099"/>
    <w:rsid w:val="00B23D9D"/>
    <w:rsid w:val="00B24368"/>
    <w:rsid w:val="00B2638B"/>
    <w:rsid w:val="00B26BEA"/>
    <w:rsid w:val="00B2772F"/>
    <w:rsid w:val="00B27DAA"/>
    <w:rsid w:val="00B30073"/>
    <w:rsid w:val="00B30E9C"/>
    <w:rsid w:val="00B30EAF"/>
    <w:rsid w:val="00B325F5"/>
    <w:rsid w:val="00B329CB"/>
    <w:rsid w:val="00B3312B"/>
    <w:rsid w:val="00B34F09"/>
    <w:rsid w:val="00B35421"/>
    <w:rsid w:val="00B373A5"/>
    <w:rsid w:val="00B3763E"/>
    <w:rsid w:val="00B402DF"/>
    <w:rsid w:val="00B4072C"/>
    <w:rsid w:val="00B41598"/>
    <w:rsid w:val="00B44455"/>
    <w:rsid w:val="00B4702B"/>
    <w:rsid w:val="00B4725B"/>
    <w:rsid w:val="00B47CF5"/>
    <w:rsid w:val="00B526B3"/>
    <w:rsid w:val="00B52756"/>
    <w:rsid w:val="00B52E38"/>
    <w:rsid w:val="00B541C5"/>
    <w:rsid w:val="00B554FE"/>
    <w:rsid w:val="00B57485"/>
    <w:rsid w:val="00B57DB4"/>
    <w:rsid w:val="00B6066A"/>
    <w:rsid w:val="00B6091E"/>
    <w:rsid w:val="00B61F53"/>
    <w:rsid w:val="00B62A42"/>
    <w:rsid w:val="00B63D95"/>
    <w:rsid w:val="00B65895"/>
    <w:rsid w:val="00B67654"/>
    <w:rsid w:val="00B708F2"/>
    <w:rsid w:val="00B72F0C"/>
    <w:rsid w:val="00B73C3E"/>
    <w:rsid w:val="00B73C44"/>
    <w:rsid w:val="00B73FCE"/>
    <w:rsid w:val="00B744E2"/>
    <w:rsid w:val="00B7544D"/>
    <w:rsid w:val="00B76244"/>
    <w:rsid w:val="00B7706C"/>
    <w:rsid w:val="00B7709D"/>
    <w:rsid w:val="00B80F61"/>
    <w:rsid w:val="00B81702"/>
    <w:rsid w:val="00B81E56"/>
    <w:rsid w:val="00B82AED"/>
    <w:rsid w:val="00B8316C"/>
    <w:rsid w:val="00B832DA"/>
    <w:rsid w:val="00B84CCC"/>
    <w:rsid w:val="00B8653D"/>
    <w:rsid w:val="00B86D8F"/>
    <w:rsid w:val="00B87DEE"/>
    <w:rsid w:val="00B9067C"/>
    <w:rsid w:val="00B90A31"/>
    <w:rsid w:val="00B90ADF"/>
    <w:rsid w:val="00B90C83"/>
    <w:rsid w:val="00B92059"/>
    <w:rsid w:val="00B9281A"/>
    <w:rsid w:val="00B93537"/>
    <w:rsid w:val="00B94558"/>
    <w:rsid w:val="00B94AA0"/>
    <w:rsid w:val="00B956AD"/>
    <w:rsid w:val="00B95886"/>
    <w:rsid w:val="00B97613"/>
    <w:rsid w:val="00B97D1A"/>
    <w:rsid w:val="00BA016E"/>
    <w:rsid w:val="00BA0E35"/>
    <w:rsid w:val="00BA11D3"/>
    <w:rsid w:val="00BA275D"/>
    <w:rsid w:val="00BA2EA3"/>
    <w:rsid w:val="00BA513B"/>
    <w:rsid w:val="00BA522D"/>
    <w:rsid w:val="00BA66A6"/>
    <w:rsid w:val="00BA7537"/>
    <w:rsid w:val="00BA7810"/>
    <w:rsid w:val="00BA7DCD"/>
    <w:rsid w:val="00BB0FD6"/>
    <w:rsid w:val="00BB1CAC"/>
    <w:rsid w:val="00BB2198"/>
    <w:rsid w:val="00BB2CED"/>
    <w:rsid w:val="00BB4631"/>
    <w:rsid w:val="00BB5127"/>
    <w:rsid w:val="00BB5471"/>
    <w:rsid w:val="00BB5B7E"/>
    <w:rsid w:val="00BB5F10"/>
    <w:rsid w:val="00BC0DC4"/>
    <w:rsid w:val="00BC1456"/>
    <w:rsid w:val="00BC1841"/>
    <w:rsid w:val="00BC5D63"/>
    <w:rsid w:val="00BC6157"/>
    <w:rsid w:val="00BC757E"/>
    <w:rsid w:val="00BC76B4"/>
    <w:rsid w:val="00BC7AC5"/>
    <w:rsid w:val="00BD1420"/>
    <w:rsid w:val="00BD15BD"/>
    <w:rsid w:val="00BD1941"/>
    <w:rsid w:val="00BD35B3"/>
    <w:rsid w:val="00BD650E"/>
    <w:rsid w:val="00BD72B7"/>
    <w:rsid w:val="00BD75A0"/>
    <w:rsid w:val="00BD7BAE"/>
    <w:rsid w:val="00BE01A6"/>
    <w:rsid w:val="00BE2793"/>
    <w:rsid w:val="00BE359C"/>
    <w:rsid w:val="00BE4991"/>
    <w:rsid w:val="00BE4C4E"/>
    <w:rsid w:val="00BE5E14"/>
    <w:rsid w:val="00BE5FA8"/>
    <w:rsid w:val="00BE6266"/>
    <w:rsid w:val="00BE7110"/>
    <w:rsid w:val="00BE73FA"/>
    <w:rsid w:val="00BF120D"/>
    <w:rsid w:val="00BF121E"/>
    <w:rsid w:val="00BF2A18"/>
    <w:rsid w:val="00BF3C52"/>
    <w:rsid w:val="00BF4AE4"/>
    <w:rsid w:val="00BF6655"/>
    <w:rsid w:val="00BF6AAE"/>
    <w:rsid w:val="00C00763"/>
    <w:rsid w:val="00C0120B"/>
    <w:rsid w:val="00C01B2C"/>
    <w:rsid w:val="00C030FA"/>
    <w:rsid w:val="00C03367"/>
    <w:rsid w:val="00C03764"/>
    <w:rsid w:val="00C03E92"/>
    <w:rsid w:val="00C03F23"/>
    <w:rsid w:val="00C040FC"/>
    <w:rsid w:val="00C05973"/>
    <w:rsid w:val="00C06C8C"/>
    <w:rsid w:val="00C0718D"/>
    <w:rsid w:val="00C07958"/>
    <w:rsid w:val="00C11442"/>
    <w:rsid w:val="00C13204"/>
    <w:rsid w:val="00C14ADD"/>
    <w:rsid w:val="00C14DEE"/>
    <w:rsid w:val="00C157BF"/>
    <w:rsid w:val="00C21168"/>
    <w:rsid w:val="00C23CC8"/>
    <w:rsid w:val="00C2408C"/>
    <w:rsid w:val="00C2503F"/>
    <w:rsid w:val="00C250B6"/>
    <w:rsid w:val="00C25138"/>
    <w:rsid w:val="00C25D0B"/>
    <w:rsid w:val="00C26A99"/>
    <w:rsid w:val="00C26B0F"/>
    <w:rsid w:val="00C27A41"/>
    <w:rsid w:val="00C27ACE"/>
    <w:rsid w:val="00C31E5E"/>
    <w:rsid w:val="00C32018"/>
    <w:rsid w:val="00C32149"/>
    <w:rsid w:val="00C3246B"/>
    <w:rsid w:val="00C32888"/>
    <w:rsid w:val="00C3368D"/>
    <w:rsid w:val="00C361E9"/>
    <w:rsid w:val="00C36C62"/>
    <w:rsid w:val="00C40EBC"/>
    <w:rsid w:val="00C416E7"/>
    <w:rsid w:val="00C42E8B"/>
    <w:rsid w:val="00C42F8E"/>
    <w:rsid w:val="00C43370"/>
    <w:rsid w:val="00C4510F"/>
    <w:rsid w:val="00C462EA"/>
    <w:rsid w:val="00C464E7"/>
    <w:rsid w:val="00C46F1A"/>
    <w:rsid w:val="00C5264D"/>
    <w:rsid w:val="00C54E0F"/>
    <w:rsid w:val="00C54E69"/>
    <w:rsid w:val="00C57D5C"/>
    <w:rsid w:val="00C604FD"/>
    <w:rsid w:val="00C6160C"/>
    <w:rsid w:val="00C6457C"/>
    <w:rsid w:val="00C654CF"/>
    <w:rsid w:val="00C65B60"/>
    <w:rsid w:val="00C663CC"/>
    <w:rsid w:val="00C6641D"/>
    <w:rsid w:val="00C6677F"/>
    <w:rsid w:val="00C669BF"/>
    <w:rsid w:val="00C66A01"/>
    <w:rsid w:val="00C70AF4"/>
    <w:rsid w:val="00C7192A"/>
    <w:rsid w:val="00C7293A"/>
    <w:rsid w:val="00C735B8"/>
    <w:rsid w:val="00C73B33"/>
    <w:rsid w:val="00C766D0"/>
    <w:rsid w:val="00C7688D"/>
    <w:rsid w:val="00C81E32"/>
    <w:rsid w:val="00C82EDB"/>
    <w:rsid w:val="00C83F3D"/>
    <w:rsid w:val="00C85C99"/>
    <w:rsid w:val="00C87241"/>
    <w:rsid w:val="00C87706"/>
    <w:rsid w:val="00C90283"/>
    <w:rsid w:val="00C91C2B"/>
    <w:rsid w:val="00C920A9"/>
    <w:rsid w:val="00C9363F"/>
    <w:rsid w:val="00C93EED"/>
    <w:rsid w:val="00C94C50"/>
    <w:rsid w:val="00C96136"/>
    <w:rsid w:val="00C96B27"/>
    <w:rsid w:val="00C96D4F"/>
    <w:rsid w:val="00C97441"/>
    <w:rsid w:val="00CA1E75"/>
    <w:rsid w:val="00CA5460"/>
    <w:rsid w:val="00CA5C88"/>
    <w:rsid w:val="00CA605E"/>
    <w:rsid w:val="00CA677F"/>
    <w:rsid w:val="00CA6E7C"/>
    <w:rsid w:val="00CA6EFB"/>
    <w:rsid w:val="00CB0747"/>
    <w:rsid w:val="00CB0C92"/>
    <w:rsid w:val="00CB11D1"/>
    <w:rsid w:val="00CB16AD"/>
    <w:rsid w:val="00CB1C13"/>
    <w:rsid w:val="00CB28A3"/>
    <w:rsid w:val="00CB465D"/>
    <w:rsid w:val="00CB5DFC"/>
    <w:rsid w:val="00CB6FEC"/>
    <w:rsid w:val="00CB7C66"/>
    <w:rsid w:val="00CC10C4"/>
    <w:rsid w:val="00CC28F1"/>
    <w:rsid w:val="00CC2CA4"/>
    <w:rsid w:val="00CC3B73"/>
    <w:rsid w:val="00CC3DE9"/>
    <w:rsid w:val="00CC5E1F"/>
    <w:rsid w:val="00CC66DF"/>
    <w:rsid w:val="00CC6A45"/>
    <w:rsid w:val="00CC73B0"/>
    <w:rsid w:val="00CD15A6"/>
    <w:rsid w:val="00CD3312"/>
    <w:rsid w:val="00CD5678"/>
    <w:rsid w:val="00CD59C6"/>
    <w:rsid w:val="00CD6D17"/>
    <w:rsid w:val="00CD764F"/>
    <w:rsid w:val="00CE124F"/>
    <w:rsid w:val="00CE18FF"/>
    <w:rsid w:val="00CE1FF9"/>
    <w:rsid w:val="00CE26F4"/>
    <w:rsid w:val="00CE494C"/>
    <w:rsid w:val="00CE541E"/>
    <w:rsid w:val="00CE5676"/>
    <w:rsid w:val="00CE751B"/>
    <w:rsid w:val="00CE7589"/>
    <w:rsid w:val="00CF0E82"/>
    <w:rsid w:val="00CF2322"/>
    <w:rsid w:val="00CF24A0"/>
    <w:rsid w:val="00CF2E9C"/>
    <w:rsid w:val="00CF4B0A"/>
    <w:rsid w:val="00CF6A87"/>
    <w:rsid w:val="00CF7ED5"/>
    <w:rsid w:val="00D02B11"/>
    <w:rsid w:val="00D03026"/>
    <w:rsid w:val="00D04445"/>
    <w:rsid w:val="00D04BD8"/>
    <w:rsid w:val="00D054F6"/>
    <w:rsid w:val="00D072AD"/>
    <w:rsid w:val="00D0734E"/>
    <w:rsid w:val="00D07731"/>
    <w:rsid w:val="00D11755"/>
    <w:rsid w:val="00D125EE"/>
    <w:rsid w:val="00D138F5"/>
    <w:rsid w:val="00D15C8A"/>
    <w:rsid w:val="00D179D6"/>
    <w:rsid w:val="00D228C1"/>
    <w:rsid w:val="00D22C9E"/>
    <w:rsid w:val="00D23122"/>
    <w:rsid w:val="00D24E36"/>
    <w:rsid w:val="00D2657A"/>
    <w:rsid w:val="00D27C99"/>
    <w:rsid w:val="00D304E7"/>
    <w:rsid w:val="00D31161"/>
    <w:rsid w:val="00D31567"/>
    <w:rsid w:val="00D31BB9"/>
    <w:rsid w:val="00D32098"/>
    <w:rsid w:val="00D32FBE"/>
    <w:rsid w:val="00D337F7"/>
    <w:rsid w:val="00D37387"/>
    <w:rsid w:val="00D3794B"/>
    <w:rsid w:val="00D4029C"/>
    <w:rsid w:val="00D40983"/>
    <w:rsid w:val="00D4290B"/>
    <w:rsid w:val="00D42A98"/>
    <w:rsid w:val="00D43660"/>
    <w:rsid w:val="00D43809"/>
    <w:rsid w:val="00D43C02"/>
    <w:rsid w:val="00D44D6E"/>
    <w:rsid w:val="00D45215"/>
    <w:rsid w:val="00D453BF"/>
    <w:rsid w:val="00D458B4"/>
    <w:rsid w:val="00D45B56"/>
    <w:rsid w:val="00D47823"/>
    <w:rsid w:val="00D47CC0"/>
    <w:rsid w:val="00D50860"/>
    <w:rsid w:val="00D54085"/>
    <w:rsid w:val="00D54B0C"/>
    <w:rsid w:val="00D55423"/>
    <w:rsid w:val="00D557D5"/>
    <w:rsid w:val="00D577E4"/>
    <w:rsid w:val="00D60AB8"/>
    <w:rsid w:val="00D61D59"/>
    <w:rsid w:val="00D61D67"/>
    <w:rsid w:val="00D6311A"/>
    <w:rsid w:val="00D63935"/>
    <w:rsid w:val="00D63D5E"/>
    <w:rsid w:val="00D64987"/>
    <w:rsid w:val="00D64C6C"/>
    <w:rsid w:val="00D66D36"/>
    <w:rsid w:val="00D7307A"/>
    <w:rsid w:val="00D734D1"/>
    <w:rsid w:val="00D74CF0"/>
    <w:rsid w:val="00D77054"/>
    <w:rsid w:val="00D772C0"/>
    <w:rsid w:val="00D77E38"/>
    <w:rsid w:val="00D80858"/>
    <w:rsid w:val="00D81CAC"/>
    <w:rsid w:val="00D87643"/>
    <w:rsid w:val="00D91A09"/>
    <w:rsid w:val="00D92AFF"/>
    <w:rsid w:val="00D93726"/>
    <w:rsid w:val="00D94278"/>
    <w:rsid w:val="00D96A91"/>
    <w:rsid w:val="00D96EA3"/>
    <w:rsid w:val="00D97795"/>
    <w:rsid w:val="00D97A0E"/>
    <w:rsid w:val="00DA0BD3"/>
    <w:rsid w:val="00DA18D0"/>
    <w:rsid w:val="00DA1A05"/>
    <w:rsid w:val="00DA1CFF"/>
    <w:rsid w:val="00DA2447"/>
    <w:rsid w:val="00DA2760"/>
    <w:rsid w:val="00DA40B4"/>
    <w:rsid w:val="00DA437D"/>
    <w:rsid w:val="00DA544C"/>
    <w:rsid w:val="00DA6CEE"/>
    <w:rsid w:val="00DA6DEE"/>
    <w:rsid w:val="00DA716B"/>
    <w:rsid w:val="00DA7389"/>
    <w:rsid w:val="00DA741C"/>
    <w:rsid w:val="00DA748E"/>
    <w:rsid w:val="00DA7AE2"/>
    <w:rsid w:val="00DA7B24"/>
    <w:rsid w:val="00DB08DA"/>
    <w:rsid w:val="00DB1131"/>
    <w:rsid w:val="00DB17B4"/>
    <w:rsid w:val="00DB1A57"/>
    <w:rsid w:val="00DB35A4"/>
    <w:rsid w:val="00DB4386"/>
    <w:rsid w:val="00DB4A07"/>
    <w:rsid w:val="00DB4ED9"/>
    <w:rsid w:val="00DB6E7A"/>
    <w:rsid w:val="00DB6F96"/>
    <w:rsid w:val="00DC0B43"/>
    <w:rsid w:val="00DC1043"/>
    <w:rsid w:val="00DC18DC"/>
    <w:rsid w:val="00DC1BD4"/>
    <w:rsid w:val="00DC2A13"/>
    <w:rsid w:val="00DC3939"/>
    <w:rsid w:val="00DC4EE0"/>
    <w:rsid w:val="00DC6012"/>
    <w:rsid w:val="00DD07EC"/>
    <w:rsid w:val="00DD0F8D"/>
    <w:rsid w:val="00DD1D77"/>
    <w:rsid w:val="00DD2332"/>
    <w:rsid w:val="00DD2AE9"/>
    <w:rsid w:val="00DD2B0A"/>
    <w:rsid w:val="00DD33B4"/>
    <w:rsid w:val="00DD359C"/>
    <w:rsid w:val="00DD4F37"/>
    <w:rsid w:val="00DD56FB"/>
    <w:rsid w:val="00DD6757"/>
    <w:rsid w:val="00DE0123"/>
    <w:rsid w:val="00DE0584"/>
    <w:rsid w:val="00DE31F4"/>
    <w:rsid w:val="00DE33A2"/>
    <w:rsid w:val="00DE37AF"/>
    <w:rsid w:val="00DE4BA2"/>
    <w:rsid w:val="00DE4EF5"/>
    <w:rsid w:val="00DE52F4"/>
    <w:rsid w:val="00DE5DEE"/>
    <w:rsid w:val="00DE667E"/>
    <w:rsid w:val="00DF0840"/>
    <w:rsid w:val="00DF09EB"/>
    <w:rsid w:val="00DF0DEB"/>
    <w:rsid w:val="00DF10D9"/>
    <w:rsid w:val="00DF1F35"/>
    <w:rsid w:val="00DF28A7"/>
    <w:rsid w:val="00DF41E2"/>
    <w:rsid w:val="00DF4766"/>
    <w:rsid w:val="00DF6F6B"/>
    <w:rsid w:val="00DF7470"/>
    <w:rsid w:val="00E007E7"/>
    <w:rsid w:val="00E00F1E"/>
    <w:rsid w:val="00E03046"/>
    <w:rsid w:val="00E03988"/>
    <w:rsid w:val="00E04BF1"/>
    <w:rsid w:val="00E05565"/>
    <w:rsid w:val="00E05731"/>
    <w:rsid w:val="00E06112"/>
    <w:rsid w:val="00E07B11"/>
    <w:rsid w:val="00E115E7"/>
    <w:rsid w:val="00E13212"/>
    <w:rsid w:val="00E13433"/>
    <w:rsid w:val="00E1392B"/>
    <w:rsid w:val="00E15629"/>
    <w:rsid w:val="00E15D28"/>
    <w:rsid w:val="00E1619A"/>
    <w:rsid w:val="00E1647C"/>
    <w:rsid w:val="00E16B22"/>
    <w:rsid w:val="00E17CF1"/>
    <w:rsid w:val="00E17E4F"/>
    <w:rsid w:val="00E208F0"/>
    <w:rsid w:val="00E21611"/>
    <w:rsid w:val="00E216E2"/>
    <w:rsid w:val="00E22036"/>
    <w:rsid w:val="00E22376"/>
    <w:rsid w:val="00E22C0A"/>
    <w:rsid w:val="00E22DB7"/>
    <w:rsid w:val="00E2586E"/>
    <w:rsid w:val="00E27A58"/>
    <w:rsid w:val="00E306CF"/>
    <w:rsid w:val="00E3099A"/>
    <w:rsid w:val="00E32267"/>
    <w:rsid w:val="00E32CBF"/>
    <w:rsid w:val="00E345FF"/>
    <w:rsid w:val="00E3468C"/>
    <w:rsid w:val="00E34749"/>
    <w:rsid w:val="00E34ED2"/>
    <w:rsid w:val="00E3529C"/>
    <w:rsid w:val="00E36EB2"/>
    <w:rsid w:val="00E3777E"/>
    <w:rsid w:val="00E37F3B"/>
    <w:rsid w:val="00E4079F"/>
    <w:rsid w:val="00E408A5"/>
    <w:rsid w:val="00E40EBB"/>
    <w:rsid w:val="00E41ED5"/>
    <w:rsid w:val="00E42AAA"/>
    <w:rsid w:val="00E42CB9"/>
    <w:rsid w:val="00E43C94"/>
    <w:rsid w:val="00E44684"/>
    <w:rsid w:val="00E44737"/>
    <w:rsid w:val="00E4502A"/>
    <w:rsid w:val="00E45720"/>
    <w:rsid w:val="00E47D44"/>
    <w:rsid w:val="00E50E34"/>
    <w:rsid w:val="00E537E0"/>
    <w:rsid w:val="00E53C25"/>
    <w:rsid w:val="00E53CF9"/>
    <w:rsid w:val="00E54116"/>
    <w:rsid w:val="00E54630"/>
    <w:rsid w:val="00E54C5B"/>
    <w:rsid w:val="00E55F80"/>
    <w:rsid w:val="00E5612E"/>
    <w:rsid w:val="00E564BA"/>
    <w:rsid w:val="00E60F09"/>
    <w:rsid w:val="00E617B8"/>
    <w:rsid w:val="00E61A44"/>
    <w:rsid w:val="00E6305C"/>
    <w:rsid w:val="00E65A13"/>
    <w:rsid w:val="00E65B61"/>
    <w:rsid w:val="00E674AD"/>
    <w:rsid w:val="00E677A5"/>
    <w:rsid w:val="00E71046"/>
    <w:rsid w:val="00E71248"/>
    <w:rsid w:val="00E74B57"/>
    <w:rsid w:val="00E75319"/>
    <w:rsid w:val="00E774CE"/>
    <w:rsid w:val="00E806A2"/>
    <w:rsid w:val="00E80F23"/>
    <w:rsid w:val="00E80F96"/>
    <w:rsid w:val="00E8196F"/>
    <w:rsid w:val="00E8373B"/>
    <w:rsid w:val="00E83797"/>
    <w:rsid w:val="00E84011"/>
    <w:rsid w:val="00E84563"/>
    <w:rsid w:val="00E847CC"/>
    <w:rsid w:val="00E856EC"/>
    <w:rsid w:val="00E86E28"/>
    <w:rsid w:val="00E87039"/>
    <w:rsid w:val="00E87A87"/>
    <w:rsid w:val="00E900EC"/>
    <w:rsid w:val="00E90897"/>
    <w:rsid w:val="00E919D5"/>
    <w:rsid w:val="00E937CE"/>
    <w:rsid w:val="00E94650"/>
    <w:rsid w:val="00E96228"/>
    <w:rsid w:val="00E97BBF"/>
    <w:rsid w:val="00E97D0B"/>
    <w:rsid w:val="00EA0108"/>
    <w:rsid w:val="00EA0481"/>
    <w:rsid w:val="00EA102A"/>
    <w:rsid w:val="00EA3BEB"/>
    <w:rsid w:val="00EA4132"/>
    <w:rsid w:val="00EA418B"/>
    <w:rsid w:val="00EA465D"/>
    <w:rsid w:val="00EA4C85"/>
    <w:rsid w:val="00EA5CDD"/>
    <w:rsid w:val="00EA5D5A"/>
    <w:rsid w:val="00EA6408"/>
    <w:rsid w:val="00EB3FC0"/>
    <w:rsid w:val="00EB40B9"/>
    <w:rsid w:val="00EB43FA"/>
    <w:rsid w:val="00EB57F8"/>
    <w:rsid w:val="00EB599E"/>
    <w:rsid w:val="00EB7A09"/>
    <w:rsid w:val="00EC07C0"/>
    <w:rsid w:val="00EC0B48"/>
    <w:rsid w:val="00EC0B69"/>
    <w:rsid w:val="00EC101C"/>
    <w:rsid w:val="00EC2239"/>
    <w:rsid w:val="00EC22D0"/>
    <w:rsid w:val="00EC27F3"/>
    <w:rsid w:val="00EC2A20"/>
    <w:rsid w:val="00EC48C0"/>
    <w:rsid w:val="00EC4BB6"/>
    <w:rsid w:val="00EC601B"/>
    <w:rsid w:val="00EC7D12"/>
    <w:rsid w:val="00ED0520"/>
    <w:rsid w:val="00ED2184"/>
    <w:rsid w:val="00ED2EA0"/>
    <w:rsid w:val="00ED35BD"/>
    <w:rsid w:val="00ED3EEF"/>
    <w:rsid w:val="00ED3FE2"/>
    <w:rsid w:val="00ED6FC2"/>
    <w:rsid w:val="00ED7942"/>
    <w:rsid w:val="00EE056F"/>
    <w:rsid w:val="00EE349F"/>
    <w:rsid w:val="00EE36E9"/>
    <w:rsid w:val="00EE5872"/>
    <w:rsid w:val="00EE5E1D"/>
    <w:rsid w:val="00EE7B3C"/>
    <w:rsid w:val="00EF0AF8"/>
    <w:rsid w:val="00EF2F00"/>
    <w:rsid w:val="00EF3385"/>
    <w:rsid w:val="00EF55C2"/>
    <w:rsid w:val="00EF5E8B"/>
    <w:rsid w:val="00EF6106"/>
    <w:rsid w:val="00EF6483"/>
    <w:rsid w:val="00EF6E5C"/>
    <w:rsid w:val="00F008DB"/>
    <w:rsid w:val="00F00DED"/>
    <w:rsid w:val="00F016F5"/>
    <w:rsid w:val="00F04270"/>
    <w:rsid w:val="00F05FBE"/>
    <w:rsid w:val="00F10016"/>
    <w:rsid w:val="00F10195"/>
    <w:rsid w:val="00F1190D"/>
    <w:rsid w:val="00F11D89"/>
    <w:rsid w:val="00F11E62"/>
    <w:rsid w:val="00F12223"/>
    <w:rsid w:val="00F1425D"/>
    <w:rsid w:val="00F14456"/>
    <w:rsid w:val="00F15724"/>
    <w:rsid w:val="00F16C4D"/>
    <w:rsid w:val="00F20352"/>
    <w:rsid w:val="00F20B2F"/>
    <w:rsid w:val="00F21BEF"/>
    <w:rsid w:val="00F22133"/>
    <w:rsid w:val="00F23358"/>
    <w:rsid w:val="00F23AAE"/>
    <w:rsid w:val="00F23FBF"/>
    <w:rsid w:val="00F2465A"/>
    <w:rsid w:val="00F24A1F"/>
    <w:rsid w:val="00F25197"/>
    <w:rsid w:val="00F253D1"/>
    <w:rsid w:val="00F25E5F"/>
    <w:rsid w:val="00F3007B"/>
    <w:rsid w:val="00F318C1"/>
    <w:rsid w:val="00F328B7"/>
    <w:rsid w:val="00F32910"/>
    <w:rsid w:val="00F33FDC"/>
    <w:rsid w:val="00F34668"/>
    <w:rsid w:val="00F34E0F"/>
    <w:rsid w:val="00F36304"/>
    <w:rsid w:val="00F36CB5"/>
    <w:rsid w:val="00F37CAC"/>
    <w:rsid w:val="00F40ECA"/>
    <w:rsid w:val="00F414B3"/>
    <w:rsid w:val="00F41DE2"/>
    <w:rsid w:val="00F41EF5"/>
    <w:rsid w:val="00F42AC9"/>
    <w:rsid w:val="00F43318"/>
    <w:rsid w:val="00F43C27"/>
    <w:rsid w:val="00F43EFD"/>
    <w:rsid w:val="00F44AC3"/>
    <w:rsid w:val="00F45273"/>
    <w:rsid w:val="00F469D9"/>
    <w:rsid w:val="00F479ED"/>
    <w:rsid w:val="00F506B7"/>
    <w:rsid w:val="00F50B70"/>
    <w:rsid w:val="00F5188A"/>
    <w:rsid w:val="00F53513"/>
    <w:rsid w:val="00F535AA"/>
    <w:rsid w:val="00F54E2B"/>
    <w:rsid w:val="00F552CE"/>
    <w:rsid w:val="00F55D4F"/>
    <w:rsid w:val="00F56BDD"/>
    <w:rsid w:val="00F57CAE"/>
    <w:rsid w:val="00F60442"/>
    <w:rsid w:val="00F60774"/>
    <w:rsid w:val="00F60864"/>
    <w:rsid w:val="00F6427A"/>
    <w:rsid w:val="00F64A56"/>
    <w:rsid w:val="00F65703"/>
    <w:rsid w:val="00F70FDC"/>
    <w:rsid w:val="00F735F2"/>
    <w:rsid w:val="00F744FB"/>
    <w:rsid w:val="00F75CD4"/>
    <w:rsid w:val="00F76D37"/>
    <w:rsid w:val="00F81915"/>
    <w:rsid w:val="00F81D39"/>
    <w:rsid w:val="00F81E5B"/>
    <w:rsid w:val="00F824D8"/>
    <w:rsid w:val="00F835DC"/>
    <w:rsid w:val="00F83C68"/>
    <w:rsid w:val="00F843D9"/>
    <w:rsid w:val="00F84883"/>
    <w:rsid w:val="00F84A85"/>
    <w:rsid w:val="00F84DC3"/>
    <w:rsid w:val="00F853E5"/>
    <w:rsid w:val="00F85732"/>
    <w:rsid w:val="00F859E9"/>
    <w:rsid w:val="00F866FC"/>
    <w:rsid w:val="00F869E9"/>
    <w:rsid w:val="00F87181"/>
    <w:rsid w:val="00F87758"/>
    <w:rsid w:val="00F90222"/>
    <w:rsid w:val="00F90C90"/>
    <w:rsid w:val="00F91238"/>
    <w:rsid w:val="00F92073"/>
    <w:rsid w:val="00F9530E"/>
    <w:rsid w:val="00F97E69"/>
    <w:rsid w:val="00FA3E67"/>
    <w:rsid w:val="00FA4B5D"/>
    <w:rsid w:val="00FA4F70"/>
    <w:rsid w:val="00FA5170"/>
    <w:rsid w:val="00FA6685"/>
    <w:rsid w:val="00FA669D"/>
    <w:rsid w:val="00FA6AEC"/>
    <w:rsid w:val="00FA7057"/>
    <w:rsid w:val="00FA76C7"/>
    <w:rsid w:val="00FB1190"/>
    <w:rsid w:val="00FB1607"/>
    <w:rsid w:val="00FB19E3"/>
    <w:rsid w:val="00FB1B41"/>
    <w:rsid w:val="00FB3528"/>
    <w:rsid w:val="00FB4547"/>
    <w:rsid w:val="00FB5F27"/>
    <w:rsid w:val="00FB664D"/>
    <w:rsid w:val="00FB749B"/>
    <w:rsid w:val="00FC1F40"/>
    <w:rsid w:val="00FC26A3"/>
    <w:rsid w:val="00FC2F96"/>
    <w:rsid w:val="00FC310B"/>
    <w:rsid w:val="00FC35C6"/>
    <w:rsid w:val="00FC3BA0"/>
    <w:rsid w:val="00FC4F46"/>
    <w:rsid w:val="00FC5340"/>
    <w:rsid w:val="00FC6D21"/>
    <w:rsid w:val="00FC6EFF"/>
    <w:rsid w:val="00FD141F"/>
    <w:rsid w:val="00FD293B"/>
    <w:rsid w:val="00FD455E"/>
    <w:rsid w:val="00FD50E4"/>
    <w:rsid w:val="00FD549F"/>
    <w:rsid w:val="00FD5633"/>
    <w:rsid w:val="00FD62C1"/>
    <w:rsid w:val="00FE034F"/>
    <w:rsid w:val="00FE1631"/>
    <w:rsid w:val="00FE1CCA"/>
    <w:rsid w:val="00FE1F1C"/>
    <w:rsid w:val="00FE2515"/>
    <w:rsid w:val="00FE2DAB"/>
    <w:rsid w:val="00FE2E06"/>
    <w:rsid w:val="00FE6774"/>
    <w:rsid w:val="00FE7913"/>
    <w:rsid w:val="00FF1237"/>
    <w:rsid w:val="00FF18DA"/>
    <w:rsid w:val="00FF20B3"/>
    <w:rsid w:val="00FF25E1"/>
    <w:rsid w:val="00FF36FB"/>
    <w:rsid w:val="00FF43F8"/>
    <w:rsid w:val="00FF453A"/>
    <w:rsid w:val="00FF4D7A"/>
    <w:rsid w:val="00FF4E8A"/>
    <w:rsid w:val="00FF57C1"/>
    <w:rsid w:val="00FF58E9"/>
    <w:rsid w:val="00FF6AC2"/>
    <w:rsid w:val="00FF6AFC"/>
    <w:rsid w:val="00FF70A6"/>
    <w:rsid w:val="00FF70D1"/>
    <w:rsid w:val="00FF77A7"/>
    <w:rsid w:val="00FF7D0B"/>
    <w:rsid w:val="010571E1"/>
    <w:rsid w:val="013E2686"/>
    <w:rsid w:val="016236E8"/>
    <w:rsid w:val="01632F00"/>
    <w:rsid w:val="01CA3F1A"/>
    <w:rsid w:val="02070CCA"/>
    <w:rsid w:val="02133629"/>
    <w:rsid w:val="02247013"/>
    <w:rsid w:val="02247DA7"/>
    <w:rsid w:val="022573A2"/>
    <w:rsid w:val="02552FBB"/>
    <w:rsid w:val="026E5956"/>
    <w:rsid w:val="026E6F9B"/>
    <w:rsid w:val="027450AE"/>
    <w:rsid w:val="02793475"/>
    <w:rsid w:val="027A23F9"/>
    <w:rsid w:val="028311D2"/>
    <w:rsid w:val="02BF15A4"/>
    <w:rsid w:val="02CB7F49"/>
    <w:rsid w:val="02DC6DE3"/>
    <w:rsid w:val="02E02FC2"/>
    <w:rsid w:val="0328539C"/>
    <w:rsid w:val="03433F84"/>
    <w:rsid w:val="035B12CD"/>
    <w:rsid w:val="03795BF7"/>
    <w:rsid w:val="03912AC4"/>
    <w:rsid w:val="03AE20A8"/>
    <w:rsid w:val="03B562A5"/>
    <w:rsid w:val="03B6763F"/>
    <w:rsid w:val="03C07382"/>
    <w:rsid w:val="03CD1A9F"/>
    <w:rsid w:val="03DE70B9"/>
    <w:rsid w:val="03F772A0"/>
    <w:rsid w:val="03FF48AB"/>
    <w:rsid w:val="0400747D"/>
    <w:rsid w:val="04090D29"/>
    <w:rsid w:val="04180F6C"/>
    <w:rsid w:val="04207E21"/>
    <w:rsid w:val="04476F33"/>
    <w:rsid w:val="044B1342"/>
    <w:rsid w:val="04554B9E"/>
    <w:rsid w:val="045A1585"/>
    <w:rsid w:val="04971097"/>
    <w:rsid w:val="04AC2BE9"/>
    <w:rsid w:val="04F13388"/>
    <w:rsid w:val="05092FAB"/>
    <w:rsid w:val="050B6D23"/>
    <w:rsid w:val="05194CB6"/>
    <w:rsid w:val="052971A9"/>
    <w:rsid w:val="056142C3"/>
    <w:rsid w:val="056703FD"/>
    <w:rsid w:val="05810D93"/>
    <w:rsid w:val="05972365"/>
    <w:rsid w:val="05997E8B"/>
    <w:rsid w:val="05B66C8F"/>
    <w:rsid w:val="06273466"/>
    <w:rsid w:val="06283596"/>
    <w:rsid w:val="063D6CE4"/>
    <w:rsid w:val="064B366D"/>
    <w:rsid w:val="06606BFB"/>
    <w:rsid w:val="06691F53"/>
    <w:rsid w:val="06A005E2"/>
    <w:rsid w:val="06CA37E8"/>
    <w:rsid w:val="06D136F2"/>
    <w:rsid w:val="072B545A"/>
    <w:rsid w:val="07320597"/>
    <w:rsid w:val="07345829"/>
    <w:rsid w:val="074D0A2F"/>
    <w:rsid w:val="076201C6"/>
    <w:rsid w:val="0791727E"/>
    <w:rsid w:val="07943000"/>
    <w:rsid w:val="079C74B0"/>
    <w:rsid w:val="07A10088"/>
    <w:rsid w:val="07C03D53"/>
    <w:rsid w:val="07CE3173"/>
    <w:rsid w:val="07E96EAF"/>
    <w:rsid w:val="08213C5F"/>
    <w:rsid w:val="08314B8D"/>
    <w:rsid w:val="083D5445"/>
    <w:rsid w:val="083E11FA"/>
    <w:rsid w:val="085F4B36"/>
    <w:rsid w:val="087A644D"/>
    <w:rsid w:val="087D5842"/>
    <w:rsid w:val="08865247"/>
    <w:rsid w:val="08904B34"/>
    <w:rsid w:val="08955281"/>
    <w:rsid w:val="08B84ACC"/>
    <w:rsid w:val="08CC67C9"/>
    <w:rsid w:val="08E86F6B"/>
    <w:rsid w:val="09132DA2"/>
    <w:rsid w:val="09137F54"/>
    <w:rsid w:val="091861E9"/>
    <w:rsid w:val="091C13C7"/>
    <w:rsid w:val="0926237D"/>
    <w:rsid w:val="09306D58"/>
    <w:rsid w:val="093165EB"/>
    <w:rsid w:val="09524F20"/>
    <w:rsid w:val="09575A1E"/>
    <w:rsid w:val="098415EF"/>
    <w:rsid w:val="09994058"/>
    <w:rsid w:val="09997FFE"/>
    <w:rsid w:val="09E33DCA"/>
    <w:rsid w:val="0A042B2D"/>
    <w:rsid w:val="0A1F06F9"/>
    <w:rsid w:val="0A21319A"/>
    <w:rsid w:val="0A283ED3"/>
    <w:rsid w:val="0A3D49BA"/>
    <w:rsid w:val="0A576D43"/>
    <w:rsid w:val="0A6273E5"/>
    <w:rsid w:val="0A66650B"/>
    <w:rsid w:val="0AFE29EF"/>
    <w:rsid w:val="0B0179ED"/>
    <w:rsid w:val="0B207BA9"/>
    <w:rsid w:val="0B373247"/>
    <w:rsid w:val="0B606517"/>
    <w:rsid w:val="0B897F96"/>
    <w:rsid w:val="0B8B5F47"/>
    <w:rsid w:val="0BB7783A"/>
    <w:rsid w:val="0BBA0B5B"/>
    <w:rsid w:val="0BD6231D"/>
    <w:rsid w:val="0BE91440"/>
    <w:rsid w:val="0BF027CF"/>
    <w:rsid w:val="0BFE313E"/>
    <w:rsid w:val="0C1D6EAA"/>
    <w:rsid w:val="0C1E733C"/>
    <w:rsid w:val="0C366667"/>
    <w:rsid w:val="0C380E83"/>
    <w:rsid w:val="0C4E2CC4"/>
    <w:rsid w:val="0C656D19"/>
    <w:rsid w:val="0C85285C"/>
    <w:rsid w:val="0CB24811"/>
    <w:rsid w:val="0D083FB4"/>
    <w:rsid w:val="0D394E3C"/>
    <w:rsid w:val="0D3A01A5"/>
    <w:rsid w:val="0D4D0858"/>
    <w:rsid w:val="0D553231"/>
    <w:rsid w:val="0D783077"/>
    <w:rsid w:val="0D841421"/>
    <w:rsid w:val="0D86163D"/>
    <w:rsid w:val="0DCF4D92"/>
    <w:rsid w:val="0DDA3736"/>
    <w:rsid w:val="0DDE4FD5"/>
    <w:rsid w:val="0DEB76F2"/>
    <w:rsid w:val="0DFF07AC"/>
    <w:rsid w:val="0E1E3E17"/>
    <w:rsid w:val="0E341099"/>
    <w:rsid w:val="0E3966AF"/>
    <w:rsid w:val="0E53543D"/>
    <w:rsid w:val="0E56576F"/>
    <w:rsid w:val="0E61018B"/>
    <w:rsid w:val="0E665DCF"/>
    <w:rsid w:val="0EC00B7E"/>
    <w:rsid w:val="0EDD528C"/>
    <w:rsid w:val="0F052252"/>
    <w:rsid w:val="0F0E17BD"/>
    <w:rsid w:val="0F36760D"/>
    <w:rsid w:val="0F3F316D"/>
    <w:rsid w:val="0F4F723E"/>
    <w:rsid w:val="0F5F1243"/>
    <w:rsid w:val="0F711E78"/>
    <w:rsid w:val="0F7F6343"/>
    <w:rsid w:val="0F8C6CB2"/>
    <w:rsid w:val="0FB57FB7"/>
    <w:rsid w:val="0FB64C71"/>
    <w:rsid w:val="0FDC77C1"/>
    <w:rsid w:val="0FE92188"/>
    <w:rsid w:val="10041392"/>
    <w:rsid w:val="100B407B"/>
    <w:rsid w:val="102E38C6"/>
    <w:rsid w:val="102E7B76"/>
    <w:rsid w:val="105F7F23"/>
    <w:rsid w:val="107A4E46"/>
    <w:rsid w:val="10D428D6"/>
    <w:rsid w:val="10E01E6F"/>
    <w:rsid w:val="10E32902"/>
    <w:rsid w:val="10E50428"/>
    <w:rsid w:val="110A4333"/>
    <w:rsid w:val="11243FBD"/>
    <w:rsid w:val="112C42A9"/>
    <w:rsid w:val="113D0264"/>
    <w:rsid w:val="11407D54"/>
    <w:rsid w:val="114A13FD"/>
    <w:rsid w:val="114C37C2"/>
    <w:rsid w:val="114F61E9"/>
    <w:rsid w:val="11981184"/>
    <w:rsid w:val="11DD37F5"/>
    <w:rsid w:val="11FF54ED"/>
    <w:rsid w:val="124E4339"/>
    <w:rsid w:val="126E2B90"/>
    <w:rsid w:val="1272218F"/>
    <w:rsid w:val="127713BE"/>
    <w:rsid w:val="12B012CD"/>
    <w:rsid w:val="12E56E05"/>
    <w:rsid w:val="12F232D0"/>
    <w:rsid w:val="12F701A7"/>
    <w:rsid w:val="1327311D"/>
    <w:rsid w:val="13651CF4"/>
    <w:rsid w:val="137311EF"/>
    <w:rsid w:val="13913395"/>
    <w:rsid w:val="13B41253"/>
    <w:rsid w:val="13BA5B9C"/>
    <w:rsid w:val="13C62793"/>
    <w:rsid w:val="13F5357B"/>
    <w:rsid w:val="14103A0E"/>
    <w:rsid w:val="14457A7C"/>
    <w:rsid w:val="14683679"/>
    <w:rsid w:val="14955CCD"/>
    <w:rsid w:val="14A10B0A"/>
    <w:rsid w:val="14B95E54"/>
    <w:rsid w:val="14C71401"/>
    <w:rsid w:val="15082937"/>
    <w:rsid w:val="151F6884"/>
    <w:rsid w:val="15377C83"/>
    <w:rsid w:val="15632263"/>
    <w:rsid w:val="15842905"/>
    <w:rsid w:val="15992624"/>
    <w:rsid w:val="15CE1DD3"/>
    <w:rsid w:val="15D171CD"/>
    <w:rsid w:val="15D777A5"/>
    <w:rsid w:val="15E318D3"/>
    <w:rsid w:val="15F44A42"/>
    <w:rsid w:val="16124EB1"/>
    <w:rsid w:val="16704C38"/>
    <w:rsid w:val="16731DD4"/>
    <w:rsid w:val="1674297A"/>
    <w:rsid w:val="16AA109C"/>
    <w:rsid w:val="16D43419"/>
    <w:rsid w:val="16DB7346"/>
    <w:rsid w:val="16FC471D"/>
    <w:rsid w:val="1706559C"/>
    <w:rsid w:val="174A36DB"/>
    <w:rsid w:val="17661359"/>
    <w:rsid w:val="177E3384"/>
    <w:rsid w:val="17A07AC6"/>
    <w:rsid w:val="17A956B4"/>
    <w:rsid w:val="17C17B66"/>
    <w:rsid w:val="17DD62FD"/>
    <w:rsid w:val="17EA2191"/>
    <w:rsid w:val="17ED7C2D"/>
    <w:rsid w:val="18194E5B"/>
    <w:rsid w:val="1824217E"/>
    <w:rsid w:val="184C0633"/>
    <w:rsid w:val="186C7186"/>
    <w:rsid w:val="186E35C7"/>
    <w:rsid w:val="1876405C"/>
    <w:rsid w:val="18A312F5"/>
    <w:rsid w:val="18A50137"/>
    <w:rsid w:val="18AD54A5"/>
    <w:rsid w:val="18AF3582"/>
    <w:rsid w:val="18BB21C3"/>
    <w:rsid w:val="18C7560D"/>
    <w:rsid w:val="18EB475F"/>
    <w:rsid w:val="192741AF"/>
    <w:rsid w:val="19306900"/>
    <w:rsid w:val="19337984"/>
    <w:rsid w:val="1940534F"/>
    <w:rsid w:val="19453E50"/>
    <w:rsid w:val="19502AFF"/>
    <w:rsid w:val="19532628"/>
    <w:rsid w:val="19744A3F"/>
    <w:rsid w:val="19766A09"/>
    <w:rsid w:val="19836A30"/>
    <w:rsid w:val="198F54C1"/>
    <w:rsid w:val="19A1335A"/>
    <w:rsid w:val="19B87967"/>
    <w:rsid w:val="1A052C1D"/>
    <w:rsid w:val="1A203548"/>
    <w:rsid w:val="1A9A6727"/>
    <w:rsid w:val="1AC35C7E"/>
    <w:rsid w:val="1AC83294"/>
    <w:rsid w:val="1AD21C3A"/>
    <w:rsid w:val="1AE31E7C"/>
    <w:rsid w:val="1B0E4247"/>
    <w:rsid w:val="1B1F2B9F"/>
    <w:rsid w:val="1B3202FC"/>
    <w:rsid w:val="1B74283E"/>
    <w:rsid w:val="1B9C6460"/>
    <w:rsid w:val="1BA36F23"/>
    <w:rsid w:val="1BB31ED1"/>
    <w:rsid w:val="1BCE3EBF"/>
    <w:rsid w:val="1C0E4B46"/>
    <w:rsid w:val="1C1B5646"/>
    <w:rsid w:val="1C2842B9"/>
    <w:rsid w:val="1C4B2917"/>
    <w:rsid w:val="1C4F66FE"/>
    <w:rsid w:val="1C8F4CCC"/>
    <w:rsid w:val="1CAA49F4"/>
    <w:rsid w:val="1CAB69CA"/>
    <w:rsid w:val="1CC23D13"/>
    <w:rsid w:val="1CE35674"/>
    <w:rsid w:val="1CEE746D"/>
    <w:rsid w:val="1CFD2A80"/>
    <w:rsid w:val="1D012A8E"/>
    <w:rsid w:val="1D0E66E8"/>
    <w:rsid w:val="1D2F2183"/>
    <w:rsid w:val="1D37025D"/>
    <w:rsid w:val="1D3C6831"/>
    <w:rsid w:val="1D4039D8"/>
    <w:rsid w:val="1D4741C2"/>
    <w:rsid w:val="1D4B1F5B"/>
    <w:rsid w:val="1D5232E9"/>
    <w:rsid w:val="1D8F1E47"/>
    <w:rsid w:val="1D9751A0"/>
    <w:rsid w:val="1D9E652E"/>
    <w:rsid w:val="1DA022A7"/>
    <w:rsid w:val="1DB4365C"/>
    <w:rsid w:val="1DD97567"/>
    <w:rsid w:val="1E3233E6"/>
    <w:rsid w:val="1E3E561C"/>
    <w:rsid w:val="1E426EBA"/>
    <w:rsid w:val="1E587E3C"/>
    <w:rsid w:val="1E61302A"/>
    <w:rsid w:val="1E652BDF"/>
    <w:rsid w:val="1E90000B"/>
    <w:rsid w:val="1EB47B1E"/>
    <w:rsid w:val="1EC10726"/>
    <w:rsid w:val="1EDF295B"/>
    <w:rsid w:val="1F0706E1"/>
    <w:rsid w:val="1F1A7E37"/>
    <w:rsid w:val="1F231779"/>
    <w:rsid w:val="1F610FFA"/>
    <w:rsid w:val="1F612A31"/>
    <w:rsid w:val="1F851243"/>
    <w:rsid w:val="1F8E22BC"/>
    <w:rsid w:val="1F931D5E"/>
    <w:rsid w:val="1FA75AB7"/>
    <w:rsid w:val="1FC85AE5"/>
    <w:rsid w:val="1FDB75C6"/>
    <w:rsid w:val="200A3F9E"/>
    <w:rsid w:val="20144886"/>
    <w:rsid w:val="201900EE"/>
    <w:rsid w:val="201C373B"/>
    <w:rsid w:val="203C0BD5"/>
    <w:rsid w:val="205E3D53"/>
    <w:rsid w:val="20924B8D"/>
    <w:rsid w:val="20937EA1"/>
    <w:rsid w:val="20CC5AA6"/>
    <w:rsid w:val="20ED1916"/>
    <w:rsid w:val="20FF72E4"/>
    <w:rsid w:val="210A14E5"/>
    <w:rsid w:val="21531C50"/>
    <w:rsid w:val="21A53D8F"/>
    <w:rsid w:val="21A92A1B"/>
    <w:rsid w:val="21AB6511"/>
    <w:rsid w:val="21F754B0"/>
    <w:rsid w:val="22101BF0"/>
    <w:rsid w:val="221E7C3E"/>
    <w:rsid w:val="22270D79"/>
    <w:rsid w:val="222A4802"/>
    <w:rsid w:val="222D2F43"/>
    <w:rsid w:val="2237485C"/>
    <w:rsid w:val="22866A3B"/>
    <w:rsid w:val="22974F69"/>
    <w:rsid w:val="229812FF"/>
    <w:rsid w:val="229969A4"/>
    <w:rsid w:val="229B49C7"/>
    <w:rsid w:val="229C1453"/>
    <w:rsid w:val="22C82CE7"/>
    <w:rsid w:val="22D91666"/>
    <w:rsid w:val="22DB5B2F"/>
    <w:rsid w:val="22EF224E"/>
    <w:rsid w:val="22F62969"/>
    <w:rsid w:val="22FE2A0B"/>
    <w:rsid w:val="22FF14F8"/>
    <w:rsid w:val="23160915"/>
    <w:rsid w:val="23360FB7"/>
    <w:rsid w:val="234B5F9F"/>
    <w:rsid w:val="235A2EF8"/>
    <w:rsid w:val="235A7F8E"/>
    <w:rsid w:val="237A6416"/>
    <w:rsid w:val="23A67EEB"/>
    <w:rsid w:val="23B65B84"/>
    <w:rsid w:val="23C039EB"/>
    <w:rsid w:val="23DB14C5"/>
    <w:rsid w:val="23E970E6"/>
    <w:rsid w:val="23F5050A"/>
    <w:rsid w:val="241237D2"/>
    <w:rsid w:val="242A28CA"/>
    <w:rsid w:val="244C4D6C"/>
    <w:rsid w:val="245470E2"/>
    <w:rsid w:val="245B6F27"/>
    <w:rsid w:val="24651B54"/>
    <w:rsid w:val="24D91F49"/>
    <w:rsid w:val="25460C9F"/>
    <w:rsid w:val="25616C8B"/>
    <w:rsid w:val="256911D0"/>
    <w:rsid w:val="25696EE6"/>
    <w:rsid w:val="257B14DB"/>
    <w:rsid w:val="259A75DB"/>
    <w:rsid w:val="25ED2826"/>
    <w:rsid w:val="25FE1389"/>
    <w:rsid w:val="264439EB"/>
    <w:rsid w:val="264F6618"/>
    <w:rsid w:val="2668184D"/>
    <w:rsid w:val="26842F7C"/>
    <w:rsid w:val="269229A8"/>
    <w:rsid w:val="26BB6D51"/>
    <w:rsid w:val="26BE7862"/>
    <w:rsid w:val="26C2328E"/>
    <w:rsid w:val="270D0281"/>
    <w:rsid w:val="27244F45"/>
    <w:rsid w:val="272E1910"/>
    <w:rsid w:val="2740726B"/>
    <w:rsid w:val="27487054"/>
    <w:rsid w:val="2764010D"/>
    <w:rsid w:val="279F537D"/>
    <w:rsid w:val="27B75C48"/>
    <w:rsid w:val="27C40D77"/>
    <w:rsid w:val="27F56DDE"/>
    <w:rsid w:val="27F76F67"/>
    <w:rsid w:val="28041684"/>
    <w:rsid w:val="2808100C"/>
    <w:rsid w:val="28155F68"/>
    <w:rsid w:val="28665E9B"/>
    <w:rsid w:val="286D0FD7"/>
    <w:rsid w:val="28A32C4B"/>
    <w:rsid w:val="28AB0D6E"/>
    <w:rsid w:val="28AE251A"/>
    <w:rsid w:val="28B5481A"/>
    <w:rsid w:val="28BD5B9E"/>
    <w:rsid w:val="28C02D0C"/>
    <w:rsid w:val="28C130D1"/>
    <w:rsid w:val="28F416F8"/>
    <w:rsid w:val="2930247E"/>
    <w:rsid w:val="2946603C"/>
    <w:rsid w:val="297C1D48"/>
    <w:rsid w:val="29835165"/>
    <w:rsid w:val="29891E41"/>
    <w:rsid w:val="298E7457"/>
    <w:rsid w:val="29DF5F05"/>
    <w:rsid w:val="29E25E80"/>
    <w:rsid w:val="2A1C0F07"/>
    <w:rsid w:val="2A1F6D8E"/>
    <w:rsid w:val="2A214996"/>
    <w:rsid w:val="2A503E21"/>
    <w:rsid w:val="2A600655"/>
    <w:rsid w:val="2A627156"/>
    <w:rsid w:val="2A701253"/>
    <w:rsid w:val="2A7C1331"/>
    <w:rsid w:val="2A895E70"/>
    <w:rsid w:val="2ABC6246"/>
    <w:rsid w:val="2AEA2DB3"/>
    <w:rsid w:val="2B052495"/>
    <w:rsid w:val="2B0A6FB1"/>
    <w:rsid w:val="2B2D0EF2"/>
    <w:rsid w:val="2B3A426F"/>
    <w:rsid w:val="2B433673"/>
    <w:rsid w:val="2B4B7A1E"/>
    <w:rsid w:val="2B5633C4"/>
    <w:rsid w:val="2B603075"/>
    <w:rsid w:val="2B716D3A"/>
    <w:rsid w:val="2B8E1990"/>
    <w:rsid w:val="2B9B5E5B"/>
    <w:rsid w:val="2BB55EA6"/>
    <w:rsid w:val="2BB807BB"/>
    <w:rsid w:val="2BBB2139"/>
    <w:rsid w:val="2BF51D07"/>
    <w:rsid w:val="2C4C35F9"/>
    <w:rsid w:val="2C4E1014"/>
    <w:rsid w:val="2C4F0765"/>
    <w:rsid w:val="2C51605B"/>
    <w:rsid w:val="2C540E9F"/>
    <w:rsid w:val="2C6B3A80"/>
    <w:rsid w:val="2C994A91"/>
    <w:rsid w:val="2CC82C80"/>
    <w:rsid w:val="2CD81014"/>
    <w:rsid w:val="2CDE4072"/>
    <w:rsid w:val="2CF41CC7"/>
    <w:rsid w:val="2D0A773C"/>
    <w:rsid w:val="2D151C3D"/>
    <w:rsid w:val="2D3404D8"/>
    <w:rsid w:val="2D5716A7"/>
    <w:rsid w:val="2D581E45"/>
    <w:rsid w:val="2D7B1946"/>
    <w:rsid w:val="2D7E3C87"/>
    <w:rsid w:val="2DA304C8"/>
    <w:rsid w:val="2DBB1227"/>
    <w:rsid w:val="2DBB32F3"/>
    <w:rsid w:val="2DBD655D"/>
    <w:rsid w:val="2DEE38A6"/>
    <w:rsid w:val="2DF3156C"/>
    <w:rsid w:val="2E093237"/>
    <w:rsid w:val="2E444588"/>
    <w:rsid w:val="2E494294"/>
    <w:rsid w:val="2E7D5CEC"/>
    <w:rsid w:val="2E9200D2"/>
    <w:rsid w:val="2EAB2E3D"/>
    <w:rsid w:val="2EAF6A86"/>
    <w:rsid w:val="2EB01C1E"/>
    <w:rsid w:val="2EB07CD2"/>
    <w:rsid w:val="2EBF6305"/>
    <w:rsid w:val="2ED82C69"/>
    <w:rsid w:val="2EEE6595"/>
    <w:rsid w:val="2EF022E6"/>
    <w:rsid w:val="2F471127"/>
    <w:rsid w:val="2F974B8C"/>
    <w:rsid w:val="2FAC7480"/>
    <w:rsid w:val="2FD656B4"/>
    <w:rsid w:val="30283283"/>
    <w:rsid w:val="30367E94"/>
    <w:rsid w:val="303A6E9F"/>
    <w:rsid w:val="303B5E5F"/>
    <w:rsid w:val="308570DA"/>
    <w:rsid w:val="308D1AF2"/>
    <w:rsid w:val="309D66B2"/>
    <w:rsid w:val="30AC104C"/>
    <w:rsid w:val="30BF083E"/>
    <w:rsid w:val="30ED7159"/>
    <w:rsid w:val="31097D0B"/>
    <w:rsid w:val="313727E1"/>
    <w:rsid w:val="314B20D2"/>
    <w:rsid w:val="315D146F"/>
    <w:rsid w:val="3161596C"/>
    <w:rsid w:val="31707DDD"/>
    <w:rsid w:val="319164D6"/>
    <w:rsid w:val="31DE4CF4"/>
    <w:rsid w:val="31E21F94"/>
    <w:rsid w:val="320D15F5"/>
    <w:rsid w:val="32352A3A"/>
    <w:rsid w:val="32382656"/>
    <w:rsid w:val="324E3C27"/>
    <w:rsid w:val="326E42CA"/>
    <w:rsid w:val="3276317E"/>
    <w:rsid w:val="32876CD5"/>
    <w:rsid w:val="32955C24"/>
    <w:rsid w:val="32A359AB"/>
    <w:rsid w:val="32A41A99"/>
    <w:rsid w:val="32BB4A78"/>
    <w:rsid w:val="32EB3411"/>
    <w:rsid w:val="32F242C6"/>
    <w:rsid w:val="334C6D8C"/>
    <w:rsid w:val="338B0EAB"/>
    <w:rsid w:val="339A10EE"/>
    <w:rsid w:val="34250294"/>
    <w:rsid w:val="343A0557"/>
    <w:rsid w:val="349236FD"/>
    <w:rsid w:val="34927750"/>
    <w:rsid w:val="34BF0E0C"/>
    <w:rsid w:val="34C75F13"/>
    <w:rsid w:val="34F12F90"/>
    <w:rsid w:val="34FD1935"/>
    <w:rsid w:val="351E1B79"/>
    <w:rsid w:val="35551771"/>
    <w:rsid w:val="35663064"/>
    <w:rsid w:val="357716E7"/>
    <w:rsid w:val="358B5B66"/>
    <w:rsid w:val="35B3049A"/>
    <w:rsid w:val="35BE7316"/>
    <w:rsid w:val="35C14486"/>
    <w:rsid w:val="35C91817"/>
    <w:rsid w:val="35CB5A2B"/>
    <w:rsid w:val="35EB6567"/>
    <w:rsid w:val="35FE5AB5"/>
    <w:rsid w:val="360437A1"/>
    <w:rsid w:val="360876D7"/>
    <w:rsid w:val="361433DA"/>
    <w:rsid w:val="36321AB2"/>
    <w:rsid w:val="365E0E2A"/>
    <w:rsid w:val="366A124C"/>
    <w:rsid w:val="367D236E"/>
    <w:rsid w:val="36A132D9"/>
    <w:rsid w:val="36B307F5"/>
    <w:rsid w:val="36BA4402"/>
    <w:rsid w:val="36DF5796"/>
    <w:rsid w:val="36E27AE8"/>
    <w:rsid w:val="36F264CE"/>
    <w:rsid w:val="37265173"/>
    <w:rsid w:val="373830F8"/>
    <w:rsid w:val="374101FF"/>
    <w:rsid w:val="374E381D"/>
    <w:rsid w:val="375021F0"/>
    <w:rsid w:val="375F53D3"/>
    <w:rsid w:val="37823F12"/>
    <w:rsid w:val="379876F3"/>
    <w:rsid w:val="37A4078E"/>
    <w:rsid w:val="37DC7F27"/>
    <w:rsid w:val="37F22AF4"/>
    <w:rsid w:val="37F52D97"/>
    <w:rsid w:val="380134EA"/>
    <w:rsid w:val="38097EDE"/>
    <w:rsid w:val="38145796"/>
    <w:rsid w:val="3836588A"/>
    <w:rsid w:val="384B2604"/>
    <w:rsid w:val="386D6DD1"/>
    <w:rsid w:val="38700BCB"/>
    <w:rsid w:val="38871C41"/>
    <w:rsid w:val="389205E6"/>
    <w:rsid w:val="38B92017"/>
    <w:rsid w:val="38D3126D"/>
    <w:rsid w:val="38DE7E6C"/>
    <w:rsid w:val="38EF5884"/>
    <w:rsid w:val="392860F9"/>
    <w:rsid w:val="39551D3F"/>
    <w:rsid w:val="395555EF"/>
    <w:rsid w:val="397E31BD"/>
    <w:rsid w:val="39B12F93"/>
    <w:rsid w:val="39B8138C"/>
    <w:rsid w:val="39CB2002"/>
    <w:rsid w:val="39F7026F"/>
    <w:rsid w:val="3A1138AA"/>
    <w:rsid w:val="3A3D30F3"/>
    <w:rsid w:val="3AA80595"/>
    <w:rsid w:val="3AB50EF1"/>
    <w:rsid w:val="3AB74334"/>
    <w:rsid w:val="3AC84793"/>
    <w:rsid w:val="3AE07D71"/>
    <w:rsid w:val="3AF85875"/>
    <w:rsid w:val="3B094318"/>
    <w:rsid w:val="3B3E1E86"/>
    <w:rsid w:val="3B403A23"/>
    <w:rsid w:val="3B443E1A"/>
    <w:rsid w:val="3B47390A"/>
    <w:rsid w:val="3B533EF8"/>
    <w:rsid w:val="3B562CD8"/>
    <w:rsid w:val="3B64626A"/>
    <w:rsid w:val="3B9D14C4"/>
    <w:rsid w:val="3BB05953"/>
    <w:rsid w:val="3BD67DCE"/>
    <w:rsid w:val="3C096F6D"/>
    <w:rsid w:val="3C511C77"/>
    <w:rsid w:val="3C6E1209"/>
    <w:rsid w:val="3C7559FA"/>
    <w:rsid w:val="3C9708C1"/>
    <w:rsid w:val="3C9D536C"/>
    <w:rsid w:val="3C9E39FD"/>
    <w:rsid w:val="3CA77E9F"/>
    <w:rsid w:val="3CD512C5"/>
    <w:rsid w:val="3CE33B06"/>
    <w:rsid w:val="3D073760"/>
    <w:rsid w:val="3D0C0967"/>
    <w:rsid w:val="3D1474CB"/>
    <w:rsid w:val="3D363C36"/>
    <w:rsid w:val="3D55633A"/>
    <w:rsid w:val="3D956BAE"/>
    <w:rsid w:val="3D994B5A"/>
    <w:rsid w:val="3DBF087C"/>
    <w:rsid w:val="3DC254CA"/>
    <w:rsid w:val="3DD43653"/>
    <w:rsid w:val="3DDA772D"/>
    <w:rsid w:val="3DE642E7"/>
    <w:rsid w:val="3DE9514C"/>
    <w:rsid w:val="3E0C2BE9"/>
    <w:rsid w:val="3E225009"/>
    <w:rsid w:val="3E3D54EE"/>
    <w:rsid w:val="3E56286E"/>
    <w:rsid w:val="3E5B4A96"/>
    <w:rsid w:val="3E704F26"/>
    <w:rsid w:val="3E7A2248"/>
    <w:rsid w:val="3EA7121B"/>
    <w:rsid w:val="3EB24239"/>
    <w:rsid w:val="3EB63280"/>
    <w:rsid w:val="3ECB45AA"/>
    <w:rsid w:val="3F137372"/>
    <w:rsid w:val="3F250F30"/>
    <w:rsid w:val="3F4103C8"/>
    <w:rsid w:val="3F827606"/>
    <w:rsid w:val="3F8409DD"/>
    <w:rsid w:val="3FB5617C"/>
    <w:rsid w:val="3FF820FE"/>
    <w:rsid w:val="402145A2"/>
    <w:rsid w:val="402F67F1"/>
    <w:rsid w:val="403411E4"/>
    <w:rsid w:val="406A3DA1"/>
    <w:rsid w:val="40880C4C"/>
    <w:rsid w:val="40AE4B16"/>
    <w:rsid w:val="40DF3735"/>
    <w:rsid w:val="40E04855"/>
    <w:rsid w:val="40FB74F0"/>
    <w:rsid w:val="40FC6F44"/>
    <w:rsid w:val="41071C5E"/>
    <w:rsid w:val="410A1661"/>
    <w:rsid w:val="410A2582"/>
    <w:rsid w:val="412D35A2"/>
    <w:rsid w:val="413E44C3"/>
    <w:rsid w:val="41474664"/>
    <w:rsid w:val="414F45CB"/>
    <w:rsid w:val="41A069E2"/>
    <w:rsid w:val="41F529F0"/>
    <w:rsid w:val="42082BF1"/>
    <w:rsid w:val="420B31AF"/>
    <w:rsid w:val="420F3C2B"/>
    <w:rsid w:val="423E11C9"/>
    <w:rsid w:val="424B1F31"/>
    <w:rsid w:val="42674891"/>
    <w:rsid w:val="427A739C"/>
    <w:rsid w:val="428D6B9F"/>
    <w:rsid w:val="42984EBE"/>
    <w:rsid w:val="42A87FF1"/>
    <w:rsid w:val="42C64ED6"/>
    <w:rsid w:val="42E0618B"/>
    <w:rsid w:val="4335573B"/>
    <w:rsid w:val="438041CC"/>
    <w:rsid w:val="43B97640"/>
    <w:rsid w:val="43DA4F18"/>
    <w:rsid w:val="4413442E"/>
    <w:rsid w:val="441A3E34"/>
    <w:rsid w:val="443633EB"/>
    <w:rsid w:val="443B015D"/>
    <w:rsid w:val="44405B43"/>
    <w:rsid w:val="44604902"/>
    <w:rsid w:val="44616E54"/>
    <w:rsid w:val="446E1F07"/>
    <w:rsid w:val="44CB55AC"/>
    <w:rsid w:val="44D012CD"/>
    <w:rsid w:val="44D514F0"/>
    <w:rsid w:val="45004D9A"/>
    <w:rsid w:val="45034D45"/>
    <w:rsid w:val="450D6C41"/>
    <w:rsid w:val="451505D5"/>
    <w:rsid w:val="45184A87"/>
    <w:rsid w:val="454F3935"/>
    <w:rsid w:val="455D50A2"/>
    <w:rsid w:val="4562705E"/>
    <w:rsid w:val="45680119"/>
    <w:rsid w:val="456B6447"/>
    <w:rsid w:val="456F5F37"/>
    <w:rsid w:val="45911C91"/>
    <w:rsid w:val="459C0CF6"/>
    <w:rsid w:val="459E557C"/>
    <w:rsid w:val="45AF27D7"/>
    <w:rsid w:val="45B918A8"/>
    <w:rsid w:val="45F55107"/>
    <w:rsid w:val="46271B24"/>
    <w:rsid w:val="463F7656"/>
    <w:rsid w:val="46403619"/>
    <w:rsid w:val="46440694"/>
    <w:rsid w:val="46654E8C"/>
    <w:rsid w:val="46733805"/>
    <w:rsid w:val="4678079B"/>
    <w:rsid w:val="468E4AE3"/>
    <w:rsid w:val="46B3535A"/>
    <w:rsid w:val="46ED726C"/>
    <w:rsid w:val="472D57CE"/>
    <w:rsid w:val="47370CD6"/>
    <w:rsid w:val="474A3E40"/>
    <w:rsid w:val="47777325"/>
    <w:rsid w:val="47797364"/>
    <w:rsid w:val="47876268"/>
    <w:rsid w:val="479A08A7"/>
    <w:rsid w:val="4832149E"/>
    <w:rsid w:val="48395E03"/>
    <w:rsid w:val="483D231C"/>
    <w:rsid w:val="48403BBB"/>
    <w:rsid w:val="484663DC"/>
    <w:rsid w:val="485D561E"/>
    <w:rsid w:val="487814A5"/>
    <w:rsid w:val="48853CC3"/>
    <w:rsid w:val="48895530"/>
    <w:rsid w:val="48BD345D"/>
    <w:rsid w:val="48D6451F"/>
    <w:rsid w:val="48EA0DBA"/>
    <w:rsid w:val="48EE1869"/>
    <w:rsid w:val="49025F37"/>
    <w:rsid w:val="492F19EC"/>
    <w:rsid w:val="49384D99"/>
    <w:rsid w:val="49456D87"/>
    <w:rsid w:val="495B1123"/>
    <w:rsid w:val="496F29A9"/>
    <w:rsid w:val="49FB1036"/>
    <w:rsid w:val="4A037596"/>
    <w:rsid w:val="4A1C2405"/>
    <w:rsid w:val="4A205F2C"/>
    <w:rsid w:val="4A2E2FF7"/>
    <w:rsid w:val="4A3E1CC9"/>
    <w:rsid w:val="4A5676C5"/>
    <w:rsid w:val="4AA5064D"/>
    <w:rsid w:val="4AAB53D7"/>
    <w:rsid w:val="4AC03941"/>
    <w:rsid w:val="4B3814C1"/>
    <w:rsid w:val="4B38326F"/>
    <w:rsid w:val="4B6127C6"/>
    <w:rsid w:val="4B685902"/>
    <w:rsid w:val="4B773D97"/>
    <w:rsid w:val="4BAE52DF"/>
    <w:rsid w:val="4BC070DB"/>
    <w:rsid w:val="4BD056BA"/>
    <w:rsid w:val="4BDA58EA"/>
    <w:rsid w:val="4C0373D9"/>
    <w:rsid w:val="4C257AC2"/>
    <w:rsid w:val="4C6F371B"/>
    <w:rsid w:val="4C752563"/>
    <w:rsid w:val="4C7B3413"/>
    <w:rsid w:val="4C9A4D1F"/>
    <w:rsid w:val="4CB52990"/>
    <w:rsid w:val="4CC92E63"/>
    <w:rsid w:val="4CE3798F"/>
    <w:rsid w:val="4CF26484"/>
    <w:rsid w:val="4D720187"/>
    <w:rsid w:val="4D95175E"/>
    <w:rsid w:val="4D971181"/>
    <w:rsid w:val="4DA3090E"/>
    <w:rsid w:val="4DC16DD5"/>
    <w:rsid w:val="4DC4528E"/>
    <w:rsid w:val="4DC52898"/>
    <w:rsid w:val="4DC7784F"/>
    <w:rsid w:val="4DE374C2"/>
    <w:rsid w:val="4DE561D0"/>
    <w:rsid w:val="4DF01BDF"/>
    <w:rsid w:val="4E011FFD"/>
    <w:rsid w:val="4E013DEC"/>
    <w:rsid w:val="4E035DB6"/>
    <w:rsid w:val="4E261AA5"/>
    <w:rsid w:val="4E606D65"/>
    <w:rsid w:val="4E7820C0"/>
    <w:rsid w:val="4E7E1556"/>
    <w:rsid w:val="4E8A006A"/>
    <w:rsid w:val="4EA425AB"/>
    <w:rsid w:val="4EE31744"/>
    <w:rsid w:val="4EE63005"/>
    <w:rsid w:val="4EFA6A25"/>
    <w:rsid w:val="4F1A2EB8"/>
    <w:rsid w:val="4F412F95"/>
    <w:rsid w:val="4F9C6A2F"/>
    <w:rsid w:val="4FFE2AE4"/>
    <w:rsid w:val="50043981"/>
    <w:rsid w:val="502D51E2"/>
    <w:rsid w:val="50330A99"/>
    <w:rsid w:val="506833B0"/>
    <w:rsid w:val="506B379F"/>
    <w:rsid w:val="506B7C43"/>
    <w:rsid w:val="5073127E"/>
    <w:rsid w:val="507E34D2"/>
    <w:rsid w:val="50A3118B"/>
    <w:rsid w:val="50AC44E3"/>
    <w:rsid w:val="50D87593"/>
    <w:rsid w:val="50DA554D"/>
    <w:rsid w:val="50F6750C"/>
    <w:rsid w:val="50F72525"/>
    <w:rsid w:val="511D2CC1"/>
    <w:rsid w:val="511F64FB"/>
    <w:rsid w:val="51477D68"/>
    <w:rsid w:val="515005C0"/>
    <w:rsid w:val="51532AEA"/>
    <w:rsid w:val="51563F3A"/>
    <w:rsid w:val="5183799A"/>
    <w:rsid w:val="51920C4E"/>
    <w:rsid w:val="519828E3"/>
    <w:rsid w:val="51C15D6C"/>
    <w:rsid w:val="51F872B4"/>
    <w:rsid w:val="5209732D"/>
    <w:rsid w:val="5237602E"/>
    <w:rsid w:val="524C571D"/>
    <w:rsid w:val="526112FD"/>
    <w:rsid w:val="52636E23"/>
    <w:rsid w:val="52843969"/>
    <w:rsid w:val="52AC593C"/>
    <w:rsid w:val="52D7336D"/>
    <w:rsid w:val="52EB63E7"/>
    <w:rsid w:val="52FD1026"/>
    <w:rsid w:val="52FE0D8F"/>
    <w:rsid w:val="52FE4D9E"/>
    <w:rsid w:val="53320B51"/>
    <w:rsid w:val="533E29C4"/>
    <w:rsid w:val="533E33EC"/>
    <w:rsid w:val="536803EC"/>
    <w:rsid w:val="53984ED9"/>
    <w:rsid w:val="53E2216D"/>
    <w:rsid w:val="53FD0439"/>
    <w:rsid w:val="541303D5"/>
    <w:rsid w:val="5419426E"/>
    <w:rsid w:val="541C7306"/>
    <w:rsid w:val="542919A7"/>
    <w:rsid w:val="54356538"/>
    <w:rsid w:val="546A5B2D"/>
    <w:rsid w:val="5474446B"/>
    <w:rsid w:val="547E6196"/>
    <w:rsid w:val="548B2661"/>
    <w:rsid w:val="54C3400F"/>
    <w:rsid w:val="54CF07B4"/>
    <w:rsid w:val="54D1276A"/>
    <w:rsid w:val="54E60DBB"/>
    <w:rsid w:val="54F76A7C"/>
    <w:rsid w:val="55176405"/>
    <w:rsid w:val="551A0D74"/>
    <w:rsid w:val="5520724E"/>
    <w:rsid w:val="55236D3E"/>
    <w:rsid w:val="553B2061"/>
    <w:rsid w:val="55651104"/>
    <w:rsid w:val="556E1C11"/>
    <w:rsid w:val="55771CB5"/>
    <w:rsid w:val="557A085B"/>
    <w:rsid w:val="559A005C"/>
    <w:rsid w:val="55B31E70"/>
    <w:rsid w:val="55B820D5"/>
    <w:rsid w:val="55C20305"/>
    <w:rsid w:val="55E738C7"/>
    <w:rsid w:val="5634666D"/>
    <w:rsid w:val="56596144"/>
    <w:rsid w:val="56707D61"/>
    <w:rsid w:val="56976230"/>
    <w:rsid w:val="56C105BC"/>
    <w:rsid w:val="56CE4A87"/>
    <w:rsid w:val="56F64F35"/>
    <w:rsid w:val="5726041F"/>
    <w:rsid w:val="572A7A28"/>
    <w:rsid w:val="57322F93"/>
    <w:rsid w:val="573A7ED0"/>
    <w:rsid w:val="573E766F"/>
    <w:rsid w:val="576B029A"/>
    <w:rsid w:val="577675F9"/>
    <w:rsid w:val="57AA1051"/>
    <w:rsid w:val="57D91936"/>
    <w:rsid w:val="57FD73D2"/>
    <w:rsid w:val="580202C9"/>
    <w:rsid w:val="580B202B"/>
    <w:rsid w:val="583E3507"/>
    <w:rsid w:val="585278FA"/>
    <w:rsid w:val="585711D8"/>
    <w:rsid w:val="58755AFA"/>
    <w:rsid w:val="588B2E6F"/>
    <w:rsid w:val="58913FBE"/>
    <w:rsid w:val="589D7AE2"/>
    <w:rsid w:val="58A261CC"/>
    <w:rsid w:val="58B02A44"/>
    <w:rsid w:val="58BC0970"/>
    <w:rsid w:val="58C40DCB"/>
    <w:rsid w:val="58DF5886"/>
    <w:rsid w:val="58E030DB"/>
    <w:rsid w:val="593B7B86"/>
    <w:rsid w:val="59455DBE"/>
    <w:rsid w:val="594662EE"/>
    <w:rsid w:val="59723DF0"/>
    <w:rsid w:val="598372C3"/>
    <w:rsid w:val="59D80DBD"/>
    <w:rsid w:val="59E1705C"/>
    <w:rsid w:val="59E6048B"/>
    <w:rsid w:val="5A0D0257"/>
    <w:rsid w:val="5A13112F"/>
    <w:rsid w:val="5A312F50"/>
    <w:rsid w:val="5A4412E8"/>
    <w:rsid w:val="5A9355F9"/>
    <w:rsid w:val="5AE40D1D"/>
    <w:rsid w:val="5B045EB1"/>
    <w:rsid w:val="5B13515F"/>
    <w:rsid w:val="5B2420C0"/>
    <w:rsid w:val="5B330F0E"/>
    <w:rsid w:val="5B353327"/>
    <w:rsid w:val="5B465534"/>
    <w:rsid w:val="5B6862C7"/>
    <w:rsid w:val="5BAA7F6B"/>
    <w:rsid w:val="5BEB0156"/>
    <w:rsid w:val="5C125416"/>
    <w:rsid w:val="5C297A79"/>
    <w:rsid w:val="5C4E644E"/>
    <w:rsid w:val="5C7659A5"/>
    <w:rsid w:val="5C9B2530"/>
    <w:rsid w:val="5CD10E2D"/>
    <w:rsid w:val="5CF35516"/>
    <w:rsid w:val="5D2578B0"/>
    <w:rsid w:val="5D272F0E"/>
    <w:rsid w:val="5D6B2B94"/>
    <w:rsid w:val="5D716DC3"/>
    <w:rsid w:val="5D82610C"/>
    <w:rsid w:val="5D9D1A9C"/>
    <w:rsid w:val="5D9E3405"/>
    <w:rsid w:val="5DA708A0"/>
    <w:rsid w:val="5DC342C3"/>
    <w:rsid w:val="5DC624A3"/>
    <w:rsid w:val="5DF770C0"/>
    <w:rsid w:val="5E015742"/>
    <w:rsid w:val="5E04185C"/>
    <w:rsid w:val="5E072D15"/>
    <w:rsid w:val="5E0771FD"/>
    <w:rsid w:val="5E104109"/>
    <w:rsid w:val="5E3C4148"/>
    <w:rsid w:val="5E4E15E4"/>
    <w:rsid w:val="5E51004B"/>
    <w:rsid w:val="5E59732C"/>
    <w:rsid w:val="5E865464"/>
    <w:rsid w:val="5EA467FA"/>
    <w:rsid w:val="5EC073AC"/>
    <w:rsid w:val="5ECF2E97"/>
    <w:rsid w:val="5EFB46F7"/>
    <w:rsid w:val="5F064082"/>
    <w:rsid w:val="5F2E4707"/>
    <w:rsid w:val="5F3A7506"/>
    <w:rsid w:val="5F4C7CD3"/>
    <w:rsid w:val="5F564CF2"/>
    <w:rsid w:val="5FAD16DE"/>
    <w:rsid w:val="5FC86518"/>
    <w:rsid w:val="5FE570CA"/>
    <w:rsid w:val="60076B58"/>
    <w:rsid w:val="60077ED0"/>
    <w:rsid w:val="60114363"/>
    <w:rsid w:val="605649C1"/>
    <w:rsid w:val="6069428C"/>
    <w:rsid w:val="608E59B3"/>
    <w:rsid w:val="60A2320D"/>
    <w:rsid w:val="60AC594F"/>
    <w:rsid w:val="60B21C1A"/>
    <w:rsid w:val="60B51D45"/>
    <w:rsid w:val="60B60A66"/>
    <w:rsid w:val="60EE0200"/>
    <w:rsid w:val="60FC5DD6"/>
    <w:rsid w:val="60FE43A4"/>
    <w:rsid w:val="611142C1"/>
    <w:rsid w:val="611F660B"/>
    <w:rsid w:val="61306A97"/>
    <w:rsid w:val="61947B7E"/>
    <w:rsid w:val="619C1A0A"/>
    <w:rsid w:val="61A56F03"/>
    <w:rsid w:val="61A7198D"/>
    <w:rsid w:val="61BA55EF"/>
    <w:rsid w:val="61BB6C21"/>
    <w:rsid w:val="61C35A31"/>
    <w:rsid w:val="61C87332"/>
    <w:rsid w:val="61D95889"/>
    <w:rsid w:val="61E0223F"/>
    <w:rsid w:val="62032444"/>
    <w:rsid w:val="620D2908"/>
    <w:rsid w:val="621041A6"/>
    <w:rsid w:val="62125BED"/>
    <w:rsid w:val="62524EBE"/>
    <w:rsid w:val="6265219D"/>
    <w:rsid w:val="62682234"/>
    <w:rsid w:val="628030DA"/>
    <w:rsid w:val="6287090C"/>
    <w:rsid w:val="628A6898"/>
    <w:rsid w:val="62CF006E"/>
    <w:rsid w:val="62D60F4C"/>
    <w:rsid w:val="62E95123"/>
    <w:rsid w:val="630E1F93"/>
    <w:rsid w:val="633A1CCD"/>
    <w:rsid w:val="633D1B90"/>
    <w:rsid w:val="636C1843"/>
    <w:rsid w:val="637013A0"/>
    <w:rsid w:val="637D1D0F"/>
    <w:rsid w:val="6384726C"/>
    <w:rsid w:val="63A50501"/>
    <w:rsid w:val="63A728E8"/>
    <w:rsid w:val="63AB062A"/>
    <w:rsid w:val="63B86816"/>
    <w:rsid w:val="63CB6994"/>
    <w:rsid w:val="63EA73A4"/>
    <w:rsid w:val="63ED348B"/>
    <w:rsid w:val="64145061"/>
    <w:rsid w:val="64326DFA"/>
    <w:rsid w:val="64547E68"/>
    <w:rsid w:val="647E7AED"/>
    <w:rsid w:val="64A2233D"/>
    <w:rsid w:val="64CC61AD"/>
    <w:rsid w:val="64F249A9"/>
    <w:rsid w:val="65297A59"/>
    <w:rsid w:val="65640B55"/>
    <w:rsid w:val="657442EA"/>
    <w:rsid w:val="65B5753E"/>
    <w:rsid w:val="65D379C4"/>
    <w:rsid w:val="65E87914"/>
    <w:rsid w:val="66191C02"/>
    <w:rsid w:val="662D20F8"/>
    <w:rsid w:val="66557471"/>
    <w:rsid w:val="665D79E2"/>
    <w:rsid w:val="66613D10"/>
    <w:rsid w:val="667B2536"/>
    <w:rsid w:val="6680424D"/>
    <w:rsid w:val="668212D2"/>
    <w:rsid w:val="66B84CAC"/>
    <w:rsid w:val="66BE2423"/>
    <w:rsid w:val="66C0263F"/>
    <w:rsid w:val="66D41312"/>
    <w:rsid w:val="66FB5F61"/>
    <w:rsid w:val="66FC0AB7"/>
    <w:rsid w:val="66FD73EF"/>
    <w:rsid w:val="673821D5"/>
    <w:rsid w:val="674072DB"/>
    <w:rsid w:val="67512142"/>
    <w:rsid w:val="67545D9F"/>
    <w:rsid w:val="675E7762"/>
    <w:rsid w:val="67620061"/>
    <w:rsid w:val="676D13B3"/>
    <w:rsid w:val="67712DF8"/>
    <w:rsid w:val="67746F85"/>
    <w:rsid w:val="677A27ED"/>
    <w:rsid w:val="678673E4"/>
    <w:rsid w:val="67AC2BC3"/>
    <w:rsid w:val="67BE7670"/>
    <w:rsid w:val="67C10125"/>
    <w:rsid w:val="67C62E5E"/>
    <w:rsid w:val="67DA7730"/>
    <w:rsid w:val="67F26828"/>
    <w:rsid w:val="68012F0F"/>
    <w:rsid w:val="6801454C"/>
    <w:rsid w:val="6833299C"/>
    <w:rsid w:val="6842731C"/>
    <w:rsid w:val="686A4FFD"/>
    <w:rsid w:val="68727968"/>
    <w:rsid w:val="6877431C"/>
    <w:rsid w:val="688022D1"/>
    <w:rsid w:val="688C1315"/>
    <w:rsid w:val="688D19A9"/>
    <w:rsid w:val="688E5773"/>
    <w:rsid w:val="68906593"/>
    <w:rsid w:val="68983D3B"/>
    <w:rsid w:val="68993147"/>
    <w:rsid w:val="68B27663"/>
    <w:rsid w:val="68B27E16"/>
    <w:rsid w:val="68E1201D"/>
    <w:rsid w:val="693634DB"/>
    <w:rsid w:val="693E5A9D"/>
    <w:rsid w:val="695A2D6A"/>
    <w:rsid w:val="6985085E"/>
    <w:rsid w:val="698C6808"/>
    <w:rsid w:val="699F0D75"/>
    <w:rsid w:val="69A477E2"/>
    <w:rsid w:val="69AA7E3D"/>
    <w:rsid w:val="69C07204"/>
    <w:rsid w:val="69C2047C"/>
    <w:rsid w:val="69D34786"/>
    <w:rsid w:val="6A116D0D"/>
    <w:rsid w:val="6A2F7B81"/>
    <w:rsid w:val="6A332159"/>
    <w:rsid w:val="6A366774"/>
    <w:rsid w:val="6A424079"/>
    <w:rsid w:val="6A576E16"/>
    <w:rsid w:val="6A5A7287"/>
    <w:rsid w:val="6A5E6B02"/>
    <w:rsid w:val="6A7A48B2"/>
    <w:rsid w:val="6ACA583A"/>
    <w:rsid w:val="6AE81A59"/>
    <w:rsid w:val="6B0225E5"/>
    <w:rsid w:val="6B0661B5"/>
    <w:rsid w:val="6B0D2DCF"/>
    <w:rsid w:val="6B301415"/>
    <w:rsid w:val="6B3D26EC"/>
    <w:rsid w:val="6B571E00"/>
    <w:rsid w:val="6B605A52"/>
    <w:rsid w:val="6B6A2B79"/>
    <w:rsid w:val="6B702B61"/>
    <w:rsid w:val="6B8F25DF"/>
    <w:rsid w:val="6B916358"/>
    <w:rsid w:val="6B9E0FF1"/>
    <w:rsid w:val="6BA918F3"/>
    <w:rsid w:val="6BAA5AAD"/>
    <w:rsid w:val="6BAF29F9"/>
    <w:rsid w:val="6BBE1D8B"/>
    <w:rsid w:val="6BC56001"/>
    <w:rsid w:val="6BD10E4A"/>
    <w:rsid w:val="6BD549BB"/>
    <w:rsid w:val="6BEA1734"/>
    <w:rsid w:val="6BF80185"/>
    <w:rsid w:val="6C0C4ADB"/>
    <w:rsid w:val="6C5724AD"/>
    <w:rsid w:val="6C621785"/>
    <w:rsid w:val="6C897320"/>
    <w:rsid w:val="6CB71DEE"/>
    <w:rsid w:val="6CBA21D9"/>
    <w:rsid w:val="6CCE338C"/>
    <w:rsid w:val="6CDC684D"/>
    <w:rsid w:val="6CE95D1F"/>
    <w:rsid w:val="6CEC6BC0"/>
    <w:rsid w:val="6D062D75"/>
    <w:rsid w:val="6D743A98"/>
    <w:rsid w:val="6D9143ED"/>
    <w:rsid w:val="6D967C55"/>
    <w:rsid w:val="6DB874E1"/>
    <w:rsid w:val="6DC5053A"/>
    <w:rsid w:val="6DE76703"/>
    <w:rsid w:val="6DF80910"/>
    <w:rsid w:val="6DF84EC5"/>
    <w:rsid w:val="6E182D60"/>
    <w:rsid w:val="6E355976"/>
    <w:rsid w:val="6E5166F1"/>
    <w:rsid w:val="6E6B5483"/>
    <w:rsid w:val="6E6F6E84"/>
    <w:rsid w:val="6E7754BA"/>
    <w:rsid w:val="6F6556EB"/>
    <w:rsid w:val="6F71097A"/>
    <w:rsid w:val="6F920BAA"/>
    <w:rsid w:val="6FAF3250"/>
    <w:rsid w:val="6FCC331F"/>
    <w:rsid w:val="6FF67C23"/>
    <w:rsid w:val="70251764"/>
    <w:rsid w:val="70422316"/>
    <w:rsid w:val="70490C8A"/>
    <w:rsid w:val="70BF540B"/>
    <w:rsid w:val="70F27898"/>
    <w:rsid w:val="71155335"/>
    <w:rsid w:val="71235CA4"/>
    <w:rsid w:val="713003C1"/>
    <w:rsid w:val="713638E1"/>
    <w:rsid w:val="713755E8"/>
    <w:rsid w:val="713A5218"/>
    <w:rsid w:val="713D78D4"/>
    <w:rsid w:val="714125CE"/>
    <w:rsid w:val="714300F4"/>
    <w:rsid w:val="716F56C9"/>
    <w:rsid w:val="71844269"/>
    <w:rsid w:val="71A102F5"/>
    <w:rsid w:val="71C83C2F"/>
    <w:rsid w:val="71CD2E39"/>
    <w:rsid w:val="71F4319C"/>
    <w:rsid w:val="720F7FD6"/>
    <w:rsid w:val="723637B5"/>
    <w:rsid w:val="723B1780"/>
    <w:rsid w:val="7258197D"/>
    <w:rsid w:val="72604CD6"/>
    <w:rsid w:val="728B2B3A"/>
    <w:rsid w:val="729329B5"/>
    <w:rsid w:val="72A8130B"/>
    <w:rsid w:val="72A9667D"/>
    <w:rsid w:val="72D37256"/>
    <w:rsid w:val="731A2D6E"/>
    <w:rsid w:val="732410B1"/>
    <w:rsid w:val="73506AF8"/>
    <w:rsid w:val="7355445A"/>
    <w:rsid w:val="735E7467"/>
    <w:rsid w:val="736B7A45"/>
    <w:rsid w:val="736C0BD1"/>
    <w:rsid w:val="73917324"/>
    <w:rsid w:val="739509AF"/>
    <w:rsid w:val="73970283"/>
    <w:rsid w:val="73A157EF"/>
    <w:rsid w:val="73BC23E0"/>
    <w:rsid w:val="73C445EE"/>
    <w:rsid w:val="73CE6992"/>
    <w:rsid w:val="73F7204E"/>
    <w:rsid w:val="74116287"/>
    <w:rsid w:val="742C61D5"/>
    <w:rsid w:val="744859CD"/>
    <w:rsid w:val="745D14CD"/>
    <w:rsid w:val="747249BF"/>
    <w:rsid w:val="74884617"/>
    <w:rsid w:val="748A603A"/>
    <w:rsid w:val="748A794C"/>
    <w:rsid w:val="749F7D37"/>
    <w:rsid w:val="74A577F9"/>
    <w:rsid w:val="74B135C7"/>
    <w:rsid w:val="74B77420"/>
    <w:rsid w:val="74BB2697"/>
    <w:rsid w:val="74E1315F"/>
    <w:rsid w:val="74E407BA"/>
    <w:rsid w:val="74EE481B"/>
    <w:rsid w:val="75183646"/>
    <w:rsid w:val="751B7C2F"/>
    <w:rsid w:val="751D2A0A"/>
    <w:rsid w:val="7535244A"/>
    <w:rsid w:val="75385D94"/>
    <w:rsid w:val="7544509D"/>
    <w:rsid w:val="75540EC4"/>
    <w:rsid w:val="75581C94"/>
    <w:rsid w:val="755A5949"/>
    <w:rsid w:val="75722D56"/>
    <w:rsid w:val="759B19E1"/>
    <w:rsid w:val="759E5C51"/>
    <w:rsid w:val="75A33702"/>
    <w:rsid w:val="75B4336E"/>
    <w:rsid w:val="75C537CD"/>
    <w:rsid w:val="75CF01A8"/>
    <w:rsid w:val="75E55C1E"/>
    <w:rsid w:val="76086292"/>
    <w:rsid w:val="769A11E2"/>
    <w:rsid w:val="76C577FD"/>
    <w:rsid w:val="76FA363C"/>
    <w:rsid w:val="770377D7"/>
    <w:rsid w:val="77122878"/>
    <w:rsid w:val="77250309"/>
    <w:rsid w:val="77277DEF"/>
    <w:rsid w:val="77366005"/>
    <w:rsid w:val="775A6197"/>
    <w:rsid w:val="777C4360"/>
    <w:rsid w:val="77C55FF8"/>
    <w:rsid w:val="77DF546F"/>
    <w:rsid w:val="77FC4D3E"/>
    <w:rsid w:val="78376DE7"/>
    <w:rsid w:val="785627A7"/>
    <w:rsid w:val="78702F84"/>
    <w:rsid w:val="7880578A"/>
    <w:rsid w:val="788B2F63"/>
    <w:rsid w:val="789D2D6D"/>
    <w:rsid w:val="789D458E"/>
    <w:rsid w:val="78E12A4E"/>
    <w:rsid w:val="790463BB"/>
    <w:rsid w:val="791A5441"/>
    <w:rsid w:val="793425DB"/>
    <w:rsid w:val="79536E01"/>
    <w:rsid w:val="79AC25AE"/>
    <w:rsid w:val="79C8642F"/>
    <w:rsid w:val="79F24465"/>
    <w:rsid w:val="7A04063C"/>
    <w:rsid w:val="7A0B7BCF"/>
    <w:rsid w:val="7A342CD0"/>
    <w:rsid w:val="7A4E3666"/>
    <w:rsid w:val="7A593D40"/>
    <w:rsid w:val="7A70182E"/>
    <w:rsid w:val="7A7255A6"/>
    <w:rsid w:val="7A8843BC"/>
    <w:rsid w:val="7AA20AC9"/>
    <w:rsid w:val="7AAA4D40"/>
    <w:rsid w:val="7AB26221"/>
    <w:rsid w:val="7ACB7FF9"/>
    <w:rsid w:val="7AD62388"/>
    <w:rsid w:val="7ADA2B6C"/>
    <w:rsid w:val="7AF00FBF"/>
    <w:rsid w:val="7AFD1314"/>
    <w:rsid w:val="7B196DF6"/>
    <w:rsid w:val="7B2D15F7"/>
    <w:rsid w:val="7B3A4316"/>
    <w:rsid w:val="7B3E2FAE"/>
    <w:rsid w:val="7B452CBB"/>
    <w:rsid w:val="7B566C76"/>
    <w:rsid w:val="7B65146E"/>
    <w:rsid w:val="7B734203"/>
    <w:rsid w:val="7B8D6717"/>
    <w:rsid w:val="7B8F2E53"/>
    <w:rsid w:val="7BCB6DEA"/>
    <w:rsid w:val="7BDE2FBB"/>
    <w:rsid w:val="7BEE3E6E"/>
    <w:rsid w:val="7BEE7A5D"/>
    <w:rsid w:val="7C0B3F04"/>
    <w:rsid w:val="7C1C3A1B"/>
    <w:rsid w:val="7C262AEC"/>
    <w:rsid w:val="7C460A98"/>
    <w:rsid w:val="7C554D65"/>
    <w:rsid w:val="7C66113B"/>
    <w:rsid w:val="7C6D4CDF"/>
    <w:rsid w:val="7C951925"/>
    <w:rsid w:val="7C9C2F59"/>
    <w:rsid w:val="7CC16251"/>
    <w:rsid w:val="7CC44FA7"/>
    <w:rsid w:val="7CD06017"/>
    <w:rsid w:val="7CEC3940"/>
    <w:rsid w:val="7CFE488A"/>
    <w:rsid w:val="7CFF3F35"/>
    <w:rsid w:val="7D52346D"/>
    <w:rsid w:val="7D584F27"/>
    <w:rsid w:val="7D692F19"/>
    <w:rsid w:val="7D735F76"/>
    <w:rsid w:val="7D871F78"/>
    <w:rsid w:val="7D893322"/>
    <w:rsid w:val="7DAE0FEB"/>
    <w:rsid w:val="7DE145DA"/>
    <w:rsid w:val="7E050BDA"/>
    <w:rsid w:val="7E0D3F64"/>
    <w:rsid w:val="7E2B28E9"/>
    <w:rsid w:val="7E374C0A"/>
    <w:rsid w:val="7E3C5DDF"/>
    <w:rsid w:val="7E5751DF"/>
    <w:rsid w:val="7E713840"/>
    <w:rsid w:val="7E7B6A9A"/>
    <w:rsid w:val="7E8E5358"/>
    <w:rsid w:val="7EAD3051"/>
    <w:rsid w:val="7EB63CDC"/>
    <w:rsid w:val="7ECB34D7"/>
    <w:rsid w:val="7EDC638D"/>
    <w:rsid w:val="7F0A04A3"/>
    <w:rsid w:val="7F0E4EC6"/>
    <w:rsid w:val="7F385010"/>
    <w:rsid w:val="7F83388A"/>
    <w:rsid w:val="7FEE3921"/>
    <w:rsid w:val="7FFF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2"/>
    <w:qFormat/>
    <w:uiPriority w:val="0"/>
    <w:pPr>
      <w:keepNext/>
      <w:keepLines/>
      <w:spacing w:before="340" w:after="330" w:line="578" w:lineRule="auto"/>
      <w:outlineLvl w:val="0"/>
    </w:pPr>
    <w:rPr>
      <w:rFonts w:ascii="宋体" w:hAnsi="宋体" w:eastAsia="Malgun Gothic" w:cs="宋体"/>
      <w:b/>
      <w:bCs/>
      <w:kern w:val="44"/>
      <w:sz w:val="44"/>
      <w:szCs w:val="44"/>
    </w:rPr>
  </w:style>
  <w:style w:type="paragraph" w:styleId="3">
    <w:name w:val="heading 2"/>
    <w:basedOn w:val="1"/>
    <w:next w:val="4"/>
    <w:link w:val="53"/>
    <w:qFormat/>
    <w:uiPriority w:val="0"/>
    <w:pPr>
      <w:keepNext/>
      <w:keepLines/>
      <w:spacing w:before="260" w:after="260" w:line="416" w:lineRule="auto"/>
      <w:outlineLvl w:val="1"/>
    </w:pPr>
    <w:rPr>
      <w:rFonts w:ascii="Cambria" w:hAnsi="Cambria" w:eastAsia="Malgun Gothic" w:cs="宋体"/>
      <w:b/>
      <w:bCs/>
      <w:sz w:val="32"/>
      <w:szCs w:val="32"/>
    </w:rPr>
  </w:style>
  <w:style w:type="paragraph" w:styleId="5">
    <w:name w:val="heading 3"/>
    <w:basedOn w:val="1"/>
    <w:next w:val="1"/>
    <w:link w:val="54"/>
    <w:qFormat/>
    <w:uiPriority w:val="0"/>
    <w:pPr>
      <w:keepNext/>
      <w:keepLines/>
      <w:spacing w:before="260" w:after="260" w:line="416" w:lineRule="auto"/>
      <w:outlineLvl w:val="2"/>
    </w:pPr>
    <w:rPr>
      <w:rFonts w:ascii="宋体" w:hAnsi="宋体" w:eastAsia="Malgun Gothic" w:cs="宋体"/>
      <w:b/>
      <w:bCs/>
      <w:kern w:val="0"/>
      <w:sz w:val="32"/>
      <w:szCs w:val="32"/>
    </w:rPr>
  </w:style>
  <w:style w:type="paragraph" w:styleId="6">
    <w:name w:val="heading 4"/>
    <w:basedOn w:val="1"/>
    <w:next w:val="1"/>
    <w:link w:val="55"/>
    <w:qFormat/>
    <w:uiPriority w:val="0"/>
    <w:pPr>
      <w:keepNext/>
      <w:keepLines/>
      <w:spacing w:before="280" w:after="290" w:line="376" w:lineRule="auto"/>
      <w:outlineLvl w:val="3"/>
    </w:pPr>
    <w:rPr>
      <w:rFonts w:ascii="Cambria" w:hAnsi="Cambria" w:eastAsia="Malgun Gothic" w:cs="宋体"/>
      <w:b/>
      <w:bCs/>
      <w:sz w:val="28"/>
      <w:szCs w:val="28"/>
    </w:rPr>
  </w:style>
  <w:style w:type="paragraph" w:styleId="7">
    <w:name w:val="heading 5"/>
    <w:basedOn w:val="1"/>
    <w:next w:val="1"/>
    <w:link w:val="56"/>
    <w:qFormat/>
    <w:uiPriority w:val="99"/>
    <w:pPr>
      <w:keepNext/>
      <w:keepLines/>
      <w:spacing w:before="280" w:after="290" w:line="376" w:lineRule="auto"/>
      <w:outlineLvl w:val="4"/>
    </w:pPr>
    <w:rPr>
      <w:rFonts w:ascii="宋体" w:hAnsi="宋体" w:eastAsia="Malgun Gothic" w:cs="宋体"/>
      <w:b/>
      <w:bCs/>
      <w:kern w:val="0"/>
      <w:sz w:val="28"/>
      <w:szCs w:val="28"/>
    </w:rPr>
  </w:style>
  <w:style w:type="paragraph" w:styleId="8">
    <w:name w:val="heading 6"/>
    <w:basedOn w:val="1"/>
    <w:next w:val="1"/>
    <w:link w:val="57"/>
    <w:qFormat/>
    <w:uiPriority w:val="9"/>
    <w:pPr>
      <w:keepNext/>
      <w:keepLines/>
      <w:spacing w:before="240" w:after="64" w:line="320" w:lineRule="auto"/>
      <w:outlineLvl w:val="5"/>
    </w:pPr>
    <w:rPr>
      <w:rFonts w:ascii="等线 Light" w:hAnsi="等线 Light" w:eastAsia="Malgun Gothic" w:cs="宋体"/>
      <w:b/>
      <w:bCs/>
      <w:sz w:val="24"/>
      <w:szCs w:val="24"/>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4"/>
    <w:qFormat/>
    <w:uiPriority w:val="0"/>
    <w:pPr>
      <w:ind w:firstLine="420"/>
    </w:pPr>
  </w:style>
  <w:style w:type="paragraph" w:styleId="9">
    <w:name w:val="List 3"/>
    <w:basedOn w:val="1"/>
    <w:unhideWhenUsed/>
    <w:qFormat/>
    <w:uiPriority w:val="99"/>
    <w:pPr>
      <w:ind w:left="100" w:leftChars="400" w:hanging="200" w:hangingChars="200"/>
      <w:contextualSpacing/>
    </w:pPr>
  </w:style>
  <w:style w:type="paragraph" w:styleId="10">
    <w:name w:val="toc 7"/>
    <w:basedOn w:val="1"/>
    <w:next w:val="1"/>
    <w:unhideWhenUsed/>
    <w:qFormat/>
    <w:uiPriority w:val="39"/>
    <w:pPr>
      <w:ind w:left="2520" w:leftChars="1200"/>
    </w:pPr>
  </w:style>
  <w:style w:type="paragraph" w:styleId="11">
    <w:name w:val="index 8"/>
    <w:basedOn w:val="1"/>
    <w:next w:val="1"/>
    <w:semiHidden/>
    <w:qFormat/>
    <w:uiPriority w:val="0"/>
    <w:pPr>
      <w:spacing w:line="480" w:lineRule="exact"/>
      <w:ind w:left="1400" w:leftChars="1400" w:firstLine="200" w:firstLineChars="200"/>
      <w:jc w:val="left"/>
    </w:pPr>
    <w:rPr>
      <w:color w:val="7030A0"/>
      <w:sz w:val="24"/>
    </w:rPr>
  </w:style>
  <w:style w:type="paragraph" w:styleId="12">
    <w:name w:val="caption"/>
    <w:basedOn w:val="1"/>
    <w:next w:val="1"/>
    <w:qFormat/>
    <w:uiPriority w:val="0"/>
    <w:pPr>
      <w:spacing w:before="156" w:after="156"/>
      <w:jc w:val="center"/>
    </w:pPr>
    <w:rPr>
      <w:rFonts w:ascii="Cambria" w:hAnsi="Cambria" w:eastAsia="黑体" w:cs="Times New Roman"/>
      <w:color w:val="000000"/>
      <w:kern w:val="0"/>
      <w:sz w:val="24"/>
      <w:szCs w:val="20"/>
    </w:rPr>
  </w:style>
  <w:style w:type="paragraph" w:styleId="13">
    <w:name w:val="Document Map"/>
    <w:basedOn w:val="1"/>
    <w:link w:val="107"/>
    <w:qFormat/>
    <w:uiPriority w:val="99"/>
    <w:rPr>
      <w:rFonts w:ascii="宋体"/>
      <w:sz w:val="18"/>
      <w:szCs w:val="18"/>
    </w:rPr>
  </w:style>
  <w:style w:type="paragraph" w:styleId="14">
    <w:name w:val="annotation text"/>
    <w:basedOn w:val="1"/>
    <w:link w:val="112"/>
    <w:unhideWhenUsed/>
    <w:qFormat/>
    <w:uiPriority w:val="99"/>
    <w:pPr>
      <w:jc w:val="left"/>
    </w:pPr>
  </w:style>
  <w:style w:type="paragraph" w:styleId="15">
    <w:name w:val="Body Text 3"/>
    <w:basedOn w:val="1"/>
    <w:link w:val="206"/>
    <w:unhideWhenUsed/>
    <w:qFormat/>
    <w:uiPriority w:val="99"/>
    <w:pPr>
      <w:spacing w:after="120"/>
    </w:pPr>
    <w:rPr>
      <w:sz w:val="16"/>
      <w:szCs w:val="16"/>
    </w:rPr>
  </w:style>
  <w:style w:type="paragraph" w:styleId="16">
    <w:name w:val="Body Text"/>
    <w:basedOn w:val="1"/>
    <w:next w:val="1"/>
    <w:link w:val="127"/>
    <w:qFormat/>
    <w:uiPriority w:val="0"/>
    <w:pPr>
      <w:spacing w:after="120"/>
    </w:pPr>
    <w:rPr>
      <w:rFonts w:ascii="宋体" w:hAnsi="宋体" w:eastAsia="Malgun Gothic" w:cs="宋体"/>
    </w:rPr>
  </w:style>
  <w:style w:type="paragraph" w:styleId="17">
    <w:name w:val="Body Text Indent"/>
    <w:basedOn w:val="1"/>
    <w:link w:val="130"/>
    <w:qFormat/>
    <w:uiPriority w:val="0"/>
    <w:pPr>
      <w:ind w:left="420"/>
    </w:pPr>
    <w:rPr>
      <w:rFonts w:ascii="宋体" w:hAnsi="宋体" w:eastAsia="Malgun Gothic" w:cs="宋体"/>
    </w:rPr>
  </w:style>
  <w:style w:type="paragraph" w:styleId="18">
    <w:name w:val="List 2"/>
    <w:basedOn w:val="1"/>
    <w:qFormat/>
    <w:uiPriority w:val="0"/>
    <w:pPr>
      <w:ind w:left="100" w:leftChars="200" w:hanging="200" w:hangingChars="200"/>
    </w:pPr>
    <w:rPr>
      <w:rFonts w:ascii="宋体" w:hAnsi="宋体" w:eastAsia="Malgun Gothic" w:cs="宋体"/>
      <w:sz w:val="28"/>
      <w:szCs w:val="24"/>
    </w:rPr>
  </w:style>
  <w:style w:type="paragraph" w:styleId="19">
    <w:name w:val="Block Text"/>
    <w:basedOn w:val="1"/>
    <w:qFormat/>
    <w:uiPriority w:val="0"/>
    <w:pPr>
      <w:widowControl/>
      <w:spacing w:after="120"/>
      <w:ind w:left="1440" w:leftChars="700" w:right="1440" w:rightChars="700"/>
      <w:jc w:val="left"/>
    </w:pPr>
    <w:rPr>
      <w:rFonts w:ascii="宋体" w:hAnsi="宋体" w:eastAsia="Malgun Gothic" w:cs="宋体"/>
      <w:kern w:val="0"/>
      <w:sz w:val="20"/>
      <w:szCs w:val="20"/>
    </w:rPr>
  </w:style>
  <w:style w:type="paragraph" w:styleId="20">
    <w:name w:val="toc 5"/>
    <w:basedOn w:val="1"/>
    <w:next w:val="1"/>
    <w:qFormat/>
    <w:uiPriority w:val="39"/>
    <w:pPr>
      <w:ind w:left="1680" w:leftChars="800"/>
    </w:pPr>
    <w:rPr>
      <w:rFonts w:ascii="宋体" w:hAnsi="宋体" w:eastAsia="Malgun Gothic" w:cs="宋体"/>
    </w:rPr>
  </w:style>
  <w:style w:type="paragraph" w:styleId="21">
    <w:name w:val="toc 3"/>
    <w:basedOn w:val="1"/>
    <w:next w:val="1"/>
    <w:qFormat/>
    <w:uiPriority w:val="39"/>
    <w:pPr>
      <w:tabs>
        <w:tab w:val="right" w:leader="dot" w:pos="8987"/>
      </w:tabs>
      <w:adjustRightInd w:val="0"/>
      <w:snapToGrid w:val="0"/>
      <w:spacing w:line="360" w:lineRule="auto"/>
      <w:ind w:left="840" w:leftChars="400"/>
      <w:jc w:val="center"/>
    </w:pPr>
    <w:rPr>
      <w:rFonts w:ascii="宋体" w:hAnsi="宋体" w:eastAsia="Malgun Gothic" w:cs="宋体"/>
      <w:color w:val="000000"/>
      <w:sz w:val="24"/>
      <w:szCs w:val="30"/>
    </w:rPr>
  </w:style>
  <w:style w:type="paragraph" w:styleId="22">
    <w:name w:val="Plain Text"/>
    <w:basedOn w:val="1"/>
    <w:next w:val="11"/>
    <w:link w:val="79"/>
    <w:qFormat/>
    <w:uiPriority w:val="99"/>
    <w:pPr>
      <w:adjustRightInd w:val="0"/>
      <w:snapToGrid w:val="0"/>
      <w:spacing w:line="360" w:lineRule="auto"/>
      <w:ind w:firstLine="482"/>
    </w:pPr>
    <w:rPr>
      <w:rFonts w:ascii="宋体" w:hAnsi="宋体" w:cs="Courier New"/>
      <w:bCs/>
      <w:color w:val="000000"/>
      <w:sz w:val="24"/>
      <w:szCs w:val="24"/>
    </w:rPr>
  </w:style>
  <w:style w:type="paragraph" w:styleId="23">
    <w:name w:val="toc 8"/>
    <w:basedOn w:val="1"/>
    <w:next w:val="1"/>
    <w:unhideWhenUsed/>
    <w:qFormat/>
    <w:uiPriority w:val="39"/>
    <w:pPr>
      <w:ind w:left="2940" w:leftChars="1400"/>
    </w:pPr>
  </w:style>
  <w:style w:type="paragraph" w:styleId="24">
    <w:name w:val="Date"/>
    <w:basedOn w:val="1"/>
    <w:next w:val="1"/>
    <w:link w:val="100"/>
    <w:qFormat/>
    <w:uiPriority w:val="99"/>
    <w:pPr>
      <w:ind w:left="100" w:leftChars="2500"/>
    </w:pPr>
    <w:rPr>
      <w:sz w:val="28"/>
    </w:rPr>
  </w:style>
  <w:style w:type="paragraph" w:styleId="25">
    <w:name w:val="Body Text Indent 2"/>
    <w:basedOn w:val="1"/>
    <w:link w:val="65"/>
    <w:qFormat/>
    <w:uiPriority w:val="0"/>
    <w:pPr>
      <w:spacing w:after="120" w:line="480" w:lineRule="auto"/>
      <w:ind w:left="420" w:leftChars="200"/>
    </w:pPr>
    <w:rPr>
      <w:szCs w:val="24"/>
    </w:rPr>
  </w:style>
  <w:style w:type="paragraph" w:styleId="26">
    <w:name w:val="Balloon Text"/>
    <w:basedOn w:val="1"/>
    <w:link w:val="99"/>
    <w:qFormat/>
    <w:uiPriority w:val="0"/>
    <w:rPr>
      <w:sz w:val="18"/>
      <w:szCs w:val="18"/>
    </w:rPr>
  </w:style>
  <w:style w:type="paragraph" w:styleId="27">
    <w:name w:val="footer"/>
    <w:basedOn w:val="1"/>
    <w:link w:val="59"/>
    <w:qFormat/>
    <w:uiPriority w:val="0"/>
    <w:pPr>
      <w:pBdr>
        <w:top w:val="single" w:color="auto" w:sz="4" w:space="1"/>
      </w:pBdr>
      <w:tabs>
        <w:tab w:val="center" w:pos="4153"/>
        <w:tab w:val="right" w:pos="8306"/>
      </w:tabs>
      <w:snapToGrid w:val="0"/>
      <w:jc w:val="center"/>
    </w:pPr>
    <w:rPr>
      <w:rFonts w:ascii="宋体" w:hAnsi="宋体" w:eastAsia="宋体"/>
      <w:b/>
      <w:sz w:val="18"/>
      <w:szCs w:val="18"/>
    </w:rPr>
  </w:style>
  <w:style w:type="paragraph" w:styleId="28">
    <w:name w:val="header"/>
    <w:basedOn w:val="1"/>
    <w:link w:val="106"/>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right" w:leader="dot" w:pos="8987"/>
      </w:tabs>
    </w:pPr>
    <w:rPr>
      <w:rFonts w:ascii="宋体" w:hAnsi="宋体" w:eastAsia="Malgun Gothic" w:cs="宋体"/>
      <w:sz w:val="24"/>
    </w:rPr>
  </w:style>
  <w:style w:type="paragraph" w:styleId="30">
    <w:name w:val="toc 4"/>
    <w:basedOn w:val="1"/>
    <w:next w:val="1"/>
    <w:qFormat/>
    <w:uiPriority w:val="39"/>
    <w:pPr>
      <w:ind w:left="1260" w:leftChars="600"/>
    </w:pPr>
    <w:rPr>
      <w:rFonts w:ascii="宋体" w:hAnsi="宋体" w:eastAsia="Malgun Gothic" w:cs="宋体"/>
    </w:rPr>
  </w:style>
  <w:style w:type="paragraph" w:styleId="31">
    <w:name w:val="toc 6"/>
    <w:basedOn w:val="1"/>
    <w:next w:val="1"/>
    <w:unhideWhenUsed/>
    <w:qFormat/>
    <w:uiPriority w:val="39"/>
    <w:pPr>
      <w:ind w:left="2100" w:leftChars="1000"/>
    </w:pPr>
  </w:style>
  <w:style w:type="paragraph" w:styleId="32">
    <w:name w:val="Body Text Indent 3"/>
    <w:basedOn w:val="1"/>
    <w:link w:val="58"/>
    <w:qFormat/>
    <w:uiPriority w:val="0"/>
    <w:pPr>
      <w:spacing w:after="120"/>
      <w:ind w:left="420" w:leftChars="200"/>
    </w:pPr>
    <w:rPr>
      <w:sz w:val="16"/>
      <w:szCs w:val="16"/>
    </w:rPr>
  </w:style>
  <w:style w:type="paragraph" w:styleId="33">
    <w:name w:val="toc 2"/>
    <w:basedOn w:val="1"/>
    <w:next w:val="1"/>
    <w:qFormat/>
    <w:uiPriority w:val="39"/>
    <w:pPr>
      <w:tabs>
        <w:tab w:val="right" w:leader="dot" w:pos="9628"/>
      </w:tabs>
      <w:ind w:left="420" w:leftChars="200"/>
      <w:jc w:val="left"/>
    </w:pPr>
    <w:rPr>
      <w:rFonts w:ascii="宋体" w:hAnsi="宋体" w:eastAsia="Malgun Gothic" w:cs="宋体"/>
      <w:sz w:val="28"/>
    </w:rPr>
  </w:style>
  <w:style w:type="paragraph" w:styleId="34">
    <w:name w:val="toc 9"/>
    <w:basedOn w:val="1"/>
    <w:next w:val="1"/>
    <w:unhideWhenUsed/>
    <w:qFormat/>
    <w:uiPriority w:val="39"/>
    <w:pPr>
      <w:ind w:left="3360" w:leftChars="1600"/>
    </w:pPr>
  </w:style>
  <w:style w:type="paragraph" w:styleId="35">
    <w:name w:val="Body Text 2"/>
    <w:basedOn w:val="1"/>
    <w:link w:val="72"/>
    <w:qFormat/>
    <w:uiPriority w:val="99"/>
    <w:pPr>
      <w:spacing w:after="120" w:line="480" w:lineRule="auto"/>
    </w:pPr>
  </w:style>
  <w:style w:type="paragraph" w:styleId="36">
    <w:name w:val="Message Header"/>
    <w:basedOn w:val="1"/>
    <w:link w:val="216"/>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7">
    <w:name w:val="HTML Preformatted"/>
    <w:basedOn w:val="1"/>
    <w:link w:val="75"/>
    <w:qFormat/>
    <w:uiPriority w:val="0"/>
    <w:rPr>
      <w:rFonts w:ascii="Courier New" w:hAnsi="Courier New" w:cs="Courier New"/>
    </w:rPr>
  </w:style>
  <w:style w:type="paragraph" w:styleId="38">
    <w:name w:val="Normal (Web)"/>
    <w:basedOn w:val="1"/>
    <w:unhideWhenUsed/>
    <w:qFormat/>
    <w:uiPriority w:val="99"/>
    <w:pPr>
      <w:widowControl/>
      <w:spacing w:before="100" w:beforeAutospacing="1" w:after="100" w:afterAutospacing="1"/>
      <w:jc w:val="left"/>
    </w:pPr>
    <w:rPr>
      <w:rFonts w:ascii="宋体" w:hAnsi="宋体" w:eastAsia="Malgun Gothic" w:cs="宋体"/>
      <w:kern w:val="0"/>
      <w:sz w:val="24"/>
      <w:szCs w:val="24"/>
    </w:rPr>
  </w:style>
  <w:style w:type="paragraph" w:styleId="39">
    <w:name w:val="index 1"/>
    <w:basedOn w:val="1"/>
    <w:next w:val="1"/>
    <w:semiHidden/>
    <w:qFormat/>
    <w:uiPriority w:val="0"/>
    <w:pPr>
      <w:spacing w:after="156" w:afterLines="50" w:line="360" w:lineRule="exact"/>
      <w:jc w:val="center"/>
    </w:pPr>
    <w:rPr>
      <w:rFonts w:ascii="宋体" w:hAnsi="宋体" w:eastAsia="Malgun Gothic" w:cs="宋体"/>
      <w:sz w:val="28"/>
      <w:szCs w:val="28"/>
    </w:rPr>
  </w:style>
  <w:style w:type="paragraph" w:styleId="40">
    <w:name w:val="Title"/>
    <w:basedOn w:val="1"/>
    <w:next w:val="1"/>
    <w:link w:val="78"/>
    <w:qFormat/>
    <w:uiPriority w:val="10"/>
    <w:pPr>
      <w:spacing w:before="240" w:after="60"/>
      <w:jc w:val="center"/>
      <w:outlineLvl w:val="0"/>
    </w:pPr>
    <w:rPr>
      <w:rFonts w:ascii="Cambria" w:hAnsi="Cambria" w:eastAsia="宋体" w:cs="Times New Roman"/>
      <w:b/>
      <w:bCs/>
      <w:sz w:val="32"/>
      <w:szCs w:val="32"/>
    </w:rPr>
  </w:style>
  <w:style w:type="paragraph" w:styleId="41">
    <w:name w:val="annotation subject"/>
    <w:basedOn w:val="14"/>
    <w:next w:val="14"/>
    <w:link w:val="108"/>
    <w:qFormat/>
    <w:uiPriority w:val="0"/>
    <w:rPr>
      <w:rFonts w:eastAsia="Times New Roman"/>
      <w:b/>
      <w:bCs/>
    </w:rPr>
  </w:style>
  <w:style w:type="paragraph" w:styleId="42">
    <w:name w:val="Body Text First Indent"/>
    <w:basedOn w:val="16"/>
    <w:link w:val="199"/>
    <w:qFormat/>
    <w:uiPriority w:val="0"/>
    <w:pPr>
      <w:ind w:firstLine="420" w:firstLineChars="100"/>
    </w:pPr>
    <w:rPr>
      <w:rFonts w:ascii="Calibri" w:hAnsi="Calibri" w:eastAsia="宋体" w:cs="Times New Roman"/>
      <w:szCs w:val="24"/>
    </w:rPr>
  </w:style>
  <w:style w:type="table" w:styleId="44">
    <w:name w:val="Table Grid"/>
    <w:basedOn w:val="43"/>
    <w:unhideWhenUsed/>
    <w:qFormat/>
    <w:uiPriority w:val="0"/>
    <w:rPr>
      <w:rFonts w:ascii="宋体" w:hAnsi="宋体" w:eastAsia="Malgun Gothic"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rPr>
  </w:style>
  <w:style w:type="character" w:styleId="47">
    <w:name w:val="page number"/>
    <w:basedOn w:val="45"/>
    <w:qFormat/>
    <w:uiPriority w:val="99"/>
  </w:style>
  <w:style w:type="character" w:styleId="48">
    <w:name w:val="FollowedHyperlink"/>
    <w:unhideWhenUsed/>
    <w:qFormat/>
    <w:uiPriority w:val="99"/>
    <w:rPr>
      <w:color w:val="800080"/>
      <w:u w:val="single"/>
    </w:rPr>
  </w:style>
  <w:style w:type="character" w:styleId="49">
    <w:name w:val="Hyperlink"/>
    <w:qFormat/>
    <w:uiPriority w:val="99"/>
    <w:rPr>
      <w:color w:val="0000FF"/>
      <w:u w:val="single"/>
    </w:rPr>
  </w:style>
  <w:style w:type="character" w:styleId="50">
    <w:name w:val="annotation reference"/>
    <w:qFormat/>
    <w:uiPriority w:val="99"/>
    <w:rPr>
      <w:rFonts w:cs="Times New Roman"/>
      <w:sz w:val="21"/>
    </w:rPr>
  </w:style>
  <w:style w:type="paragraph" w:customStyle="1" w:styleId="51">
    <w:name w:val="表格文字"/>
    <w:basedOn w:val="1"/>
    <w:qFormat/>
    <w:uiPriority w:val="0"/>
    <w:pPr>
      <w:spacing w:before="25" w:after="25"/>
      <w:jc w:val="left"/>
    </w:pPr>
    <w:rPr>
      <w:rFonts w:ascii="宋体" w:hAnsi="宋体" w:eastAsia="Malgun Gothic" w:cs="宋体"/>
      <w:bCs/>
      <w:spacing w:val="10"/>
      <w:kern w:val="0"/>
      <w:sz w:val="24"/>
    </w:rPr>
  </w:style>
  <w:style w:type="character" w:customStyle="1" w:styleId="52">
    <w:name w:val="标题 1 字符"/>
    <w:basedOn w:val="45"/>
    <w:link w:val="2"/>
    <w:qFormat/>
    <w:uiPriority w:val="0"/>
    <w:rPr>
      <w:rFonts w:ascii="宋体" w:hAnsi="宋体" w:eastAsia="Malgun Gothic" w:cs="宋体"/>
      <w:b/>
      <w:bCs/>
      <w:kern w:val="44"/>
      <w:sz w:val="44"/>
      <w:szCs w:val="44"/>
    </w:rPr>
  </w:style>
  <w:style w:type="character" w:customStyle="1" w:styleId="53">
    <w:name w:val="标题 2 字符"/>
    <w:basedOn w:val="45"/>
    <w:link w:val="3"/>
    <w:qFormat/>
    <w:uiPriority w:val="0"/>
    <w:rPr>
      <w:rFonts w:ascii="Cambria" w:hAnsi="Cambria" w:eastAsia="Malgun Gothic" w:cs="宋体"/>
      <w:b/>
      <w:bCs/>
      <w:sz w:val="32"/>
      <w:szCs w:val="32"/>
    </w:rPr>
  </w:style>
  <w:style w:type="character" w:customStyle="1" w:styleId="54">
    <w:name w:val="标题 3 字符"/>
    <w:basedOn w:val="45"/>
    <w:link w:val="5"/>
    <w:qFormat/>
    <w:uiPriority w:val="0"/>
    <w:rPr>
      <w:rFonts w:ascii="宋体" w:hAnsi="宋体" w:eastAsia="Malgun Gothic" w:cs="宋体"/>
      <w:b/>
      <w:bCs/>
      <w:kern w:val="0"/>
      <w:sz w:val="32"/>
      <w:szCs w:val="32"/>
    </w:rPr>
  </w:style>
  <w:style w:type="character" w:customStyle="1" w:styleId="55">
    <w:name w:val="标题 4 字符"/>
    <w:basedOn w:val="45"/>
    <w:link w:val="6"/>
    <w:qFormat/>
    <w:uiPriority w:val="0"/>
    <w:rPr>
      <w:rFonts w:ascii="Cambria" w:hAnsi="Cambria" w:eastAsia="Malgun Gothic" w:cs="宋体"/>
      <w:b/>
      <w:bCs/>
      <w:sz w:val="28"/>
      <w:szCs w:val="28"/>
    </w:rPr>
  </w:style>
  <w:style w:type="character" w:customStyle="1" w:styleId="56">
    <w:name w:val="标题 5 字符"/>
    <w:basedOn w:val="45"/>
    <w:link w:val="7"/>
    <w:qFormat/>
    <w:uiPriority w:val="99"/>
    <w:rPr>
      <w:rFonts w:ascii="宋体" w:hAnsi="宋体" w:eastAsia="Malgun Gothic" w:cs="宋体"/>
      <w:b/>
      <w:bCs/>
      <w:kern w:val="0"/>
      <w:sz w:val="28"/>
      <w:szCs w:val="28"/>
    </w:rPr>
  </w:style>
  <w:style w:type="character" w:customStyle="1" w:styleId="57">
    <w:name w:val="标题 6 字符"/>
    <w:basedOn w:val="45"/>
    <w:link w:val="8"/>
    <w:qFormat/>
    <w:uiPriority w:val="9"/>
    <w:rPr>
      <w:rFonts w:ascii="等线 Light" w:hAnsi="等线 Light" w:eastAsia="Malgun Gothic" w:cs="宋体"/>
      <w:b/>
      <w:bCs/>
      <w:sz w:val="24"/>
      <w:szCs w:val="24"/>
    </w:rPr>
  </w:style>
  <w:style w:type="character" w:customStyle="1" w:styleId="58">
    <w:name w:val="正文文本缩进 3 字符"/>
    <w:link w:val="32"/>
    <w:qFormat/>
    <w:uiPriority w:val="0"/>
    <w:rPr>
      <w:sz w:val="16"/>
      <w:szCs w:val="16"/>
    </w:rPr>
  </w:style>
  <w:style w:type="character" w:customStyle="1" w:styleId="59">
    <w:name w:val="页脚 字符"/>
    <w:link w:val="27"/>
    <w:qFormat/>
    <w:uiPriority w:val="0"/>
    <w:rPr>
      <w:rFonts w:ascii="宋体" w:hAnsi="宋体" w:cstheme="minorBidi"/>
      <w:b/>
      <w:kern w:val="2"/>
      <w:sz w:val="18"/>
      <w:szCs w:val="18"/>
    </w:rPr>
  </w:style>
  <w:style w:type="character" w:customStyle="1" w:styleId="60">
    <w:name w:val="表格样式2 Char"/>
    <w:link w:val="61"/>
    <w:qFormat/>
    <w:uiPriority w:val="0"/>
    <w:rPr>
      <w:rFonts w:ascii="方正仿宋_GBK" w:hAnsi="宋体"/>
      <w:bCs/>
      <w:szCs w:val="24"/>
    </w:rPr>
  </w:style>
  <w:style w:type="paragraph" w:customStyle="1" w:styleId="61">
    <w:name w:val="表格样式2"/>
    <w:basedOn w:val="1"/>
    <w:link w:val="60"/>
    <w:qFormat/>
    <w:uiPriority w:val="0"/>
    <w:pPr>
      <w:widowControl/>
      <w:spacing w:line="160" w:lineRule="atLeast"/>
      <w:jc w:val="left"/>
    </w:pPr>
    <w:rPr>
      <w:rFonts w:ascii="方正仿宋_GBK" w:hAnsi="宋体"/>
      <w:bCs/>
      <w:szCs w:val="24"/>
    </w:rPr>
  </w:style>
  <w:style w:type="character" w:customStyle="1" w:styleId="62">
    <w:name w:val="font31"/>
    <w:qFormat/>
    <w:uiPriority w:val="0"/>
    <w:rPr>
      <w:rFonts w:hint="eastAsia" w:ascii="宋体" w:hAnsi="宋体" w:eastAsia="宋体" w:cs="宋体"/>
      <w:color w:val="000000"/>
      <w:sz w:val="20"/>
      <w:szCs w:val="20"/>
      <w:u w:val="none"/>
    </w:rPr>
  </w:style>
  <w:style w:type="character" w:customStyle="1" w:styleId="63">
    <w:name w:val="filelddbnamecss"/>
    <w:basedOn w:val="45"/>
    <w:qFormat/>
    <w:uiPriority w:val="0"/>
  </w:style>
  <w:style w:type="character" w:customStyle="1" w:styleId="64">
    <w:name w:val="页脚 Char"/>
    <w:qFormat/>
    <w:uiPriority w:val="99"/>
    <w:rPr>
      <w:kern w:val="2"/>
      <w:sz w:val="18"/>
      <w:szCs w:val="18"/>
    </w:rPr>
  </w:style>
  <w:style w:type="character" w:customStyle="1" w:styleId="65">
    <w:name w:val="正文文本缩进 2 字符"/>
    <w:link w:val="25"/>
    <w:qFormat/>
    <w:uiPriority w:val="0"/>
    <w:rPr>
      <w:szCs w:val="24"/>
    </w:rPr>
  </w:style>
  <w:style w:type="character" w:customStyle="1" w:styleId="66">
    <w:name w:val="段落 Char1"/>
    <w:link w:val="67"/>
    <w:qFormat/>
    <w:uiPriority w:val="0"/>
    <w:rPr>
      <w:rFonts w:ascii="宋体" w:hAnsi="宋体"/>
      <w:b/>
      <w:sz w:val="24"/>
      <w:szCs w:val="24"/>
    </w:rPr>
  </w:style>
  <w:style w:type="paragraph" w:customStyle="1" w:styleId="67">
    <w:name w:val="段落"/>
    <w:link w:val="66"/>
    <w:qFormat/>
    <w:uiPriority w:val="0"/>
    <w:pPr>
      <w:adjustRightInd w:val="0"/>
      <w:snapToGrid w:val="0"/>
      <w:spacing w:before="120" w:after="120" w:line="360" w:lineRule="auto"/>
      <w:jc w:val="both"/>
    </w:pPr>
    <w:rPr>
      <w:rFonts w:ascii="宋体" w:hAnsi="宋体" w:eastAsiaTheme="minorEastAsia" w:cstheme="minorBidi"/>
      <w:b/>
      <w:kern w:val="2"/>
      <w:sz w:val="24"/>
      <w:szCs w:val="24"/>
      <w:lang w:val="en-US" w:eastAsia="zh-CN" w:bidi="ar-SA"/>
    </w:rPr>
  </w:style>
  <w:style w:type="character" w:customStyle="1" w:styleId="68">
    <w:name w:val="font41"/>
    <w:qFormat/>
    <w:uiPriority w:val="0"/>
    <w:rPr>
      <w:rFonts w:hint="eastAsia" w:ascii="宋体" w:hAnsi="宋体" w:eastAsia="宋体" w:cs="宋体"/>
      <w:b/>
      <w:color w:val="000000"/>
      <w:sz w:val="24"/>
      <w:szCs w:val="24"/>
      <w:u w:val="none"/>
    </w:rPr>
  </w:style>
  <w:style w:type="character" w:customStyle="1" w:styleId="69">
    <w:name w:val="列表段落 字符"/>
    <w:link w:val="70"/>
    <w:qFormat/>
    <w:uiPriority w:val="34"/>
    <w:rPr>
      <w:rFonts w:ascii="等线" w:hAnsi="等线"/>
      <w:sz w:val="24"/>
    </w:rPr>
  </w:style>
  <w:style w:type="paragraph" w:customStyle="1" w:styleId="70">
    <w:name w:val="列出段落1"/>
    <w:basedOn w:val="1"/>
    <w:link w:val="69"/>
    <w:qFormat/>
    <w:uiPriority w:val="34"/>
    <w:pPr>
      <w:spacing w:line="360" w:lineRule="auto"/>
      <w:ind w:firstLine="420" w:firstLineChars="200"/>
    </w:pPr>
    <w:rPr>
      <w:rFonts w:ascii="等线" w:hAnsi="等线"/>
      <w:sz w:val="24"/>
    </w:rPr>
  </w:style>
  <w:style w:type="character" w:customStyle="1" w:styleId="71">
    <w:name w:val="批注文字 字符"/>
    <w:qFormat/>
    <w:uiPriority w:val="99"/>
    <w:rPr>
      <w:kern w:val="2"/>
      <w:sz w:val="21"/>
      <w:szCs w:val="22"/>
    </w:rPr>
  </w:style>
  <w:style w:type="character" w:customStyle="1" w:styleId="72">
    <w:name w:val="正文文本 2 字符"/>
    <w:link w:val="35"/>
    <w:qFormat/>
    <w:uiPriority w:val="99"/>
  </w:style>
  <w:style w:type="character" w:customStyle="1" w:styleId="73">
    <w:name w:val="不明显强调1"/>
    <w:qFormat/>
    <w:uiPriority w:val="0"/>
    <w:rPr>
      <w:i/>
      <w:iCs/>
    </w:rPr>
  </w:style>
  <w:style w:type="character" w:customStyle="1" w:styleId="74">
    <w:name w:val="正文缩进 字符"/>
    <w:link w:val="4"/>
    <w:qFormat/>
    <w:uiPriority w:val="0"/>
  </w:style>
  <w:style w:type="character" w:customStyle="1" w:styleId="75">
    <w:name w:val="HTML 预设格式 字符"/>
    <w:link w:val="37"/>
    <w:qFormat/>
    <w:uiPriority w:val="0"/>
    <w:rPr>
      <w:rFonts w:ascii="Courier New" w:hAnsi="Courier New" w:cs="Courier New"/>
    </w:rPr>
  </w:style>
  <w:style w:type="character" w:customStyle="1" w:styleId="76">
    <w:name w:val="自定义正文 Char Char"/>
    <w:link w:val="77"/>
    <w:qFormat/>
    <w:uiPriority w:val="0"/>
    <w:rPr>
      <w:sz w:val="24"/>
      <w:szCs w:val="24"/>
    </w:rPr>
  </w:style>
  <w:style w:type="paragraph" w:customStyle="1" w:styleId="77">
    <w:name w:val="自定义正文"/>
    <w:basedOn w:val="1"/>
    <w:link w:val="76"/>
    <w:qFormat/>
    <w:uiPriority w:val="0"/>
    <w:pPr>
      <w:spacing w:afterLines="50" w:line="360" w:lineRule="auto"/>
      <w:ind w:firstLine="200" w:firstLineChars="200"/>
      <w:jc w:val="left"/>
    </w:pPr>
    <w:rPr>
      <w:sz w:val="24"/>
      <w:szCs w:val="24"/>
    </w:rPr>
  </w:style>
  <w:style w:type="character" w:customStyle="1" w:styleId="78">
    <w:name w:val="标题 字符"/>
    <w:link w:val="40"/>
    <w:qFormat/>
    <w:uiPriority w:val="10"/>
    <w:rPr>
      <w:rFonts w:ascii="Cambria" w:hAnsi="Cambria" w:eastAsia="宋体" w:cs="Times New Roman"/>
      <w:b/>
      <w:bCs/>
      <w:sz w:val="32"/>
      <w:szCs w:val="32"/>
    </w:rPr>
  </w:style>
  <w:style w:type="character" w:customStyle="1" w:styleId="79">
    <w:name w:val="纯文本 字符"/>
    <w:link w:val="22"/>
    <w:qFormat/>
    <w:uiPriority w:val="99"/>
    <w:rPr>
      <w:rFonts w:ascii="宋体" w:hAnsi="宋体" w:cs="Courier New"/>
      <w:bCs/>
      <w:color w:val="000000"/>
      <w:sz w:val="24"/>
      <w:szCs w:val="24"/>
    </w:rPr>
  </w:style>
  <w:style w:type="character" w:customStyle="1" w:styleId="80">
    <w:name w:val="样式 样式 首行缩进:  0.85 厘米 行距: 固定值 30 磅 Char + 首行缩进:  2 字符 Char1"/>
    <w:link w:val="81"/>
    <w:qFormat/>
    <w:uiPriority w:val="0"/>
    <w:rPr>
      <w:rFonts w:ascii="Arial" w:hAnsi="Arial" w:cs="宋体"/>
      <w:sz w:val="24"/>
    </w:rPr>
  </w:style>
  <w:style w:type="paragraph" w:customStyle="1" w:styleId="81">
    <w:name w:val="样式 样式 首行缩进:  0.85 厘米 行距: 固定值 30 磅 Char + 首行缩进:  2 字符"/>
    <w:basedOn w:val="1"/>
    <w:link w:val="80"/>
    <w:qFormat/>
    <w:uiPriority w:val="0"/>
    <w:pPr>
      <w:adjustRightInd w:val="0"/>
      <w:spacing w:before="100"/>
      <w:ind w:firstLine="200" w:firstLineChars="200"/>
      <w:jc w:val="left"/>
      <w:textAlignment w:val="baseline"/>
    </w:pPr>
    <w:rPr>
      <w:rFonts w:ascii="Arial" w:hAnsi="Arial" w:cs="宋体"/>
      <w:sz w:val="24"/>
    </w:rPr>
  </w:style>
  <w:style w:type="character" w:customStyle="1" w:styleId="82">
    <w:name w:val="未处理的提及1"/>
    <w:unhideWhenUsed/>
    <w:qFormat/>
    <w:uiPriority w:val="99"/>
    <w:rPr>
      <w:color w:val="605E5C"/>
      <w:shd w:val="clear" w:color="auto" w:fill="E1DFDD"/>
    </w:rPr>
  </w:style>
  <w:style w:type="character" w:customStyle="1" w:styleId="83">
    <w:name w:val="表格样式3 Char"/>
    <w:link w:val="84"/>
    <w:qFormat/>
    <w:uiPriority w:val="0"/>
    <w:rPr>
      <w:rFonts w:ascii="方正仿宋_GBK" w:hAnsi="宋体"/>
      <w:bCs/>
      <w:sz w:val="18"/>
      <w:szCs w:val="24"/>
    </w:rPr>
  </w:style>
  <w:style w:type="paragraph" w:customStyle="1" w:styleId="84">
    <w:name w:val="表格样式3"/>
    <w:basedOn w:val="1"/>
    <w:next w:val="85"/>
    <w:link w:val="83"/>
    <w:qFormat/>
    <w:uiPriority w:val="0"/>
    <w:pPr>
      <w:widowControl/>
      <w:spacing w:line="160" w:lineRule="atLeast"/>
      <w:jc w:val="left"/>
    </w:pPr>
    <w:rPr>
      <w:rFonts w:ascii="方正仿宋_GBK" w:hAnsi="宋体"/>
      <w:bCs/>
      <w:sz w:val="18"/>
      <w:szCs w:val="24"/>
    </w:rPr>
  </w:style>
  <w:style w:type="paragraph" w:customStyle="1" w:styleId="85">
    <w:name w:val="文档正文"/>
    <w:basedOn w:val="1"/>
    <w:qFormat/>
    <w:uiPriority w:val="0"/>
    <w:pPr>
      <w:adjustRightInd w:val="0"/>
      <w:snapToGrid w:val="0"/>
      <w:spacing w:line="360" w:lineRule="auto"/>
      <w:ind w:left="13" w:leftChars="-45" w:hanging="107" w:hangingChars="51"/>
    </w:pPr>
    <w:rPr>
      <w:rFonts w:ascii="宋体" w:hAnsi="宋体" w:eastAsia="Malgun Gothic" w:cs="宋体"/>
      <w:color w:val="FF0000"/>
      <w:kern w:val="0"/>
      <w:szCs w:val="20"/>
    </w:rPr>
  </w:style>
  <w:style w:type="character" w:customStyle="1" w:styleId="86">
    <w:name w:val="style51"/>
    <w:qFormat/>
    <w:uiPriority w:val="0"/>
    <w:rPr>
      <w:b/>
      <w:bCs/>
      <w:sz w:val="20"/>
      <w:szCs w:val="20"/>
    </w:rPr>
  </w:style>
  <w:style w:type="character" w:customStyle="1" w:styleId="87">
    <w:name w:val="纯文本 Char"/>
    <w:qFormat/>
    <w:uiPriority w:val="0"/>
    <w:rPr>
      <w:rFonts w:ascii="宋体" w:hAnsi="宋体" w:cs="Courier New"/>
      <w:bCs/>
      <w:color w:val="000000"/>
      <w:kern w:val="2"/>
      <w:sz w:val="24"/>
      <w:szCs w:val="24"/>
    </w:rPr>
  </w:style>
  <w:style w:type="character" w:customStyle="1" w:styleId="88">
    <w:name w:val="style21"/>
    <w:qFormat/>
    <w:uiPriority w:val="0"/>
    <w:rPr>
      <w:sz w:val="20"/>
      <w:szCs w:val="20"/>
    </w:rPr>
  </w:style>
  <w:style w:type="character" w:customStyle="1" w:styleId="89">
    <w:name w:val="unnamed12"/>
    <w:qFormat/>
    <w:uiPriority w:val="0"/>
    <w:rPr>
      <w:rFonts w:hint="eastAsia" w:ascii="仿宋_GB2312" w:eastAsia="仿宋_GB2312"/>
      <w:sz w:val="27"/>
      <w:szCs w:val="27"/>
    </w:rPr>
  </w:style>
  <w:style w:type="character" w:customStyle="1" w:styleId="90">
    <w:name w:val="font51"/>
    <w:qFormat/>
    <w:uiPriority w:val="0"/>
    <w:rPr>
      <w:rFonts w:hint="eastAsia" w:ascii="宋体" w:hAnsi="宋体" w:eastAsia="宋体" w:cs="宋体"/>
      <w:color w:val="000000"/>
      <w:sz w:val="24"/>
      <w:szCs w:val="24"/>
      <w:u w:val="none"/>
    </w:rPr>
  </w:style>
  <w:style w:type="character" w:customStyle="1" w:styleId="91">
    <w:name w:val="font21"/>
    <w:qFormat/>
    <w:uiPriority w:val="0"/>
    <w:rPr>
      <w:rFonts w:hint="default" w:ascii="Times New Roman" w:hAnsi="Times New Roman" w:cs="Times New Roman"/>
      <w:color w:val="000000"/>
      <w:sz w:val="21"/>
      <w:szCs w:val="21"/>
      <w:u w:val="none"/>
    </w:rPr>
  </w:style>
  <w:style w:type="character" w:customStyle="1" w:styleId="92">
    <w:name w:val="font01"/>
    <w:qFormat/>
    <w:uiPriority w:val="0"/>
    <w:rPr>
      <w:rFonts w:hint="eastAsia" w:ascii="宋体" w:hAnsi="宋体" w:eastAsia="宋体" w:cs="宋体"/>
      <w:color w:val="FF0000"/>
      <w:sz w:val="20"/>
      <w:szCs w:val="20"/>
      <w:u w:val="none"/>
    </w:rPr>
  </w:style>
  <w:style w:type="character" w:customStyle="1" w:styleId="93">
    <w:name w:val="无间隔 字符"/>
    <w:link w:val="94"/>
    <w:qFormat/>
    <w:uiPriority w:val="1"/>
    <w:rPr>
      <w:rFonts w:ascii="Calibri" w:hAnsi="Calibri"/>
      <w:sz w:val="22"/>
    </w:rPr>
  </w:style>
  <w:style w:type="paragraph" w:customStyle="1" w:styleId="94">
    <w:name w:val="无间隔1"/>
    <w:link w:val="93"/>
    <w:qFormat/>
    <w:uiPriority w:val="1"/>
    <w:rPr>
      <w:rFonts w:ascii="Calibri" w:hAnsi="Calibri" w:eastAsiaTheme="minorEastAsia" w:cstheme="minorBidi"/>
      <w:kern w:val="2"/>
      <w:sz w:val="22"/>
      <w:szCs w:val="22"/>
      <w:lang w:val="en-US" w:eastAsia="zh-CN" w:bidi="ar-SA"/>
    </w:rPr>
  </w:style>
  <w:style w:type="character" w:customStyle="1" w:styleId="95">
    <w:name w:val="*正文 Char"/>
    <w:link w:val="96"/>
    <w:qFormat/>
    <w:uiPriority w:val="0"/>
    <w:rPr>
      <w:rFonts w:ascii="宋体" w:hAnsi="宋体"/>
      <w:sz w:val="22"/>
      <w:szCs w:val="24"/>
    </w:rPr>
  </w:style>
  <w:style w:type="paragraph" w:customStyle="1" w:styleId="96">
    <w:name w:val="*正文"/>
    <w:basedOn w:val="1"/>
    <w:link w:val="95"/>
    <w:qFormat/>
    <w:uiPriority w:val="0"/>
    <w:pPr>
      <w:spacing w:line="360" w:lineRule="auto"/>
      <w:ind w:firstLine="200" w:firstLineChars="200"/>
    </w:pPr>
    <w:rPr>
      <w:rFonts w:ascii="宋体" w:hAnsi="宋体"/>
      <w:sz w:val="22"/>
      <w:szCs w:val="24"/>
    </w:rPr>
  </w:style>
  <w:style w:type="character" w:customStyle="1" w:styleId="97">
    <w:name w:val="批注文字 字符1"/>
    <w:qFormat/>
    <w:uiPriority w:val="99"/>
    <w:rPr>
      <w:rFonts w:eastAsia="Times New Roman"/>
    </w:rPr>
  </w:style>
  <w:style w:type="character" w:customStyle="1" w:styleId="98">
    <w:name w:val="grame"/>
    <w:qFormat/>
    <w:uiPriority w:val="0"/>
  </w:style>
  <w:style w:type="character" w:customStyle="1" w:styleId="99">
    <w:name w:val="批注框文本 字符"/>
    <w:link w:val="26"/>
    <w:qFormat/>
    <w:locked/>
    <w:uiPriority w:val="0"/>
    <w:rPr>
      <w:sz w:val="18"/>
      <w:szCs w:val="18"/>
    </w:rPr>
  </w:style>
  <w:style w:type="character" w:customStyle="1" w:styleId="100">
    <w:name w:val="日期 字符"/>
    <w:link w:val="24"/>
    <w:qFormat/>
    <w:uiPriority w:val="99"/>
    <w:rPr>
      <w:sz w:val="28"/>
    </w:rPr>
  </w:style>
  <w:style w:type="character" w:customStyle="1" w:styleId="101">
    <w:name w:val="large"/>
    <w:basedOn w:val="45"/>
    <w:qFormat/>
    <w:uiPriority w:val="0"/>
  </w:style>
  <w:style w:type="character" w:customStyle="1" w:styleId="102">
    <w:name w:val="font11"/>
    <w:qFormat/>
    <w:uiPriority w:val="0"/>
    <w:rPr>
      <w:rFonts w:hint="eastAsia" w:ascii="宋体" w:hAnsi="宋体" w:eastAsia="宋体" w:cs="宋体"/>
      <w:color w:val="000000"/>
      <w:sz w:val="20"/>
      <w:szCs w:val="20"/>
      <w:u w:val="single"/>
    </w:rPr>
  </w:style>
  <w:style w:type="character" w:customStyle="1" w:styleId="103">
    <w:name w:val="样式 样式 样式 首行缩进:  0.85 厘米 行距: 固定值 30 磅 Char + 首行缩进:  2 字符 + 首行缩进: ... Char"/>
    <w:link w:val="104"/>
    <w:qFormat/>
    <w:uiPriority w:val="0"/>
    <w:rPr>
      <w:rFonts w:ascii="Arial" w:hAnsi="Arial"/>
      <w:sz w:val="24"/>
    </w:rPr>
  </w:style>
  <w:style w:type="paragraph" w:customStyle="1" w:styleId="104">
    <w:name w:val="样式 样式 样式 首行缩进:  0.85 厘米 行距: 固定值 30 磅 Char + 首行缩进:  2 字符 + 首行缩进: ..."/>
    <w:basedOn w:val="1"/>
    <w:link w:val="103"/>
    <w:qFormat/>
    <w:uiPriority w:val="0"/>
    <w:pPr>
      <w:adjustRightInd w:val="0"/>
      <w:spacing w:before="100" w:line="360" w:lineRule="auto"/>
      <w:ind w:firstLine="200" w:firstLineChars="200"/>
      <w:jc w:val="left"/>
    </w:pPr>
    <w:rPr>
      <w:rFonts w:ascii="Arial" w:hAnsi="Arial"/>
      <w:sz w:val="24"/>
    </w:rPr>
  </w:style>
  <w:style w:type="character" w:customStyle="1" w:styleId="105">
    <w:name w:val="样式1"/>
    <w:basedOn w:val="45"/>
    <w:qFormat/>
    <w:uiPriority w:val="0"/>
  </w:style>
  <w:style w:type="character" w:customStyle="1" w:styleId="106">
    <w:name w:val="页眉 字符"/>
    <w:link w:val="28"/>
    <w:qFormat/>
    <w:uiPriority w:val="0"/>
    <w:rPr>
      <w:sz w:val="18"/>
      <w:szCs w:val="18"/>
    </w:rPr>
  </w:style>
  <w:style w:type="character" w:customStyle="1" w:styleId="107">
    <w:name w:val="文档结构图 字符"/>
    <w:link w:val="13"/>
    <w:qFormat/>
    <w:uiPriority w:val="99"/>
    <w:rPr>
      <w:rFonts w:ascii="宋体"/>
      <w:sz w:val="18"/>
      <w:szCs w:val="18"/>
    </w:rPr>
  </w:style>
  <w:style w:type="character" w:customStyle="1" w:styleId="108">
    <w:name w:val="批注主题 字符"/>
    <w:link w:val="41"/>
    <w:qFormat/>
    <w:uiPriority w:val="0"/>
    <w:rPr>
      <w:rFonts w:eastAsia="Times New Roman"/>
      <w:b/>
      <w:bCs/>
    </w:rPr>
  </w:style>
  <w:style w:type="character" w:customStyle="1" w:styleId="109">
    <w:name w:val="李松正文样式 Char Char"/>
    <w:link w:val="110"/>
    <w:qFormat/>
    <w:uiPriority w:val="0"/>
    <w:rPr>
      <w:rFonts w:ascii="Arial" w:hAnsi="Arial"/>
      <w:sz w:val="24"/>
    </w:rPr>
  </w:style>
  <w:style w:type="paragraph" w:customStyle="1" w:styleId="110">
    <w:name w:val="李松正文样式"/>
    <w:basedOn w:val="1"/>
    <w:link w:val="109"/>
    <w:qFormat/>
    <w:uiPriority w:val="0"/>
    <w:pPr>
      <w:adjustRightInd w:val="0"/>
      <w:spacing w:before="156" w:after="156" w:line="360" w:lineRule="auto"/>
      <w:ind w:firstLine="480" w:firstLineChars="200"/>
      <w:jc w:val="left"/>
    </w:pPr>
    <w:rPr>
      <w:rFonts w:ascii="Arial" w:hAnsi="Arial"/>
      <w:sz w:val="24"/>
    </w:rPr>
  </w:style>
  <w:style w:type="character" w:customStyle="1" w:styleId="111">
    <w:name w:val="st1"/>
    <w:basedOn w:val="45"/>
    <w:qFormat/>
    <w:uiPriority w:val="0"/>
  </w:style>
  <w:style w:type="character" w:customStyle="1" w:styleId="112">
    <w:name w:val="批注文字 字符2"/>
    <w:basedOn w:val="45"/>
    <w:link w:val="14"/>
    <w:semiHidden/>
    <w:qFormat/>
    <w:uiPriority w:val="99"/>
  </w:style>
  <w:style w:type="character" w:customStyle="1" w:styleId="113">
    <w:name w:val="批注主题 字符1"/>
    <w:basedOn w:val="112"/>
    <w:semiHidden/>
    <w:qFormat/>
    <w:uiPriority w:val="99"/>
    <w:rPr>
      <w:b/>
      <w:bCs/>
    </w:rPr>
  </w:style>
  <w:style w:type="paragraph" w:customStyle="1" w:styleId="114">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4"/>
      <w:szCs w:val="24"/>
    </w:rPr>
  </w:style>
  <w:style w:type="paragraph" w:customStyle="1" w:styleId="115">
    <w:name w:val="正文1"/>
    <w:basedOn w:val="1"/>
    <w:qFormat/>
    <w:uiPriority w:val="0"/>
    <w:pPr>
      <w:widowControl/>
      <w:spacing w:before="120" w:after="120" w:line="360" w:lineRule="auto"/>
      <w:ind w:firstLine="454"/>
      <w:jc w:val="left"/>
    </w:pPr>
    <w:rPr>
      <w:rFonts w:ascii="Arial" w:hAnsi="Arial" w:eastAsia="Malgun Gothic" w:cs="Arial"/>
      <w:kern w:val="0"/>
      <w:sz w:val="22"/>
    </w:rPr>
  </w:style>
  <w:style w:type="paragraph" w:customStyle="1" w:styleId="11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FF0000"/>
      <w:kern w:val="0"/>
      <w:sz w:val="22"/>
    </w:rPr>
  </w:style>
  <w:style w:type="paragraph" w:customStyle="1" w:styleId="117">
    <w:name w:val="正文段"/>
    <w:basedOn w:val="1"/>
    <w:qFormat/>
    <w:uiPriority w:val="0"/>
    <w:pPr>
      <w:widowControl/>
      <w:snapToGrid w:val="0"/>
      <w:spacing w:afterLines="50"/>
      <w:ind w:firstLine="200" w:firstLineChars="200"/>
    </w:pPr>
    <w:rPr>
      <w:rFonts w:ascii="Times New Roman" w:hAnsi="Times New Roman" w:eastAsia="Malgun Gothic" w:cs="宋体"/>
      <w:kern w:val="0"/>
      <w:sz w:val="24"/>
      <w:szCs w:val="20"/>
    </w:rPr>
  </w:style>
  <w:style w:type="paragraph" w:customStyle="1" w:styleId="118">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19">
    <w:name w:val="p2"/>
    <w:basedOn w:val="1"/>
    <w:qFormat/>
    <w:uiPriority w:val="0"/>
    <w:pPr>
      <w:widowControl/>
      <w:spacing w:line="480" w:lineRule="auto"/>
      <w:ind w:firstLine="420"/>
      <w:jc w:val="left"/>
    </w:pPr>
    <w:rPr>
      <w:rFonts w:ascii="宋体" w:hAnsi="宋体" w:eastAsia="Malgun Gothic" w:cs="宋体"/>
      <w:kern w:val="0"/>
      <w:szCs w:val="21"/>
    </w:rPr>
  </w:style>
  <w:style w:type="paragraph" w:customStyle="1" w:styleId="120">
    <w:name w:val="font6"/>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121">
    <w:name w:val="xl88"/>
    <w:basedOn w:val="1"/>
    <w:qFormat/>
    <w:uiPriority w:val="0"/>
    <w:pPr>
      <w:widowControl/>
      <w:shd w:val="clear" w:color="000000" w:fill="FFFFFF"/>
      <w:spacing w:before="100" w:beforeAutospacing="1" w:after="100" w:afterAutospacing="1"/>
      <w:jc w:val="center"/>
    </w:pPr>
    <w:rPr>
      <w:rFonts w:ascii="宋体" w:hAnsi="宋体" w:eastAsia="Malgun Gothic" w:cs="宋体"/>
      <w:color w:val="000000"/>
      <w:kern w:val="0"/>
      <w:sz w:val="22"/>
    </w:rPr>
  </w:style>
  <w:style w:type="character" w:customStyle="1" w:styleId="122">
    <w:name w:val="文档结构图 字符1"/>
    <w:basedOn w:val="45"/>
    <w:semiHidden/>
    <w:qFormat/>
    <w:uiPriority w:val="99"/>
    <w:rPr>
      <w:rFonts w:ascii="Microsoft YaHei UI" w:eastAsia="Microsoft YaHei UI"/>
      <w:sz w:val="18"/>
      <w:szCs w:val="18"/>
    </w:rPr>
  </w:style>
  <w:style w:type="character" w:customStyle="1" w:styleId="123">
    <w:name w:val="批注框文本 字符1"/>
    <w:basedOn w:val="45"/>
    <w:semiHidden/>
    <w:qFormat/>
    <w:uiPriority w:val="99"/>
    <w:rPr>
      <w:sz w:val="18"/>
      <w:szCs w:val="18"/>
    </w:rPr>
  </w:style>
  <w:style w:type="character" w:customStyle="1" w:styleId="124">
    <w:name w:val="正文文本缩进 3 字符1"/>
    <w:basedOn w:val="45"/>
    <w:semiHidden/>
    <w:qFormat/>
    <w:uiPriority w:val="99"/>
    <w:rPr>
      <w:sz w:val="16"/>
      <w:szCs w:val="16"/>
    </w:rPr>
  </w:style>
  <w:style w:type="character" w:customStyle="1" w:styleId="125">
    <w:name w:val="页眉 字符1"/>
    <w:basedOn w:val="45"/>
    <w:qFormat/>
    <w:uiPriority w:val="0"/>
    <w:rPr>
      <w:sz w:val="18"/>
      <w:szCs w:val="18"/>
    </w:rPr>
  </w:style>
  <w:style w:type="character" w:customStyle="1" w:styleId="126">
    <w:name w:val="日期 字符1"/>
    <w:basedOn w:val="45"/>
    <w:semiHidden/>
    <w:qFormat/>
    <w:uiPriority w:val="99"/>
  </w:style>
  <w:style w:type="character" w:customStyle="1" w:styleId="127">
    <w:name w:val="正文文本 字符"/>
    <w:basedOn w:val="45"/>
    <w:link w:val="16"/>
    <w:qFormat/>
    <w:uiPriority w:val="0"/>
    <w:rPr>
      <w:rFonts w:ascii="宋体" w:hAnsi="宋体" w:eastAsia="Malgun Gothic" w:cs="宋体"/>
    </w:rPr>
  </w:style>
  <w:style w:type="character" w:customStyle="1" w:styleId="128">
    <w:name w:val="正文文本缩进 2 字符1"/>
    <w:basedOn w:val="45"/>
    <w:semiHidden/>
    <w:qFormat/>
    <w:uiPriority w:val="99"/>
  </w:style>
  <w:style w:type="character" w:customStyle="1" w:styleId="129">
    <w:name w:val="页脚 字符1"/>
    <w:basedOn w:val="45"/>
    <w:semiHidden/>
    <w:qFormat/>
    <w:uiPriority w:val="99"/>
    <w:rPr>
      <w:sz w:val="18"/>
      <w:szCs w:val="18"/>
    </w:rPr>
  </w:style>
  <w:style w:type="character" w:customStyle="1" w:styleId="130">
    <w:name w:val="正文文本缩进 字符"/>
    <w:basedOn w:val="45"/>
    <w:link w:val="17"/>
    <w:qFormat/>
    <w:uiPriority w:val="0"/>
    <w:rPr>
      <w:rFonts w:ascii="宋体" w:hAnsi="宋体" w:eastAsia="Malgun Gothic" w:cs="宋体"/>
    </w:rPr>
  </w:style>
  <w:style w:type="character" w:customStyle="1" w:styleId="131">
    <w:name w:val="标题 字符1"/>
    <w:basedOn w:val="45"/>
    <w:qFormat/>
    <w:uiPriority w:val="10"/>
    <w:rPr>
      <w:rFonts w:asciiTheme="majorHAnsi" w:hAnsiTheme="majorHAnsi" w:eastAsiaTheme="majorEastAsia" w:cstheme="majorBidi"/>
      <w:b/>
      <w:bCs/>
      <w:sz w:val="32"/>
      <w:szCs w:val="32"/>
    </w:rPr>
  </w:style>
  <w:style w:type="character" w:customStyle="1" w:styleId="132">
    <w:name w:val="纯文本 字符1"/>
    <w:basedOn w:val="45"/>
    <w:semiHidden/>
    <w:qFormat/>
    <w:uiPriority w:val="99"/>
    <w:rPr>
      <w:rFonts w:hAnsi="Courier New" w:cs="Courier New" w:asciiTheme="minorEastAsia"/>
    </w:rPr>
  </w:style>
  <w:style w:type="character" w:customStyle="1" w:styleId="133">
    <w:name w:val="HTML 预设格式 字符1"/>
    <w:basedOn w:val="45"/>
    <w:semiHidden/>
    <w:qFormat/>
    <w:uiPriority w:val="99"/>
    <w:rPr>
      <w:rFonts w:ascii="Courier New" w:hAnsi="Courier New" w:cs="Courier New"/>
      <w:sz w:val="20"/>
      <w:szCs w:val="20"/>
    </w:rPr>
  </w:style>
  <w:style w:type="character" w:customStyle="1" w:styleId="134">
    <w:name w:val="正文文本 2 字符1"/>
    <w:basedOn w:val="45"/>
    <w:semiHidden/>
    <w:qFormat/>
    <w:uiPriority w:val="99"/>
  </w:style>
  <w:style w:type="paragraph" w:customStyle="1" w:styleId="135">
    <w:name w:val="标题1"/>
    <w:basedOn w:val="1"/>
    <w:next w:val="1"/>
    <w:qFormat/>
    <w:uiPriority w:val="0"/>
    <w:pPr>
      <w:adjustRightInd w:val="0"/>
      <w:snapToGrid w:val="0"/>
      <w:jc w:val="center"/>
    </w:pPr>
    <w:rPr>
      <w:rFonts w:ascii="宋体" w:hAnsi="宋体" w:eastAsia="Malgun Gothic" w:cs="宋体"/>
      <w:b/>
      <w:bCs/>
      <w:spacing w:val="-6"/>
      <w:sz w:val="48"/>
      <w:szCs w:val="52"/>
    </w:rPr>
  </w:style>
  <w:style w:type="paragraph" w:customStyle="1" w:styleId="136">
    <w:name w:val="xl102"/>
    <w:basedOn w:val="1"/>
    <w:qFormat/>
    <w:uiPriority w:val="0"/>
    <w:pPr>
      <w:widowControl/>
      <w:spacing w:before="100" w:beforeAutospacing="1" w:after="100" w:afterAutospacing="1"/>
      <w:jc w:val="center"/>
    </w:pPr>
    <w:rPr>
      <w:rFonts w:ascii="宋体" w:hAnsi="宋体" w:eastAsia="Malgun Gothic" w:cs="宋体"/>
      <w:b/>
      <w:bCs/>
      <w:kern w:val="0"/>
      <w:sz w:val="36"/>
      <w:szCs w:val="36"/>
    </w:rPr>
  </w:style>
  <w:style w:type="paragraph" w:customStyle="1" w:styleId="13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38">
    <w:name w:val="xl83"/>
    <w:basedOn w:val="1"/>
    <w:qFormat/>
    <w:uiPriority w:val="0"/>
    <w:pPr>
      <w:widowControl/>
      <w:spacing w:before="100" w:beforeAutospacing="1" w:after="100" w:afterAutospacing="1"/>
      <w:jc w:val="left"/>
    </w:pPr>
    <w:rPr>
      <w:rFonts w:ascii="宋体" w:hAnsi="宋体" w:eastAsia="Malgun Gothic"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2"/>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color w:val="FF0000"/>
      <w:kern w:val="0"/>
      <w:sz w:val="22"/>
    </w:rPr>
  </w:style>
  <w:style w:type="paragraph" w:customStyle="1" w:styleId="14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4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4"/>
      <w:szCs w:val="24"/>
    </w:rPr>
  </w:style>
  <w:style w:type="paragraph" w:customStyle="1" w:styleId="143">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kern w:val="0"/>
      <w:sz w:val="22"/>
    </w:rPr>
  </w:style>
  <w:style w:type="paragraph" w:customStyle="1" w:styleId="144">
    <w:name w:val="Char Char Char Char Char Char Char Char Char Char Char Char Char Char Char Char Char Char Char Char Char Char Char Char Char Char Char Char Char Char Char Char Char Char"/>
    <w:basedOn w:val="1"/>
    <w:qFormat/>
    <w:uiPriority w:val="0"/>
    <w:rPr>
      <w:rFonts w:ascii="Times New Roman" w:hAnsi="Times New Roman" w:eastAsia="Malgun Gothic" w:cs="宋体"/>
      <w:szCs w:val="24"/>
    </w:rPr>
  </w:style>
  <w:style w:type="paragraph" w:customStyle="1" w:styleId="145">
    <w:name w:val="xl7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46">
    <w:name w:val="修订1"/>
    <w:unhideWhenUsed/>
    <w:qFormat/>
    <w:uiPriority w:val="99"/>
    <w:rPr>
      <w:rFonts w:ascii="宋体" w:hAnsi="宋体" w:eastAsia="Malgun Gothic" w:cs="宋体"/>
      <w:kern w:val="2"/>
      <w:sz w:val="21"/>
      <w:szCs w:val="22"/>
      <w:lang w:val="en-US" w:eastAsia="zh-CN" w:bidi="ar-SA"/>
    </w:rPr>
  </w:style>
  <w:style w:type="paragraph" w:customStyle="1" w:styleId="14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4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49">
    <w:name w:val="p15"/>
    <w:basedOn w:val="1"/>
    <w:qFormat/>
    <w:uiPriority w:val="0"/>
    <w:pPr>
      <w:widowControl/>
    </w:pPr>
    <w:rPr>
      <w:rFonts w:ascii="宋体" w:hAnsi="宋体" w:eastAsia="Malgun Gothic" w:cs="宋体"/>
      <w:kern w:val="0"/>
      <w:szCs w:val="21"/>
    </w:rPr>
  </w:style>
  <w:style w:type="paragraph" w:customStyle="1" w:styleId="150">
    <w:name w:val="font7"/>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15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2"/>
    </w:rPr>
  </w:style>
  <w:style w:type="paragraph" w:customStyle="1" w:styleId="152">
    <w:name w:val="默认段落字体 Para Char Char Char Char"/>
    <w:basedOn w:val="1"/>
    <w:qFormat/>
    <w:uiPriority w:val="0"/>
    <w:rPr>
      <w:rFonts w:ascii="宋体" w:hAnsi="宋体" w:eastAsia="Malgun Gothic" w:cs="宋体"/>
    </w:rPr>
  </w:style>
  <w:style w:type="paragraph" w:customStyle="1" w:styleId="15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FF0000"/>
      <w:kern w:val="0"/>
      <w:sz w:val="22"/>
    </w:rPr>
  </w:style>
  <w:style w:type="paragraph" w:customStyle="1" w:styleId="15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color w:val="000000"/>
      <w:kern w:val="0"/>
      <w:sz w:val="22"/>
    </w:rPr>
  </w:style>
  <w:style w:type="paragraph" w:customStyle="1" w:styleId="15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56">
    <w:name w:val="p0"/>
    <w:basedOn w:val="1"/>
    <w:qFormat/>
    <w:uiPriority w:val="0"/>
    <w:pPr>
      <w:widowControl/>
    </w:pPr>
    <w:rPr>
      <w:rFonts w:ascii="Times New Roman" w:hAnsi="Times New Roman" w:eastAsia="Malgun Gothic" w:cs="宋体"/>
      <w:kern w:val="0"/>
      <w:szCs w:val="21"/>
    </w:rPr>
  </w:style>
  <w:style w:type="paragraph" w:customStyle="1" w:styleId="157">
    <w:name w:val="标题3"/>
    <w:basedOn w:val="1"/>
    <w:next w:val="1"/>
    <w:qFormat/>
    <w:uiPriority w:val="0"/>
    <w:pPr>
      <w:adjustRightInd w:val="0"/>
      <w:snapToGrid w:val="0"/>
      <w:spacing w:line="322" w:lineRule="auto"/>
      <w:jc w:val="center"/>
    </w:pPr>
    <w:rPr>
      <w:rFonts w:ascii="宋体" w:hAnsi="宋体" w:eastAsia="Malgun Gothic" w:cs="宋体"/>
      <w:b/>
      <w:bCs/>
      <w:sz w:val="52"/>
      <w:szCs w:val="52"/>
    </w:rPr>
  </w:style>
  <w:style w:type="paragraph" w:customStyle="1" w:styleId="158">
    <w:name w:val="xl101"/>
    <w:basedOn w:val="1"/>
    <w:qFormat/>
    <w:uiPriority w:val="0"/>
    <w:pPr>
      <w:widowControl/>
      <w:spacing w:before="100" w:beforeAutospacing="1" w:after="100" w:afterAutospacing="1"/>
      <w:jc w:val="center"/>
    </w:pPr>
    <w:rPr>
      <w:rFonts w:ascii="黑体" w:hAnsi="黑体" w:eastAsia="黑体" w:cs="宋体"/>
      <w:color w:val="000000"/>
      <w:kern w:val="0"/>
      <w:sz w:val="36"/>
      <w:szCs w:val="36"/>
    </w:rPr>
  </w:style>
  <w:style w:type="paragraph" w:customStyle="1" w:styleId="159">
    <w:name w:val="样式 Def1 首行缩进"/>
    <w:basedOn w:val="1"/>
    <w:qFormat/>
    <w:uiPriority w:val="0"/>
    <w:pPr>
      <w:spacing w:line="360" w:lineRule="auto"/>
      <w:ind w:firstLine="560"/>
    </w:pPr>
    <w:rPr>
      <w:rFonts w:ascii="宋体" w:hAnsi="宋体" w:eastAsia="仿宋_GB2312" w:cs="宋体"/>
      <w:sz w:val="24"/>
      <w:szCs w:val="20"/>
    </w:rPr>
  </w:style>
  <w:style w:type="paragraph" w:customStyle="1" w:styleId="160">
    <w:name w:val="font9"/>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16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color w:val="FF0000"/>
      <w:kern w:val="0"/>
      <w:sz w:val="24"/>
      <w:szCs w:val="24"/>
    </w:rPr>
  </w:style>
  <w:style w:type="paragraph" w:customStyle="1" w:styleId="162">
    <w:name w:val="列表段落1"/>
    <w:basedOn w:val="1"/>
    <w:qFormat/>
    <w:uiPriority w:val="34"/>
    <w:pPr>
      <w:ind w:firstLine="420" w:firstLineChars="200"/>
    </w:pPr>
    <w:rPr>
      <w:rFonts w:ascii="宋体" w:hAnsi="宋体" w:eastAsia="Malgun Gothic" w:cs="宋体"/>
    </w:rPr>
  </w:style>
  <w:style w:type="paragraph" w:customStyle="1" w:styleId="163">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64">
    <w:name w:val="Char Char Char Char Char Char Char"/>
    <w:basedOn w:val="1"/>
    <w:qFormat/>
    <w:uiPriority w:val="0"/>
    <w:rPr>
      <w:rFonts w:ascii="仿宋_GB2312" w:hAnsi="宋体" w:eastAsia="仿宋_GB2312" w:cs="宋体"/>
      <w:b/>
      <w:sz w:val="32"/>
      <w:szCs w:val="32"/>
    </w:rPr>
  </w:style>
  <w:style w:type="paragraph" w:customStyle="1" w:styleId="165">
    <w:name w:val="xl87"/>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6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Malgun Gothic" w:cs="宋体"/>
      <w:color w:val="FF0000"/>
      <w:kern w:val="0"/>
      <w:sz w:val="24"/>
      <w:szCs w:val="24"/>
    </w:rPr>
  </w:style>
  <w:style w:type="paragraph" w:customStyle="1" w:styleId="16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kern w:val="0"/>
      <w:sz w:val="22"/>
    </w:rPr>
  </w:style>
  <w:style w:type="paragraph" w:customStyle="1" w:styleId="168">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eastAsia="Malgun Gothic" w:cs="宋体"/>
      <w:kern w:val="0"/>
      <w:szCs w:val="20"/>
    </w:rPr>
  </w:style>
  <w:style w:type="paragraph" w:customStyle="1" w:styleId="169">
    <w:name w:val="xl67"/>
    <w:basedOn w:val="1"/>
    <w:qFormat/>
    <w:uiPriority w:val="0"/>
    <w:pPr>
      <w:widowControl/>
      <w:spacing w:before="100" w:beforeAutospacing="1" w:after="100" w:afterAutospacing="1"/>
      <w:jc w:val="center"/>
    </w:pPr>
    <w:rPr>
      <w:rFonts w:ascii="宋体" w:hAnsi="宋体" w:eastAsia="Malgun Gothic" w:cs="宋体"/>
      <w:color w:val="FF0000"/>
      <w:kern w:val="0"/>
      <w:sz w:val="24"/>
      <w:szCs w:val="24"/>
    </w:rPr>
  </w:style>
  <w:style w:type="paragraph" w:customStyle="1" w:styleId="170">
    <w:name w:val="xl65"/>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eastAsia="Malgun Gothic" w:cs="宋体"/>
      <w:color w:val="000000"/>
      <w:kern w:val="0"/>
      <w:sz w:val="24"/>
      <w:szCs w:val="24"/>
    </w:rPr>
  </w:style>
  <w:style w:type="paragraph" w:customStyle="1" w:styleId="17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72">
    <w:name w:val="Default Text"/>
    <w:qFormat/>
    <w:uiPriority w:val="0"/>
    <w:pPr>
      <w:widowControl w:val="0"/>
      <w:autoSpaceDE w:val="0"/>
      <w:autoSpaceDN w:val="0"/>
      <w:adjustRightInd w:val="0"/>
    </w:pPr>
    <w:rPr>
      <w:rFonts w:ascii="宋体" w:hAnsi="宋体" w:eastAsia="Malgun Gothic" w:cs="宋体"/>
      <w:color w:val="000000"/>
      <w:sz w:val="24"/>
      <w:szCs w:val="24"/>
      <w:lang w:val="en-US" w:eastAsia="zh-CN" w:bidi="ar-SA"/>
    </w:rPr>
  </w:style>
  <w:style w:type="paragraph" w:customStyle="1" w:styleId="17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7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7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黑体" w:hAnsi="黑体" w:eastAsia="黑体" w:cs="宋体"/>
      <w:b/>
      <w:bCs/>
      <w:color w:val="000000"/>
      <w:kern w:val="0"/>
      <w:sz w:val="22"/>
    </w:rPr>
  </w:style>
  <w:style w:type="paragraph" w:customStyle="1" w:styleId="176">
    <w:name w:val="样式2"/>
    <w:basedOn w:val="27"/>
    <w:qFormat/>
    <w:uiPriority w:val="0"/>
    <w:pPr>
      <w:ind w:right="420"/>
    </w:pPr>
  </w:style>
  <w:style w:type="paragraph" w:customStyle="1" w:styleId="177">
    <w:name w:val="列举项"/>
    <w:basedOn w:val="1"/>
    <w:qFormat/>
    <w:uiPriority w:val="0"/>
    <w:pPr>
      <w:widowControl/>
      <w:spacing w:before="100" w:beforeAutospacing="1" w:after="200" w:line="273" w:lineRule="auto"/>
      <w:ind w:left="846" w:hanging="420"/>
      <w:contextualSpacing/>
      <w:jc w:val="left"/>
    </w:pPr>
    <w:rPr>
      <w:rFonts w:ascii="Arial" w:hAnsi="Arial" w:eastAsia="Malgun Gothic" w:cs="Arial"/>
      <w:b/>
      <w:bCs/>
      <w:kern w:val="0"/>
      <w:sz w:val="22"/>
    </w:rPr>
  </w:style>
  <w:style w:type="paragraph" w:customStyle="1" w:styleId="178">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黑体" w:hAnsi="黑体" w:eastAsia="黑体" w:cs="宋体"/>
      <w:b/>
      <w:bCs/>
      <w:color w:val="000000"/>
      <w:kern w:val="0"/>
      <w:sz w:val="22"/>
    </w:rPr>
  </w:style>
  <w:style w:type="paragraph" w:customStyle="1" w:styleId="179">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80">
    <w:name w:val="节标题"/>
    <w:basedOn w:val="1"/>
    <w:qFormat/>
    <w:uiPriority w:val="0"/>
    <w:pPr>
      <w:widowControl/>
      <w:spacing w:line="289" w:lineRule="atLeast"/>
      <w:jc w:val="center"/>
      <w:textAlignment w:val="baseline"/>
    </w:pPr>
    <w:rPr>
      <w:rFonts w:ascii="宋体" w:hAnsi="宋体" w:eastAsia="Malgun Gothic" w:cs="宋体"/>
      <w:color w:val="000000"/>
      <w:kern w:val="0"/>
      <w:sz w:val="28"/>
      <w:szCs w:val="20"/>
      <w:u w:color="000000"/>
    </w:rPr>
  </w:style>
  <w:style w:type="paragraph" w:customStyle="1" w:styleId="181">
    <w:name w:val="纯文本1"/>
    <w:basedOn w:val="1"/>
    <w:qFormat/>
    <w:uiPriority w:val="0"/>
    <w:pPr>
      <w:adjustRightInd w:val="0"/>
      <w:textAlignment w:val="baseline"/>
    </w:pPr>
    <w:rPr>
      <w:rFonts w:ascii="宋体" w:hAnsi="Courier New" w:eastAsia="楷体_GB2312" w:cs="宋体"/>
      <w:sz w:val="28"/>
      <w:szCs w:val="20"/>
    </w:rPr>
  </w:style>
  <w:style w:type="paragraph" w:customStyle="1" w:styleId="18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Malgun Gothic" w:cs="宋体"/>
      <w:color w:val="FF0000"/>
      <w:kern w:val="0"/>
      <w:sz w:val="24"/>
      <w:szCs w:val="24"/>
    </w:rPr>
  </w:style>
  <w:style w:type="paragraph" w:customStyle="1" w:styleId="183">
    <w:name w:val="工可正文"/>
    <w:basedOn w:val="22"/>
    <w:qFormat/>
    <w:uiPriority w:val="0"/>
    <w:pPr>
      <w:adjustRightInd/>
      <w:snapToGrid/>
      <w:spacing w:line="240" w:lineRule="auto"/>
      <w:ind w:firstLine="560" w:firstLineChars="200"/>
    </w:pPr>
    <w:rPr>
      <w:bCs w:val="0"/>
      <w:color w:val="auto"/>
      <w:kern w:val="0"/>
      <w:sz w:val="28"/>
      <w:szCs w:val="28"/>
    </w:rPr>
  </w:style>
  <w:style w:type="paragraph" w:customStyle="1" w:styleId="184">
    <w:name w:val="xl8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85">
    <w:name w:val="目录文字"/>
    <w:basedOn w:val="1"/>
    <w:qFormat/>
    <w:uiPriority w:val="0"/>
    <w:pPr>
      <w:widowControl/>
      <w:spacing w:line="480" w:lineRule="auto"/>
      <w:jc w:val="left"/>
    </w:pPr>
    <w:rPr>
      <w:rFonts w:ascii="宋体" w:hAnsi="宋体" w:eastAsia="Malgun Gothic" w:cs="宋体"/>
      <w:kern w:val="0"/>
      <w:sz w:val="24"/>
      <w:szCs w:val="20"/>
    </w:rPr>
  </w:style>
  <w:style w:type="paragraph" w:customStyle="1" w:styleId="186">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187">
    <w:name w:val="xl66"/>
    <w:basedOn w:val="1"/>
    <w:qFormat/>
    <w:uiPriority w:val="0"/>
    <w:pPr>
      <w:widowControl/>
      <w:spacing w:before="100" w:beforeAutospacing="1" w:after="100" w:afterAutospacing="1"/>
      <w:jc w:val="center"/>
    </w:pPr>
    <w:rPr>
      <w:rFonts w:ascii="宋体" w:hAnsi="宋体" w:eastAsia="Malgun Gothic" w:cs="宋体"/>
      <w:kern w:val="0"/>
      <w:sz w:val="24"/>
      <w:szCs w:val="24"/>
    </w:rPr>
  </w:style>
  <w:style w:type="paragraph" w:customStyle="1" w:styleId="188">
    <w:name w:val="font8"/>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189">
    <w:name w:val="Char Char"/>
    <w:basedOn w:val="1"/>
    <w:qFormat/>
    <w:uiPriority w:val="0"/>
    <w:pPr>
      <w:snapToGrid w:val="0"/>
      <w:spacing w:line="360" w:lineRule="auto"/>
      <w:ind w:firstLine="200" w:firstLineChars="200"/>
    </w:pPr>
    <w:rPr>
      <w:rFonts w:ascii="宋体" w:hAnsi="宋体" w:eastAsia="Malgun Gothic" w:cs="宋体"/>
      <w:szCs w:val="24"/>
    </w:rPr>
  </w:style>
  <w:style w:type="paragraph" w:customStyle="1" w:styleId="190">
    <w:name w:val="xl9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91">
    <w:name w:val="Blockquote"/>
    <w:basedOn w:val="1"/>
    <w:qFormat/>
    <w:uiPriority w:val="0"/>
    <w:pPr>
      <w:autoSpaceDE w:val="0"/>
      <w:autoSpaceDN w:val="0"/>
      <w:adjustRightInd w:val="0"/>
      <w:spacing w:before="100" w:after="100"/>
      <w:ind w:left="360" w:right="360"/>
      <w:jc w:val="left"/>
    </w:pPr>
    <w:rPr>
      <w:rFonts w:ascii="宋体" w:hAnsi="宋体" w:eastAsia="Malgun Gothic" w:cs="宋体"/>
      <w:kern w:val="0"/>
      <w:sz w:val="24"/>
      <w:szCs w:val="20"/>
    </w:rPr>
  </w:style>
  <w:style w:type="paragraph" w:customStyle="1" w:styleId="192">
    <w:name w:val="xl89"/>
    <w:basedOn w:val="1"/>
    <w:qFormat/>
    <w:uiPriority w:val="0"/>
    <w:pPr>
      <w:widowControl/>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9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b/>
      <w:bCs/>
      <w:kern w:val="0"/>
      <w:sz w:val="24"/>
      <w:szCs w:val="24"/>
    </w:rPr>
  </w:style>
  <w:style w:type="paragraph" w:customStyle="1" w:styleId="194">
    <w:name w:val="_Style 4"/>
    <w:basedOn w:val="1"/>
    <w:qFormat/>
    <w:uiPriority w:val="34"/>
    <w:pPr>
      <w:ind w:firstLine="420" w:firstLineChars="200"/>
    </w:pPr>
    <w:rPr>
      <w:rFonts w:ascii="宋体" w:hAnsi="宋体" w:eastAsia="Malgun Gothic" w:cs="宋体"/>
    </w:rPr>
  </w:style>
  <w:style w:type="paragraph" w:customStyle="1" w:styleId="195">
    <w:name w:val="msonormal"/>
    <w:basedOn w:val="1"/>
    <w:qFormat/>
    <w:uiPriority w:val="0"/>
    <w:pPr>
      <w:widowControl/>
      <w:spacing w:before="100" w:beforeAutospacing="1" w:after="100" w:afterAutospacing="1"/>
      <w:jc w:val="left"/>
    </w:pPr>
    <w:rPr>
      <w:rFonts w:ascii="宋体" w:hAnsi="宋体" w:eastAsia="Malgun Gothic" w:cs="宋体"/>
      <w:kern w:val="0"/>
      <w:sz w:val="24"/>
      <w:szCs w:val="24"/>
    </w:rPr>
  </w:style>
  <w:style w:type="character" w:customStyle="1" w:styleId="196">
    <w:name w:val="未处理的提及2"/>
    <w:basedOn w:val="45"/>
    <w:qFormat/>
    <w:uiPriority w:val="99"/>
    <w:rPr>
      <w:color w:val="605E5C"/>
      <w:shd w:val="clear" w:color="auto" w:fill="E1DFDD"/>
    </w:rPr>
  </w:style>
  <w:style w:type="paragraph" w:customStyle="1" w:styleId="197">
    <w:name w:val="表格格式"/>
    <w:basedOn w:val="1"/>
    <w:qFormat/>
    <w:uiPriority w:val="0"/>
    <w:rPr>
      <w:rFonts w:ascii="Times New Roman" w:hAnsi="Times New Roman" w:eastAsia="宋体" w:cs="Times New Roman"/>
      <w:szCs w:val="21"/>
    </w:rPr>
  </w:style>
  <w:style w:type="paragraph" w:customStyle="1" w:styleId="198">
    <w:name w:val="列表段落2"/>
    <w:basedOn w:val="1"/>
    <w:qFormat/>
    <w:uiPriority w:val="1"/>
    <w:pPr>
      <w:ind w:firstLine="420" w:firstLineChars="200"/>
    </w:pPr>
  </w:style>
  <w:style w:type="character" w:customStyle="1" w:styleId="199">
    <w:name w:val="正文文本首行缩进 字符"/>
    <w:basedOn w:val="127"/>
    <w:link w:val="42"/>
    <w:qFormat/>
    <w:uiPriority w:val="0"/>
    <w:rPr>
      <w:rFonts w:ascii="Calibri" w:hAnsi="Calibri" w:eastAsia="Malgun Gothic" w:cs="宋体"/>
      <w:kern w:val="2"/>
      <w:sz w:val="21"/>
      <w:szCs w:val="24"/>
    </w:rPr>
  </w:style>
  <w:style w:type="character" w:customStyle="1" w:styleId="200">
    <w:name w:val="标题 2 Char"/>
    <w:qFormat/>
    <w:uiPriority w:val="0"/>
    <w:rPr>
      <w:rFonts w:eastAsia="黑体"/>
      <w:b/>
      <w:sz w:val="28"/>
    </w:rPr>
  </w:style>
  <w:style w:type="paragraph" w:customStyle="1" w:styleId="201">
    <w:name w:val="文章正文"/>
    <w:basedOn w:val="1"/>
    <w:qFormat/>
    <w:uiPriority w:val="0"/>
    <w:pPr>
      <w:spacing w:line="360" w:lineRule="auto"/>
      <w:ind w:firstLine="560" w:firstLineChars="200"/>
    </w:pPr>
    <w:rPr>
      <w:rFonts w:ascii="Times New Roman" w:hAnsi="Times New Roman" w:eastAsia="仿宋_GB2312" w:cs="Times New Roman"/>
      <w:kern w:val="0"/>
      <w:sz w:val="28"/>
      <w:szCs w:val="24"/>
    </w:rPr>
  </w:style>
  <w:style w:type="character" w:customStyle="1" w:styleId="202">
    <w:name w:val="标题 3 Char1"/>
    <w:qFormat/>
    <w:uiPriority w:val="0"/>
    <w:rPr>
      <w:rFonts w:eastAsia="宋体"/>
      <w:b/>
      <w:bCs/>
      <w:kern w:val="2"/>
      <w:sz w:val="32"/>
      <w:szCs w:val="32"/>
      <w:lang w:val="en-US" w:eastAsia="zh-CN" w:bidi="ar-SA"/>
    </w:rPr>
  </w:style>
  <w:style w:type="paragraph" w:customStyle="1" w:styleId="203">
    <w:name w:val="样式 首行缩进:  0 字符"/>
    <w:basedOn w:val="1"/>
    <w:qFormat/>
    <w:uiPriority w:val="0"/>
    <w:rPr>
      <w:rFonts w:ascii="Arial" w:hAnsi="Arial" w:eastAsia="宋体" w:cs="宋体"/>
      <w:szCs w:val="20"/>
    </w:rPr>
  </w:style>
  <w:style w:type="paragraph" w:customStyle="1" w:styleId="204">
    <w:name w:val="无间隔4"/>
    <w:basedOn w:val="1"/>
    <w:qFormat/>
    <w:uiPriority w:val="0"/>
    <w:rPr>
      <w:rFonts w:ascii="Calibri" w:hAnsi="Calibri" w:eastAsia="宋体" w:cs="Times New Roman"/>
      <w:szCs w:val="21"/>
    </w:rPr>
  </w:style>
  <w:style w:type="paragraph" w:customStyle="1" w:styleId="205">
    <w:name w:val="列出段落2"/>
    <w:basedOn w:val="1"/>
    <w:unhideWhenUsed/>
    <w:qFormat/>
    <w:uiPriority w:val="34"/>
    <w:pPr>
      <w:tabs>
        <w:tab w:val="left" w:pos="425"/>
      </w:tabs>
      <w:ind w:firstLine="420" w:firstLineChars="200"/>
    </w:pPr>
    <w:rPr>
      <w:rFonts w:ascii="Times New Roman" w:hAnsi="Times New Roman" w:eastAsia="宋体" w:cs="Times New Roman"/>
      <w:szCs w:val="24"/>
    </w:rPr>
  </w:style>
  <w:style w:type="character" w:customStyle="1" w:styleId="206">
    <w:name w:val="正文文本 3 字符"/>
    <w:basedOn w:val="45"/>
    <w:link w:val="15"/>
    <w:semiHidden/>
    <w:qFormat/>
    <w:uiPriority w:val="99"/>
    <w:rPr>
      <w:rFonts w:asciiTheme="minorHAnsi" w:hAnsiTheme="minorHAnsi" w:eastAsiaTheme="minorEastAsia" w:cstheme="minorBidi"/>
      <w:kern w:val="2"/>
      <w:sz w:val="16"/>
      <w:szCs w:val="16"/>
    </w:rPr>
  </w:style>
  <w:style w:type="character" w:customStyle="1" w:styleId="207">
    <w:name w:val="font101"/>
    <w:basedOn w:val="45"/>
    <w:qFormat/>
    <w:uiPriority w:val="0"/>
    <w:rPr>
      <w:rFonts w:hint="eastAsia" w:ascii="宋体" w:hAnsi="宋体" w:eastAsia="宋体" w:cs="宋体"/>
      <w:color w:val="000000"/>
      <w:sz w:val="20"/>
      <w:szCs w:val="20"/>
      <w:u w:val="none"/>
    </w:rPr>
  </w:style>
  <w:style w:type="character" w:customStyle="1" w:styleId="208">
    <w:name w:val="font71"/>
    <w:basedOn w:val="45"/>
    <w:qFormat/>
    <w:uiPriority w:val="0"/>
    <w:rPr>
      <w:rFonts w:hint="eastAsia" w:ascii="宋体" w:hAnsi="宋体" w:eastAsia="宋体" w:cs="宋体"/>
      <w:color w:val="000000"/>
      <w:sz w:val="20"/>
      <w:szCs w:val="20"/>
      <w:u w:val="none"/>
      <w:vertAlign w:val="subscript"/>
    </w:rPr>
  </w:style>
  <w:style w:type="character" w:customStyle="1" w:styleId="209">
    <w:name w:val="font61"/>
    <w:basedOn w:val="45"/>
    <w:qFormat/>
    <w:uiPriority w:val="0"/>
    <w:rPr>
      <w:rFonts w:hint="default" w:ascii="Times New Roman" w:hAnsi="Times New Roman" w:cs="Times New Roman"/>
      <w:color w:val="000000"/>
      <w:sz w:val="21"/>
      <w:szCs w:val="21"/>
      <w:u w:val="none"/>
      <w:vertAlign w:val="subscript"/>
    </w:rPr>
  </w:style>
  <w:style w:type="paragraph" w:customStyle="1" w:styleId="210">
    <w:name w:val="W4"/>
    <w:basedOn w:val="6"/>
    <w:next w:val="1"/>
    <w:qFormat/>
    <w:uiPriority w:val="0"/>
    <w:pPr>
      <w:widowControl/>
      <w:numPr>
        <w:ilvl w:val="0"/>
        <w:numId w:val="1"/>
      </w:numPr>
      <w:spacing w:before="0"/>
      <w:jc w:val="left"/>
    </w:pPr>
    <w:rPr>
      <w:rFonts w:ascii="黑体" w:hAnsi="黑体"/>
      <w:color w:val="000000"/>
      <w:sz w:val="24"/>
      <w:szCs w:val="24"/>
    </w:rPr>
  </w:style>
  <w:style w:type="character" w:customStyle="1" w:styleId="211">
    <w:name w:val="未处理的提及3"/>
    <w:basedOn w:val="45"/>
    <w:unhideWhenUsed/>
    <w:qFormat/>
    <w:uiPriority w:val="99"/>
    <w:rPr>
      <w:color w:val="605E5C"/>
      <w:shd w:val="clear" w:color="auto" w:fill="E1DFDD"/>
    </w:rPr>
  </w:style>
  <w:style w:type="character" w:customStyle="1" w:styleId="212">
    <w:name w:val="未处理的提及4"/>
    <w:basedOn w:val="45"/>
    <w:qFormat/>
    <w:uiPriority w:val="99"/>
    <w:rPr>
      <w:color w:val="605E5C"/>
      <w:shd w:val="clear" w:color="auto" w:fill="E1DFDD"/>
    </w:rPr>
  </w:style>
  <w:style w:type="paragraph" w:styleId="213">
    <w:name w:val="List Paragraph"/>
    <w:basedOn w:val="1"/>
    <w:qFormat/>
    <w:uiPriority w:val="99"/>
    <w:pPr>
      <w:ind w:firstLine="420" w:firstLineChars="200"/>
    </w:pPr>
  </w:style>
  <w:style w:type="paragraph" w:customStyle="1" w:styleId="214">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color w:val="000000"/>
      <w:kern w:val="0"/>
      <w:sz w:val="22"/>
    </w:rPr>
  </w:style>
  <w:style w:type="table" w:customStyle="1" w:styleId="215">
    <w:name w:val="Table Normal"/>
    <w:basedOn w:val="43"/>
    <w:qFormat/>
    <w:uiPriority w:val="0"/>
    <w:rPr>
      <w:rFonts w:eastAsia="Times New Roman"/>
    </w:rPr>
    <w:tblPr>
      <w:tblCellMar>
        <w:left w:w="0" w:type="dxa"/>
        <w:right w:w="0" w:type="dxa"/>
      </w:tblCellMar>
    </w:tblPr>
  </w:style>
  <w:style w:type="character" w:customStyle="1" w:styleId="216">
    <w:name w:val="信息标题 字符"/>
    <w:basedOn w:val="45"/>
    <w:link w:val="36"/>
    <w:qFormat/>
    <w:uiPriority w:val="99"/>
    <w:rPr>
      <w:rFonts w:ascii="Cambria" w:hAnsi="Cambria"/>
      <w:kern w:val="2"/>
      <w:sz w:val="24"/>
      <w:szCs w:val="22"/>
      <w:shd w:val="pct20" w:color="auto" w:fill="auto"/>
    </w:rPr>
  </w:style>
  <w:style w:type="paragraph" w:customStyle="1" w:styleId="217">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218">
    <w:name w:val="font1"/>
    <w:basedOn w:val="1"/>
    <w:qFormat/>
    <w:uiPriority w:val="0"/>
    <w:pPr>
      <w:widowControl/>
      <w:spacing w:before="100" w:beforeAutospacing="1" w:after="100" w:afterAutospacing="1"/>
      <w:jc w:val="left"/>
    </w:pPr>
    <w:rPr>
      <w:rFonts w:ascii="宋体" w:hAnsi="宋体" w:eastAsia="宋体" w:cs="宋体"/>
      <w:color w:val="000000"/>
      <w:kern w:val="0"/>
      <w:szCs w:val="21"/>
    </w:rPr>
  </w:style>
  <w:style w:type="paragraph" w:customStyle="1" w:styleId="219">
    <w:name w:val="et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20">
    <w:name w:val="et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21">
    <w:name w:val="et4"/>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left"/>
    </w:pPr>
    <w:rPr>
      <w:rFonts w:ascii="宋体" w:hAnsi="宋体" w:eastAsia="宋体" w:cs="宋体"/>
      <w:color w:val="000000"/>
      <w:kern w:val="0"/>
      <w:szCs w:val="21"/>
    </w:rPr>
  </w:style>
  <w:style w:type="paragraph" w:customStyle="1" w:styleId="222">
    <w:name w:val="et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23">
    <w:name w:val="et6"/>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24">
    <w:name w:val="et7"/>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25">
    <w:name w:val="et8"/>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eastAsia="宋体" w:cs="宋体"/>
      <w:color w:val="000000"/>
      <w:kern w:val="0"/>
      <w:szCs w:val="21"/>
    </w:rPr>
  </w:style>
  <w:style w:type="paragraph" w:customStyle="1" w:styleId="226">
    <w:name w:val="et9"/>
    <w:basedOn w:val="1"/>
    <w:qFormat/>
    <w:uiPriority w:val="0"/>
    <w:pPr>
      <w:widowControl/>
      <w:pBdr>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27">
    <w:name w:val="et10"/>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eastAsia="宋体" w:cs="宋体"/>
      <w:color w:val="000000"/>
      <w:kern w:val="0"/>
      <w:szCs w:val="21"/>
    </w:rPr>
  </w:style>
  <w:style w:type="paragraph" w:customStyle="1" w:styleId="228">
    <w:name w:val="et11"/>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left"/>
    </w:pPr>
    <w:rPr>
      <w:rFonts w:ascii="宋体" w:hAnsi="宋体" w:eastAsia="宋体" w:cs="宋体"/>
      <w:color w:val="000000"/>
      <w:kern w:val="0"/>
      <w:szCs w:val="21"/>
    </w:rPr>
  </w:style>
  <w:style w:type="paragraph" w:customStyle="1" w:styleId="229">
    <w:name w:val="et12"/>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宋体" w:hAnsi="宋体" w:eastAsia="宋体" w:cs="宋体"/>
      <w:color w:val="000000"/>
      <w:kern w:val="0"/>
      <w:szCs w:val="21"/>
    </w:rPr>
  </w:style>
  <w:style w:type="paragraph" w:customStyle="1" w:styleId="230">
    <w:name w:val="font2"/>
    <w:basedOn w:val="1"/>
    <w:qFormat/>
    <w:uiPriority w:val="0"/>
    <w:pPr>
      <w:widowControl/>
      <w:spacing w:before="100" w:beforeAutospacing="1" w:after="100" w:afterAutospacing="1"/>
      <w:jc w:val="left"/>
    </w:pPr>
    <w:rPr>
      <w:rFonts w:ascii="宋体" w:hAnsi="宋体" w:eastAsia="宋体" w:cs="宋体"/>
      <w:color w:val="000000"/>
      <w:kern w:val="0"/>
      <w:sz w:val="18"/>
      <w:szCs w:val="18"/>
    </w:rPr>
  </w:style>
  <w:style w:type="paragraph" w:customStyle="1" w:styleId="231">
    <w:name w:val="et13"/>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232">
    <w:name w:val="font3"/>
    <w:basedOn w:val="1"/>
    <w:qFormat/>
    <w:uiPriority w:val="0"/>
    <w:pPr>
      <w:widowControl/>
      <w:spacing w:before="100" w:beforeAutospacing="1" w:after="100" w:afterAutospacing="1"/>
      <w:jc w:val="left"/>
    </w:pPr>
    <w:rPr>
      <w:rFonts w:ascii="宋体" w:hAnsi="宋体" w:eastAsia="宋体" w:cs="宋体"/>
      <w:color w:val="0000FF"/>
      <w:kern w:val="0"/>
      <w:sz w:val="18"/>
      <w:szCs w:val="18"/>
    </w:rPr>
  </w:style>
  <w:style w:type="paragraph" w:customStyle="1" w:styleId="233">
    <w:name w:val="555"/>
    <w:basedOn w:val="1"/>
    <w:qFormat/>
    <w:uiPriority w:val="99"/>
    <w:pPr>
      <w:widowControl/>
      <w:adjustRightInd w:val="0"/>
      <w:snapToGrid w:val="0"/>
      <w:spacing w:line="360" w:lineRule="auto"/>
      <w:ind w:firstLine="560" w:firstLineChars="200"/>
      <w:jc w:val="left"/>
    </w:pPr>
    <w:rPr>
      <w:rFonts w:ascii="仿宋_GB2312" w:hAnsi="宋体" w:eastAsia="仿宋_GB2312"/>
      <w:color w:val="000000"/>
      <w:kern w:val="0"/>
      <w:sz w:val="24"/>
      <w:szCs w:val="28"/>
    </w:rPr>
  </w:style>
  <w:style w:type="paragraph" w:customStyle="1" w:styleId="234">
    <w:name w:val="纯文本2"/>
    <w:basedOn w:val="1"/>
    <w:qFormat/>
    <w:uiPriority w:val="0"/>
    <w:pPr>
      <w:adjustRightInd w:val="0"/>
      <w:textAlignment w:val="baseline"/>
    </w:pPr>
    <w:rPr>
      <w:rFonts w:ascii="宋体" w:hAnsi="Courier New" w:eastAsia="楷体_GB2312"/>
      <w:sz w:val="28"/>
      <w:szCs w:val="20"/>
    </w:rPr>
  </w:style>
  <w:style w:type="paragraph" w:customStyle="1" w:styleId="23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A3BEA3-6646-44FC-BA4B-1B7981602870}">
  <ds:schemaRefs/>
</ds:datastoreItem>
</file>

<file path=docProps/app.xml><?xml version="1.0" encoding="utf-8"?>
<Properties xmlns="http://schemas.openxmlformats.org/officeDocument/2006/extended-properties" xmlns:vt="http://schemas.openxmlformats.org/officeDocument/2006/docPropsVTypes">
  <Template>Normal</Template>
  <Company>MS</Company>
  <Pages>82</Pages>
  <Words>5255</Words>
  <Characters>6081</Characters>
  <Lines>2331</Lines>
  <Paragraphs>1564</Paragraphs>
  <TotalTime>0</TotalTime>
  <ScaleCrop>false</ScaleCrop>
  <LinksUpToDate>false</LinksUpToDate>
  <CharactersWithSpaces>6256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2021-05-30T06:09:00Z</dcterms:created>
  <dc:creator>1 1</dc:creator>
  <cp:lastModifiedBy>峨山县商业贸易有限责任公司</cp:lastModifiedBy>
  <cp:lastPrinted>2024-05-20T10:13:00Z</cp:lastPrinted>
  <dcterms:modified xsi:type="dcterms:W3CDTF">2026-03-12T08:38:07Z</dcterms:modified>
  <cp:revision>530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765DBFB6D9424B329CB4A8348084FAD0_13</vt:lpwstr>
  </property>
  <property fmtid="{D5CDD505-2E9C-101B-9397-08002B2CF9AE}" pid="3" name="KSOProductBuildVer">
    <vt:lpwstr>2052-12.1.0.25225</vt:lpwstr>
  </property>
  <property fmtid="{D5CDD505-2E9C-101B-9397-08002B2CF9AE}" pid="4" name="KSOSaveFontToCloudKey">
    <vt:lpwstr>489002221_cloud</vt:lpwstr>
  </property>
  <property fmtid="{D5CDD505-2E9C-101B-9397-08002B2CF9AE}" pid="5" name="KSOTemplateDocerSaveRecord">
    <vt:lpwstr>eyJoZGlkIjoiYWJmNTAxYTA0NTllZTU0OWY5NWY0MWNlMzBjNGU2OTYiLCJ1c2VySWQiOiI3MDk2NzQ2NDcifQ==</vt:lpwstr>
  </property>
</Properties>
</file>