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AE1B840">
      <w:pPr>
        <w:pStyle w:val="2"/>
        <w:jc w:val="center"/>
        <w:rPr>
          <w:rFonts w:hint="eastAsia" w:ascii="仿宋" w:hAnsi="仿宋" w:eastAsia="仿宋" w:cs="仿宋"/>
          <w:color w:val="000000" w:themeColor="text1"/>
          <w:sz w:val="36"/>
          <w:szCs w:val="36"/>
          <w14:textFill>
            <w14:solidFill>
              <w14:schemeClr w14:val="tx1"/>
            </w14:solidFill>
          </w14:textFill>
        </w:rPr>
      </w:pPr>
      <w:r>
        <w:rPr>
          <w:rFonts w:hint="eastAsia" w:ascii="仿宋" w:hAnsi="仿宋" w:eastAsia="仿宋" w:cs="仿宋"/>
          <w:color w:val="000000" w:themeColor="text1"/>
          <w:sz w:val="36"/>
          <w:szCs w:val="36"/>
          <w14:textFill>
            <w14:solidFill>
              <w14:schemeClr w14:val="tx1"/>
            </w14:solidFill>
          </w14:textFill>
        </w:rPr>
        <w:t>招标范围、技术参数及商务要求</w:t>
      </w:r>
    </w:p>
    <w:p w14:paraId="685BAE77">
      <w:pPr>
        <w:pStyle w:val="3"/>
        <w:spacing w:line="400" w:lineRule="exact"/>
        <w:ind w:firstLine="236" w:firstLineChars="98"/>
        <w:rPr>
          <w:rFonts w:hint="eastAsia" w:ascii="仿宋" w:hAnsi="仿宋" w:eastAsia="仿宋" w:cs="仿宋"/>
          <w:color w:val="000000" w:themeColor="text1"/>
          <w:sz w:val="24"/>
          <w:szCs w:val="24"/>
          <w14:textFill>
            <w14:solidFill>
              <w14:schemeClr w14:val="tx1"/>
            </w14:solidFill>
          </w14:textFill>
        </w:rPr>
      </w:pPr>
      <w:bookmarkStart w:id="0" w:name="_Toc217446094"/>
      <w:r>
        <w:rPr>
          <w:rFonts w:hint="eastAsia" w:ascii="仿宋" w:hAnsi="仿宋" w:eastAsia="仿宋" w:cs="仿宋"/>
          <w:color w:val="000000" w:themeColor="text1"/>
          <w:sz w:val="24"/>
          <w:szCs w:val="24"/>
          <w14:textFill>
            <w14:solidFill>
              <w14:schemeClr w14:val="tx1"/>
            </w14:solidFill>
          </w14:textFill>
        </w:rPr>
        <w:t>前提：本章中标注“★”的条款为本项目的实质性条款，需逐条响应，投标人不满足的，将按照无效投标处理。</w:t>
      </w:r>
    </w:p>
    <w:bookmarkEnd w:id="0"/>
    <w:p w14:paraId="26533A9A">
      <w:pPr>
        <w:pStyle w:val="3"/>
        <w:spacing w:line="400" w:lineRule="exact"/>
        <w:ind w:firstLine="236" w:firstLineChars="98"/>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第一部分 招标范围、技术参数</w:t>
      </w:r>
    </w:p>
    <w:p w14:paraId="5C4272E6">
      <w:pPr>
        <w:pStyle w:val="5"/>
        <w:spacing w:line="400" w:lineRule="exact"/>
        <w:ind w:firstLine="482"/>
        <w:outlineLvl w:val="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★一、招标范围</w:t>
      </w:r>
    </w:p>
    <w:p w14:paraId="3430B79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1、采购内容包含第5条设备采购清单中所列设备及其满足其使用功能的相关系统等满足训练及科研实验的所有相关设备设施。</w:t>
      </w:r>
    </w:p>
    <w:p w14:paraId="04C1D25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应负责提供上述第5条设备采购清单中所列设备及其系统的设计、制造、运输、保管、检测（含第三方检测）、现场安装、调试、取证、质检、操作维保培训、质保等满足相关技术规范和招标文件要求的相关工作和服务，并配合土建EPC工程总承包单位完成与本次招标有关设备的其他相关工作。</w:t>
      </w:r>
    </w:p>
    <w:p w14:paraId="148BD8B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w:t>
      </w:r>
      <w:r>
        <w:rPr>
          <w:rFonts w:hint="eastAsia" w:ascii="仿宋" w:hAnsi="仿宋" w:eastAsia="仿宋" w:cs="仿宋"/>
          <w:color w:val="000000" w:themeColor="text1"/>
          <w:sz w:val="24"/>
          <w14:textFill>
            <w14:solidFill>
              <w14:schemeClr w14:val="tx1"/>
            </w14:solidFill>
          </w14:textFill>
        </w:rPr>
        <w:t>投标人的报价需</w:t>
      </w:r>
      <w:r>
        <w:rPr>
          <w:rFonts w:hint="eastAsia" w:ascii="仿宋" w:hAnsi="仿宋" w:eastAsia="仿宋" w:cs="仿宋"/>
          <w:bCs/>
          <w:color w:val="000000" w:themeColor="text1"/>
          <w:sz w:val="24"/>
          <w14:textFill>
            <w14:solidFill>
              <w14:schemeClr w14:val="tx1"/>
            </w14:solidFill>
          </w14:textFill>
        </w:rPr>
        <w:t>包括下述第6条工作界面中涉及的所有费用、货物设计、生产、供货、运输、保险、保管、卸货、二次搬运、安装、调试、设备工艺设计及施工配合、缺陷处理、验收及专项取证、质保和后期服务完成合同内设备及服务内容所产生的一切费用，包括但不限于设计费、材料费、机械费、人工费、专利费、研究试验费、检测费、损耗费、保险费、包装费、上下车费、运输费、人员差旅费、仓储管理费、现场看护费、备品备件费、地面破除及恢复费、专用工具费、培训费、管理费、规费及税费等所有相关费用，以及各种安装设备对现场土建工程的损伤修补恢复的费用。</w:t>
      </w:r>
    </w:p>
    <w:p w14:paraId="4D5E603F">
      <w:pPr>
        <w:pStyle w:val="10"/>
        <w:spacing w:line="360" w:lineRule="auto"/>
        <w:ind w:firstLine="44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供应商应在投标报价时一次性考虑所有费用，合同执行期间合同总价不变，采购人无须另向供应商支付合同总价之外的其他任何费用。进口设备涉及的国外运杂费、进口关税、进口增值税等费用供应商已综合考虑包含在投标报价中，不再单独计取，且不因任何政策改变、汇率变化等因素调整。</w:t>
      </w:r>
    </w:p>
    <w:p w14:paraId="1FD342B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5、货物采购清单：</w:t>
      </w:r>
      <w:r>
        <w:rPr>
          <w:rFonts w:hint="eastAsia" w:ascii="仿宋" w:hAnsi="仿宋" w:eastAsia="仿宋" w:cs="仿宋"/>
          <w:color w:val="000000" w:themeColor="text1"/>
          <w:sz w:val="24"/>
          <w14:textFill>
            <w14:solidFill>
              <w14:schemeClr w14:val="tx1"/>
            </w14:solidFill>
          </w14:textFill>
        </w:rPr>
        <w:t>具体的货物清单详见设备技术参数表中设备及完成该些设备按照采购文件要求的性能、标准运行所需的其他配套的材料及设备。</w:t>
      </w:r>
    </w:p>
    <w:p w14:paraId="63F43F88">
      <w:pPr>
        <w:adjustRightInd w:val="0"/>
        <w:snapToGrid w:val="0"/>
        <w:spacing w:before="156" w:beforeLines="50" w:after="0" w:line="500" w:lineRule="exact"/>
        <w:jc w:val="center"/>
        <w:rPr>
          <w:rFonts w:hint="eastAsia" w:ascii="仿宋" w:hAnsi="仿宋" w:eastAsia="仿宋" w:cs="仿宋"/>
          <w:snapToGrid w:val="0"/>
          <w:color w:val="000000" w:themeColor="text1"/>
          <w:sz w:val="24"/>
          <w14:textFill>
            <w14:solidFill>
              <w14:schemeClr w14:val="tx1"/>
            </w14:solidFill>
          </w14:textFill>
        </w:rPr>
      </w:pPr>
    </w:p>
    <w:p w14:paraId="454B5874">
      <w:pPr>
        <w:adjustRightInd w:val="0"/>
        <w:snapToGrid w:val="0"/>
        <w:spacing w:before="156" w:beforeLines="50" w:after="0" w:line="500" w:lineRule="exact"/>
        <w:jc w:val="center"/>
        <w:rPr>
          <w:rFonts w:hint="eastAsia" w:ascii="仿宋" w:hAnsi="仿宋" w:eastAsia="仿宋" w:cs="仿宋"/>
          <w:snapToGrid w:val="0"/>
          <w:color w:val="000000" w:themeColor="text1"/>
          <w:sz w:val="24"/>
          <w14:textFill>
            <w14:solidFill>
              <w14:schemeClr w14:val="tx1"/>
            </w14:solidFill>
          </w14:textFill>
        </w:rPr>
      </w:pPr>
    </w:p>
    <w:p w14:paraId="1C8D01A7">
      <w:pPr>
        <w:adjustRightInd w:val="0"/>
        <w:snapToGrid w:val="0"/>
        <w:spacing w:before="156" w:beforeLines="50" w:after="0" w:line="500" w:lineRule="exact"/>
        <w:jc w:val="center"/>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01包货物清单</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7"/>
        <w:gridCol w:w="3282"/>
        <w:gridCol w:w="820"/>
        <w:gridCol w:w="1968"/>
        <w:gridCol w:w="1475"/>
      </w:tblGrid>
      <w:tr w14:paraId="08DCC0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26" w:hRule="atLeast"/>
          <w:jc w:val="center"/>
        </w:trPr>
        <w:tc>
          <w:tcPr>
            <w:tcW w:w="573" w:type="pct"/>
            <w:noWrap w:val="0"/>
            <w:vAlign w:val="center"/>
          </w:tcPr>
          <w:p w14:paraId="63343E74">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序号</w:t>
            </w:r>
          </w:p>
        </w:tc>
        <w:tc>
          <w:tcPr>
            <w:tcW w:w="1925" w:type="pct"/>
            <w:noWrap w:val="0"/>
            <w:vAlign w:val="center"/>
          </w:tcPr>
          <w:p w14:paraId="7511212C">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标的名称</w:t>
            </w:r>
          </w:p>
        </w:tc>
        <w:tc>
          <w:tcPr>
            <w:tcW w:w="481" w:type="pct"/>
            <w:noWrap w:val="0"/>
            <w:vAlign w:val="center"/>
          </w:tcPr>
          <w:p w14:paraId="1516AF35">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数量</w:t>
            </w:r>
          </w:p>
        </w:tc>
        <w:tc>
          <w:tcPr>
            <w:tcW w:w="1154" w:type="pct"/>
            <w:noWrap w:val="0"/>
            <w:vAlign w:val="center"/>
          </w:tcPr>
          <w:p w14:paraId="19E8F8DB">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所属行业</w:t>
            </w:r>
          </w:p>
        </w:tc>
        <w:tc>
          <w:tcPr>
            <w:tcW w:w="865" w:type="pct"/>
            <w:noWrap w:val="0"/>
            <w:vAlign w:val="center"/>
          </w:tcPr>
          <w:p w14:paraId="180BAD49">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是否允许采购进口产品</w:t>
            </w:r>
          </w:p>
        </w:tc>
      </w:tr>
      <w:tr w14:paraId="5EE73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73" w:type="pct"/>
            <w:noWrap w:val="0"/>
            <w:vAlign w:val="center"/>
          </w:tcPr>
          <w:p w14:paraId="59B67DB2">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1</w:t>
            </w:r>
          </w:p>
        </w:tc>
        <w:tc>
          <w:tcPr>
            <w:tcW w:w="1925" w:type="pct"/>
            <w:noWrap w:val="0"/>
            <w:vAlign w:val="center"/>
          </w:tcPr>
          <w:p w14:paraId="5C1831E0">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树脂合成装置</w:t>
            </w:r>
          </w:p>
        </w:tc>
        <w:tc>
          <w:tcPr>
            <w:tcW w:w="481" w:type="pct"/>
            <w:noWrap w:val="0"/>
            <w:vAlign w:val="center"/>
          </w:tcPr>
          <w:p w14:paraId="5243DCF3">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1套</w:t>
            </w:r>
          </w:p>
        </w:tc>
        <w:tc>
          <w:tcPr>
            <w:tcW w:w="1154" w:type="pct"/>
            <w:noWrap w:val="0"/>
            <w:vAlign w:val="center"/>
          </w:tcPr>
          <w:p w14:paraId="474CD549">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工业</w:t>
            </w:r>
          </w:p>
        </w:tc>
        <w:tc>
          <w:tcPr>
            <w:tcW w:w="865" w:type="pct"/>
            <w:noWrap w:val="0"/>
            <w:vAlign w:val="center"/>
          </w:tcPr>
          <w:p w14:paraId="32517455">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否</w:t>
            </w:r>
          </w:p>
        </w:tc>
      </w:tr>
      <w:tr w14:paraId="091271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573" w:type="pct"/>
            <w:noWrap w:val="0"/>
            <w:vAlign w:val="center"/>
          </w:tcPr>
          <w:p w14:paraId="74CACB03">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2</w:t>
            </w:r>
          </w:p>
        </w:tc>
        <w:tc>
          <w:tcPr>
            <w:tcW w:w="1925" w:type="pct"/>
            <w:noWrap w:val="0"/>
            <w:vAlign w:val="center"/>
          </w:tcPr>
          <w:p w14:paraId="4EB773F3">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箱式喷漆系统</w:t>
            </w:r>
          </w:p>
        </w:tc>
        <w:tc>
          <w:tcPr>
            <w:tcW w:w="481" w:type="pct"/>
            <w:noWrap w:val="0"/>
            <w:vAlign w:val="center"/>
          </w:tcPr>
          <w:p w14:paraId="2C66F1CA">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1套</w:t>
            </w:r>
          </w:p>
        </w:tc>
        <w:tc>
          <w:tcPr>
            <w:tcW w:w="1154" w:type="pct"/>
            <w:noWrap w:val="0"/>
            <w:vAlign w:val="center"/>
          </w:tcPr>
          <w:p w14:paraId="75CE8A0D">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工业</w:t>
            </w:r>
          </w:p>
        </w:tc>
        <w:tc>
          <w:tcPr>
            <w:tcW w:w="865" w:type="pct"/>
            <w:noWrap w:val="0"/>
            <w:vAlign w:val="center"/>
          </w:tcPr>
          <w:p w14:paraId="5D20906A">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否</w:t>
            </w:r>
          </w:p>
        </w:tc>
      </w:tr>
      <w:tr w14:paraId="27D5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8" w:hRule="atLeast"/>
          <w:jc w:val="center"/>
        </w:trPr>
        <w:tc>
          <w:tcPr>
            <w:tcW w:w="573" w:type="pct"/>
            <w:noWrap w:val="0"/>
            <w:vAlign w:val="center"/>
          </w:tcPr>
          <w:p w14:paraId="178AF244">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3</w:t>
            </w:r>
          </w:p>
        </w:tc>
        <w:tc>
          <w:tcPr>
            <w:tcW w:w="1925" w:type="pct"/>
            <w:noWrap w:val="0"/>
            <w:vAlign w:val="center"/>
          </w:tcPr>
          <w:p w14:paraId="62DECFBF">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氙灯气候老化试验机</w:t>
            </w:r>
          </w:p>
        </w:tc>
        <w:tc>
          <w:tcPr>
            <w:tcW w:w="481" w:type="pct"/>
            <w:noWrap w:val="0"/>
            <w:vAlign w:val="center"/>
          </w:tcPr>
          <w:p w14:paraId="7363F822">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1套</w:t>
            </w:r>
          </w:p>
        </w:tc>
        <w:tc>
          <w:tcPr>
            <w:tcW w:w="1154" w:type="pct"/>
            <w:noWrap w:val="0"/>
            <w:vAlign w:val="center"/>
          </w:tcPr>
          <w:p w14:paraId="0F64ED4F">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工业</w:t>
            </w:r>
          </w:p>
        </w:tc>
        <w:tc>
          <w:tcPr>
            <w:tcW w:w="865" w:type="pct"/>
            <w:noWrap w:val="0"/>
            <w:vAlign w:val="center"/>
          </w:tcPr>
          <w:p w14:paraId="238F8A7B">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否</w:t>
            </w:r>
          </w:p>
        </w:tc>
      </w:tr>
    </w:tbl>
    <w:p w14:paraId="367ACF1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6、工作界面：</w:t>
      </w:r>
    </w:p>
    <w:p w14:paraId="7322051A">
      <w:pPr>
        <w:pStyle w:val="6"/>
        <w:spacing w:before="0" w:beforeAutospacing="0" w:after="0" w:afterAutospacing="0" w:line="500" w:lineRule="exact"/>
        <w:ind w:left="42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w:t>
      </w:r>
      <w:r>
        <w:rPr>
          <w:rFonts w:hint="eastAsia" w:ascii="仿宋" w:hAnsi="仿宋" w:eastAsia="仿宋" w:cs="仿宋"/>
          <w:bCs/>
          <w:color w:val="000000" w:themeColor="text1"/>
          <w:sz w:val="24"/>
          <w14:textFill>
            <w14:solidFill>
              <w14:schemeClr w14:val="tx1"/>
            </w14:solidFill>
          </w14:textFill>
        </w:rPr>
        <w:tab/>
      </w:r>
      <w:r>
        <w:rPr>
          <w:rFonts w:hint="eastAsia" w:ascii="仿宋" w:hAnsi="仿宋" w:eastAsia="仿宋" w:cs="仿宋"/>
          <w:bCs/>
          <w:color w:val="000000" w:themeColor="text1"/>
          <w:sz w:val="24"/>
          <w14:textFill>
            <w14:solidFill>
              <w14:schemeClr w14:val="tx1"/>
            </w14:solidFill>
          </w14:textFill>
        </w:rPr>
        <w:t>土建：土建EPC工程总承包单位已完成室内设备正常运行所需的土建及装饰装修工作，以及室外水箱基础硬化工作，其余各包因设备安装需要的预埋件由供货商负责提供，并由供货商技术人员完成对预埋件定位和安装工作。</w:t>
      </w:r>
    </w:p>
    <w:p w14:paraId="4768578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w:t>
      </w:r>
      <w:r>
        <w:rPr>
          <w:rFonts w:hint="eastAsia" w:ascii="仿宋" w:hAnsi="仿宋" w:eastAsia="仿宋" w:cs="仿宋"/>
          <w:bCs/>
          <w:color w:val="000000" w:themeColor="text1"/>
          <w:sz w:val="24"/>
          <w14:textFill>
            <w14:solidFill>
              <w14:schemeClr w14:val="tx1"/>
            </w14:solidFill>
          </w14:textFill>
        </w:rPr>
        <w:tab/>
      </w:r>
      <w:r>
        <w:rPr>
          <w:rFonts w:hint="eastAsia" w:ascii="仿宋" w:hAnsi="仿宋" w:eastAsia="仿宋" w:cs="仿宋"/>
          <w:bCs/>
          <w:color w:val="000000" w:themeColor="text1"/>
          <w:sz w:val="24"/>
          <w14:textFill>
            <w14:solidFill>
              <w14:schemeClr w14:val="tx1"/>
            </w14:solidFill>
          </w14:textFill>
        </w:rPr>
        <w:t>给水：土建EPC工程总承包单位已完成给水点位的预留。供应商负责接驳点位后的所有材料采购、安装等工作。</w:t>
      </w:r>
    </w:p>
    <w:p w14:paraId="1242A13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w:t>
      </w:r>
      <w:r>
        <w:rPr>
          <w:rFonts w:hint="eastAsia" w:ascii="仿宋" w:hAnsi="仿宋" w:eastAsia="仿宋" w:cs="仿宋"/>
          <w:bCs/>
          <w:color w:val="000000" w:themeColor="text1"/>
          <w:sz w:val="24"/>
          <w14:textFill>
            <w14:solidFill>
              <w14:schemeClr w14:val="tx1"/>
            </w14:solidFill>
          </w14:textFill>
        </w:rPr>
        <w:tab/>
      </w:r>
      <w:r>
        <w:rPr>
          <w:rFonts w:hint="eastAsia" w:ascii="仿宋" w:hAnsi="仿宋" w:eastAsia="仿宋" w:cs="仿宋"/>
          <w:bCs/>
          <w:color w:val="000000" w:themeColor="text1"/>
          <w:sz w:val="24"/>
          <w14:textFill>
            <w14:solidFill>
              <w14:schemeClr w14:val="tx1"/>
            </w14:solidFill>
          </w14:textFill>
        </w:rPr>
        <w:t>电气：土建EPC工程总承包单位已完成总配电箱的安装，供应商从总配电箱接取电源并负责土建EPC工程总承包单位预留的总配电箱后的线管、线槽、电缆、电线、动力箱等采购、安装、调试、验收等工作。</w:t>
      </w:r>
    </w:p>
    <w:p w14:paraId="0E7D13C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w:t>
      </w:r>
      <w:r>
        <w:rPr>
          <w:rFonts w:hint="eastAsia" w:ascii="仿宋" w:hAnsi="仿宋" w:eastAsia="仿宋" w:cs="仿宋"/>
          <w:bCs/>
          <w:color w:val="000000" w:themeColor="text1"/>
          <w:sz w:val="24"/>
          <w14:textFill>
            <w14:solidFill>
              <w14:schemeClr w14:val="tx1"/>
            </w14:solidFill>
          </w14:textFill>
        </w:rPr>
        <w:tab/>
      </w:r>
      <w:r>
        <w:rPr>
          <w:rFonts w:hint="eastAsia" w:ascii="仿宋" w:hAnsi="仿宋" w:eastAsia="仿宋" w:cs="仿宋"/>
          <w:bCs/>
          <w:color w:val="000000" w:themeColor="text1"/>
          <w:sz w:val="24"/>
          <w14:textFill>
            <w14:solidFill>
              <w14:schemeClr w14:val="tx1"/>
            </w14:solidFill>
          </w14:textFill>
        </w:rPr>
        <w:t>供应商负责设备交付使用前现场因运输、二次搬运、安装、检测、验收等所有相关环节产生的垃圾清理工作。</w:t>
      </w:r>
    </w:p>
    <w:p w14:paraId="094E180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5）信息接口：智慧校园已提供室内信息接口，供应商负责信息接口至使用设备之间的所有材料采购、施工、安装、调试。</w:t>
      </w:r>
    </w:p>
    <w:p w14:paraId="0B2DF2A5">
      <w:pPr>
        <w:pStyle w:val="5"/>
        <w:spacing w:line="400" w:lineRule="exact"/>
        <w:ind w:firstLine="482"/>
        <w:outlineLvl w:val="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二、技术要求细则</w:t>
      </w:r>
    </w:p>
    <w:p w14:paraId="623C1FA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★（一）说明</w:t>
      </w:r>
    </w:p>
    <w:p w14:paraId="2961EF5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供应商所投产品必须符合下列</w:t>
      </w:r>
      <w:r>
        <w:rPr>
          <w:rFonts w:hint="eastAsia" w:ascii="仿宋" w:hAnsi="仿宋" w:eastAsia="仿宋" w:cs="仿宋"/>
          <w:color w:val="000000" w:themeColor="text1"/>
          <w:sz w:val="24"/>
          <w14:textFill>
            <w14:solidFill>
              <w14:schemeClr w14:val="tx1"/>
            </w14:solidFill>
          </w14:textFill>
        </w:rPr>
        <w:t>标注“</w:t>
      </w:r>
      <w:r>
        <w:rPr>
          <w:rFonts w:hint="eastAsia" w:ascii="仿宋" w:hAnsi="仿宋" w:eastAsia="仿宋" w:cs="仿宋"/>
          <w:bCs/>
          <w:color w:val="000000" w:themeColor="text1"/>
          <w:sz w:val="24"/>
          <w14:textFill>
            <w14:solidFill>
              <w14:schemeClr w14:val="tx1"/>
            </w14:solidFill>
          </w14:textFill>
        </w:rPr>
        <w:t>★</w:t>
      </w:r>
      <w:r>
        <w:rPr>
          <w:rFonts w:hint="eastAsia" w:ascii="仿宋" w:hAnsi="仿宋" w:eastAsia="仿宋" w:cs="仿宋"/>
          <w:color w:val="000000" w:themeColor="text1"/>
          <w:sz w:val="24"/>
          <w14:textFill>
            <w14:solidFill>
              <w14:schemeClr w14:val="tx1"/>
            </w14:solidFill>
          </w14:textFill>
        </w:rPr>
        <w:t>”的</w:t>
      </w:r>
      <w:r>
        <w:rPr>
          <w:rFonts w:hint="eastAsia" w:ascii="仿宋" w:hAnsi="仿宋" w:eastAsia="仿宋" w:cs="仿宋"/>
          <w:bCs/>
          <w:color w:val="000000" w:themeColor="text1"/>
          <w:sz w:val="24"/>
          <w14:textFill>
            <w14:solidFill>
              <w14:schemeClr w14:val="tx1"/>
            </w14:solidFill>
          </w14:textFill>
        </w:rPr>
        <w:t>要求，若供应商有任何疑问，请在答疑时提出，并以采购人的招标文件和补遗文件（如有）为准。</w:t>
      </w:r>
    </w:p>
    <w:p w14:paraId="31B78F5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★（二）适用标准及规范和当地条例</w:t>
      </w:r>
    </w:p>
    <w:p w14:paraId="702F8DB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1)本技术要求内所列的有关规范和标准是指投标截止日前民航总局所颁布的最新修订版本。</w:t>
      </w:r>
    </w:p>
    <w:p w14:paraId="67F9DC2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2)货物必须满足国家、地方或行业主管部门对本次采购产品有关的技术标准、质量标准和资格资质条件等规定与要求，投标人须在投标时做出对应承诺。</w:t>
      </w:r>
    </w:p>
    <w:p w14:paraId="1EC9EA4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3）国家标准、当地政府的条例、指令和规范。</w:t>
      </w:r>
    </w:p>
    <w:p w14:paraId="5DAFA2FE">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4）本招标文件和建筑图纸（附件）。</w:t>
      </w:r>
    </w:p>
    <w:p w14:paraId="756C8E8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5）行业认可的其它标准。</w:t>
      </w:r>
    </w:p>
    <w:p w14:paraId="33F2FD2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6)上述各技术要求之间发生矛盾时，则应按其中最高要求执行。</w:t>
      </w:r>
    </w:p>
    <w:p w14:paraId="03748F9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（三）技术参数</w:t>
      </w:r>
    </w:p>
    <w:p w14:paraId="0DD351E9">
      <w:pPr>
        <w:pStyle w:val="4"/>
        <w:rPr>
          <w:rFonts w:hint="eastAsia" w:ascii="仿宋" w:hAnsi="仿宋" w:eastAsia="仿宋" w:cs="仿宋"/>
          <w:b w:val="0"/>
          <w:bCs/>
          <w:color w:val="000000" w:themeColor="text1"/>
          <w14:textFill>
            <w14:solidFill>
              <w14:schemeClr w14:val="tx1"/>
            </w14:solidFill>
          </w14:textFill>
        </w:rPr>
      </w:pPr>
      <w:r>
        <w:rPr>
          <w:rFonts w:hint="eastAsia" w:ascii="仿宋" w:hAnsi="仿宋" w:eastAsia="仿宋" w:cs="仿宋"/>
          <w:b w:val="0"/>
          <w:bCs/>
          <w:color w:val="000000" w:themeColor="text1"/>
          <w14:textFill>
            <w14:solidFill>
              <w14:schemeClr w14:val="tx1"/>
            </w14:solidFill>
          </w14:textFill>
        </w:rPr>
        <w:t>01包详细技术参数：</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12"/>
        <w:gridCol w:w="1998"/>
        <w:gridCol w:w="4051"/>
        <w:gridCol w:w="1861"/>
      </w:tblGrid>
      <w:tr w14:paraId="25C8C6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359" w:type="pct"/>
            <w:noWrap w:val="0"/>
            <w:vAlign w:val="center"/>
          </w:tcPr>
          <w:p w14:paraId="0F1B97D7">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序号</w:t>
            </w:r>
          </w:p>
        </w:tc>
        <w:tc>
          <w:tcPr>
            <w:tcW w:w="1172" w:type="pct"/>
            <w:noWrap w:val="0"/>
            <w:vAlign w:val="center"/>
          </w:tcPr>
          <w:p w14:paraId="271EE91D">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设备名称</w:t>
            </w:r>
          </w:p>
        </w:tc>
        <w:tc>
          <w:tcPr>
            <w:tcW w:w="2376" w:type="pct"/>
            <w:noWrap w:val="0"/>
            <w:vAlign w:val="center"/>
          </w:tcPr>
          <w:p w14:paraId="3FE4D46A">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货物组成及参数</w:t>
            </w:r>
          </w:p>
        </w:tc>
        <w:tc>
          <w:tcPr>
            <w:tcW w:w="1091" w:type="pct"/>
            <w:noWrap w:val="0"/>
            <w:vAlign w:val="center"/>
          </w:tcPr>
          <w:p w14:paraId="65F1ADA9">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备注</w:t>
            </w:r>
          </w:p>
        </w:tc>
      </w:tr>
      <w:tr w14:paraId="203187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96" w:hRule="atLeast"/>
          <w:jc w:val="center"/>
        </w:trPr>
        <w:tc>
          <w:tcPr>
            <w:tcW w:w="359" w:type="pct"/>
            <w:noWrap w:val="0"/>
            <w:vAlign w:val="center"/>
          </w:tcPr>
          <w:p w14:paraId="7961502A">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1</w:t>
            </w:r>
          </w:p>
        </w:tc>
        <w:tc>
          <w:tcPr>
            <w:tcW w:w="1172" w:type="pct"/>
            <w:noWrap w:val="0"/>
            <w:vAlign w:val="center"/>
          </w:tcPr>
          <w:p w14:paraId="7B4A96C4">
            <w:pPr>
              <w:adjustRightInd w:val="0"/>
              <w:snapToGrid w:val="0"/>
              <w:spacing w:after="0" w:line="360" w:lineRule="auto"/>
              <w:jc w:val="center"/>
              <w:rPr>
                <w:rFonts w:hint="eastAsia" w:ascii="仿宋" w:hAnsi="仿宋" w:eastAsia="仿宋" w:cs="仿宋"/>
                <w:bCs/>
                <w:snapToGrid w:val="0"/>
                <w:color w:val="000000" w:themeColor="text1"/>
                <w:spacing w:val="-4"/>
                <w:sz w:val="24"/>
                <w14:textFill>
                  <w14:solidFill>
                    <w14:schemeClr w14:val="tx1"/>
                  </w14:solidFill>
                </w14:textFill>
              </w:rPr>
            </w:pPr>
            <w:r>
              <w:rPr>
                <w:rFonts w:hint="eastAsia" w:ascii="仿宋" w:hAnsi="仿宋" w:eastAsia="仿宋" w:cs="仿宋"/>
                <w:bCs/>
                <w:snapToGrid w:val="0"/>
                <w:color w:val="000000" w:themeColor="text1"/>
                <w:spacing w:val="-4"/>
                <w:sz w:val="24"/>
                <w14:textFill>
                  <w14:solidFill>
                    <w14:schemeClr w14:val="tx1"/>
                  </w14:solidFill>
                </w14:textFill>
              </w:rPr>
              <w:t>树脂合成装置</w:t>
            </w:r>
          </w:p>
        </w:tc>
        <w:tc>
          <w:tcPr>
            <w:tcW w:w="2376" w:type="pct"/>
            <w:noWrap w:val="0"/>
            <w:vAlign w:val="center"/>
          </w:tcPr>
          <w:p w14:paraId="2C0DCFFC">
            <w:pPr>
              <w:adjustRightInd w:val="0"/>
              <w:snapToGrid w:val="0"/>
              <w:spacing w:before="156" w:beforeLines="50" w:after="0" w:line="300" w:lineRule="auto"/>
              <w:jc w:val="left"/>
              <w:outlineLvl w:val="1"/>
              <w:rPr>
                <w:rFonts w:hint="eastAsia" w:ascii="仿宋" w:hAnsi="仿宋" w:eastAsia="仿宋" w:cs="仿宋"/>
                <w:b/>
                <w:bCs/>
                <w:snapToGrid w:val="0"/>
                <w:color w:val="000000" w:themeColor="text1"/>
                <w:sz w:val="24"/>
                <w14:textFill>
                  <w14:solidFill>
                    <w14:schemeClr w14:val="tx1"/>
                  </w14:solidFill>
                </w14:textFill>
              </w:rPr>
            </w:pPr>
            <w:r>
              <w:rPr>
                <w:rFonts w:hint="eastAsia" w:ascii="仿宋" w:hAnsi="仿宋" w:eastAsia="仿宋" w:cs="仿宋"/>
                <w:b/>
                <w:bCs/>
                <w:snapToGrid w:val="0"/>
                <w:color w:val="000000" w:themeColor="text1"/>
                <w:sz w:val="24"/>
                <w14:textFill>
                  <w14:solidFill>
                    <w14:schemeClr w14:val="tx1"/>
                  </w14:solidFill>
                </w14:textFill>
              </w:rPr>
              <w:t>（一）规格组成</w:t>
            </w:r>
          </w:p>
          <w:p w14:paraId="670DB7AC">
            <w:pPr>
              <w:adjustRightInd w:val="0"/>
              <w:snapToGrid w:val="0"/>
              <w:spacing w:after="0" w:line="300" w:lineRule="auto"/>
              <w:rPr>
                <w:rFonts w:hint="eastAsia" w:ascii="仿宋" w:hAnsi="仿宋" w:eastAsia="仿宋" w:cs="仿宋"/>
                <w:bCs/>
                <w:snapToGrid w:val="0"/>
                <w:color w:val="000000" w:themeColor="text1"/>
                <w:sz w:val="24"/>
                <w14:textFill>
                  <w14:solidFill>
                    <w14:schemeClr w14:val="tx1"/>
                  </w14:solidFill>
                </w14:textFill>
              </w:rPr>
            </w:pPr>
            <w:r>
              <w:rPr>
                <w:rFonts w:hint="eastAsia" w:ascii="仿宋" w:hAnsi="仿宋" w:eastAsia="仿宋" w:cs="仿宋"/>
                <w:bCs/>
                <w:snapToGrid w:val="0"/>
                <w:color w:val="000000" w:themeColor="text1"/>
                <w:sz w:val="24"/>
                <w14:textFill>
                  <w14:solidFill>
                    <w14:schemeClr w14:val="tx1"/>
                  </w14:solidFill>
                </w14:textFill>
              </w:rPr>
              <w:t>1、合成容器耐受温度-80~200℃；合成容器抗温差90℃；组数不低于6组，单组带6搅拌口、传感器、冷凝器连接口、液体加料口、恒压漏斗接口、固液体加料口；</w:t>
            </w:r>
          </w:p>
          <w:p w14:paraId="6481E1EB">
            <w:pPr>
              <w:adjustRightInd w:val="0"/>
              <w:snapToGrid w:val="0"/>
              <w:spacing w:after="0" w:line="300" w:lineRule="auto"/>
              <w:rPr>
                <w:rFonts w:hint="eastAsia" w:ascii="仿宋" w:hAnsi="仿宋" w:eastAsia="仿宋" w:cs="仿宋"/>
                <w:bCs/>
                <w:snapToGrid w:val="0"/>
                <w:color w:val="000000" w:themeColor="text1"/>
                <w:sz w:val="24"/>
                <w14:textFill>
                  <w14:solidFill>
                    <w14:schemeClr w14:val="tx1"/>
                  </w14:solidFill>
                </w14:textFill>
              </w:rPr>
            </w:pPr>
            <w:r>
              <w:rPr>
                <w:rFonts w:hint="eastAsia" w:ascii="仿宋" w:hAnsi="仿宋" w:eastAsia="仿宋" w:cs="仿宋"/>
                <w:bCs/>
                <w:snapToGrid w:val="0"/>
                <w:color w:val="000000" w:themeColor="text1"/>
                <w:sz w:val="24"/>
                <w14:textFill>
                  <w14:solidFill>
                    <w14:schemeClr w14:val="tx1"/>
                  </w14:solidFill>
                </w14:textFill>
              </w:rPr>
              <w:t>2、耐受30PSI正压和25InchHg真空度；电子调速；电机转速50~500rpm；循环口DN15；负载类型220V/50Hz。</w:t>
            </w:r>
          </w:p>
          <w:p w14:paraId="4F0D7919">
            <w:pPr>
              <w:adjustRightInd w:val="0"/>
              <w:snapToGrid w:val="0"/>
              <w:spacing w:after="0" w:line="300" w:lineRule="auto"/>
              <w:rPr>
                <w:rFonts w:hint="eastAsia" w:ascii="仿宋" w:hAnsi="仿宋" w:eastAsia="仿宋" w:cs="仿宋"/>
                <w:bCs/>
                <w:snapToGrid w:val="0"/>
                <w:color w:val="000000" w:themeColor="text1"/>
                <w:sz w:val="24"/>
                <w14:textFill>
                  <w14:solidFill>
                    <w14:schemeClr w14:val="tx1"/>
                  </w14:solidFill>
                </w14:textFill>
              </w:rPr>
            </w:pPr>
            <w:r>
              <w:rPr>
                <w:rFonts w:hint="eastAsia" w:ascii="仿宋" w:hAnsi="仿宋" w:eastAsia="仿宋" w:cs="仿宋"/>
                <w:bCs/>
                <w:snapToGrid w:val="0"/>
                <w:color w:val="000000" w:themeColor="text1"/>
                <w:sz w:val="24"/>
                <w14:textFill>
                  <w14:solidFill>
                    <w14:schemeClr w14:val="tx1"/>
                  </w14:solidFill>
                </w14:textFill>
              </w:rPr>
              <w:t>★3、单组合成容器容积1L~300L；单组电机功率&gt;80W；含真空设备、气瓶架、防爆物料箱及配套桌椅台架。</w:t>
            </w:r>
          </w:p>
          <w:p w14:paraId="4FA59D2C">
            <w:pPr>
              <w:adjustRightInd w:val="0"/>
              <w:snapToGrid w:val="0"/>
              <w:spacing w:after="0" w:line="300" w:lineRule="auto"/>
              <w:rPr>
                <w:rFonts w:hint="eastAsia" w:ascii="仿宋" w:hAnsi="仿宋" w:eastAsia="仿宋" w:cs="仿宋"/>
                <w:bCs/>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kern w:val="0"/>
                <w:sz w:val="24"/>
                <w:lang w:bidi="ar"/>
                <w14:textFill>
                  <w14:solidFill>
                    <w14:schemeClr w14:val="tx1"/>
                  </w14:solidFill>
                </w14:textFill>
              </w:rPr>
              <w:t>★4、至少提供三组容器组搭配方案，每组方案至少包含2L以下容积容器5套、2~10L容积容器2套和100~300L容积容器1套（每套容器数量不少于3个）。</w:t>
            </w:r>
          </w:p>
        </w:tc>
        <w:tc>
          <w:tcPr>
            <w:tcW w:w="1091" w:type="pct"/>
            <w:noWrap w:val="0"/>
            <w:vAlign w:val="center"/>
          </w:tcPr>
          <w:p w14:paraId="5C3BB245">
            <w:pPr>
              <w:widowControl/>
              <w:adjustRightInd w:val="0"/>
              <w:snapToGrid w:val="0"/>
              <w:spacing w:after="0" w:line="360" w:lineRule="auto"/>
              <w:jc w:val="left"/>
              <w:rPr>
                <w:rFonts w:hint="eastAsia" w:ascii="仿宋" w:hAnsi="仿宋" w:eastAsia="仿宋" w:cs="仿宋"/>
                <w:snapToGrid w:val="0"/>
                <w:color w:val="000000" w:themeColor="text1"/>
                <w:sz w:val="24"/>
                <w14:textFill>
                  <w14:solidFill>
                    <w14:schemeClr w14:val="tx1"/>
                  </w14:solidFill>
                </w14:textFill>
              </w:rPr>
            </w:pPr>
          </w:p>
        </w:tc>
      </w:tr>
      <w:tr w14:paraId="653145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5" w:hRule="atLeast"/>
          <w:jc w:val="center"/>
        </w:trPr>
        <w:tc>
          <w:tcPr>
            <w:tcW w:w="359" w:type="pct"/>
            <w:noWrap w:val="0"/>
            <w:vAlign w:val="center"/>
          </w:tcPr>
          <w:p w14:paraId="6472300C">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2</w:t>
            </w:r>
          </w:p>
        </w:tc>
        <w:tc>
          <w:tcPr>
            <w:tcW w:w="1172" w:type="pct"/>
            <w:noWrap w:val="0"/>
            <w:vAlign w:val="center"/>
          </w:tcPr>
          <w:p w14:paraId="08C6BE00">
            <w:pPr>
              <w:adjustRightInd w:val="0"/>
              <w:snapToGrid w:val="0"/>
              <w:spacing w:after="0" w:line="360" w:lineRule="auto"/>
              <w:jc w:val="center"/>
              <w:rPr>
                <w:rFonts w:hint="eastAsia" w:ascii="仿宋" w:hAnsi="仿宋" w:eastAsia="仿宋" w:cs="仿宋"/>
                <w:bCs/>
                <w:snapToGrid w:val="0"/>
                <w:color w:val="000000" w:themeColor="text1"/>
                <w:spacing w:val="-4"/>
                <w:sz w:val="24"/>
                <w14:textFill>
                  <w14:solidFill>
                    <w14:schemeClr w14:val="tx1"/>
                  </w14:solidFill>
                </w14:textFill>
              </w:rPr>
            </w:pPr>
            <w:r>
              <w:rPr>
                <w:rFonts w:hint="eastAsia" w:ascii="仿宋" w:hAnsi="仿宋" w:eastAsia="仿宋" w:cs="仿宋"/>
                <w:bCs/>
                <w:snapToGrid w:val="0"/>
                <w:color w:val="000000" w:themeColor="text1"/>
                <w:spacing w:val="-4"/>
                <w:sz w:val="24"/>
                <w14:textFill>
                  <w14:solidFill>
                    <w14:schemeClr w14:val="tx1"/>
                  </w14:solidFill>
                </w14:textFill>
              </w:rPr>
              <w:t>箱式喷漆系统</w:t>
            </w:r>
          </w:p>
        </w:tc>
        <w:tc>
          <w:tcPr>
            <w:tcW w:w="2376" w:type="pct"/>
            <w:noWrap w:val="0"/>
            <w:vAlign w:val="center"/>
          </w:tcPr>
          <w:p w14:paraId="4DC4568C">
            <w:pPr>
              <w:adjustRightInd w:val="0"/>
              <w:snapToGrid w:val="0"/>
              <w:spacing w:before="156" w:beforeLines="50" w:after="0" w:line="300" w:lineRule="auto"/>
              <w:jc w:val="left"/>
              <w:outlineLvl w:val="1"/>
              <w:rPr>
                <w:rFonts w:hint="eastAsia" w:ascii="仿宋" w:hAnsi="仿宋" w:eastAsia="仿宋" w:cs="仿宋"/>
                <w:b/>
                <w:bCs/>
                <w:snapToGrid w:val="0"/>
                <w:color w:val="000000" w:themeColor="text1"/>
                <w:sz w:val="24"/>
                <w14:textFill>
                  <w14:solidFill>
                    <w14:schemeClr w14:val="tx1"/>
                  </w14:solidFill>
                </w14:textFill>
              </w:rPr>
            </w:pPr>
            <w:r>
              <w:rPr>
                <w:rFonts w:hint="eastAsia" w:ascii="仿宋" w:hAnsi="仿宋" w:eastAsia="仿宋" w:cs="仿宋"/>
                <w:b/>
                <w:bCs/>
                <w:snapToGrid w:val="0"/>
                <w:color w:val="000000" w:themeColor="text1"/>
                <w:sz w:val="24"/>
                <w14:textFill>
                  <w14:solidFill>
                    <w14:schemeClr w14:val="tx1"/>
                  </w14:solidFill>
                </w14:textFill>
              </w:rPr>
              <w:t>（一）规格组成</w:t>
            </w:r>
          </w:p>
          <w:p w14:paraId="51822AF9">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1、闭式箱体尺寸不小于长3m*宽3m*高3 m。</w:t>
            </w:r>
          </w:p>
          <w:p w14:paraId="754B1096">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★2、带6轴涂装机器人，涂装工作范围不低于1200mm，腕部最大承载能力不低于8kg，直线补偿速度不低于1.5m/s，重复定位精度不高于±0.2mm，旋转角不低于160°，俯仰角不低于120°。</w:t>
            </w:r>
          </w:p>
          <w:p w14:paraId="721F81AE">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3、三色换色系统，涂料粘度范围50~30000厘帕，调漆成分误差不超过0.8%，电子配比20种以上主剂、3种以上固化剂、50份以上自动配方。</w:t>
            </w:r>
          </w:p>
          <w:p w14:paraId="1B484197">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4、环境温度控制能力-15~25±0.5℃，湿度控制在40~70±1%；电泳槽纹波系数不高于4%；环境除尘率99%以上。</w:t>
            </w:r>
          </w:p>
          <w:p w14:paraId="67EA197C">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kern w:val="0"/>
                <w:sz w:val="24"/>
                <w:lang w:bidi="ar"/>
                <w14:textFill>
                  <w14:solidFill>
                    <w14:schemeClr w14:val="tx1"/>
                  </w14:solidFill>
                </w14:textFill>
              </w:rPr>
              <w:t>★5、设备包含箱体、气源设备、环境控制系统、喷涂机器人、样品台架、配色系统、换色系统、电泳槽，5种以上孔径的气动喷枪。</w:t>
            </w:r>
          </w:p>
        </w:tc>
        <w:tc>
          <w:tcPr>
            <w:tcW w:w="1091" w:type="pct"/>
            <w:noWrap w:val="0"/>
            <w:vAlign w:val="center"/>
          </w:tcPr>
          <w:p w14:paraId="6B2E3CCF">
            <w:pPr>
              <w:widowControl/>
              <w:adjustRightInd w:val="0"/>
              <w:snapToGrid w:val="0"/>
              <w:spacing w:after="0" w:line="360" w:lineRule="auto"/>
              <w:jc w:val="left"/>
              <w:rPr>
                <w:rFonts w:hint="eastAsia" w:ascii="仿宋" w:hAnsi="仿宋" w:eastAsia="仿宋" w:cs="仿宋"/>
                <w:snapToGrid w:val="0"/>
                <w:color w:val="000000" w:themeColor="text1"/>
                <w:spacing w:val="-4"/>
                <w:sz w:val="24"/>
                <w14:textFill>
                  <w14:solidFill>
                    <w14:schemeClr w14:val="tx1"/>
                  </w14:solidFill>
                </w14:textFill>
              </w:rPr>
            </w:pPr>
          </w:p>
        </w:tc>
      </w:tr>
      <w:tr w14:paraId="0066DC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7" w:hRule="atLeast"/>
          <w:jc w:val="center"/>
        </w:trPr>
        <w:tc>
          <w:tcPr>
            <w:tcW w:w="359" w:type="pct"/>
            <w:noWrap w:val="0"/>
            <w:vAlign w:val="center"/>
          </w:tcPr>
          <w:p w14:paraId="7FE4752D">
            <w:pPr>
              <w:adjustRightInd w:val="0"/>
              <w:snapToGrid w:val="0"/>
              <w:spacing w:after="0" w:line="360" w:lineRule="auto"/>
              <w:jc w:val="center"/>
              <w:rPr>
                <w:rFonts w:hint="eastAsia" w:ascii="仿宋" w:hAnsi="仿宋" w:eastAsia="仿宋" w:cs="仿宋"/>
                <w:snapToGrid w:val="0"/>
                <w:color w:val="000000" w:themeColor="text1"/>
                <w:spacing w:val="-4"/>
                <w:sz w:val="24"/>
                <w14:textFill>
                  <w14:solidFill>
                    <w14:schemeClr w14:val="tx1"/>
                  </w14:solidFill>
                </w14:textFill>
              </w:rPr>
            </w:pPr>
            <w:r>
              <w:rPr>
                <w:rFonts w:hint="eastAsia" w:ascii="仿宋" w:hAnsi="仿宋" w:eastAsia="仿宋" w:cs="仿宋"/>
                <w:snapToGrid w:val="0"/>
                <w:color w:val="000000" w:themeColor="text1"/>
                <w:spacing w:val="-4"/>
                <w:sz w:val="24"/>
                <w14:textFill>
                  <w14:solidFill>
                    <w14:schemeClr w14:val="tx1"/>
                  </w14:solidFill>
                </w14:textFill>
              </w:rPr>
              <w:t>3</w:t>
            </w:r>
          </w:p>
        </w:tc>
        <w:tc>
          <w:tcPr>
            <w:tcW w:w="1172" w:type="pct"/>
            <w:noWrap w:val="0"/>
            <w:vAlign w:val="center"/>
          </w:tcPr>
          <w:p w14:paraId="1B8A3913">
            <w:pPr>
              <w:adjustRightInd w:val="0"/>
              <w:snapToGrid w:val="0"/>
              <w:spacing w:after="0" w:line="360" w:lineRule="auto"/>
              <w:jc w:val="center"/>
              <w:rPr>
                <w:rFonts w:hint="eastAsia" w:ascii="仿宋" w:hAnsi="仿宋" w:eastAsia="仿宋" w:cs="仿宋"/>
                <w:bCs/>
                <w:snapToGrid w:val="0"/>
                <w:color w:val="000000" w:themeColor="text1"/>
                <w:spacing w:val="-4"/>
                <w:sz w:val="24"/>
                <w14:textFill>
                  <w14:solidFill>
                    <w14:schemeClr w14:val="tx1"/>
                  </w14:solidFill>
                </w14:textFill>
              </w:rPr>
            </w:pPr>
            <w:r>
              <w:rPr>
                <w:rFonts w:hint="eastAsia" w:ascii="仿宋" w:hAnsi="仿宋" w:eastAsia="仿宋" w:cs="仿宋"/>
                <w:bCs/>
                <w:snapToGrid w:val="0"/>
                <w:color w:val="000000" w:themeColor="text1"/>
                <w:spacing w:val="-4"/>
                <w:sz w:val="24"/>
                <w14:textFill>
                  <w14:solidFill>
                    <w14:schemeClr w14:val="tx1"/>
                  </w14:solidFill>
                </w14:textFill>
              </w:rPr>
              <w:t>氙灯气候老化试验机</w:t>
            </w:r>
          </w:p>
        </w:tc>
        <w:tc>
          <w:tcPr>
            <w:tcW w:w="2376" w:type="pct"/>
            <w:noWrap w:val="0"/>
            <w:vAlign w:val="center"/>
          </w:tcPr>
          <w:p w14:paraId="2468B3DC">
            <w:pPr>
              <w:adjustRightInd w:val="0"/>
              <w:snapToGrid w:val="0"/>
              <w:spacing w:after="0" w:line="300" w:lineRule="auto"/>
              <w:jc w:val="left"/>
              <w:outlineLvl w:val="1"/>
              <w:rPr>
                <w:rFonts w:hint="eastAsia" w:ascii="仿宋" w:hAnsi="仿宋" w:eastAsia="仿宋" w:cs="仿宋"/>
                <w:b/>
                <w:bCs/>
                <w:snapToGrid w:val="0"/>
                <w:color w:val="000000" w:themeColor="text1"/>
                <w:sz w:val="24"/>
                <w14:textFill>
                  <w14:solidFill>
                    <w14:schemeClr w14:val="tx1"/>
                  </w14:solidFill>
                </w14:textFill>
              </w:rPr>
            </w:pPr>
            <w:r>
              <w:rPr>
                <w:rFonts w:hint="eastAsia" w:ascii="仿宋" w:hAnsi="仿宋" w:eastAsia="仿宋" w:cs="仿宋"/>
                <w:b/>
                <w:bCs/>
                <w:snapToGrid w:val="0"/>
                <w:color w:val="000000" w:themeColor="text1"/>
                <w:sz w:val="24"/>
                <w14:textFill>
                  <w14:solidFill>
                    <w14:schemeClr w14:val="tx1"/>
                  </w14:solidFill>
                </w14:textFill>
              </w:rPr>
              <w:t>（一）规格组成</w:t>
            </w:r>
          </w:p>
          <w:p w14:paraId="64FAD8F1">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1、工作室尺寸不小于500×500×500 mm。</w:t>
            </w:r>
          </w:p>
          <w:p w14:paraId="2B2D5BBE">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2、温度范围不小于-30~80℃，不低于2只氙气灯。</w:t>
            </w:r>
          </w:p>
          <w:p w14:paraId="4BFF8F29">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3、湿度范围不小于65~98%RH，不低于4个加湿喷头。</w:t>
            </w:r>
          </w:p>
          <w:p w14:paraId="31B252EE">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4、温度波动不大于±0.5℃；温度均匀度不大于±2.0℃。</w:t>
            </w:r>
          </w:p>
          <w:p w14:paraId="31F3D000">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5、硼硅玻璃滤光器；风冷式氙弧光源；湿度波动度不大于+2~-3℃；加热功率不低于2.0kW。</w:t>
            </w:r>
          </w:p>
          <w:p w14:paraId="2CFE3A0E">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sz w:val="24"/>
                <w14:textFill>
                  <w14:solidFill>
                    <w14:schemeClr w14:val="tx1"/>
                  </w14:solidFill>
                </w14:textFill>
              </w:rPr>
              <w:t>6、带有数字式光学观测系统。</w:t>
            </w:r>
          </w:p>
          <w:p w14:paraId="69F68ADF">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snapToGrid w:val="0"/>
                <w:color w:val="000000" w:themeColor="text1"/>
                <w:kern w:val="0"/>
                <w:sz w:val="24"/>
                <w:lang w:bidi="ar"/>
                <w14:textFill>
                  <w14:solidFill>
                    <w14:schemeClr w14:val="tx1"/>
                  </w14:solidFill>
                </w14:textFill>
              </w:rPr>
              <w:t>★7、带有温湿度控制系统、光学滤光系统和数字式光学观测系统。</w:t>
            </w:r>
          </w:p>
          <w:p w14:paraId="0C5A1CDF">
            <w:pPr>
              <w:pStyle w:val="11"/>
              <w:rPr>
                <w:rFonts w:hint="eastAsia" w:ascii="仿宋" w:hAnsi="仿宋" w:eastAsia="仿宋" w:cs="仿宋"/>
                <w:color w:val="000000" w:themeColor="text1"/>
                <w:sz w:val="24"/>
                <w:lang w:val="en-US"/>
                <w14:textFill>
                  <w14:solidFill>
                    <w14:schemeClr w14:val="tx1"/>
                  </w14:solidFill>
                </w14:textFill>
              </w:rPr>
            </w:pPr>
            <w:r>
              <w:rPr>
                <w:rFonts w:hint="eastAsia" w:ascii="仿宋" w:hAnsi="仿宋" w:eastAsia="仿宋" w:cs="仿宋"/>
                <w:color w:val="000000" w:themeColor="text1"/>
                <w:sz w:val="24"/>
                <w:lang w:val="en-US"/>
                <w14:textFill>
                  <w14:solidFill>
                    <w14:schemeClr w14:val="tx1"/>
                  </w14:solidFill>
                </w14:textFill>
              </w:rPr>
              <w:t>8、单人工作椅11个（环保材料制，0.6m长*0.6m宽*0.4m高）</w:t>
            </w:r>
          </w:p>
          <w:p w14:paraId="000607FF">
            <w:pPr>
              <w:adjustRightInd w:val="0"/>
              <w:snapToGrid w:val="0"/>
              <w:spacing w:after="0" w:line="300" w:lineRule="auto"/>
              <w:rPr>
                <w:rFonts w:hint="eastAsia" w:ascii="仿宋" w:hAnsi="仿宋" w:eastAsia="仿宋" w:cs="仿宋"/>
                <w:snapToGrid w:val="0"/>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9、工作台1个（不锈钢制，1.6m长*0.8m宽*0.7m高）</w:t>
            </w:r>
            <w:r>
              <w:rPr>
                <w:rFonts w:hint="eastAsia" w:ascii="仿宋" w:hAnsi="仿宋" w:eastAsia="仿宋" w:cs="仿宋"/>
                <w:color w:val="000000" w:themeColor="text1"/>
                <w:sz w:val="24"/>
                <w14:textFill>
                  <w14:solidFill>
                    <w14:schemeClr w14:val="tx1"/>
                  </w14:solidFill>
                </w14:textFill>
              </w:rPr>
              <w:br w:type="textWrapping"/>
            </w:r>
            <w:r>
              <w:rPr>
                <w:rFonts w:hint="eastAsia" w:ascii="仿宋" w:hAnsi="仿宋" w:eastAsia="仿宋" w:cs="仿宋"/>
                <w:color w:val="000000" w:themeColor="text1"/>
                <w:sz w:val="24"/>
                <w14:textFill>
                  <w14:solidFill>
                    <w14:schemeClr w14:val="tx1"/>
                  </w14:solidFill>
                </w14:textFill>
              </w:rPr>
              <w:t>10、工作台10个（不锈钢制，0.8m长*0.8m宽*0.7m高）</w:t>
            </w:r>
          </w:p>
        </w:tc>
        <w:tc>
          <w:tcPr>
            <w:tcW w:w="1091" w:type="pct"/>
            <w:noWrap w:val="0"/>
            <w:vAlign w:val="center"/>
          </w:tcPr>
          <w:p w14:paraId="544CBA9B">
            <w:pPr>
              <w:widowControl/>
              <w:adjustRightInd w:val="0"/>
              <w:snapToGrid w:val="0"/>
              <w:spacing w:after="0" w:line="360" w:lineRule="auto"/>
              <w:jc w:val="left"/>
              <w:rPr>
                <w:rFonts w:hint="eastAsia" w:ascii="仿宋" w:hAnsi="仿宋" w:eastAsia="仿宋" w:cs="仿宋"/>
                <w:snapToGrid w:val="0"/>
                <w:color w:val="000000" w:themeColor="text1"/>
                <w:spacing w:val="-4"/>
                <w:sz w:val="24"/>
                <w14:textFill>
                  <w14:solidFill>
                    <w14:schemeClr w14:val="tx1"/>
                  </w14:solidFill>
                </w14:textFill>
              </w:rPr>
            </w:pPr>
          </w:p>
        </w:tc>
      </w:tr>
    </w:tbl>
    <w:p w14:paraId="20C411C9">
      <w:pPr>
        <w:pStyle w:val="3"/>
        <w:spacing w:line="400" w:lineRule="exact"/>
        <w:ind w:firstLine="236" w:firstLineChars="98"/>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★第二部分技术、服务要求</w:t>
      </w:r>
    </w:p>
    <w:p w14:paraId="2E8F51C4">
      <w:pPr>
        <w:pStyle w:val="5"/>
        <w:spacing w:line="400" w:lineRule="exact"/>
        <w:ind w:firstLine="482"/>
        <w:outlineLvl w:val="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（一）技术要求</w:t>
      </w:r>
    </w:p>
    <w:p w14:paraId="73F8B5FF">
      <w:pPr>
        <w:pStyle w:val="5"/>
        <w:spacing w:line="400" w:lineRule="exact"/>
        <w:ind w:firstLine="48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1.规范与标准</w:t>
      </w:r>
    </w:p>
    <w:p w14:paraId="4E3D2DDE">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本技术要求所引用的标准或规范若与采购人技术要求或供应商所执行的标准发生矛盾时，按较高标准执行。如有无现行国家标准可供采用，供应商应采用符合此的地方、行业、企业标准和规范，应列出其名称、编号及版本号，其标准规范应等效或优于国家标准规范的要求。</w:t>
      </w:r>
    </w:p>
    <w:p w14:paraId="0637E99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供应商所提供的的设计、制造、安装、性能、材料的选择、材料的检验、产品的调试等，应符合本招标文件技术要求规定，同时符合现行国家、行业、地方的有关标准和规范，包含但不限于以下标准：</w:t>
      </w:r>
    </w:p>
    <w:p w14:paraId="70469C4B">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（1）设计院设计的建筑施工图纸；</w:t>
      </w:r>
    </w:p>
    <w:p w14:paraId="3F71369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（2）本招标文件及技术要求；</w:t>
      </w:r>
    </w:p>
    <w:p w14:paraId="1063E2B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（3）其他现行的行业、国家、地方相关规范及标准。</w:t>
      </w:r>
    </w:p>
    <w:p w14:paraId="446E32D3">
      <w:pPr>
        <w:pStyle w:val="5"/>
        <w:spacing w:line="400" w:lineRule="exact"/>
        <w:ind w:firstLine="48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2.要求概述</w:t>
      </w:r>
    </w:p>
    <w:p w14:paraId="6D72DF1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供应商提供的应根据现行的有关标准和规范进行设计、制造和安装，并应采用成熟且有前瞻性的新技术，满足结构合理、质量优良、配置得当、运行安全可靠、环保节能、故障率低、操作及维保简便、外形美观等本项目对的使用需求。采用的相关标准和技术规范应为投标截止日前最新公布发行的标准和技术规范。</w:t>
      </w:r>
    </w:p>
    <w:p w14:paraId="6973F20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（2）供应商提供的所有货物，其制造商应有完善的质量检测手段和质量保证体系，产品须符合国家及地方最新颁布的标准和相关规定。</w:t>
      </w:r>
    </w:p>
    <w:p w14:paraId="315A314B">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（3）供应商应提供所供产品的制造厂名称（全称）、产地等主要信息。</w:t>
      </w:r>
    </w:p>
    <w:p w14:paraId="64DF067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本供货要求仅提供本项目所需主要的亦即最低限度的技术要求，未对产品设计制造所需的全部技术要求进行完整、详细的描述，供应商应以本技术标书为基本条件，负责设备的设计、生产制造和安装，提供满足本技术标书和有关标准规范的成熟产品。</w:t>
      </w:r>
    </w:p>
    <w:p w14:paraId="0F5B237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（5）供应商应对投标内容所涉及的资质及技术专利承担责任，并负责保护采购人的利益不受相关损害。一切由于文字、商标和技术专利等侵权引起的法律裁决、诉讼和有关费用均与采购人无关。</w:t>
      </w:r>
    </w:p>
    <w:p w14:paraId="6829C0D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（6）供应商必须对本技术标书提出的技术要求逐项作出实质性的应答，如有偏离应将偏离情况填入“技术规格偏离表”，否则评标专家评审时将按不实质性响应招标文件处理。</w:t>
      </w:r>
    </w:p>
    <w:p w14:paraId="49B81B3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（7）供应商提供的所使用的度量衡单位，除技术规格中另有规定外，应统一使用中华人民共和国法定计量单位。</w:t>
      </w:r>
    </w:p>
    <w:p w14:paraId="343821E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（8）所提供的所有技术文件中的技术指标均应符合标书技术要求规定，同时符合相应的国家标准、行业标准。</w:t>
      </w:r>
    </w:p>
    <w:p w14:paraId="0A63FB83">
      <w:pPr>
        <w:pStyle w:val="5"/>
        <w:spacing w:line="400" w:lineRule="exact"/>
        <w:ind w:firstLine="48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3.投标文件的技术资料要求概述</w:t>
      </w:r>
    </w:p>
    <w:p w14:paraId="5F1E742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供应商必须按招标文件要求提供投标货物的详细技术资料，以方便采购人评标、定标。技术资料包括但不限于：</w:t>
      </w:r>
    </w:p>
    <w:p w14:paraId="432BAED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（1）提供设备制造引用的主要标准以及验收标准。</w:t>
      </w:r>
    </w:p>
    <w:p w14:paraId="1866B00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（2）提供设备的详细产品样本、总装图纸和外形图片，提供设备的结构说明、工作原理。</w:t>
      </w:r>
    </w:p>
    <w:p w14:paraId="42D94EF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（3）提供设备的重量、外形尺寸、占地面积、电力、气源供应要求。</w:t>
      </w:r>
    </w:p>
    <w:p w14:paraId="5D53127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（4）投标方提供所有计入总价的分项报价明细，并统一汇总。</w:t>
      </w:r>
    </w:p>
    <w:p w14:paraId="64CA4415">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（5）本设备技术条件要求的其余项点。</w:t>
      </w:r>
    </w:p>
    <w:p w14:paraId="75C3E69D">
      <w:pPr>
        <w:pStyle w:val="5"/>
        <w:spacing w:line="400" w:lineRule="exact"/>
        <w:ind w:firstLine="48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4.软件功能的详细描述。</w:t>
      </w:r>
    </w:p>
    <w:p w14:paraId="2A1B025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（1）技术规格书（货物的类别、主要性能、主要用材、零部件清单、技术参数、功能配置）；</w:t>
      </w:r>
    </w:p>
    <w:p w14:paraId="1CCD03EE">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（2）平面布局方案；</w:t>
      </w:r>
    </w:p>
    <w:p w14:paraId="329603A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（3）工艺设计方案；</w:t>
      </w:r>
    </w:p>
    <w:p w14:paraId="2A4169D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（4）现场吊装方案（如含有吊装）；</w:t>
      </w:r>
    </w:p>
    <w:p w14:paraId="6A795C8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（5）其他全面详细的技术资料。</w:t>
      </w:r>
    </w:p>
    <w:p w14:paraId="7BEE6C8A">
      <w:pPr>
        <w:pStyle w:val="5"/>
        <w:spacing w:line="400" w:lineRule="exact"/>
        <w:ind w:firstLine="482"/>
        <w:outlineLvl w:val="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（二）服务要求（包括但不限于以下内容）</w:t>
      </w:r>
    </w:p>
    <w:p w14:paraId="0828AE6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投标方投标时须无条件响应并满足各条款要求。投标方如有任何疑问，须在规定的答疑时间内一次性提出，最终以采购人的招标文件和补遗文件</w:t>
      </w:r>
      <w:r>
        <w:rPr>
          <w:rStyle w:val="9"/>
          <w:rFonts w:hint="eastAsia" w:ascii="仿宋" w:hAnsi="仿宋" w:eastAsia="仿宋" w:cs="仿宋"/>
          <w:bCs/>
          <w:color w:val="000000" w:themeColor="text1"/>
          <w:sz w:val="24"/>
          <w14:textFill>
            <w14:solidFill>
              <w14:schemeClr w14:val="tx1"/>
            </w14:solidFill>
          </w14:textFill>
        </w:rPr>
        <w:t>（若有）</w:t>
      </w:r>
      <w:r>
        <w:rPr>
          <w:rFonts w:hint="eastAsia" w:ascii="仿宋" w:hAnsi="仿宋" w:eastAsia="仿宋" w:cs="仿宋"/>
          <w:bCs/>
          <w:color w:val="000000" w:themeColor="text1"/>
          <w:sz w:val="24"/>
          <w14:textFill>
            <w14:solidFill>
              <w14:schemeClr w14:val="tx1"/>
            </w14:solidFill>
          </w14:textFill>
        </w:rPr>
        <w:t>为准。</w:t>
      </w:r>
    </w:p>
    <w:p w14:paraId="7DF5C3EE">
      <w:pPr>
        <w:pStyle w:val="6"/>
        <w:spacing w:after="0" w:line="360" w:lineRule="auto"/>
        <w:ind w:firstLine="480" w:firstLineChars="20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投标方应该派出有经验的技术人员按商定的时间到采购人项目所在地设备安装现场进行设备的安装、调试工作，投标方技术人员的住宿、往返机票由投标方负责。</w:t>
      </w:r>
    </w:p>
    <w:p w14:paraId="74FD809A">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1.服务总则</w:t>
      </w:r>
    </w:p>
    <w:p w14:paraId="32D1004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投标方按照随同本次招标文件一并提供的《附件1-C8民机复合材料创新中心图纸（含设备布置示意图）》进行合理的工艺布置方案（上述图纸在采购人提供的建筑图上完成（带柱网布置）；方案必须包含设备布置平面图、所在空间的剖面（立面）图、系统管线布置图，并实际反应设备与建筑空间的关系）。</w:t>
      </w:r>
    </w:p>
    <w:p w14:paraId="434D1D6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（2）工艺设计方案；投标方提供所有主要设备关键技术的工艺设计方案（含文字说明和工艺系统图）。</w:t>
      </w:r>
    </w:p>
    <w:p w14:paraId="664F631E">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（3）合同签订后14日内，供应商应结合现场实际情况编制并提交详细的排产、供货、安装、调试、验收、交付等进度计划及具体管理方案，进度及方案经采购人、全过程咨询及监理人审批后方可实施。</w:t>
      </w:r>
    </w:p>
    <w:p w14:paraId="6C2B334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在安装、调试、初步验收、最终验收过程中发现零部件、材料等质量达不到本招标文件要求时，无论采购人是否向供应商指出，供应商均应立即无条件对相关及零部件进行更换，并不得影响工程进度；若为第三方损坏，由供应商负责与损坏责任方交涉损坏索赔事宜，采购人应为此提供必要的协助。</w:t>
      </w:r>
    </w:p>
    <w:p w14:paraId="6504088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中标后，供应商不允许使用非投标时所选用的产品或材料。若在特殊情况下，供应商需更改某产品或材料，则须以书面形式向采购人提交合理解释及证明文件。供应商建议重新选用的产品或材料，其品质不得低于本招标文件的技术要求标准，并同时获得采购人的书面批准方可使用。</w:t>
      </w:r>
    </w:p>
    <w:p w14:paraId="4803FBFB">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供应商本项目拟派项目负责人和技术负责人应在投标文件中明确，实施过程中不得更换。如有特殊情况需更换，须书面向采购人、全过程咨询提出申请，同意后方可更换，更换的人员专业工作能力、工作经验不得低于投标人员。</w:t>
      </w:r>
    </w:p>
    <w:p w14:paraId="5E6E9C8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（7）采购人、全过程咨询及监理人有权拒绝接受任何不符合本技术要求的材料和工艺，并同时有权要求供应商将不符合要求的材料进行拆除和更换，因此而导致工期延误和有关费用均由供应商负责。</w:t>
      </w:r>
    </w:p>
    <w:p w14:paraId="4576FEA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（8）在深化设计、排产制造、运输安装、运行调试、验收过程中，由于供应商原因导致工期延长及其他返工损失等费用均由供应商承担。</w:t>
      </w:r>
    </w:p>
    <w:p w14:paraId="4392276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9）最终验收合格后，在设备正常使用期间，发现、零部件、材料的质量和参数达不到本招标文件的要求时（该参数正常使用衰减除外），由供应商进行修复或更换并承担相关费用，对供应商原因所造成的损失，采购人保留索赔的权力。</w:t>
      </w:r>
    </w:p>
    <w:p w14:paraId="158587A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（10）修复及更换：供应商应无偿以全新的、合格的、采购人认可的产品替换有缺陷的零部件或材料。</w:t>
      </w:r>
    </w:p>
    <w:p w14:paraId="1F154965">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（11）退货:采购人有权拒绝接受有质量问题的任何零部件和材料并退回给供应商，供应商须承担由此而发生的一切费用，否则采购人有权解除合同并要求供应商支付违约金。</w:t>
      </w:r>
    </w:p>
    <w:p w14:paraId="2526984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（12）质量保修期以双方签署合同货物最终验收文件之日起算。</w:t>
      </w:r>
    </w:p>
    <w:p w14:paraId="6206929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（13）在本项目交付前供应商须对进场的所有材料、零部件及成品承担保管责任，交付前所有材料、零部件及成品的质量安全与保管工作等均由供应商负责。</w:t>
      </w:r>
    </w:p>
    <w:p w14:paraId="09686807">
      <w:pPr>
        <w:pStyle w:val="4"/>
        <w:ind w:firstLine="48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2.设计配合和专项设计要求</w:t>
      </w:r>
    </w:p>
    <w:p w14:paraId="28E3E225">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（1）供应商中标后，需派专业技术负责人与EPC工程总承包（施工及设计单位）、采购人完成整个合同周期内的协调工作。</w:t>
      </w:r>
    </w:p>
    <w:p w14:paraId="724A24AB">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（2）工艺设计图：供应商中标后，应依据采购人提供的相关设计图纸、设备布置示意图参数及配置需求等进行设计。</w:t>
      </w:r>
    </w:p>
    <w:p w14:paraId="3D28AE8D">
      <w:pPr>
        <w:pStyle w:val="4"/>
        <w:ind w:firstLine="48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3.供货与签收</w:t>
      </w:r>
    </w:p>
    <w:p w14:paraId="5ED2EB4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供应商应负责设备的检验、运输、存放、二次加工、安装、调试、验收等工程相关所有工作。供应商负责在安装前应按规定向对应的特种安全监管部门履行安装告知义务，并抄送实施安装监检的检验机构。供应商负责安装后的报检、验收、取得许可的各种服务等，并承担为此类工作而发生的一切费用。</w:t>
      </w:r>
    </w:p>
    <w:p w14:paraId="7F08119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（3）每件包装应附有详细的装箱单和质量证书各一套。</w:t>
      </w:r>
    </w:p>
    <w:p w14:paraId="6A56607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材料存放地点：材料存放及二次加工组装场地，由供应商自行与土建EPC工程总承包单位协商确定地点，采购人给予相应的协调配合；若相关材料等对场地有防雨防潮等特殊要求，供应商自行与工程总承包单位协商或自行解决。上述相关费用，在投标报价时应一并考虑。</w:t>
      </w:r>
    </w:p>
    <w:p w14:paraId="35F56FA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供应商应在包装箱上清楚地标注“小心轻放”、“此端朝上，请勿倒置”、“保持干燥”等字样和其他适当标记。对于超大超重件，供应商应在包装箱两侧标注“重心”和“起吊点”以便装卸和搬运。如果发运合同中含有易燃易爆物品、腐蚀物品、放射性物质等危险品，则应在包装箱上标明危险品标志。</w:t>
      </w:r>
    </w:p>
    <w:p w14:paraId="2CF9169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（6）当材料到货情况与技术要求不符时，无论采购人是否向供应商指出，供应商均应立即无偿补足、替换相关材料，不得影响现场进度和项目质量。</w:t>
      </w:r>
    </w:p>
    <w:p w14:paraId="7DE8742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（7）供应商应提供新采购设备易损件及原装备品备件明细表（寄售库），含名称、型号、单价、单位、数量等，采购人根据需要有权在合同签定三年内向供应商按此价格采购。</w:t>
      </w:r>
    </w:p>
    <w:p w14:paraId="5ED933F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（8）所有产品提供其齐全的原理、技术参数、使用操作、维护说明等技术文件资料。</w:t>
      </w:r>
    </w:p>
    <w:p w14:paraId="745F62B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（9）供应商提供的所有文件资料应为中文，非中文文件资料要求有中文译本。</w:t>
      </w:r>
    </w:p>
    <w:p w14:paraId="5269DB6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（10）生产厂须提供合格的正式检测文件，否则将被判定为不合格。</w:t>
      </w:r>
    </w:p>
    <w:p w14:paraId="04288ED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（11）现场到货检验：经采购人、全过程咨询及监理人对外观、规格、型号、数量、相关证件等核对无误后，方可办理签收手续；保管由供应商负责。</w:t>
      </w:r>
    </w:p>
    <w:p w14:paraId="705CE67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（12）供应商应保证提供的各种文件载明内容的真实性及其与相关零部件、材料的符合性。</w:t>
      </w:r>
    </w:p>
    <w:p w14:paraId="30F23A29">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13）货物经签收合格签字后，并不能免除供应商对货物应承担的责任。供应商提供的各种文件载明的内容必须真实，并承担提供虚假文件所带来的一切后果。货物按照招标文件要求及投标书提供的技术参数验收必须合格，若验收时有关技术参数不能满足招标文件技术要求，采购人有权要求更换并同时有权要求索赔，采购人对产品的技术数据质疑时有权要求供应商按照双方认可的第三方地试验方法进行检测，若检测不合格，检测费用由供应商承担；若检测合格，检测费用由采购人承担。</w:t>
      </w:r>
    </w:p>
    <w:p w14:paraId="256E2D0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（14）在未得到采购人的书面批准前，送抵工地的任何材料、机件皆不得移离工地。</w:t>
      </w:r>
    </w:p>
    <w:p w14:paraId="2D001AF0">
      <w:pPr>
        <w:pStyle w:val="4"/>
        <w:ind w:firstLine="48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4.安装</w:t>
      </w:r>
    </w:p>
    <w:p w14:paraId="64241CA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（1）供应商在投标时应提供现场吊装就位方案。</w:t>
      </w:r>
    </w:p>
    <w:p w14:paraId="4DF3E2D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（2）关于材料到货及安装的具体时间，供应商应按照合同要求，并结合本工程项目实际进展情况,合理安排并编制符合本项目总工期的专项工程进度计划表，经采购人审核确认后方可实施。</w:t>
      </w:r>
    </w:p>
    <w:p w14:paraId="4498EF39">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（3）安装开始前一个月，供应商应检查落实安装现场是否已具备安装进场条件，采购人、监理及土建EPC工程总承包单位给予相关配合。</w:t>
      </w:r>
    </w:p>
    <w:p w14:paraId="7E478A19">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按照设备专项进度计划进行安装，安装人员必须按照有关技术要求、现行国家及地方标准和行业规范，派出中标单位身体健康、相关专业知识技术水平高、经验丰富、熟悉本合同所述的规格、技术指标及安装工艺，且有足够能力安装本合同的技术人员。</w:t>
      </w:r>
    </w:p>
    <w:p w14:paraId="76C6DD5B">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（5）在安装过程中，因供应商原因造成建筑结构或其他损坏，供应商应负责修理或赔偿损失。安装及施工废弃物处理，供应商自行解决，相关费用在投标报价时应一并考虑。</w:t>
      </w:r>
    </w:p>
    <w:p w14:paraId="2C2D14B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供应商应结合现场实际情况及作业环境制定吊装方案，并对运输道路、储存和堆放的位置及安保等条件综合考虑。吊装方案要具体到运输、堆放周转、进入楼内的路线图，路线图要充分考虑空间参数。上述所产生的费用包含在投标报价中。</w:t>
      </w:r>
    </w:p>
    <w:p w14:paraId="78280CA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（7）安装完成以后，供应商自行考虑可靠的成品保护措施，相关费用在投标报价时应一并考虑。</w:t>
      </w:r>
    </w:p>
    <w:p w14:paraId="382ED72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（8）在吊装及安装过程中，严禁破坏任何结构受力构件（墙、柱、梁、板），不能影响结构安全性和耐久性，不允许二次砸墙。</w:t>
      </w:r>
    </w:p>
    <w:p w14:paraId="772458F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（9）运输、安装留设的二次结构墙体已提前预留，供应商提供安装计划，根据计划限时完成安装，保证土建EPC工程总承包单位预留墙体及时封闭。</w:t>
      </w:r>
    </w:p>
    <w:p w14:paraId="289FCB4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（10）供应商应充分结合现场实际情况，综合考虑所产生的的二次转运，道路硬化等运输及安装所需的条件。</w:t>
      </w:r>
    </w:p>
    <w:p w14:paraId="3ECCDA6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（11）堆场的位置、维护、硬化、覆盖、保管等供应商自行综合考虑，相关费用在投标报价时应一并考虑。</w:t>
      </w:r>
    </w:p>
    <w:p w14:paraId="5C949E2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（12）吊装过程中所涉及的一切费用供应商自行综合考虑（包括但不限于运输通道结构回顶安拆、吊装机械站位回顶安拆、预留位置的临时封闭等）。</w:t>
      </w:r>
    </w:p>
    <w:p w14:paraId="0776CD4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（13）在设备安装、调试期间，投标方应对采购人的技术人员、操作人员、维修人员进行全面的编程、操作、保养、机械、电气维修等方面的详细技术培训，直至采购人掌握为止。</w:t>
      </w:r>
    </w:p>
    <w:p w14:paraId="6BBE57C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（14）设备工作中所产生的气体、烟尘等必须有处理措施并配备相应的处理装备。</w:t>
      </w:r>
    </w:p>
    <w:p w14:paraId="4382F44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（15）安装时必须把安装区分隔起来，并做好现场安装的警示标志。</w:t>
      </w:r>
    </w:p>
    <w:p w14:paraId="5C4F227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（16）投标方提供的产品应符合国家有关环境保护的法律、法规和有关标准。投标方在提供产品和服务的过程中，对可能造成环境影响的产品废弃物和包装物进行回收。</w:t>
      </w:r>
    </w:p>
    <w:p w14:paraId="4972D32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（17）严格执行中国工业和信息部颁发的《高耗能落后机电设备（产品）淘汰目录（第一、二、三、四批）》所列产品的规定，确保施工过程符合要求的节能标准。</w:t>
      </w:r>
    </w:p>
    <w:p w14:paraId="5E02F73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p>
    <w:p w14:paraId="019139A0">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5.安全文明施工管理</w:t>
      </w:r>
    </w:p>
    <w:p w14:paraId="572E9DDE">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供应商须按国家及本市安全生产相关管理规定。在本项目的实施过程中建立安全生产管理体系，购买相应保险，设置可靠的安全设施，实施有效的管理办法，确保安全生产、安全运输、安全安装，并对本项目实施过程中的相关安全负全责。</w:t>
      </w:r>
    </w:p>
    <w:p w14:paraId="537B18C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（2）供应商应负责设备安装施工区域的安全防护围栏的设置，安装工作应服从监理单位及土建EPC工程总承包单位的相关管理，并满足现场安全文明施工管理要求。</w:t>
      </w:r>
    </w:p>
    <w:p w14:paraId="174B248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（3）供应商须与本项目总承包单位协调与合作，以确保在分工点上能与其他供应商满意地配合，并确保其负责的工作是按照正确的程序和方式进行。</w:t>
      </w:r>
    </w:p>
    <w:p w14:paraId="49F2E30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供应商主要负责人依法对本单位的安全生产工作全面负责。采购人应当建立健全安全生产责任制度和安全生产教育培训制度，制定安全生产规章制度和操作规程，保证本单位安全生产所需资金的投入，作好安全检查记录。</w:t>
      </w:r>
    </w:p>
    <w:p w14:paraId="12E23BC2">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6.协调配合</w:t>
      </w:r>
    </w:p>
    <w:p w14:paraId="2F3E47EB">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（1）中标后，供应商须结合施工图设计进度向采购人提供中标产品的设计图纸及技术资料，经采购人组织相关单位审核确认后方可组织生产。</w:t>
      </w:r>
    </w:p>
    <w:p w14:paraId="7F591DB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（2）供应商送货前应实地勘察施工现场，与土建EPC工程总承包单位具体协商施工场地内行车路线及卸货地点等事宜。</w:t>
      </w:r>
    </w:p>
    <w:p w14:paraId="0B5E17F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（3）供应商须与其他参建单位密切配合，具体事宜由供应商与其他参建单位共同协商解决，必要时采购人及监理人予以协助。</w:t>
      </w:r>
    </w:p>
    <w:p w14:paraId="3BE8FAC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（4）供应商须与土建EPC工程总承包单位协调并编制详细的安装施工进度计划，并提交采购人审批；供应商现场施工期间须接受工程总承包单位的管理。</w:t>
      </w:r>
    </w:p>
    <w:p w14:paraId="2EC055FE">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7.验收</w:t>
      </w:r>
    </w:p>
    <w:p w14:paraId="799528B4">
      <w:pPr>
        <w:pStyle w:val="5"/>
        <w:spacing w:line="400" w:lineRule="exact"/>
        <w:ind w:firstLine="480"/>
        <w:rPr>
          <w:rFonts w:hint="eastAsia" w:ascii="仿宋" w:hAnsi="仿宋" w:eastAsia="仿宋" w:cs="仿宋"/>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w:t>
      </w:r>
      <w:r>
        <w:rPr>
          <w:rFonts w:hint="eastAsia" w:ascii="仿宋" w:hAnsi="仿宋" w:eastAsia="仿宋" w:cs="仿宋"/>
          <w:color w:val="000000" w:themeColor="text1"/>
          <w:sz w:val="24"/>
          <w14:textFill>
            <w14:solidFill>
              <w14:schemeClr w14:val="tx1"/>
            </w14:solidFill>
          </w14:textFill>
        </w:rPr>
        <w:t>关于设备材料到货及安装的具体时间，供应商应按照合同要求，并结合本工程项目实际进展情况，在合同签订后14日内提交详细的安装调试管理方案及供货、安装、验收进度计划表。</w:t>
      </w:r>
    </w:p>
    <w:p w14:paraId="0FB5C2F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color w:val="000000" w:themeColor="text1"/>
          <w:sz w:val="24"/>
          <w14:textFill>
            <w14:solidFill>
              <w14:schemeClr w14:val="tx1"/>
            </w14:solidFill>
          </w14:textFill>
        </w:rPr>
        <w:t>（2）供应商按照编制的进度计划把合同货物运至采购人指定的安装地安装调试，安装调试完毕后供应商提出初步验收申请。初步验收时间暂定</w:t>
      </w:r>
      <w:r>
        <w:rPr>
          <w:rFonts w:hint="eastAsia" w:ascii="仿宋" w:hAnsi="仿宋" w:eastAsia="仿宋" w:cs="仿宋"/>
          <w:color w:val="000000" w:themeColor="text1"/>
          <w:sz w:val="24"/>
          <w:lang w:val="en-US" w:eastAsia="zh-CN"/>
          <w14:textFill>
            <w14:solidFill>
              <w14:schemeClr w14:val="tx1"/>
            </w14:solidFill>
          </w14:textFill>
        </w:rPr>
        <w:t>2026</w:t>
      </w:r>
      <w:r>
        <w:rPr>
          <w:rFonts w:hint="eastAsia" w:ascii="仿宋" w:hAnsi="仿宋" w:eastAsia="仿宋" w:cs="仿宋"/>
          <w:color w:val="000000" w:themeColor="text1"/>
          <w:sz w:val="24"/>
          <w14:textFill>
            <w14:solidFill>
              <w14:schemeClr w14:val="tx1"/>
            </w14:solidFill>
          </w14:textFill>
        </w:rPr>
        <w:t>年</w:t>
      </w:r>
      <w:r>
        <w:rPr>
          <w:rFonts w:hint="eastAsia" w:ascii="仿宋" w:hAnsi="仿宋" w:eastAsia="仿宋" w:cs="仿宋"/>
          <w:color w:val="000000" w:themeColor="text1"/>
          <w:sz w:val="24"/>
          <w:lang w:val="en-US" w:eastAsia="zh-CN"/>
          <w14:textFill>
            <w14:solidFill>
              <w14:schemeClr w14:val="tx1"/>
            </w14:solidFill>
          </w14:textFill>
        </w:rPr>
        <w:t>10</w:t>
      </w:r>
      <w:r>
        <w:rPr>
          <w:rFonts w:hint="eastAsia" w:ascii="仿宋" w:hAnsi="仿宋" w:eastAsia="仿宋" w:cs="仿宋"/>
          <w:color w:val="000000" w:themeColor="text1"/>
          <w:sz w:val="24"/>
          <w14:textFill>
            <w14:solidFill>
              <w14:schemeClr w14:val="tx1"/>
            </w14:solidFill>
          </w14:textFill>
        </w:rPr>
        <w:t>月</w:t>
      </w:r>
      <w:r>
        <w:rPr>
          <w:rFonts w:hint="eastAsia" w:ascii="仿宋" w:hAnsi="仿宋" w:eastAsia="仿宋" w:cs="仿宋"/>
          <w:color w:val="000000" w:themeColor="text1"/>
          <w:sz w:val="24"/>
          <w:lang w:val="en-US" w:eastAsia="zh-CN"/>
          <w14:textFill>
            <w14:solidFill>
              <w14:schemeClr w14:val="tx1"/>
            </w14:solidFill>
          </w14:textFill>
        </w:rPr>
        <w:t>30</w:t>
      </w:r>
      <w:r>
        <w:rPr>
          <w:rFonts w:hint="eastAsia" w:ascii="仿宋" w:hAnsi="仿宋" w:eastAsia="仿宋" w:cs="仿宋"/>
          <w:color w:val="000000" w:themeColor="text1"/>
          <w:sz w:val="24"/>
          <w14:textFill>
            <w14:solidFill>
              <w14:schemeClr w14:val="tx1"/>
            </w14:solidFill>
          </w14:textFill>
        </w:rPr>
        <w:t>日，具体时间以采购人通知为准，初步验收合格后，进入试用期（试用期：自初步验收合格之日起算30 天），试用期间发生重大质量问题，需在采购人要求的时间内完成整改修复，修复后重新开始试用期；试用期通过后</w:t>
      </w:r>
      <w:r>
        <w:rPr>
          <w:rFonts w:hint="eastAsia" w:ascii="仿宋" w:hAnsi="仿宋" w:eastAsia="仿宋" w:cs="仿宋"/>
          <w:bCs/>
          <w:color w:val="000000" w:themeColor="text1"/>
          <w:sz w:val="24"/>
          <w14:textFill>
            <w14:solidFill>
              <w14:schemeClr w14:val="tx1"/>
            </w14:solidFill>
          </w14:textFill>
        </w:rPr>
        <w:t>供应商向采购人提出货物最终验收申请。</w:t>
      </w:r>
    </w:p>
    <w:p w14:paraId="505D9C33">
      <w:pPr>
        <w:spacing w:line="360" w:lineRule="auto"/>
        <w:ind w:firstLine="420" w:firstLineChars="175"/>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w:t>
      </w:r>
      <w:r>
        <w:rPr>
          <w:rFonts w:hint="eastAsia" w:ascii="仿宋" w:hAnsi="仿宋" w:eastAsia="仿宋" w:cs="仿宋"/>
          <w:color w:val="000000" w:themeColor="text1"/>
          <w:sz w:val="22"/>
          <w:szCs w:val="22"/>
          <w14:textFill>
            <w14:solidFill>
              <w14:schemeClr w14:val="tx1"/>
            </w14:solidFill>
          </w14:textFill>
        </w:rPr>
        <w:t>供应商应在供货前14天将进场时间报采购人批准，采购人有权就工期、施工进度及生产安装进度调整设备的进场日期，因上述原因所产生的一切费用已包含在合同总价中，货物进场后不得影响其他施工单位的工作界面，否则按违约相关条款执行。</w:t>
      </w:r>
    </w:p>
    <w:p w14:paraId="0B94C385">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（4）供应商须负责全部的保护和清洁工作，直至交付使用为止。</w:t>
      </w:r>
    </w:p>
    <w:p w14:paraId="00BE8CD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（5）验收中运行需要的用水、用电、其他动力和原材料（如需要）等均由供应商承担。</w:t>
      </w:r>
    </w:p>
    <w:p w14:paraId="36F495E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（6）合同货物验收文件的签署不免除供应商对合同应承担的保证责任。</w:t>
      </w:r>
    </w:p>
    <w:p w14:paraId="6111468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（7）设备到货后，进行拆箱验收，应满足合同及装箱单的要求，拆箱时制造商的工程师应在现场。该设备的安装、调试及培训费用均由投标方负责，期间造成的设备及工件损伤成本均由投标方负责。</w:t>
      </w:r>
    </w:p>
    <w:p w14:paraId="5E59E94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（8）验收标准：按技术要求、投标方的出厂合格证以及有关的标准要求进行。</w:t>
      </w:r>
    </w:p>
    <w:p w14:paraId="121865B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9）投标方负责在采购人现场进行设备的安装调试工作，调试完成后按照初步验收、试用期、最终验收的程序进行设备的验收，验收标准按本技术条件及提供的样本和技术文件执行，验收合格后双方签署验收报告。</w:t>
      </w:r>
    </w:p>
    <w:p w14:paraId="153E4EF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（10）设备运转正常后，投标方安排1人进行为期不低于5个工作日的设备操作、维修培训，保证被培训人员熟练操作功能，能够处理日常机械故障和电气故障。</w:t>
      </w:r>
    </w:p>
    <w:p w14:paraId="36C5C1F0">
      <w:pPr>
        <w:spacing w:line="360" w:lineRule="auto"/>
        <w:ind w:firstLine="420" w:firstLineChars="175"/>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（11）供应商应将所提供货物的装箱清单、配件、随机工具、用户使用手册、原厂保修卡等资料交付给采购人；供应商不能完整交付货物及本款规定的单证和工具的，必须负责补齐，否则视为未按合同约定供货。</w:t>
      </w:r>
    </w:p>
    <w:p w14:paraId="706AA1E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7.1、初步验收</w:t>
      </w:r>
    </w:p>
    <w:p w14:paraId="36EB6223">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采购人与供应商应对采购设备进行初步验收，以确定采购设备是否达到合同约定的技术性能指标。对于有国家相关法律、法规、标准、规范验收的，双方按规定对此类进行验收。对于没有国家相关法律、法规、标准、规范验收的，采购人有权自行或聘请相关领域专家根据技术要求制定验收大纲或参与验收，由供应商承担相关费用。双方签订初步验收相关文件，视为初步验收合格。</w:t>
      </w:r>
    </w:p>
    <w:p w14:paraId="590DB929">
      <w:pPr>
        <w:pStyle w:val="6"/>
        <w:spacing w:after="0" w:line="240" w:lineRule="auto"/>
        <w:ind w:firstLine="480" w:firstLineChars="200"/>
        <w:rPr>
          <w:rFonts w:hint="eastAsia" w:ascii="仿宋" w:hAnsi="仿宋" w:eastAsia="仿宋" w:cs="仿宋"/>
          <w:bCs/>
          <w:color w:val="000000" w:themeColor="text1"/>
          <w:kern w:val="2"/>
          <w:sz w:val="24"/>
          <w:szCs w:val="24"/>
          <w14:textFill>
            <w14:solidFill>
              <w14:schemeClr w14:val="tx1"/>
            </w14:solidFill>
          </w14:textFill>
        </w:rPr>
      </w:pPr>
      <w:r>
        <w:rPr>
          <w:rFonts w:hint="eastAsia" w:ascii="仿宋" w:hAnsi="仿宋" w:eastAsia="仿宋" w:cs="仿宋"/>
          <w:bCs/>
          <w:color w:val="000000" w:themeColor="text1"/>
          <w:kern w:val="2"/>
          <w:sz w:val="24"/>
          <w:szCs w:val="24"/>
          <w14:textFill>
            <w14:solidFill>
              <w14:schemeClr w14:val="tx1"/>
            </w14:solidFill>
          </w14:textFill>
        </w:rPr>
        <w:t>7.2试用期：</w:t>
      </w:r>
    </w:p>
    <w:p w14:paraId="6BB5FB44">
      <w:pPr>
        <w:pStyle w:val="6"/>
        <w:spacing w:after="0" w:line="360" w:lineRule="auto"/>
        <w:ind w:firstLine="480" w:firstLineChars="200"/>
        <w:rPr>
          <w:rFonts w:hint="eastAsia" w:ascii="仿宋" w:hAnsi="仿宋" w:eastAsia="仿宋" w:cs="仿宋"/>
          <w:bCs/>
          <w:color w:val="000000" w:themeColor="text1"/>
          <w:kern w:val="2"/>
          <w:sz w:val="24"/>
          <w:szCs w:val="24"/>
          <w14:textFill>
            <w14:solidFill>
              <w14:schemeClr w14:val="tx1"/>
            </w14:solidFill>
          </w14:textFill>
        </w:rPr>
      </w:pPr>
      <w:r>
        <w:rPr>
          <w:rFonts w:hint="eastAsia" w:ascii="仿宋" w:hAnsi="仿宋" w:eastAsia="仿宋" w:cs="仿宋"/>
          <w:bCs/>
          <w:color w:val="000000" w:themeColor="text1"/>
          <w:kern w:val="2"/>
          <w:sz w:val="24"/>
          <w:szCs w:val="24"/>
          <w14:textFill>
            <w14:solidFill>
              <w14:schemeClr w14:val="tx1"/>
            </w14:solidFill>
          </w14:textFill>
        </w:rPr>
        <w:t>自全部货物初步验收合格验收通过之日起，进入30天试用期，试用期内发生质量问题的，供应商须立即整改修复，整改修复后试用期相应顺延，试用期结束后向采购人提交最终验收申请。</w:t>
      </w:r>
    </w:p>
    <w:p w14:paraId="53CE7A6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7.3最终验收</w:t>
      </w:r>
    </w:p>
    <w:p w14:paraId="663260A4">
      <w:pPr>
        <w:pStyle w:val="6"/>
        <w:spacing w:after="0" w:line="360" w:lineRule="auto"/>
        <w:ind w:firstLine="480" w:firstLineChars="200"/>
        <w:rPr>
          <w:rFonts w:hint="eastAsia" w:ascii="仿宋" w:hAnsi="仿宋" w:eastAsia="仿宋" w:cs="仿宋"/>
          <w:bCs/>
          <w:color w:val="000000" w:themeColor="text1"/>
          <w:kern w:val="2"/>
          <w:sz w:val="24"/>
          <w:szCs w:val="24"/>
          <w14:textFill>
            <w14:solidFill>
              <w14:schemeClr w14:val="tx1"/>
            </w14:solidFill>
          </w14:textFill>
        </w:rPr>
      </w:pPr>
      <w:r>
        <w:rPr>
          <w:rFonts w:hint="eastAsia" w:ascii="仿宋" w:hAnsi="仿宋" w:eastAsia="仿宋" w:cs="仿宋"/>
          <w:bCs/>
          <w:color w:val="000000" w:themeColor="text1"/>
          <w:kern w:val="2"/>
          <w:sz w:val="24"/>
          <w:szCs w:val="24"/>
          <w14:textFill>
            <w14:solidFill>
              <w14:schemeClr w14:val="tx1"/>
            </w14:solidFill>
          </w14:textFill>
        </w:rPr>
        <w:t>若在最终验收中全部货物验收合格，达到或视为达到技术性能指标，视为最终验收合格，则采购人和供应商双方应签署合同货物验收文件。</w:t>
      </w:r>
    </w:p>
    <w:p w14:paraId="63C8C74A">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7.4供应商完成所有货物生产、包装、运输、安装、调试、验收等工作、试用期结束后，经最终验收合格，双方签署合同货物验收文件，视为设备所有权交付。</w:t>
      </w:r>
    </w:p>
    <w:p w14:paraId="43EF4A35">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8.售后服务（质量保修期内）</w:t>
      </w:r>
    </w:p>
    <w:p w14:paraId="784674FE">
      <w:pPr>
        <w:widowControl/>
        <w:spacing w:after="0" w:line="500" w:lineRule="exact"/>
        <w:ind w:firstLine="480" w:firstLineChars="20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（1）质保服务：质量保修期1年，</w:t>
      </w:r>
      <w:r>
        <w:rPr>
          <w:rFonts w:hint="eastAsia" w:ascii="仿宋" w:hAnsi="仿宋" w:eastAsia="仿宋" w:cs="仿宋"/>
          <w:bCs/>
          <w:color w:val="000000" w:themeColor="text1"/>
          <w:sz w:val="24"/>
          <w:shd w:val="clear" w:color="auto" w:fill="FFFFFF"/>
          <w14:textFill>
            <w14:solidFill>
              <w14:schemeClr w14:val="tx1"/>
            </w14:solidFill>
          </w14:textFill>
        </w:rPr>
        <w:t>质量保修期以双方签署合同货物最终验收文件之日起算</w:t>
      </w:r>
      <w:r>
        <w:rPr>
          <w:rFonts w:hint="eastAsia" w:ascii="仿宋" w:hAnsi="仿宋" w:eastAsia="仿宋" w:cs="仿宋"/>
          <w:bCs/>
          <w:color w:val="000000" w:themeColor="text1"/>
          <w:sz w:val="24"/>
          <w14:textFill>
            <w14:solidFill>
              <w14:schemeClr w14:val="tx1"/>
            </w14:solidFill>
          </w14:textFill>
        </w:rPr>
        <w:t>。在此期间内发生的质量问题，由供应商负责更换或维修，所涉及的费用均已包含在投标报价中，不再单独计取；非采购人原因造成的损坏，应无偿并及时进行更换维修；对于运行故障，应无偿并及时进行故障排除。软件系统投标方须负责在终验后5年内进行维护，其涉及的费用包含在投标总价中，采购人不再另行支付费用。</w:t>
      </w:r>
    </w:p>
    <w:p w14:paraId="3F89F095">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（2）供应商应开通可以提供7*24小时服务的热线电话。</w:t>
      </w:r>
    </w:p>
    <w:p w14:paraId="2E6BB3F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供应商所提供的产品发生故障后，供应商应2小时内响应，供应商需要在接到故障通知后24小时内派技术人员到达采购人指定现场并修复正常；对于软件故障，供应商应在接到故障通知4小时内给予解答或在24小时内派技术人员到达指定现场处理，并承担修理调换的费用。若供应商在接到采购人反馈的质量问题后未及时处理，采购人可采取必要的补救措施，但风险和费用由投标方承担。其他时间要求：（1）电话支持：2小时内响应；（2）传真：8小时内到达；（3）电子邮件：8小时内到达；（4）快递：在48小时内到达。</w:t>
      </w:r>
    </w:p>
    <w:p w14:paraId="678B7F58">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在质保期内，如有零部件损坏，投标方应对损坏的零部件给予更换，其中涉及的所有费用均已包含在投标报价中，不再单独计取，并自更换之日起，重新计算质保期。若因投标方设备原因导致产品损伤或报废的，由供应商负责提供费用修复或更换。</w:t>
      </w:r>
    </w:p>
    <w:p w14:paraId="35AF3AB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（5）在质量保修期内，如货物经供应商 3 次维修仍不能达到本合同约定的质量标准，视作供应商未能按时交货，采购人有权退货并追究供应商的违约责任。</w:t>
      </w:r>
    </w:p>
    <w:p w14:paraId="001F47AF">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9.其他服务</w:t>
      </w:r>
    </w:p>
    <w:p w14:paraId="47DF6EF7">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（1）供应商技术人员应对采购人的工作人员进行技术交底，并提供在质量保修期内的维修保养计划。</w:t>
      </w:r>
    </w:p>
    <w:p w14:paraId="518417FD">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（2）供应商负责办理相关行政部门要求的手续，并承担相关费用。</w:t>
      </w:r>
    </w:p>
    <w:p w14:paraId="7D04730F">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供应商应在验收前对采购人用户管理操作技术人员进行操作使用和维护保养方面的培训并提供中文版安装使用维护说明书，满足有效运行及采购人的管理需求，以上所涉及的费用均已包含在投标报价中，不再单独计取。</w:t>
      </w:r>
    </w:p>
    <w:p w14:paraId="0F161429">
      <w:pPr>
        <w:pStyle w:val="11"/>
        <w:ind w:firstLine="480" w:firstLineChars="200"/>
        <w:rPr>
          <w:rFonts w:hint="eastAsia" w:ascii="仿宋" w:hAnsi="仿宋" w:eastAsia="仿宋" w:cs="仿宋"/>
          <w:color w:val="000000" w:themeColor="text1"/>
          <w:szCs w:val="21"/>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（4）培训人员数量符合国家、地方、行业及采购人规定和使用维保需求。供应商须保证被培训人员熟练操作功能，能够处理日常机械故障和电气故障。</w:t>
      </w:r>
    </w:p>
    <w:p w14:paraId="2EBC4A19">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p>
    <w:p w14:paraId="4209B589">
      <w:pPr>
        <w:pStyle w:val="4"/>
        <w:ind w:firstLine="482" w:firstLineChars="200"/>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10.知识产权</w:t>
      </w:r>
    </w:p>
    <w:p w14:paraId="563045B4">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（1）采购人在履行合同过程中提供给供应商的全部图纸、文件和其他含有数据和信息的资料，其知识产权属于采购人。</w:t>
      </w:r>
    </w:p>
    <w:p w14:paraId="0DFFF7CC">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（2）如合同涉及第三方知识产权，则供应商保证采购人在使用合同过程中免于受到第三方提出的有关知识产权侵权的主张、索赔或诉讼的伤害。</w:t>
      </w:r>
    </w:p>
    <w:p w14:paraId="2080DFB2">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如果采购人收到任何第三方有关知识产权的主张、索赔或诉讼，供应商在收到采购人通知后，应以采购人名义并在采购人的协助下，自付费用处理与第三方的索赔或诉讼，并赔偿采购人因此发生的费用和遭受的损失。除合同条款另有约定外，如果供应商拒绝处理前述索赔或诉讼或在收到采购人通知后28日内未作表示，采购人可以自己的名义进行这些索赔或诉讼，因此发生的费用和遭受的损失均应由供应商承担。</w:t>
      </w:r>
    </w:p>
    <w:p w14:paraId="470E57D2">
      <w:pPr>
        <w:pStyle w:val="5"/>
        <w:ind w:firstLine="480"/>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（4）在应用上取得的科技成果及知识产权归采购人所有，包括但不限于专利申请权、技术秘密的使用权和转让权等。</w:t>
      </w:r>
    </w:p>
    <w:p w14:paraId="7B7837A4">
      <w:pPr>
        <w:pStyle w:val="4"/>
        <w:ind w:firstLine="482"/>
        <w:rPr>
          <w:rFonts w:hint="eastAsia" w:ascii="仿宋" w:hAnsi="仿宋" w:eastAsia="仿宋" w:cs="仿宋"/>
          <w:color w:val="000000" w:themeColor="text1"/>
          <w14:textFill>
            <w14:solidFill>
              <w14:schemeClr w14:val="tx1"/>
            </w14:solidFill>
          </w14:textFill>
        </w:rPr>
      </w:pPr>
      <w:r>
        <w:rPr>
          <w:rFonts w:hint="eastAsia" w:ascii="仿宋" w:hAnsi="仿宋" w:eastAsia="仿宋" w:cs="仿宋"/>
          <w:color w:val="000000" w:themeColor="text1"/>
          <w14:textFill>
            <w14:solidFill>
              <w14:schemeClr w14:val="tx1"/>
            </w14:solidFill>
          </w14:textFill>
        </w:rPr>
        <w:t>11.付款方式</w:t>
      </w:r>
    </w:p>
    <w:tbl>
      <w:tblPr>
        <w:tblStyle w:val="7"/>
        <w:tblW w:w="905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73"/>
        <w:gridCol w:w="5635"/>
        <w:gridCol w:w="2051"/>
      </w:tblGrid>
      <w:tr w14:paraId="350687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dxa"/>
            <w:noWrap w:val="0"/>
            <w:vAlign w:val="center"/>
          </w:tcPr>
          <w:p w14:paraId="06F98C51">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付款次序</w:t>
            </w:r>
          </w:p>
        </w:tc>
        <w:tc>
          <w:tcPr>
            <w:tcW w:w="5635" w:type="dxa"/>
            <w:noWrap w:val="0"/>
            <w:vAlign w:val="center"/>
          </w:tcPr>
          <w:p w14:paraId="1AB0F354">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付款节点和比例</w:t>
            </w:r>
          </w:p>
        </w:tc>
        <w:tc>
          <w:tcPr>
            <w:tcW w:w="2051" w:type="dxa"/>
            <w:noWrap w:val="0"/>
            <w:vAlign w:val="center"/>
          </w:tcPr>
          <w:p w14:paraId="267D689C">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付款条件</w:t>
            </w:r>
          </w:p>
        </w:tc>
      </w:tr>
      <w:tr w14:paraId="1BAC2F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0" w:hRule="atLeast"/>
          <w:jc w:val="center"/>
        </w:trPr>
        <w:tc>
          <w:tcPr>
            <w:tcW w:w="1373" w:type="dxa"/>
            <w:noWrap w:val="0"/>
            <w:vAlign w:val="center"/>
          </w:tcPr>
          <w:p w14:paraId="046D433F">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预付款</w:t>
            </w:r>
          </w:p>
        </w:tc>
        <w:tc>
          <w:tcPr>
            <w:tcW w:w="5635" w:type="dxa"/>
            <w:noWrap w:val="0"/>
            <w:vAlign w:val="center"/>
          </w:tcPr>
          <w:p w14:paraId="09F2A882">
            <w:pP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合同生效后，在甲方收到乙方提供的由合同附件1的“银行附表”所列银行出具与预付款金额一致的预付款担保，由乙方向甲方提出支付申请，并达到付款条件以后，经甲方审核无误之后向乙方支付合同总价（含税）的20%作为预付款。</w:t>
            </w:r>
          </w:p>
        </w:tc>
        <w:tc>
          <w:tcPr>
            <w:tcW w:w="2051" w:type="dxa"/>
            <w:vMerge w:val="restart"/>
            <w:noWrap w:val="0"/>
            <w:vAlign w:val="center"/>
          </w:tcPr>
          <w:p w14:paraId="2C999FC9">
            <w:pP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甲方收到乙方提供的与付款金额一致的增值税专用发票、完整、准确的请款报告、支付报表等资料，经甲方审核无误且民航发展基金到账后20个工作日内支付。（若在甲方寒暑假期间，付款时间顺延）</w:t>
            </w:r>
          </w:p>
        </w:tc>
      </w:tr>
      <w:tr w14:paraId="512990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373" w:type="dxa"/>
            <w:noWrap w:val="0"/>
            <w:vAlign w:val="center"/>
          </w:tcPr>
          <w:p w14:paraId="51753816">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初验款</w:t>
            </w:r>
          </w:p>
        </w:tc>
        <w:tc>
          <w:tcPr>
            <w:tcW w:w="5635" w:type="dxa"/>
            <w:noWrap w:val="0"/>
            <w:vAlign w:val="center"/>
          </w:tcPr>
          <w:p w14:paraId="15FDE90A">
            <w:pP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合同内全部货物运达至甲方指定地点，安装调试完成且经甲乙双方初步验收合格后，由乙方向甲方提出支付申请，并达到付款条件以后，经甲方审核无误后甲方向乙方支付至合同总价（含税）的90%。</w:t>
            </w:r>
          </w:p>
        </w:tc>
        <w:tc>
          <w:tcPr>
            <w:tcW w:w="2051" w:type="dxa"/>
            <w:vMerge w:val="continue"/>
            <w:noWrap w:val="0"/>
            <w:vAlign w:val="center"/>
          </w:tcPr>
          <w:p w14:paraId="44595616">
            <w:pPr>
              <w:rPr>
                <w:rFonts w:hint="eastAsia" w:ascii="仿宋" w:hAnsi="仿宋" w:eastAsia="仿宋" w:cs="仿宋"/>
                <w:color w:val="000000" w:themeColor="text1"/>
                <w:sz w:val="22"/>
                <w:szCs w:val="22"/>
                <w14:textFill>
                  <w14:solidFill>
                    <w14:schemeClr w14:val="tx1"/>
                  </w14:solidFill>
                </w14:textFill>
              </w:rPr>
            </w:pPr>
          </w:p>
        </w:tc>
      </w:tr>
      <w:tr w14:paraId="17EA5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6" w:hRule="atLeast"/>
          <w:jc w:val="center"/>
        </w:trPr>
        <w:tc>
          <w:tcPr>
            <w:tcW w:w="1373" w:type="dxa"/>
            <w:noWrap w:val="0"/>
            <w:vAlign w:val="center"/>
          </w:tcPr>
          <w:p w14:paraId="68B78C85">
            <w:pPr>
              <w:jc w:val="cente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结算款</w:t>
            </w:r>
          </w:p>
        </w:tc>
        <w:tc>
          <w:tcPr>
            <w:tcW w:w="5635" w:type="dxa"/>
            <w:noWrap w:val="0"/>
            <w:vAlign w:val="center"/>
          </w:tcPr>
          <w:p w14:paraId="3AD951DF">
            <w:pP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1、履约担保若以银行保函方式提交的，本次付款时在期的保函到期日需晚于质量保修期到期日。</w:t>
            </w:r>
          </w:p>
          <w:p w14:paraId="0927500F">
            <w:pPr>
              <w:rPr>
                <w:rFonts w:hint="eastAsia" w:ascii="仿宋" w:hAnsi="仿宋" w:eastAsia="仿宋" w:cs="仿宋"/>
                <w:color w:val="000000" w:themeColor="text1"/>
                <w:sz w:val="22"/>
                <w:szCs w:val="22"/>
                <w14:textFill>
                  <w14:solidFill>
                    <w14:schemeClr w14:val="tx1"/>
                  </w14:solidFill>
                </w14:textFill>
              </w:rPr>
            </w:pPr>
            <w:r>
              <w:rPr>
                <w:rFonts w:hint="eastAsia" w:ascii="仿宋" w:hAnsi="仿宋" w:eastAsia="仿宋" w:cs="仿宋"/>
                <w:color w:val="000000" w:themeColor="text1"/>
                <w:sz w:val="22"/>
                <w:szCs w:val="22"/>
                <w14:textFill>
                  <w14:solidFill>
                    <w14:schemeClr w14:val="tx1"/>
                  </w14:solidFill>
                </w14:textFill>
              </w:rPr>
              <w:t>2、双方签署全部合同货物最终验收文件，由乙方向甲方提出支付申请，并达到付款条件以后，经甲方审核无误后支付至合同结算总价（含税）的100%。</w:t>
            </w:r>
          </w:p>
        </w:tc>
        <w:tc>
          <w:tcPr>
            <w:tcW w:w="2051" w:type="dxa"/>
            <w:vMerge w:val="continue"/>
            <w:noWrap w:val="0"/>
            <w:vAlign w:val="center"/>
          </w:tcPr>
          <w:p w14:paraId="4ED81F31">
            <w:pPr>
              <w:rPr>
                <w:rFonts w:hint="eastAsia" w:ascii="仿宋" w:hAnsi="仿宋" w:eastAsia="仿宋" w:cs="仿宋"/>
                <w:color w:val="000000" w:themeColor="text1"/>
                <w:sz w:val="22"/>
                <w:szCs w:val="22"/>
                <w14:textFill>
                  <w14:solidFill>
                    <w14:schemeClr w14:val="tx1"/>
                  </w14:solidFill>
                </w14:textFill>
              </w:rPr>
            </w:pPr>
          </w:p>
        </w:tc>
      </w:tr>
    </w:tbl>
    <w:p w14:paraId="55CB2F7E">
      <w:pPr>
        <w:pStyle w:val="3"/>
        <w:spacing w:line="400" w:lineRule="exact"/>
        <w:ind w:firstLine="236" w:firstLineChars="98"/>
        <w:jc w:val="center"/>
        <w:rPr>
          <w:rFonts w:hint="eastAsia" w:ascii="仿宋" w:hAnsi="仿宋" w:eastAsia="仿宋" w:cs="仿宋"/>
          <w:color w:val="000000" w:themeColor="text1"/>
          <w:sz w:val="24"/>
          <w:szCs w:val="24"/>
          <w14:textFill>
            <w14:solidFill>
              <w14:schemeClr w14:val="tx1"/>
            </w14:solidFill>
          </w14:textFill>
        </w:rPr>
      </w:pPr>
      <w:r>
        <w:rPr>
          <w:rFonts w:hint="eastAsia" w:ascii="仿宋" w:hAnsi="仿宋" w:eastAsia="仿宋" w:cs="仿宋"/>
          <w:color w:val="000000" w:themeColor="text1"/>
          <w:sz w:val="24"/>
          <w:szCs w:val="24"/>
          <w14:textFill>
            <w14:solidFill>
              <w14:schemeClr w14:val="tx1"/>
            </w14:solidFill>
          </w14:textFill>
        </w:rPr>
        <w:t>第三部分采购人提供的资料</w:t>
      </w:r>
    </w:p>
    <w:p w14:paraId="69A9CCB8">
      <w:pPr>
        <w:pStyle w:val="5"/>
        <w:spacing w:line="400" w:lineRule="exact"/>
        <w:ind w:firstLine="482"/>
        <w:rPr>
          <w:rFonts w:hint="eastAsia" w:ascii="仿宋" w:hAnsi="仿宋" w:eastAsia="仿宋" w:cs="仿宋"/>
          <w:b/>
          <w:color w:val="000000" w:themeColor="text1"/>
          <w:sz w:val="24"/>
          <w14:textFill>
            <w14:solidFill>
              <w14:schemeClr w14:val="tx1"/>
            </w14:solidFill>
          </w14:textFill>
        </w:rPr>
      </w:pPr>
      <w:r>
        <w:rPr>
          <w:rFonts w:hint="eastAsia" w:ascii="仿宋" w:hAnsi="仿宋" w:eastAsia="仿宋" w:cs="仿宋"/>
          <w:b/>
          <w:color w:val="000000" w:themeColor="text1"/>
          <w:sz w:val="24"/>
          <w14:textFill>
            <w14:solidFill>
              <w14:schemeClr w14:val="tx1"/>
            </w14:solidFill>
          </w14:textFill>
        </w:rPr>
        <w:t>（一）图纸</w:t>
      </w:r>
    </w:p>
    <w:p w14:paraId="6FCA2D81">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1、附件1-C8民机复合材料创新中心图纸（含设备布置示意图1F、3F）。</w:t>
      </w:r>
    </w:p>
    <w:p w14:paraId="7B2AF9E0">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2、附件2-现场临建平面布置图（本次提供的现场临建平面布置由土建EPC工程总承包单位负责完成，供应商负责完成因货物运输、安装需要的其他部分，并在投标报价中综合考虑其费用）。</w:t>
      </w:r>
    </w:p>
    <w:p w14:paraId="6DCD1956">
      <w:pPr>
        <w:pStyle w:val="5"/>
        <w:spacing w:line="400" w:lineRule="exact"/>
        <w:ind w:firstLine="480"/>
        <w:rPr>
          <w:rFonts w:hint="eastAsia" w:ascii="仿宋" w:hAnsi="仿宋" w:eastAsia="仿宋" w:cs="仿宋"/>
          <w:bCs/>
          <w:color w:val="000000" w:themeColor="text1"/>
          <w:sz w:val="24"/>
          <w14:textFill>
            <w14:solidFill>
              <w14:schemeClr w14:val="tx1"/>
            </w14:solidFill>
          </w14:textFill>
        </w:rPr>
      </w:pPr>
      <w:r>
        <w:rPr>
          <w:rFonts w:hint="eastAsia" w:ascii="仿宋" w:hAnsi="仿宋" w:eastAsia="仿宋" w:cs="仿宋"/>
          <w:bCs/>
          <w:color w:val="000000" w:themeColor="text1"/>
          <w:sz w:val="24"/>
          <w14:textFill>
            <w14:solidFill>
              <w14:schemeClr w14:val="tx1"/>
            </w14:solidFill>
          </w14:textFill>
        </w:rPr>
        <w:t>3、附件3-总平面图。</w:t>
      </w:r>
    </w:p>
    <w:p w14:paraId="180F6AA1">
      <w:bookmarkStart w:id="1" w:name="_GoBack"/>
      <w:bookmarkEnd w:id="1"/>
    </w:p>
    <w:sectPr>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
    <w:panose1 w:val="02010609060101010101"/>
    <w:charset w:val="86"/>
    <w:family w:val="modern"/>
    <w:pitch w:val="default"/>
    <w:sig w:usb0="800002BF" w:usb1="38CF7CFA" w:usb2="00000016" w:usb3="00000000" w:csb0="0004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470F2A"/>
    <w:rsid w:val="78470F2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after="160" w:line="259" w:lineRule="auto"/>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spacing w:before="340" w:after="330" w:line="578" w:lineRule="auto"/>
      <w:outlineLvl w:val="0"/>
    </w:pPr>
    <w:rPr>
      <w:b/>
      <w:bCs/>
      <w:kern w:val="44"/>
      <w:sz w:val="44"/>
      <w:szCs w:val="44"/>
    </w:rPr>
  </w:style>
  <w:style w:type="paragraph" w:styleId="3">
    <w:name w:val="heading 2"/>
    <w:basedOn w:val="1"/>
    <w:next w:val="1"/>
    <w:qFormat/>
    <w:uiPriority w:val="0"/>
    <w:pPr>
      <w:keepNext/>
      <w:keepLines/>
      <w:spacing w:before="260" w:after="260" w:line="415" w:lineRule="auto"/>
      <w:outlineLvl w:val="1"/>
    </w:pPr>
    <w:rPr>
      <w:rFonts w:ascii="Arial" w:hAnsi="Arial" w:eastAsia="黑体"/>
      <w:b/>
      <w:bCs/>
      <w:sz w:val="32"/>
      <w:szCs w:val="32"/>
    </w:rPr>
  </w:style>
  <w:style w:type="paragraph" w:styleId="4">
    <w:name w:val="heading 6"/>
    <w:basedOn w:val="1"/>
    <w:next w:val="1"/>
    <w:qFormat/>
    <w:uiPriority w:val="0"/>
    <w:pPr>
      <w:keepNext/>
      <w:keepLines/>
      <w:spacing w:before="240" w:beforeLines="0" w:beforeAutospacing="0" w:after="64" w:afterLines="0" w:afterAutospacing="0" w:line="317" w:lineRule="auto"/>
      <w:outlineLvl w:val="5"/>
    </w:pPr>
    <w:rPr>
      <w:rFonts w:ascii="Arial" w:hAnsi="Arial" w:eastAsia="黑体"/>
      <w:b/>
      <w:sz w:val="24"/>
    </w:rPr>
  </w:style>
  <w:style w:type="character" w:default="1" w:styleId="8">
    <w:name w:val="Default Paragraph Font"/>
    <w:semiHidden/>
    <w:uiPriority w:val="0"/>
  </w:style>
  <w:style w:type="table" w:default="1" w:styleId="7">
    <w:name w:val="Normal Table"/>
    <w:semiHidden/>
    <w:uiPriority w:val="0"/>
    <w:tblPr>
      <w:tblCellMar>
        <w:top w:w="0" w:type="dxa"/>
        <w:left w:w="108" w:type="dxa"/>
        <w:bottom w:w="0" w:type="dxa"/>
        <w:right w:w="108" w:type="dxa"/>
      </w:tblCellMar>
    </w:tblPr>
  </w:style>
  <w:style w:type="paragraph" w:styleId="5">
    <w:name w:val="Normal Indent"/>
    <w:basedOn w:val="1"/>
    <w:qFormat/>
    <w:uiPriority w:val="0"/>
    <w:pPr>
      <w:ind w:firstLine="200" w:firstLineChars="200"/>
    </w:pPr>
  </w:style>
  <w:style w:type="paragraph" w:styleId="6">
    <w:name w:val="Normal (Web)"/>
    <w:basedOn w:val="1"/>
    <w:qFormat/>
    <w:uiPriority w:val="0"/>
    <w:pPr>
      <w:widowControl/>
      <w:spacing w:before="100" w:beforeAutospacing="1" w:after="100" w:afterAutospacing="1"/>
      <w:jc w:val="left"/>
    </w:pPr>
    <w:rPr>
      <w:rFonts w:ascii="宋体"/>
      <w:kern w:val="0"/>
      <w:sz w:val="18"/>
      <w:szCs w:val="18"/>
    </w:rPr>
  </w:style>
  <w:style w:type="character" w:styleId="9">
    <w:name w:val="annotation reference"/>
    <w:qFormat/>
    <w:uiPriority w:val="99"/>
    <w:rPr>
      <w:sz w:val="21"/>
      <w:szCs w:val="21"/>
    </w:rPr>
  </w:style>
  <w:style w:type="paragraph" w:customStyle="1" w:styleId="10">
    <w:name w:val="石墨文档正文"/>
    <w:qFormat/>
    <w:uiPriority w:val="0"/>
    <w:rPr>
      <w:rFonts w:ascii="微软雅黑" w:hAnsi="微软雅黑" w:eastAsia="微软雅黑" w:cs="微软雅黑"/>
      <w:sz w:val="22"/>
      <w:szCs w:val="22"/>
      <w:lang w:val="en-US" w:eastAsia="zh-CN" w:bidi="ar-SA"/>
    </w:rPr>
  </w:style>
  <w:style w:type="paragraph" w:customStyle="1" w:styleId="11">
    <w:name w:val="正文首行缩进1"/>
    <w:basedOn w:val="1"/>
    <w:qFormat/>
    <w:uiPriority w:val="0"/>
    <w:rPr>
      <w:lang w:val="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16</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2026-07-07T08:48:00Z</dcterms:created>
  <dc:creator>袁袁</dc:creator>
  <cp:lastModifiedBy>袁袁</cp:lastModifiedBy>
  <dcterms:modified xsi:type="dcterms:W3CDTF">2026-07-07T08:48:43Z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704BBCFF74D8478D866E37D40B1E3278_11</vt:lpwstr>
  </property>
  <property fmtid="{D5CDD505-2E9C-101B-9397-08002B2CF9AE}" pid="4" name="KSOTemplateDocerSaveRecord">
    <vt:lpwstr>eyJoZGlkIjoiMmM5Mjk3NDI2ZGMwZmJjZGMxYjQ4YTNlNDM4M2JmNzkiLCJ1c2VySWQiOiIxNTU4NjA1ODMxIn0=</vt:lpwstr>
  </property>
</Properties>
</file>