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BCEF18E">
      <w:pPr>
        <w:pStyle w:val="4"/>
        <w:snapToGrid w:val="0"/>
        <w:spacing w:before="319" w:beforeLines="100" w:after="319" w:afterLines="100" w:line="360" w:lineRule="auto"/>
        <w:rPr>
          <w:rFonts w:ascii="仿宋_GB2312" w:hAnsi="仿宋_GB2312" w:eastAsia="仿宋_GB2312" w:cs="仿宋_GB2312"/>
          <w:color w:val="auto"/>
          <w:highlight w:val="none"/>
        </w:rPr>
      </w:pPr>
      <w:bookmarkStart w:id="0" w:name="_Toc11327"/>
      <w:bookmarkStart w:id="1" w:name="_Toc30110"/>
      <w:bookmarkStart w:id="2" w:name="_Toc4498_WPSOffice_Level1"/>
      <w:r>
        <w:rPr>
          <w:rFonts w:hint="eastAsia" w:ascii="仿宋_GB2312" w:hAnsi="仿宋_GB2312" w:eastAsia="仿宋_GB2312" w:cs="仿宋_GB2312"/>
          <w:color w:val="auto"/>
          <w:highlight w:val="none"/>
        </w:rPr>
        <w:t>第三章 服务需求</w:t>
      </w:r>
      <w:bookmarkEnd w:id="0"/>
      <w:bookmarkEnd w:id="1"/>
      <w:bookmarkEnd w:id="2"/>
    </w:p>
    <w:p w14:paraId="71530259">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pacing w:before="0" w:beforeAutospacing="0" w:after="0" w:afterAutospacing="0" w:line="400" w:lineRule="exact"/>
        <w:ind w:left="0" w:right="0"/>
        <w:jc w:val="left"/>
        <w:rPr>
          <w:rFonts w:hint="default" w:ascii="仿宋" w:hAnsi="仿宋" w:eastAsia="仿宋" w:cs="仿宋"/>
          <w:b/>
          <w:bCs/>
          <w:i w:val="0"/>
          <w:iCs w:val="0"/>
          <w:caps w:val="0"/>
          <w:color w:val="auto"/>
          <w:spacing w:val="0"/>
          <w:sz w:val="24"/>
          <w:szCs w:val="24"/>
          <w:highlight w:val="none"/>
          <w:lang w:val="en-US" w:eastAsia="zh-CN"/>
        </w:rPr>
      </w:pPr>
      <w:r>
        <w:rPr>
          <w:rFonts w:hint="eastAsia" w:ascii="仿宋" w:hAnsi="仿宋" w:eastAsia="仿宋" w:cs="仿宋"/>
          <w:b/>
          <w:bCs/>
          <w:i w:val="0"/>
          <w:iCs w:val="0"/>
          <w:caps w:val="0"/>
          <w:color w:val="auto"/>
          <w:spacing w:val="0"/>
          <w:sz w:val="24"/>
          <w:szCs w:val="24"/>
          <w:highlight w:val="none"/>
        </w:rPr>
        <w:t>　一 、项目基本情况</w:t>
      </w:r>
      <w:r>
        <w:rPr>
          <w:rFonts w:hint="eastAsia" w:ascii="仿宋" w:hAnsi="仿宋" w:eastAsia="仿宋" w:cs="仿宋"/>
          <w:b/>
          <w:bCs/>
          <w:i w:val="0"/>
          <w:iCs w:val="0"/>
          <w:caps w:val="0"/>
          <w:color w:val="auto"/>
          <w:spacing w:val="0"/>
          <w:sz w:val="24"/>
          <w:szCs w:val="24"/>
          <w:highlight w:val="none"/>
          <w:lang w:val="en-US" w:eastAsia="zh-CN"/>
        </w:rPr>
        <w:t xml:space="preserve"> </w:t>
      </w:r>
    </w:p>
    <w:p w14:paraId="44ECE34A">
      <w:pPr>
        <w:numPr>
          <w:ilvl w:val="0"/>
          <w:numId w:val="0"/>
        </w:numPr>
        <w:spacing w:line="360" w:lineRule="auto"/>
        <w:jc w:val="left"/>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项目名称：</w:t>
      </w:r>
      <w:r>
        <w:rPr>
          <w:rFonts w:hint="eastAsia" w:ascii="仿宋_GB2312" w:hAnsi="仿宋_GB2312" w:eastAsia="仿宋_GB2312" w:cs="仿宋_GB2312"/>
          <w:color w:val="auto"/>
          <w:szCs w:val="21"/>
          <w:highlight w:val="none"/>
          <w:lang w:val="en-US" w:eastAsia="zh-CN"/>
        </w:rPr>
        <w:t>辽宁省消防救援总队训练与战勤保障支队特种车车辆改装项目</w:t>
      </w:r>
    </w:p>
    <w:p w14:paraId="03282477">
      <w:pPr>
        <w:numPr>
          <w:ilvl w:val="0"/>
          <w:numId w:val="0"/>
        </w:numPr>
        <w:spacing w:line="360" w:lineRule="auto"/>
        <w:jc w:val="left"/>
        <w:rPr>
          <w:rFonts w:hint="eastAsia" w:ascii="仿宋_GB2312" w:hAnsi="仿宋_GB2312" w:eastAsia="仿宋_GB2312" w:cs="仿宋_GB2312"/>
          <w:color w:val="auto"/>
          <w:szCs w:val="21"/>
          <w:highlight w:val="none"/>
          <w:lang w:eastAsia="zh-CN"/>
        </w:rPr>
      </w:pPr>
      <w:r>
        <w:rPr>
          <w:rFonts w:hint="eastAsia" w:ascii="仿宋_GB2312" w:hAnsi="仿宋_GB2312" w:eastAsia="仿宋_GB2312" w:cs="仿宋_GB2312"/>
          <w:color w:val="auto"/>
          <w:szCs w:val="21"/>
          <w:highlight w:val="none"/>
        </w:rPr>
        <w:t>项目地点：</w:t>
      </w:r>
      <w:r>
        <w:rPr>
          <w:rFonts w:hint="eastAsia" w:ascii="仿宋_GB2312" w:hAnsi="仿宋_GB2312" w:eastAsia="仿宋_GB2312" w:cs="仿宋_GB2312"/>
          <w:color w:val="auto"/>
          <w:szCs w:val="21"/>
          <w:highlight w:val="none"/>
          <w:lang w:val="en-US" w:eastAsia="zh-CN"/>
        </w:rPr>
        <w:t>采购人指定地点</w:t>
      </w:r>
    </w:p>
    <w:p w14:paraId="6EB8E214">
      <w:pPr>
        <w:numPr>
          <w:ilvl w:val="0"/>
          <w:numId w:val="0"/>
        </w:numPr>
        <w:spacing w:line="360" w:lineRule="auto"/>
        <w:jc w:val="left"/>
        <w:rPr>
          <w:rFonts w:hint="default" w:ascii="仿宋_GB2312" w:hAnsi="仿宋_GB2312" w:eastAsia="仿宋_GB2312" w:cs="仿宋_GB2312"/>
          <w:color w:val="auto"/>
          <w:szCs w:val="21"/>
          <w:highlight w:val="none"/>
          <w:shd w:val="clear" w:color="auto" w:fill="auto"/>
          <w:lang w:val="en-US" w:eastAsia="zh-CN"/>
        </w:rPr>
      </w:pPr>
      <w:r>
        <w:rPr>
          <w:rFonts w:hint="eastAsia" w:ascii="仿宋_GB2312" w:hAnsi="仿宋_GB2312" w:eastAsia="仿宋_GB2312" w:cs="仿宋_GB2312"/>
          <w:color w:val="auto"/>
          <w:szCs w:val="21"/>
          <w:highlight w:val="none"/>
        </w:rPr>
        <w:t>服务期限：</w:t>
      </w:r>
      <w:r>
        <w:rPr>
          <w:rFonts w:hint="eastAsia" w:ascii="仿宋_GB2312" w:hAnsi="仿宋_GB2312" w:cs="仿宋_GB2312"/>
          <w:szCs w:val="28"/>
          <w:lang w:val="en-US" w:eastAsia="zh-CN"/>
        </w:rPr>
        <w:t>自合同签订之日起60天</w:t>
      </w:r>
      <w:r>
        <w:rPr>
          <w:rFonts w:hint="eastAsia" w:ascii="仿宋_GB2312" w:hAnsi="仿宋_GB2312" w:eastAsia="仿宋_GB2312" w:cs="仿宋_GB2312"/>
          <w:color w:val="auto"/>
          <w:szCs w:val="21"/>
          <w:highlight w:val="none"/>
          <w:shd w:val="clear" w:color="auto" w:fill="auto"/>
          <w:lang w:val="en-US" w:eastAsia="zh-CN"/>
        </w:rPr>
        <w:t xml:space="preserve">  </w:t>
      </w:r>
    </w:p>
    <w:p w14:paraId="54ADFEC2">
      <w:pPr>
        <w:numPr>
          <w:ilvl w:val="0"/>
          <w:numId w:val="0"/>
        </w:numPr>
        <w:spacing w:line="360" w:lineRule="auto"/>
        <w:jc w:val="left"/>
        <w:rPr>
          <w:rFonts w:hint="eastAsia" w:ascii="仿宋_GB2312" w:hAnsi="仿宋_GB2312" w:eastAsia="仿宋_GB2312" w:cs="仿宋_GB2312"/>
          <w:color w:val="auto"/>
          <w:szCs w:val="21"/>
          <w:highlight w:val="none"/>
          <w:lang w:val="en-US" w:eastAsia="zh-CN"/>
        </w:rPr>
      </w:pPr>
      <w:r>
        <w:rPr>
          <w:rFonts w:hint="default" w:ascii="仿宋_GB2312" w:hAnsi="仿宋_GB2312" w:eastAsia="仿宋_GB2312" w:cs="仿宋_GB2312"/>
          <w:color w:val="auto"/>
          <w:szCs w:val="21"/>
          <w:highlight w:val="none"/>
          <w:lang w:val="en-US" w:eastAsia="zh-CN"/>
        </w:rPr>
        <w:t xml:space="preserve">服务方式：按照采购人要求执行 </w:t>
      </w:r>
    </w:p>
    <w:p w14:paraId="50307F65">
      <w:pPr>
        <w:pStyle w:val="5"/>
        <w:numPr>
          <w:ilvl w:val="0"/>
          <w:numId w:val="1"/>
        </w:numPr>
        <w:ind w:firstLine="241" w:firstLineChars="100"/>
        <w:rPr>
          <w:rFonts w:hint="eastAsia" w:ascii="仿宋" w:hAnsi="仿宋" w:eastAsia="仿宋" w:cs="仿宋"/>
          <w:b/>
          <w:bCs/>
          <w:i w:val="0"/>
          <w:iCs w:val="0"/>
          <w:caps w:val="0"/>
          <w:color w:val="auto"/>
          <w:spacing w:val="0"/>
          <w:kern w:val="0"/>
          <w:sz w:val="24"/>
          <w:szCs w:val="24"/>
          <w:highlight w:val="none"/>
          <w:lang w:val="en-US" w:eastAsia="zh-CN" w:bidi="ar-SA"/>
        </w:rPr>
      </w:pPr>
      <w:r>
        <w:rPr>
          <w:rFonts w:hint="eastAsia" w:ascii="仿宋" w:hAnsi="仿宋" w:eastAsia="仿宋" w:cs="仿宋"/>
          <w:b/>
          <w:bCs/>
          <w:i w:val="0"/>
          <w:iCs w:val="0"/>
          <w:caps w:val="0"/>
          <w:color w:val="auto"/>
          <w:spacing w:val="0"/>
          <w:kern w:val="0"/>
          <w:sz w:val="24"/>
          <w:szCs w:val="24"/>
          <w:highlight w:val="none"/>
          <w:lang w:val="en-US" w:eastAsia="zh-CN" w:bidi="ar-SA"/>
        </w:rPr>
        <w:t>服务内容</w:t>
      </w:r>
    </w:p>
    <w:tbl>
      <w:tblPr>
        <w:tblStyle w:val="7"/>
        <w:tblW w:w="9650" w:type="dxa"/>
        <w:tblInd w:w="-4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0"/>
        <w:gridCol w:w="620"/>
        <w:gridCol w:w="1210"/>
        <w:gridCol w:w="3110"/>
        <w:gridCol w:w="750"/>
        <w:gridCol w:w="740"/>
        <w:gridCol w:w="1330"/>
        <w:gridCol w:w="1220"/>
      </w:tblGrid>
      <w:tr w14:paraId="4C6A4B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trPr>
        <w:tc>
          <w:tcPr>
            <w:tcW w:w="670" w:type="dxa"/>
            <w:vMerge w:val="restart"/>
            <w:noWrap w:val="0"/>
            <w:vAlign w:val="center"/>
          </w:tcPr>
          <w:p w14:paraId="53DF953D">
            <w:pPr>
              <w:keepNext w:val="0"/>
              <w:keepLines w:val="0"/>
              <w:widowControl/>
              <w:suppressLineNumbers w:val="0"/>
              <w:jc w:val="center"/>
              <w:textAlignment w:val="center"/>
              <w:rPr>
                <w:rFonts w:hint="default" w:ascii="宋体" w:hAnsi="宋体" w:eastAsia="宋体" w:cs="宋体"/>
                <w:b w:val="0"/>
                <w:bCs w:val="0"/>
                <w:i w:val="0"/>
                <w:iCs w:val="0"/>
                <w:color w:val="auto"/>
                <w:kern w:val="0"/>
                <w:sz w:val="20"/>
                <w:szCs w:val="20"/>
                <w:highlight w:val="none"/>
                <w:u w:val="none"/>
                <w:lang w:val="en-US" w:eastAsia="zh-CN" w:bidi="ar"/>
              </w:rPr>
            </w:pPr>
            <w:r>
              <w:rPr>
                <w:rFonts w:hint="eastAsia" w:ascii="宋体" w:hAnsi="宋体" w:eastAsia="宋体" w:cs="宋体"/>
                <w:b w:val="0"/>
                <w:bCs w:val="0"/>
                <w:i w:val="0"/>
                <w:iCs w:val="0"/>
                <w:color w:val="auto"/>
                <w:kern w:val="0"/>
                <w:sz w:val="20"/>
                <w:szCs w:val="20"/>
                <w:highlight w:val="none"/>
                <w:u w:val="none"/>
                <w:lang w:val="en-US" w:eastAsia="zh-CN" w:bidi="ar"/>
              </w:rPr>
              <w:t>改装车型</w:t>
            </w:r>
          </w:p>
        </w:tc>
        <w:tc>
          <w:tcPr>
            <w:tcW w:w="620" w:type="dxa"/>
            <w:vMerge w:val="restart"/>
            <w:noWrap w:val="0"/>
            <w:vAlign w:val="center"/>
          </w:tcPr>
          <w:p w14:paraId="72BBF9AC">
            <w:pPr>
              <w:keepNext w:val="0"/>
              <w:keepLines w:val="0"/>
              <w:widowControl/>
              <w:suppressLineNumbers w:val="0"/>
              <w:jc w:val="center"/>
              <w:textAlignment w:val="center"/>
              <w:rPr>
                <w:rFonts w:hint="default" w:ascii="宋体" w:hAnsi="宋体" w:eastAsia="宋体" w:cs="宋体"/>
                <w:b w:val="0"/>
                <w:bCs w:val="0"/>
                <w:i w:val="0"/>
                <w:iCs w:val="0"/>
                <w:color w:val="auto"/>
                <w:kern w:val="0"/>
                <w:sz w:val="20"/>
                <w:szCs w:val="20"/>
                <w:highlight w:val="none"/>
                <w:u w:val="none"/>
                <w:lang w:val="en-US" w:eastAsia="zh-CN" w:bidi="ar"/>
              </w:rPr>
            </w:pPr>
            <w:r>
              <w:rPr>
                <w:rFonts w:hint="eastAsia" w:ascii="宋体" w:hAnsi="宋体" w:eastAsia="宋体" w:cs="宋体"/>
                <w:b w:val="0"/>
                <w:bCs w:val="0"/>
                <w:i w:val="0"/>
                <w:iCs w:val="0"/>
                <w:color w:val="auto"/>
                <w:kern w:val="0"/>
                <w:sz w:val="20"/>
                <w:szCs w:val="20"/>
                <w:highlight w:val="none"/>
                <w:u w:val="none"/>
                <w:lang w:val="en-US" w:eastAsia="zh-CN" w:bidi="ar"/>
              </w:rPr>
              <w:t>类型</w:t>
            </w:r>
          </w:p>
        </w:tc>
        <w:tc>
          <w:tcPr>
            <w:tcW w:w="1210" w:type="dxa"/>
            <w:vMerge w:val="restart"/>
            <w:noWrap w:val="0"/>
            <w:vAlign w:val="center"/>
          </w:tcPr>
          <w:p w14:paraId="5B714159">
            <w:pPr>
              <w:keepNext w:val="0"/>
              <w:keepLines w:val="0"/>
              <w:widowControl/>
              <w:suppressLineNumbers w:val="0"/>
              <w:jc w:val="center"/>
              <w:textAlignment w:val="center"/>
              <w:rPr>
                <w:rFonts w:hint="default" w:ascii="宋体" w:hAnsi="宋体" w:eastAsia="宋体" w:cs="宋体"/>
                <w:b w:val="0"/>
                <w:bCs w:val="0"/>
                <w:i w:val="0"/>
                <w:iCs w:val="0"/>
                <w:color w:val="auto"/>
                <w:kern w:val="0"/>
                <w:sz w:val="20"/>
                <w:szCs w:val="20"/>
                <w:highlight w:val="none"/>
                <w:u w:val="none"/>
                <w:lang w:val="en-US" w:eastAsia="zh-CN" w:bidi="ar"/>
              </w:rPr>
            </w:pPr>
            <w:r>
              <w:rPr>
                <w:rFonts w:hint="eastAsia" w:ascii="宋体" w:hAnsi="宋体" w:eastAsia="宋体" w:cs="宋体"/>
                <w:b w:val="0"/>
                <w:bCs w:val="0"/>
                <w:i w:val="0"/>
                <w:iCs w:val="0"/>
                <w:color w:val="auto"/>
                <w:kern w:val="0"/>
                <w:sz w:val="20"/>
                <w:szCs w:val="20"/>
                <w:highlight w:val="none"/>
                <w:u w:val="none"/>
                <w:lang w:val="en-US" w:eastAsia="zh-CN" w:bidi="ar"/>
              </w:rPr>
              <w:t>设备名称</w:t>
            </w:r>
          </w:p>
        </w:tc>
        <w:tc>
          <w:tcPr>
            <w:tcW w:w="3110" w:type="dxa"/>
            <w:vMerge w:val="restart"/>
            <w:noWrap w:val="0"/>
            <w:vAlign w:val="center"/>
          </w:tcPr>
          <w:p w14:paraId="6958443C">
            <w:pPr>
              <w:keepNext w:val="0"/>
              <w:keepLines w:val="0"/>
              <w:widowControl/>
              <w:numPr>
                <w:ilvl w:val="0"/>
                <w:numId w:val="0"/>
              </w:numPr>
              <w:suppressLineNumbers w:val="0"/>
              <w:jc w:val="center"/>
              <w:textAlignment w:val="center"/>
              <w:rPr>
                <w:rFonts w:hint="default" w:ascii="宋体" w:hAnsi="宋体" w:eastAsia="宋体" w:cs="宋体"/>
                <w:b w:val="0"/>
                <w:bCs w:val="0"/>
                <w:i w:val="0"/>
                <w:iCs w:val="0"/>
                <w:color w:val="auto"/>
                <w:kern w:val="0"/>
                <w:sz w:val="20"/>
                <w:szCs w:val="20"/>
                <w:highlight w:val="none"/>
                <w:u w:val="none"/>
                <w:lang w:val="en-US" w:eastAsia="zh-CN" w:bidi="ar"/>
              </w:rPr>
            </w:pPr>
            <w:r>
              <w:rPr>
                <w:rFonts w:hint="eastAsia" w:ascii="宋体" w:hAnsi="宋体" w:eastAsia="宋体" w:cs="宋体"/>
                <w:b w:val="0"/>
                <w:bCs w:val="0"/>
                <w:i w:val="0"/>
                <w:iCs w:val="0"/>
                <w:color w:val="auto"/>
                <w:kern w:val="0"/>
                <w:sz w:val="20"/>
                <w:szCs w:val="20"/>
                <w:highlight w:val="none"/>
                <w:u w:val="none"/>
                <w:lang w:val="en-US" w:eastAsia="zh-CN" w:bidi="ar"/>
              </w:rPr>
              <w:t>技术要求</w:t>
            </w:r>
          </w:p>
        </w:tc>
        <w:tc>
          <w:tcPr>
            <w:tcW w:w="750" w:type="dxa"/>
            <w:vMerge w:val="restart"/>
            <w:noWrap w:val="0"/>
            <w:vAlign w:val="center"/>
          </w:tcPr>
          <w:p w14:paraId="41D904F3">
            <w:pPr>
              <w:keepNext w:val="0"/>
              <w:keepLines w:val="0"/>
              <w:widowControl/>
              <w:suppressLineNumbers w:val="0"/>
              <w:jc w:val="center"/>
              <w:textAlignment w:val="center"/>
              <w:rPr>
                <w:rFonts w:hint="default" w:ascii="宋体" w:hAnsi="宋体" w:eastAsia="宋体" w:cs="宋体"/>
                <w:b w:val="0"/>
                <w:bCs w:val="0"/>
                <w:i w:val="0"/>
                <w:iCs w:val="0"/>
                <w:color w:val="auto"/>
                <w:kern w:val="0"/>
                <w:sz w:val="20"/>
                <w:szCs w:val="20"/>
                <w:highlight w:val="none"/>
                <w:u w:val="none"/>
                <w:lang w:val="en-US" w:eastAsia="zh-CN" w:bidi="ar"/>
              </w:rPr>
            </w:pPr>
            <w:r>
              <w:rPr>
                <w:rFonts w:hint="eastAsia" w:ascii="宋体" w:hAnsi="宋体" w:eastAsia="宋体" w:cs="宋体"/>
                <w:b w:val="0"/>
                <w:bCs w:val="0"/>
                <w:i w:val="0"/>
                <w:iCs w:val="0"/>
                <w:color w:val="auto"/>
                <w:kern w:val="0"/>
                <w:sz w:val="20"/>
                <w:szCs w:val="20"/>
                <w:highlight w:val="none"/>
                <w:u w:val="none"/>
                <w:lang w:val="en-US" w:eastAsia="zh-CN" w:bidi="ar"/>
              </w:rPr>
              <w:t>数量</w:t>
            </w:r>
          </w:p>
        </w:tc>
        <w:tc>
          <w:tcPr>
            <w:tcW w:w="740" w:type="dxa"/>
            <w:vMerge w:val="restart"/>
            <w:noWrap w:val="0"/>
            <w:vAlign w:val="center"/>
          </w:tcPr>
          <w:p w14:paraId="05259A52">
            <w:pPr>
              <w:keepNext w:val="0"/>
              <w:keepLines w:val="0"/>
              <w:widowControl/>
              <w:suppressLineNumbers w:val="0"/>
              <w:jc w:val="center"/>
              <w:textAlignment w:val="center"/>
              <w:rPr>
                <w:rFonts w:hint="default" w:ascii="宋体" w:hAnsi="宋体" w:eastAsia="宋体" w:cs="宋体"/>
                <w:b w:val="0"/>
                <w:bCs w:val="0"/>
                <w:i w:val="0"/>
                <w:iCs w:val="0"/>
                <w:color w:val="auto"/>
                <w:kern w:val="0"/>
                <w:sz w:val="20"/>
                <w:szCs w:val="20"/>
                <w:highlight w:val="none"/>
                <w:u w:val="none"/>
                <w:lang w:val="en-US" w:eastAsia="zh-CN" w:bidi="ar"/>
              </w:rPr>
            </w:pPr>
            <w:r>
              <w:rPr>
                <w:rFonts w:hint="eastAsia" w:ascii="宋体" w:hAnsi="宋体" w:eastAsia="宋体" w:cs="宋体"/>
                <w:b w:val="0"/>
                <w:bCs w:val="0"/>
                <w:i w:val="0"/>
                <w:iCs w:val="0"/>
                <w:color w:val="auto"/>
                <w:kern w:val="0"/>
                <w:sz w:val="20"/>
                <w:szCs w:val="20"/>
                <w:highlight w:val="none"/>
                <w:u w:val="none"/>
                <w:lang w:val="en-US" w:eastAsia="zh-CN" w:bidi="ar"/>
              </w:rPr>
              <w:t>单位</w:t>
            </w:r>
          </w:p>
        </w:tc>
        <w:tc>
          <w:tcPr>
            <w:tcW w:w="2550" w:type="dxa"/>
            <w:gridSpan w:val="2"/>
            <w:noWrap w:val="0"/>
            <w:vAlign w:val="center"/>
          </w:tcPr>
          <w:p w14:paraId="650C00E7">
            <w:pPr>
              <w:keepNext w:val="0"/>
              <w:keepLines w:val="0"/>
              <w:widowControl/>
              <w:suppressLineNumbers w:val="0"/>
              <w:jc w:val="center"/>
              <w:textAlignment w:val="center"/>
              <w:rPr>
                <w:rFonts w:hint="eastAsia" w:ascii="宋体" w:hAnsi="宋体" w:eastAsia="宋体" w:cs="宋体"/>
                <w:b w:val="0"/>
                <w:bCs w:val="0"/>
                <w:i w:val="0"/>
                <w:iCs w:val="0"/>
                <w:color w:val="auto"/>
                <w:kern w:val="0"/>
                <w:sz w:val="20"/>
                <w:szCs w:val="20"/>
                <w:highlight w:val="none"/>
                <w:u w:val="none"/>
                <w:lang w:val="en-US" w:eastAsia="zh-CN" w:bidi="ar"/>
              </w:rPr>
            </w:pPr>
            <w:r>
              <w:rPr>
                <w:rFonts w:hint="eastAsia" w:ascii="宋体" w:hAnsi="宋体" w:eastAsia="宋体" w:cs="宋体"/>
                <w:b w:val="0"/>
                <w:bCs w:val="0"/>
                <w:i w:val="0"/>
                <w:iCs w:val="0"/>
                <w:color w:val="auto"/>
                <w:kern w:val="0"/>
                <w:sz w:val="20"/>
                <w:szCs w:val="20"/>
                <w:highlight w:val="none"/>
                <w:u w:val="none"/>
                <w:lang w:val="en-US" w:eastAsia="zh-CN" w:bidi="ar"/>
              </w:rPr>
              <w:t>最高限价</w:t>
            </w:r>
          </w:p>
        </w:tc>
      </w:tr>
      <w:tr w14:paraId="04D73C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670" w:type="dxa"/>
            <w:vMerge w:val="continue"/>
            <w:noWrap w:val="0"/>
            <w:vAlign w:val="center"/>
          </w:tcPr>
          <w:p w14:paraId="13F3F8A1">
            <w:pPr>
              <w:keepNext w:val="0"/>
              <w:keepLines w:val="0"/>
              <w:widowControl/>
              <w:suppressLineNumbers w:val="0"/>
              <w:jc w:val="center"/>
              <w:textAlignment w:val="center"/>
              <w:rPr>
                <w:rFonts w:hint="eastAsia" w:ascii="宋体" w:hAnsi="宋体" w:eastAsia="宋体" w:cs="宋体"/>
                <w:b w:val="0"/>
                <w:bCs w:val="0"/>
                <w:i w:val="0"/>
                <w:iCs w:val="0"/>
                <w:color w:val="auto"/>
                <w:kern w:val="0"/>
                <w:sz w:val="20"/>
                <w:szCs w:val="20"/>
                <w:highlight w:val="none"/>
                <w:u w:val="none"/>
                <w:lang w:val="en-US" w:eastAsia="zh-CN" w:bidi="ar"/>
              </w:rPr>
            </w:pPr>
          </w:p>
        </w:tc>
        <w:tc>
          <w:tcPr>
            <w:tcW w:w="620" w:type="dxa"/>
            <w:vMerge w:val="continue"/>
            <w:noWrap w:val="0"/>
            <w:vAlign w:val="center"/>
          </w:tcPr>
          <w:p w14:paraId="2322D350">
            <w:pPr>
              <w:keepNext w:val="0"/>
              <w:keepLines w:val="0"/>
              <w:widowControl/>
              <w:suppressLineNumbers w:val="0"/>
              <w:jc w:val="center"/>
              <w:textAlignment w:val="center"/>
              <w:rPr>
                <w:rFonts w:hint="eastAsia" w:ascii="宋体" w:hAnsi="宋体" w:eastAsia="宋体" w:cs="宋体"/>
                <w:b w:val="0"/>
                <w:bCs w:val="0"/>
                <w:i w:val="0"/>
                <w:iCs w:val="0"/>
                <w:color w:val="auto"/>
                <w:kern w:val="0"/>
                <w:sz w:val="20"/>
                <w:szCs w:val="20"/>
                <w:highlight w:val="none"/>
                <w:u w:val="none"/>
                <w:lang w:val="en-US" w:eastAsia="zh-CN" w:bidi="ar"/>
              </w:rPr>
            </w:pPr>
          </w:p>
        </w:tc>
        <w:tc>
          <w:tcPr>
            <w:tcW w:w="1210" w:type="dxa"/>
            <w:vMerge w:val="continue"/>
            <w:noWrap w:val="0"/>
            <w:vAlign w:val="center"/>
          </w:tcPr>
          <w:p w14:paraId="70EC6DE5">
            <w:pPr>
              <w:keepNext w:val="0"/>
              <w:keepLines w:val="0"/>
              <w:widowControl/>
              <w:suppressLineNumbers w:val="0"/>
              <w:jc w:val="center"/>
              <w:textAlignment w:val="center"/>
              <w:rPr>
                <w:rFonts w:hint="eastAsia" w:ascii="宋体" w:hAnsi="宋体" w:eastAsia="宋体" w:cs="宋体"/>
                <w:b w:val="0"/>
                <w:bCs w:val="0"/>
                <w:i w:val="0"/>
                <w:iCs w:val="0"/>
                <w:color w:val="auto"/>
                <w:kern w:val="0"/>
                <w:sz w:val="20"/>
                <w:szCs w:val="20"/>
                <w:highlight w:val="none"/>
                <w:u w:val="none"/>
                <w:lang w:val="en-US" w:eastAsia="zh-CN" w:bidi="ar"/>
              </w:rPr>
            </w:pPr>
          </w:p>
        </w:tc>
        <w:tc>
          <w:tcPr>
            <w:tcW w:w="3110" w:type="dxa"/>
            <w:vMerge w:val="continue"/>
            <w:noWrap w:val="0"/>
            <w:vAlign w:val="center"/>
          </w:tcPr>
          <w:p w14:paraId="72403462">
            <w:pPr>
              <w:keepNext w:val="0"/>
              <w:keepLines w:val="0"/>
              <w:widowControl/>
              <w:numPr>
                <w:ilvl w:val="0"/>
                <w:numId w:val="0"/>
              </w:numPr>
              <w:suppressLineNumbers w:val="0"/>
              <w:jc w:val="center"/>
              <w:textAlignment w:val="center"/>
              <w:rPr>
                <w:rFonts w:hint="eastAsia" w:ascii="宋体" w:hAnsi="宋体" w:eastAsia="宋体" w:cs="宋体"/>
                <w:b w:val="0"/>
                <w:bCs w:val="0"/>
                <w:i w:val="0"/>
                <w:iCs w:val="0"/>
                <w:color w:val="auto"/>
                <w:kern w:val="0"/>
                <w:sz w:val="20"/>
                <w:szCs w:val="20"/>
                <w:highlight w:val="none"/>
                <w:u w:val="none"/>
                <w:lang w:val="en-US" w:eastAsia="zh-CN" w:bidi="ar"/>
              </w:rPr>
            </w:pPr>
          </w:p>
        </w:tc>
        <w:tc>
          <w:tcPr>
            <w:tcW w:w="750" w:type="dxa"/>
            <w:vMerge w:val="continue"/>
            <w:noWrap w:val="0"/>
            <w:vAlign w:val="center"/>
          </w:tcPr>
          <w:p w14:paraId="27E9CDD0">
            <w:pPr>
              <w:keepNext w:val="0"/>
              <w:keepLines w:val="0"/>
              <w:widowControl/>
              <w:suppressLineNumbers w:val="0"/>
              <w:jc w:val="center"/>
              <w:textAlignment w:val="center"/>
              <w:rPr>
                <w:rFonts w:hint="eastAsia" w:ascii="宋体" w:hAnsi="宋体" w:eastAsia="宋体" w:cs="宋体"/>
                <w:b w:val="0"/>
                <w:bCs w:val="0"/>
                <w:i w:val="0"/>
                <w:iCs w:val="0"/>
                <w:color w:val="auto"/>
                <w:kern w:val="0"/>
                <w:sz w:val="20"/>
                <w:szCs w:val="20"/>
                <w:highlight w:val="none"/>
                <w:u w:val="none"/>
                <w:lang w:val="en-US" w:eastAsia="zh-CN" w:bidi="ar"/>
              </w:rPr>
            </w:pPr>
          </w:p>
        </w:tc>
        <w:tc>
          <w:tcPr>
            <w:tcW w:w="740" w:type="dxa"/>
            <w:vMerge w:val="continue"/>
            <w:noWrap w:val="0"/>
            <w:vAlign w:val="center"/>
          </w:tcPr>
          <w:p w14:paraId="0DDB6194">
            <w:pPr>
              <w:keepNext w:val="0"/>
              <w:keepLines w:val="0"/>
              <w:widowControl/>
              <w:suppressLineNumbers w:val="0"/>
              <w:jc w:val="center"/>
              <w:textAlignment w:val="center"/>
              <w:rPr>
                <w:rFonts w:hint="eastAsia" w:ascii="宋体" w:hAnsi="宋体" w:eastAsia="宋体" w:cs="宋体"/>
                <w:b w:val="0"/>
                <w:bCs w:val="0"/>
                <w:i w:val="0"/>
                <w:iCs w:val="0"/>
                <w:color w:val="auto"/>
                <w:kern w:val="0"/>
                <w:sz w:val="20"/>
                <w:szCs w:val="20"/>
                <w:highlight w:val="none"/>
                <w:u w:val="none"/>
                <w:lang w:val="en-US" w:eastAsia="zh-CN" w:bidi="ar"/>
              </w:rPr>
            </w:pPr>
          </w:p>
        </w:tc>
        <w:tc>
          <w:tcPr>
            <w:tcW w:w="1330" w:type="dxa"/>
            <w:noWrap w:val="0"/>
            <w:vAlign w:val="center"/>
          </w:tcPr>
          <w:p w14:paraId="7C3BD221">
            <w:pPr>
              <w:keepNext w:val="0"/>
              <w:keepLines w:val="0"/>
              <w:widowControl/>
              <w:suppressLineNumbers w:val="0"/>
              <w:jc w:val="center"/>
              <w:textAlignment w:val="center"/>
              <w:rPr>
                <w:rFonts w:hint="eastAsia" w:ascii="宋体" w:hAnsi="宋体" w:eastAsia="宋体" w:cs="宋体"/>
                <w:b w:val="0"/>
                <w:bCs w:val="0"/>
                <w:i w:val="0"/>
                <w:iCs w:val="0"/>
                <w:color w:val="auto"/>
                <w:kern w:val="0"/>
                <w:sz w:val="20"/>
                <w:szCs w:val="20"/>
                <w:highlight w:val="none"/>
                <w:u w:val="none"/>
                <w:lang w:val="en-US" w:eastAsia="zh-CN" w:bidi="ar"/>
              </w:rPr>
            </w:pPr>
            <w:r>
              <w:rPr>
                <w:rFonts w:hint="eastAsia" w:ascii="宋体" w:hAnsi="宋体" w:eastAsia="宋体" w:cs="宋体"/>
                <w:b w:val="0"/>
                <w:bCs w:val="0"/>
                <w:i w:val="0"/>
                <w:iCs w:val="0"/>
                <w:color w:val="auto"/>
                <w:kern w:val="0"/>
                <w:sz w:val="20"/>
                <w:szCs w:val="20"/>
                <w:highlight w:val="none"/>
                <w:u w:val="none"/>
                <w:lang w:val="en-US" w:eastAsia="zh-CN" w:bidi="ar"/>
              </w:rPr>
              <w:t>单价（万元）</w:t>
            </w:r>
          </w:p>
        </w:tc>
        <w:tc>
          <w:tcPr>
            <w:tcW w:w="1220" w:type="dxa"/>
            <w:noWrap w:val="0"/>
            <w:vAlign w:val="center"/>
          </w:tcPr>
          <w:p w14:paraId="78CD8436">
            <w:pPr>
              <w:keepNext w:val="0"/>
              <w:keepLines w:val="0"/>
              <w:widowControl/>
              <w:suppressLineNumbers w:val="0"/>
              <w:jc w:val="center"/>
              <w:textAlignment w:val="center"/>
              <w:rPr>
                <w:rFonts w:hint="eastAsia" w:ascii="宋体" w:hAnsi="宋体" w:eastAsia="宋体" w:cs="宋体"/>
                <w:b w:val="0"/>
                <w:bCs w:val="0"/>
                <w:i w:val="0"/>
                <w:iCs w:val="0"/>
                <w:color w:val="auto"/>
                <w:kern w:val="0"/>
                <w:sz w:val="20"/>
                <w:szCs w:val="20"/>
                <w:highlight w:val="none"/>
                <w:u w:val="none"/>
                <w:lang w:val="en-US" w:eastAsia="zh-CN" w:bidi="ar"/>
              </w:rPr>
            </w:pPr>
            <w:r>
              <w:rPr>
                <w:rFonts w:hint="eastAsia" w:ascii="宋体" w:hAnsi="宋体" w:eastAsia="宋体" w:cs="宋体"/>
                <w:b w:val="0"/>
                <w:bCs w:val="0"/>
                <w:i w:val="0"/>
                <w:iCs w:val="0"/>
                <w:color w:val="auto"/>
                <w:kern w:val="0"/>
                <w:sz w:val="20"/>
                <w:szCs w:val="20"/>
                <w:highlight w:val="none"/>
                <w:u w:val="none"/>
                <w:lang w:val="en-US" w:eastAsia="zh-CN" w:bidi="ar"/>
              </w:rPr>
              <w:t>总价（万元）</w:t>
            </w:r>
          </w:p>
        </w:tc>
      </w:tr>
      <w:tr w14:paraId="5D1DF7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670" w:type="dxa"/>
            <w:vMerge w:val="restart"/>
            <w:noWrap w:val="0"/>
            <w:vAlign w:val="center"/>
          </w:tcPr>
          <w:p w14:paraId="3C8A8DE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综合保障车</w:t>
            </w:r>
          </w:p>
        </w:tc>
        <w:tc>
          <w:tcPr>
            <w:tcW w:w="620" w:type="dxa"/>
            <w:vMerge w:val="restart"/>
            <w:noWrap w:val="0"/>
            <w:vAlign w:val="center"/>
          </w:tcPr>
          <w:p w14:paraId="3DC3734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车辆改装</w:t>
            </w:r>
          </w:p>
        </w:tc>
        <w:tc>
          <w:tcPr>
            <w:tcW w:w="1210" w:type="dxa"/>
            <w:noWrap w:val="0"/>
            <w:vAlign w:val="center"/>
          </w:tcPr>
          <w:p w14:paraId="0894CEE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车辆厢体系统</w:t>
            </w:r>
          </w:p>
        </w:tc>
        <w:tc>
          <w:tcPr>
            <w:tcW w:w="3110" w:type="dxa"/>
            <w:noWrap w:val="0"/>
            <w:vAlign w:val="center"/>
          </w:tcPr>
          <w:p w14:paraId="34EA3554">
            <w:pPr>
              <w:keepNext w:val="0"/>
              <w:keepLines w:val="0"/>
              <w:widowControl/>
              <w:numPr>
                <w:ilvl w:val="0"/>
                <w:numId w:val="2"/>
              </w:numPr>
              <w:suppressLineNumbers w:val="0"/>
              <w:jc w:val="both"/>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厢体尺寸13000mm×3000mm×2650mm（长×宽×高）,厢体框架采用钢骨架(厚度：不低于8mm)，模具成型工艺，形成框架结构，变形小，强度高，组焊校型，打磨，框架进行磷化处理，防腐防锈等处理。</w:t>
            </w:r>
          </w:p>
          <w:p w14:paraId="2E20489D">
            <w:pPr>
              <w:keepNext w:val="0"/>
              <w:keepLines w:val="0"/>
              <w:widowControl/>
              <w:numPr>
                <w:ilvl w:val="0"/>
                <w:numId w:val="0"/>
              </w:numPr>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2、外蒙皮采用不低于3毫米防锈铝板，分块成型，板与板之间采用氩弧焊接,外蒙皮与车身接合部铆接加密封胶密封(含厢体)，车体选择平板</w:t>
            </w:r>
          </w:p>
        </w:tc>
        <w:tc>
          <w:tcPr>
            <w:tcW w:w="750" w:type="dxa"/>
            <w:noWrap w:val="0"/>
            <w:vAlign w:val="center"/>
          </w:tcPr>
          <w:p w14:paraId="29626BF3">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320040" cy="346075"/>
                  <wp:effectExtent l="0" t="0" r="0" b="0"/>
                  <wp:wrapNone/>
                  <wp:docPr id="12" name="AutoShape_247"/>
                  <wp:cNvGraphicFramePr/>
                  <a:graphic xmlns:a="http://schemas.openxmlformats.org/drawingml/2006/main">
                    <a:graphicData uri="http://schemas.openxmlformats.org/drawingml/2006/picture">
                      <pic:pic xmlns:pic="http://schemas.openxmlformats.org/drawingml/2006/picture">
                        <pic:nvPicPr>
                          <pic:cNvPr id="12" name="AutoShape_247"/>
                          <pic:cNvPicPr/>
                        </pic:nvPicPr>
                        <pic:blipFill>
                          <a:blip r:embed="rId4"/>
                          <a:stretch>
                            <a:fillRect/>
                          </a:stretch>
                        </pic:blipFill>
                        <pic:spPr>
                          <a:xfrm>
                            <a:off x="0" y="0"/>
                            <a:ext cx="320040" cy="346075"/>
                          </a:xfrm>
                          <a:prstGeom prst="rect">
                            <a:avLst/>
                          </a:prstGeom>
                          <a:noFill/>
                          <a:ln>
                            <a:noFill/>
                          </a:ln>
                        </pic:spPr>
                      </pic:pic>
                    </a:graphicData>
                  </a:graphic>
                </wp:anchor>
              </w:drawing>
            </w:r>
            <w:r>
              <w:rPr>
                <w:rFonts w:hint="eastAsia" w:ascii="宋体" w:hAnsi="宋体" w:eastAsia="宋体" w:cs="宋体"/>
                <w:i w:val="0"/>
                <w:iCs w:val="0"/>
                <w:color w:val="auto"/>
                <w:kern w:val="0"/>
                <w:sz w:val="20"/>
                <w:szCs w:val="20"/>
                <w:highlight w:val="none"/>
                <w:u w:val="none"/>
                <w:lang w:val="en-US" w:eastAsia="zh-CN" w:bidi="ar"/>
              </w:rPr>
              <w:drawing>
                <wp:anchor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320040" cy="346075"/>
                  <wp:effectExtent l="0" t="0" r="0" b="0"/>
                  <wp:wrapNone/>
                  <wp:docPr id="5" name="AutoShape_247_SpCnt_1"/>
                  <wp:cNvGraphicFramePr/>
                  <a:graphic xmlns:a="http://schemas.openxmlformats.org/drawingml/2006/main">
                    <a:graphicData uri="http://schemas.openxmlformats.org/drawingml/2006/picture">
                      <pic:pic xmlns:pic="http://schemas.openxmlformats.org/drawingml/2006/picture">
                        <pic:nvPicPr>
                          <pic:cNvPr id="5" name="AutoShape_247_SpCnt_1"/>
                          <pic:cNvPicPr/>
                        </pic:nvPicPr>
                        <pic:blipFill>
                          <a:blip r:embed="rId4"/>
                          <a:stretch>
                            <a:fillRect/>
                          </a:stretch>
                        </pic:blipFill>
                        <pic:spPr>
                          <a:xfrm>
                            <a:off x="0" y="0"/>
                            <a:ext cx="320040" cy="346075"/>
                          </a:xfrm>
                          <a:prstGeom prst="rect">
                            <a:avLst/>
                          </a:prstGeom>
                          <a:noFill/>
                          <a:ln>
                            <a:noFill/>
                          </a:ln>
                        </pic:spPr>
                      </pic:pic>
                    </a:graphicData>
                  </a:graphic>
                </wp:anchor>
              </w:drawing>
            </w:r>
            <w:r>
              <w:rPr>
                <w:rFonts w:hint="eastAsia" w:ascii="宋体" w:hAnsi="宋体" w:eastAsia="宋体" w:cs="宋体"/>
                <w:i w:val="0"/>
                <w:iCs w:val="0"/>
                <w:color w:val="auto"/>
                <w:kern w:val="0"/>
                <w:sz w:val="20"/>
                <w:szCs w:val="20"/>
                <w:highlight w:val="none"/>
                <w:u w:val="none"/>
                <w:lang w:val="en-US" w:eastAsia="zh-CN" w:bidi="ar"/>
              </w:rPr>
              <w:drawing>
                <wp:anchor distT="0" distB="0" distL="114300" distR="114300" simplePos="0" relativeHeight="251661312" behindDoc="0" locked="0" layoutInCell="1" allowOverlap="1">
                  <wp:simplePos x="0" y="0"/>
                  <wp:positionH relativeFrom="column">
                    <wp:posOffset>0</wp:posOffset>
                  </wp:positionH>
                  <wp:positionV relativeFrom="paragraph">
                    <wp:posOffset>0</wp:posOffset>
                  </wp:positionV>
                  <wp:extent cx="320040" cy="346075"/>
                  <wp:effectExtent l="0" t="0" r="0" b="0"/>
                  <wp:wrapNone/>
                  <wp:docPr id="1" name="AutoShape_247_SpCnt_2"/>
                  <wp:cNvGraphicFramePr/>
                  <a:graphic xmlns:a="http://schemas.openxmlformats.org/drawingml/2006/main">
                    <a:graphicData uri="http://schemas.openxmlformats.org/drawingml/2006/picture">
                      <pic:pic xmlns:pic="http://schemas.openxmlformats.org/drawingml/2006/picture">
                        <pic:nvPicPr>
                          <pic:cNvPr id="1" name="AutoShape_247_SpCnt_2"/>
                          <pic:cNvPicPr/>
                        </pic:nvPicPr>
                        <pic:blipFill>
                          <a:blip r:embed="rId4"/>
                          <a:stretch>
                            <a:fillRect/>
                          </a:stretch>
                        </pic:blipFill>
                        <pic:spPr>
                          <a:xfrm>
                            <a:off x="0" y="0"/>
                            <a:ext cx="320040" cy="346075"/>
                          </a:xfrm>
                          <a:prstGeom prst="rect">
                            <a:avLst/>
                          </a:prstGeom>
                          <a:noFill/>
                          <a:ln>
                            <a:noFill/>
                          </a:ln>
                        </pic:spPr>
                      </pic:pic>
                    </a:graphicData>
                  </a:graphic>
                </wp:anchor>
              </w:drawing>
            </w:r>
            <w:r>
              <w:rPr>
                <w:rFonts w:hint="eastAsia" w:ascii="宋体" w:hAnsi="宋体" w:eastAsia="宋体" w:cs="宋体"/>
                <w:i w:val="0"/>
                <w:iCs w:val="0"/>
                <w:color w:val="auto"/>
                <w:kern w:val="0"/>
                <w:sz w:val="20"/>
                <w:szCs w:val="20"/>
                <w:highlight w:val="none"/>
                <w:u w:val="none"/>
                <w:lang w:val="en-US" w:eastAsia="zh-CN" w:bidi="ar"/>
              </w:rPr>
              <w:drawing>
                <wp:anchor distT="0" distB="0" distL="114300" distR="114300" simplePos="0" relativeHeight="251662336" behindDoc="0" locked="0" layoutInCell="1" allowOverlap="1">
                  <wp:simplePos x="0" y="0"/>
                  <wp:positionH relativeFrom="column">
                    <wp:posOffset>0</wp:posOffset>
                  </wp:positionH>
                  <wp:positionV relativeFrom="paragraph">
                    <wp:posOffset>0</wp:posOffset>
                  </wp:positionV>
                  <wp:extent cx="320040" cy="346075"/>
                  <wp:effectExtent l="0" t="0" r="0" b="0"/>
                  <wp:wrapNone/>
                  <wp:docPr id="9" name="AutoShape_247_SpCnt_3"/>
                  <wp:cNvGraphicFramePr/>
                  <a:graphic xmlns:a="http://schemas.openxmlformats.org/drawingml/2006/main">
                    <a:graphicData uri="http://schemas.openxmlformats.org/drawingml/2006/picture">
                      <pic:pic xmlns:pic="http://schemas.openxmlformats.org/drawingml/2006/picture">
                        <pic:nvPicPr>
                          <pic:cNvPr id="9" name="AutoShape_247_SpCnt_3"/>
                          <pic:cNvPicPr/>
                        </pic:nvPicPr>
                        <pic:blipFill>
                          <a:blip r:embed="rId4"/>
                          <a:stretch>
                            <a:fillRect/>
                          </a:stretch>
                        </pic:blipFill>
                        <pic:spPr>
                          <a:xfrm>
                            <a:off x="0" y="0"/>
                            <a:ext cx="320040" cy="346075"/>
                          </a:xfrm>
                          <a:prstGeom prst="rect">
                            <a:avLst/>
                          </a:prstGeom>
                          <a:noFill/>
                          <a:ln>
                            <a:noFill/>
                          </a:ln>
                        </pic:spPr>
                      </pic:pic>
                    </a:graphicData>
                  </a:graphic>
                </wp:anchor>
              </w:drawing>
            </w:r>
            <w:r>
              <w:rPr>
                <w:rFonts w:hint="eastAsia" w:ascii="宋体" w:hAnsi="宋体" w:eastAsia="宋体" w:cs="宋体"/>
                <w:i w:val="0"/>
                <w:iCs w:val="0"/>
                <w:color w:val="auto"/>
                <w:kern w:val="0"/>
                <w:sz w:val="20"/>
                <w:szCs w:val="20"/>
                <w:highlight w:val="none"/>
                <w:u w:val="none"/>
                <w:lang w:val="en-US" w:eastAsia="zh-CN" w:bidi="ar"/>
              </w:rPr>
              <w:drawing>
                <wp:anchor distT="0" distB="0" distL="114300" distR="114300" simplePos="0" relativeHeight="251663360" behindDoc="0" locked="0" layoutInCell="1" allowOverlap="1">
                  <wp:simplePos x="0" y="0"/>
                  <wp:positionH relativeFrom="column">
                    <wp:posOffset>0</wp:posOffset>
                  </wp:positionH>
                  <wp:positionV relativeFrom="paragraph">
                    <wp:posOffset>0</wp:posOffset>
                  </wp:positionV>
                  <wp:extent cx="320040" cy="346075"/>
                  <wp:effectExtent l="0" t="0" r="0" b="0"/>
                  <wp:wrapNone/>
                  <wp:docPr id="7" name="AutoShape_247_SpCnt_4"/>
                  <wp:cNvGraphicFramePr/>
                  <a:graphic xmlns:a="http://schemas.openxmlformats.org/drawingml/2006/main">
                    <a:graphicData uri="http://schemas.openxmlformats.org/drawingml/2006/picture">
                      <pic:pic xmlns:pic="http://schemas.openxmlformats.org/drawingml/2006/picture">
                        <pic:nvPicPr>
                          <pic:cNvPr id="7" name="AutoShape_247_SpCnt_4"/>
                          <pic:cNvPicPr/>
                        </pic:nvPicPr>
                        <pic:blipFill>
                          <a:blip r:embed="rId4"/>
                          <a:stretch>
                            <a:fillRect/>
                          </a:stretch>
                        </pic:blipFill>
                        <pic:spPr>
                          <a:xfrm>
                            <a:off x="0" y="0"/>
                            <a:ext cx="320040" cy="346075"/>
                          </a:xfrm>
                          <a:prstGeom prst="rect">
                            <a:avLst/>
                          </a:prstGeom>
                          <a:noFill/>
                          <a:ln>
                            <a:noFill/>
                          </a:ln>
                        </pic:spPr>
                      </pic:pic>
                    </a:graphicData>
                  </a:graphic>
                </wp:anchor>
              </w:drawing>
            </w:r>
            <w:r>
              <w:rPr>
                <w:rFonts w:hint="eastAsia" w:ascii="宋体" w:hAnsi="宋体" w:eastAsia="宋体" w:cs="宋体"/>
                <w:i w:val="0"/>
                <w:iCs w:val="0"/>
                <w:color w:val="auto"/>
                <w:kern w:val="0"/>
                <w:sz w:val="20"/>
                <w:szCs w:val="20"/>
                <w:highlight w:val="none"/>
                <w:u w:val="none"/>
                <w:lang w:val="en-US" w:eastAsia="zh-CN" w:bidi="ar"/>
              </w:rPr>
              <w:drawing>
                <wp:anchor distT="0" distB="0" distL="114300" distR="114300" simplePos="0" relativeHeight="251664384" behindDoc="0" locked="0" layoutInCell="1" allowOverlap="1">
                  <wp:simplePos x="0" y="0"/>
                  <wp:positionH relativeFrom="column">
                    <wp:posOffset>0</wp:posOffset>
                  </wp:positionH>
                  <wp:positionV relativeFrom="paragraph">
                    <wp:posOffset>0</wp:posOffset>
                  </wp:positionV>
                  <wp:extent cx="320040" cy="346075"/>
                  <wp:effectExtent l="0" t="0" r="0" b="0"/>
                  <wp:wrapNone/>
                  <wp:docPr id="8" name="AutoShape_248"/>
                  <wp:cNvGraphicFramePr/>
                  <a:graphic xmlns:a="http://schemas.openxmlformats.org/drawingml/2006/main">
                    <a:graphicData uri="http://schemas.openxmlformats.org/drawingml/2006/picture">
                      <pic:pic xmlns:pic="http://schemas.openxmlformats.org/drawingml/2006/picture">
                        <pic:nvPicPr>
                          <pic:cNvPr id="8" name="AutoShape_248"/>
                          <pic:cNvPicPr/>
                        </pic:nvPicPr>
                        <pic:blipFill>
                          <a:blip r:embed="rId4"/>
                          <a:stretch>
                            <a:fillRect/>
                          </a:stretch>
                        </pic:blipFill>
                        <pic:spPr>
                          <a:xfrm>
                            <a:off x="0" y="0"/>
                            <a:ext cx="320040" cy="346075"/>
                          </a:xfrm>
                          <a:prstGeom prst="rect">
                            <a:avLst/>
                          </a:prstGeom>
                          <a:noFill/>
                          <a:ln>
                            <a:noFill/>
                          </a:ln>
                        </pic:spPr>
                      </pic:pic>
                    </a:graphicData>
                  </a:graphic>
                </wp:anchor>
              </w:drawing>
            </w:r>
            <w:r>
              <w:rPr>
                <w:rFonts w:hint="eastAsia" w:ascii="宋体" w:hAnsi="宋体" w:eastAsia="宋体" w:cs="宋体"/>
                <w:i w:val="0"/>
                <w:iCs w:val="0"/>
                <w:color w:val="auto"/>
                <w:kern w:val="0"/>
                <w:sz w:val="20"/>
                <w:szCs w:val="20"/>
                <w:highlight w:val="none"/>
                <w:u w:val="none"/>
                <w:lang w:val="en-US" w:eastAsia="zh-CN" w:bidi="ar"/>
              </w:rPr>
              <w:drawing>
                <wp:anchor distT="0" distB="0" distL="114300" distR="114300" simplePos="0" relativeHeight="251665408" behindDoc="0" locked="0" layoutInCell="1" allowOverlap="1">
                  <wp:simplePos x="0" y="0"/>
                  <wp:positionH relativeFrom="column">
                    <wp:posOffset>0</wp:posOffset>
                  </wp:positionH>
                  <wp:positionV relativeFrom="paragraph">
                    <wp:posOffset>0</wp:posOffset>
                  </wp:positionV>
                  <wp:extent cx="320040" cy="346075"/>
                  <wp:effectExtent l="0" t="0" r="0" b="0"/>
                  <wp:wrapNone/>
                  <wp:docPr id="2" name="AutoShape_248_SpCnt_1"/>
                  <wp:cNvGraphicFramePr/>
                  <a:graphic xmlns:a="http://schemas.openxmlformats.org/drawingml/2006/main">
                    <a:graphicData uri="http://schemas.openxmlformats.org/drawingml/2006/picture">
                      <pic:pic xmlns:pic="http://schemas.openxmlformats.org/drawingml/2006/picture">
                        <pic:nvPicPr>
                          <pic:cNvPr id="2" name="AutoShape_248_SpCnt_1"/>
                          <pic:cNvPicPr/>
                        </pic:nvPicPr>
                        <pic:blipFill>
                          <a:blip r:embed="rId4"/>
                          <a:stretch>
                            <a:fillRect/>
                          </a:stretch>
                        </pic:blipFill>
                        <pic:spPr>
                          <a:xfrm>
                            <a:off x="0" y="0"/>
                            <a:ext cx="320040" cy="346075"/>
                          </a:xfrm>
                          <a:prstGeom prst="rect">
                            <a:avLst/>
                          </a:prstGeom>
                          <a:noFill/>
                          <a:ln>
                            <a:noFill/>
                          </a:ln>
                        </pic:spPr>
                      </pic:pic>
                    </a:graphicData>
                  </a:graphic>
                </wp:anchor>
              </w:drawing>
            </w:r>
            <w:r>
              <w:rPr>
                <w:rFonts w:hint="eastAsia" w:ascii="宋体" w:hAnsi="宋体" w:eastAsia="宋体" w:cs="宋体"/>
                <w:i w:val="0"/>
                <w:iCs w:val="0"/>
                <w:color w:val="auto"/>
                <w:kern w:val="0"/>
                <w:sz w:val="20"/>
                <w:szCs w:val="20"/>
                <w:highlight w:val="none"/>
                <w:u w:val="none"/>
                <w:lang w:val="en-US" w:eastAsia="zh-CN" w:bidi="ar"/>
              </w:rPr>
              <w:drawing>
                <wp:anchor distT="0" distB="0" distL="114300" distR="114300" simplePos="0" relativeHeight="251666432" behindDoc="0" locked="0" layoutInCell="1" allowOverlap="1">
                  <wp:simplePos x="0" y="0"/>
                  <wp:positionH relativeFrom="column">
                    <wp:posOffset>0</wp:posOffset>
                  </wp:positionH>
                  <wp:positionV relativeFrom="paragraph">
                    <wp:posOffset>0</wp:posOffset>
                  </wp:positionV>
                  <wp:extent cx="320040" cy="346075"/>
                  <wp:effectExtent l="0" t="0" r="0" b="0"/>
                  <wp:wrapNone/>
                  <wp:docPr id="3" name="AutoShape_247_SpCnt_5"/>
                  <wp:cNvGraphicFramePr/>
                  <a:graphic xmlns:a="http://schemas.openxmlformats.org/drawingml/2006/main">
                    <a:graphicData uri="http://schemas.openxmlformats.org/drawingml/2006/picture">
                      <pic:pic xmlns:pic="http://schemas.openxmlformats.org/drawingml/2006/picture">
                        <pic:nvPicPr>
                          <pic:cNvPr id="3" name="AutoShape_247_SpCnt_5"/>
                          <pic:cNvPicPr/>
                        </pic:nvPicPr>
                        <pic:blipFill>
                          <a:blip r:embed="rId4"/>
                          <a:stretch>
                            <a:fillRect/>
                          </a:stretch>
                        </pic:blipFill>
                        <pic:spPr>
                          <a:xfrm>
                            <a:off x="0" y="0"/>
                            <a:ext cx="320040" cy="346075"/>
                          </a:xfrm>
                          <a:prstGeom prst="rect">
                            <a:avLst/>
                          </a:prstGeom>
                          <a:noFill/>
                          <a:ln>
                            <a:noFill/>
                          </a:ln>
                        </pic:spPr>
                      </pic:pic>
                    </a:graphicData>
                  </a:graphic>
                </wp:anchor>
              </w:drawing>
            </w:r>
            <w:r>
              <w:rPr>
                <w:rFonts w:hint="eastAsia" w:ascii="宋体" w:hAnsi="宋体" w:eastAsia="宋体" w:cs="宋体"/>
                <w:i w:val="0"/>
                <w:iCs w:val="0"/>
                <w:color w:val="auto"/>
                <w:kern w:val="0"/>
                <w:sz w:val="20"/>
                <w:szCs w:val="20"/>
                <w:highlight w:val="none"/>
                <w:u w:val="none"/>
                <w:lang w:val="en-US" w:eastAsia="zh-CN" w:bidi="ar"/>
              </w:rPr>
              <w:drawing>
                <wp:anchor distT="0" distB="0" distL="114300" distR="114300" simplePos="0" relativeHeight="251667456" behindDoc="0" locked="0" layoutInCell="1" allowOverlap="1">
                  <wp:simplePos x="0" y="0"/>
                  <wp:positionH relativeFrom="column">
                    <wp:posOffset>0</wp:posOffset>
                  </wp:positionH>
                  <wp:positionV relativeFrom="paragraph">
                    <wp:posOffset>0</wp:posOffset>
                  </wp:positionV>
                  <wp:extent cx="320040" cy="346075"/>
                  <wp:effectExtent l="0" t="0" r="0" b="0"/>
                  <wp:wrapNone/>
                  <wp:docPr id="10" name="AutoShape_248_SpCnt_2"/>
                  <wp:cNvGraphicFramePr/>
                  <a:graphic xmlns:a="http://schemas.openxmlformats.org/drawingml/2006/main">
                    <a:graphicData uri="http://schemas.openxmlformats.org/drawingml/2006/picture">
                      <pic:pic xmlns:pic="http://schemas.openxmlformats.org/drawingml/2006/picture">
                        <pic:nvPicPr>
                          <pic:cNvPr id="10" name="AutoShape_248_SpCnt_2"/>
                          <pic:cNvPicPr/>
                        </pic:nvPicPr>
                        <pic:blipFill>
                          <a:blip r:embed="rId4"/>
                          <a:stretch>
                            <a:fillRect/>
                          </a:stretch>
                        </pic:blipFill>
                        <pic:spPr>
                          <a:xfrm>
                            <a:off x="0" y="0"/>
                            <a:ext cx="320040" cy="346075"/>
                          </a:xfrm>
                          <a:prstGeom prst="rect">
                            <a:avLst/>
                          </a:prstGeom>
                          <a:noFill/>
                          <a:ln>
                            <a:noFill/>
                          </a:ln>
                        </pic:spPr>
                      </pic:pic>
                    </a:graphicData>
                  </a:graphic>
                </wp:anchor>
              </w:drawing>
            </w:r>
            <w:r>
              <w:rPr>
                <w:rFonts w:hint="eastAsia" w:ascii="宋体" w:hAnsi="宋体" w:eastAsia="宋体" w:cs="宋体"/>
                <w:i w:val="0"/>
                <w:iCs w:val="0"/>
                <w:color w:val="auto"/>
                <w:kern w:val="0"/>
                <w:sz w:val="20"/>
                <w:szCs w:val="20"/>
                <w:highlight w:val="none"/>
                <w:u w:val="none"/>
                <w:lang w:val="en-US" w:eastAsia="zh-CN" w:bidi="ar"/>
              </w:rPr>
              <w:drawing>
                <wp:anchor distT="0" distB="0" distL="114300" distR="114300" simplePos="0" relativeHeight="251668480" behindDoc="0" locked="0" layoutInCell="1" allowOverlap="1">
                  <wp:simplePos x="0" y="0"/>
                  <wp:positionH relativeFrom="column">
                    <wp:posOffset>0</wp:posOffset>
                  </wp:positionH>
                  <wp:positionV relativeFrom="paragraph">
                    <wp:posOffset>0</wp:posOffset>
                  </wp:positionV>
                  <wp:extent cx="320040" cy="346075"/>
                  <wp:effectExtent l="0" t="0" r="0" b="0"/>
                  <wp:wrapNone/>
                  <wp:docPr id="11" name="AutoShape_247_SpCnt_6"/>
                  <wp:cNvGraphicFramePr/>
                  <a:graphic xmlns:a="http://schemas.openxmlformats.org/drawingml/2006/main">
                    <a:graphicData uri="http://schemas.openxmlformats.org/drawingml/2006/picture">
                      <pic:pic xmlns:pic="http://schemas.openxmlformats.org/drawingml/2006/picture">
                        <pic:nvPicPr>
                          <pic:cNvPr id="11" name="AutoShape_247_SpCnt_6"/>
                          <pic:cNvPicPr/>
                        </pic:nvPicPr>
                        <pic:blipFill>
                          <a:blip r:embed="rId4"/>
                          <a:stretch>
                            <a:fillRect/>
                          </a:stretch>
                        </pic:blipFill>
                        <pic:spPr>
                          <a:xfrm>
                            <a:off x="0" y="0"/>
                            <a:ext cx="320040" cy="346075"/>
                          </a:xfrm>
                          <a:prstGeom prst="rect">
                            <a:avLst/>
                          </a:prstGeom>
                          <a:noFill/>
                          <a:ln>
                            <a:noFill/>
                          </a:ln>
                        </pic:spPr>
                      </pic:pic>
                    </a:graphicData>
                  </a:graphic>
                </wp:anchor>
              </w:drawing>
            </w:r>
            <w:r>
              <w:rPr>
                <w:rFonts w:hint="eastAsia" w:ascii="宋体" w:hAnsi="宋体" w:eastAsia="宋体" w:cs="宋体"/>
                <w:i w:val="0"/>
                <w:iCs w:val="0"/>
                <w:color w:val="auto"/>
                <w:kern w:val="0"/>
                <w:sz w:val="20"/>
                <w:szCs w:val="20"/>
                <w:highlight w:val="none"/>
                <w:u w:val="none"/>
                <w:lang w:val="en-US" w:eastAsia="zh-CN" w:bidi="ar"/>
              </w:rPr>
              <w:drawing>
                <wp:anchor distT="0" distB="0" distL="114300" distR="114300" simplePos="0" relativeHeight="251669504" behindDoc="0" locked="0" layoutInCell="1" allowOverlap="1">
                  <wp:simplePos x="0" y="0"/>
                  <wp:positionH relativeFrom="column">
                    <wp:posOffset>0</wp:posOffset>
                  </wp:positionH>
                  <wp:positionV relativeFrom="paragraph">
                    <wp:posOffset>0</wp:posOffset>
                  </wp:positionV>
                  <wp:extent cx="320040" cy="346075"/>
                  <wp:effectExtent l="0" t="0" r="0" b="0"/>
                  <wp:wrapNone/>
                  <wp:docPr id="4" name="AutoShape_248_SpCnt_3"/>
                  <wp:cNvGraphicFramePr/>
                  <a:graphic xmlns:a="http://schemas.openxmlformats.org/drawingml/2006/main">
                    <a:graphicData uri="http://schemas.openxmlformats.org/drawingml/2006/picture">
                      <pic:pic xmlns:pic="http://schemas.openxmlformats.org/drawingml/2006/picture">
                        <pic:nvPicPr>
                          <pic:cNvPr id="4" name="AutoShape_248_SpCnt_3"/>
                          <pic:cNvPicPr/>
                        </pic:nvPicPr>
                        <pic:blipFill>
                          <a:blip r:embed="rId4"/>
                          <a:stretch>
                            <a:fillRect/>
                          </a:stretch>
                        </pic:blipFill>
                        <pic:spPr>
                          <a:xfrm>
                            <a:off x="0" y="0"/>
                            <a:ext cx="320040" cy="346075"/>
                          </a:xfrm>
                          <a:prstGeom prst="rect">
                            <a:avLst/>
                          </a:prstGeom>
                          <a:noFill/>
                          <a:ln>
                            <a:noFill/>
                          </a:ln>
                        </pic:spPr>
                      </pic:pic>
                    </a:graphicData>
                  </a:graphic>
                </wp:anchor>
              </w:drawing>
            </w:r>
            <w:r>
              <w:rPr>
                <w:rFonts w:hint="eastAsia" w:ascii="宋体" w:hAnsi="宋体" w:eastAsia="宋体" w:cs="宋体"/>
                <w:i w:val="0"/>
                <w:iCs w:val="0"/>
                <w:color w:val="auto"/>
                <w:kern w:val="0"/>
                <w:sz w:val="20"/>
                <w:szCs w:val="20"/>
                <w:highlight w:val="none"/>
                <w:u w:val="none"/>
                <w:lang w:val="en-US" w:eastAsia="zh-CN" w:bidi="ar"/>
              </w:rPr>
              <w:drawing>
                <wp:anchor distT="0" distB="0" distL="114300" distR="114300" simplePos="0" relativeHeight="251670528" behindDoc="0" locked="0" layoutInCell="1" allowOverlap="1">
                  <wp:simplePos x="0" y="0"/>
                  <wp:positionH relativeFrom="column">
                    <wp:posOffset>0</wp:posOffset>
                  </wp:positionH>
                  <wp:positionV relativeFrom="paragraph">
                    <wp:posOffset>0</wp:posOffset>
                  </wp:positionV>
                  <wp:extent cx="320040" cy="346075"/>
                  <wp:effectExtent l="0" t="0" r="0" b="0"/>
                  <wp:wrapNone/>
                  <wp:docPr id="6" name="AutoShape_247_SpCnt_7"/>
                  <wp:cNvGraphicFramePr/>
                  <a:graphic xmlns:a="http://schemas.openxmlformats.org/drawingml/2006/main">
                    <a:graphicData uri="http://schemas.openxmlformats.org/drawingml/2006/picture">
                      <pic:pic xmlns:pic="http://schemas.openxmlformats.org/drawingml/2006/picture">
                        <pic:nvPicPr>
                          <pic:cNvPr id="6" name="AutoShape_247_SpCnt_7"/>
                          <pic:cNvPicPr/>
                        </pic:nvPicPr>
                        <pic:blipFill>
                          <a:blip r:embed="rId4"/>
                          <a:stretch>
                            <a:fillRect/>
                          </a:stretch>
                        </pic:blipFill>
                        <pic:spPr>
                          <a:xfrm>
                            <a:off x="0" y="0"/>
                            <a:ext cx="320040" cy="346075"/>
                          </a:xfrm>
                          <a:prstGeom prst="rect">
                            <a:avLst/>
                          </a:prstGeom>
                          <a:noFill/>
                          <a:ln>
                            <a:noFill/>
                          </a:ln>
                        </pic:spPr>
                      </pic:pic>
                    </a:graphicData>
                  </a:graphic>
                </wp:anchor>
              </w:drawing>
            </w:r>
            <w:r>
              <w:rPr>
                <w:rFonts w:hint="eastAsia" w:ascii="宋体" w:hAnsi="宋体" w:eastAsia="宋体" w:cs="宋体"/>
                <w:i w:val="0"/>
                <w:iCs w:val="0"/>
                <w:color w:val="auto"/>
                <w:kern w:val="0"/>
                <w:sz w:val="20"/>
                <w:szCs w:val="20"/>
                <w:highlight w:val="none"/>
                <w:u w:val="none"/>
                <w:lang w:val="en-US" w:eastAsia="zh-CN" w:bidi="ar"/>
              </w:rPr>
              <w:drawing>
                <wp:anchor distT="0" distB="0" distL="114300" distR="114300" simplePos="0" relativeHeight="251671552" behindDoc="0" locked="0" layoutInCell="1" allowOverlap="1">
                  <wp:simplePos x="0" y="0"/>
                  <wp:positionH relativeFrom="column">
                    <wp:posOffset>0</wp:posOffset>
                  </wp:positionH>
                  <wp:positionV relativeFrom="paragraph">
                    <wp:posOffset>0</wp:posOffset>
                  </wp:positionV>
                  <wp:extent cx="320040" cy="346075"/>
                  <wp:effectExtent l="0" t="0" r="0" b="0"/>
                  <wp:wrapNone/>
                  <wp:docPr id="15" name="AutoShape_248_SpCnt_4"/>
                  <wp:cNvGraphicFramePr/>
                  <a:graphic xmlns:a="http://schemas.openxmlformats.org/drawingml/2006/main">
                    <a:graphicData uri="http://schemas.openxmlformats.org/drawingml/2006/picture">
                      <pic:pic xmlns:pic="http://schemas.openxmlformats.org/drawingml/2006/picture">
                        <pic:nvPicPr>
                          <pic:cNvPr id="15" name="AutoShape_248_SpCnt_4"/>
                          <pic:cNvPicPr/>
                        </pic:nvPicPr>
                        <pic:blipFill>
                          <a:blip r:embed="rId4"/>
                          <a:stretch>
                            <a:fillRect/>
                          </a:stretch>
                        </pic:blipFill>
                        <pic:spPr>
                          <a:xfrm>
                            <a:off x="0" y="0"/>
                            <a:ext cx="320040" cy="346075"/>
                          </a:xfrm>
                          <a:prstGeom prst="rect">
                            <a:avLst/>
                          </a:prstGeom>
                          <a:noFill/>
                          <a:ln>
                            <a:noFill/>
                          </a:ln>
                        </pic:spPr>
                      </pic:pic>
                    </a:graphicData>
                  </a:graphic>
                </wp:anchor>
              </w:drawing>
            </w:r>
            <w:r>
              <w:rPr>
                <w:rFonts w:hint="eastAsia" w:ascii="宋体" w:hAnsi="宋体" w:eastAsia="宋体" w:cs="宋体"/>
                <w:i w:val="0"/>
                <w:iCs w:val="0"/>
                <w:color w:val="auto"/>
                <w:kern w:val="0"/>
                <w:sz w:val="20"/>
                <w:szCs w:val="20"/>
                <w:highlight w:val="none"/>
                <w:u w:val="none"/>
                <w:lang w:val="en-US" w:eastAsia="zh-CN" w:bidi="ar"/>
              </w:rPr>
              <w:drawing>
                <wp:anchor distT="0" distB="0" distL="114300" distR="114300" simplePos="0" relativeHeight="251672576" behindDoc="0" locked="0" layoutInCell="1" allowOverlap="1">
                  <wp:simplePos x="0" y="0"/>
                  <wp:positionH relativeFrom="column">
                    <wp:posOffset>0</wp:posOffset>
                  </wp:positionH>
                  <wp:positionV relativeFrom="paragraph">
                    <wp:posOffset>0</wp:posOffset>
                  </wp:positionV>
                  <wp:extent cx="320040" cy="346075"/>
                  <wp:effectExtent l="0" t="0" r="0" b="0"/>
                  <wp:wrapNone/>
                  <wp:docPr id="13" name="AutoShape_247_SpCnt_8"/>
                  <wp:cNvGraphicFramePr/>
                  <a:graphic xmlns:a="http://schemas.openxmlformats.org/drawingml/2006/main">
                    <a:graphicData uri="http://schemas.openxmlformats.org/drawingml/2006/picture">
                      <pic:pic xmlns:pic="http://schemas.openxmlformats.org/drawingml/2006/picture">
                        <pic:nvPicPr>
                          <pic:cNvPr id="13" name="AutoShape_247_SpCnt_8"/>
                          <pic:cNvPicPr/>
                        </pic:nvPicPr>
                        <pic:blipFill>
                          <a:blip r:embed="rId4"/>
                          <a:stretch>
                            <a:fillRect/>
                          </a:stretch>
                        </pic:blipFill>
                        <pic:spPr>
                          <a:xfrm>
                            <a:off x="0" y="0"/>
                            <a:ext cx="320040" cy="346075"/>
                          </a:xfrm>
                          <a:prstGeom prst="rect">
                            <a:avLst/>
                          </a:prstGeom>
                          <a:noFill/>
                          <a:ln>
                            <a:noFill/>
                          </a:ln>
                        </pic:spPr>
                      </pic:pic>
                    </a:graphicData>
                  </a:graphic>
                </wp:anchor>
              </w:drawing>
            </w:r>
            <w:r>
              <w:rPr>
                <w:rFonts w:hint="eastAsia" w:ascii="宋体" w:hAnsi="宋体" w:eastAsia="宋体" w:cs="宋体"/>
                <w:i w:val="0"/>
                <w:iCs w:val="0"/>
                <w:color w:val="auto"/>
                <w:kern w:val="0"/>
                <w:sz w:val="20"/>
                <w:szCs w:val="20"/>
                <w:highlight w:val="none"/>
                <w:u w:val="none"/>
                <w:lang w:val="en-US" w:eastAsia="zh-CN" w:bidi="ar"/>
              </w:rPr>
              <w:drawing>
                <wp:anchor distT="0" distB="0" distL="114300" distR="114300" simplePos="0" relativeHeight="251673600" behindDoc="0" locked="0" layoutInCell="1" allowOverlap="1">
                  <wp:simplePos x="0" y="0"/>
                  <wp:positionH relativeFrom="column">
                    <wp:posOffset>0</wp:posOffset>
                  </wp:positionH>
                  <wp:positionV relativeFrom="paragraph">
                    <wp:posOffset>0</wp:posOffset>
                  </wp:positionV>
                  <wp:extent cx="320040" cy="346075"/>
                  <wp:effectExtent l="0" t="0" r="0" b="0"/>
                  <wp:wrapNone/>
                  <wp:docPr id="24" name="AutoShape_248_SpCnt_5"/>
                  <wp:cNvGraphicFramePr/>
                  <a:graphic xmlns:a="http://schemas.openxmlformats.org/drawingml/2006/main">
                    <a:graphicData uri="http://schemas.openxmlformats.org/drawingml/2006/picture">
                      <pic:pic xmlns:pic="http://schemas.openxmlformats.org/drawingml/2006/picture">
                        <pic:nvPicPr>
                          <pic:cNvPr id="24" name="AutoShape_248_SpCnt_5"/>
                          <pic:cNvPicPr/>
                        </pic:nvPicPr>
                        <pic:blipFill>
                          <a:blip r:embed="rId4"/>
                          <a:stretch>
                            <a:fillRect/>
                          </a:stretch>
                        </pic:blipFill>
                        <pic:spPr>
                          <a:xfrm>
                            <a:off x="0" y="0"/>
                            <a:ext cx="320040" cy="346075"/>
                          </a:xfrm>
                          <a:prstGeom prst="rect">
                            <a:avLst/>
                          </a:prstGeom>
                          <a:noFill/>
                          <a:ln>
                            <a:noFill/>
                          </a:ln>
                        </pic:spPr>
                      </pic:pic>
                    </a:graphicData>
                  </a:graphic>
                </wp:anchor>
              </w:drawing>
            </w:r>
            <w:r>
              <w:rPr>
                <w:rFonts w:hint="eastAsia" w:ascii="宋体" w:hAnsi="宋体" w:eastAsia="宋体" w:cs="宋体"/>
                <w:i w:val="0"/>
                <w:iCs w:val="0"/>
                <w:color w:val="auto"/>
                <w:kern w:val="0"/>
                <w:sz w:val="20"/>
                <w:szCs w:val="20"/>
                <w:highlight w:val="none"/>
                <w:u w:val="none"/>
                <w:lang w:val="en-US" w:eastAsia="zh-CN" w:bidi="ar"/>
              </w:rPr>
              <w:drawing>
                <wp:anchor distT="0" distB="0" distL="114300" distR="114300" simplePos="0" relativeHeight="251674624" behindDoc="0" locked="0" layoutInCell="1" allowOverlap="1">
                  <wp:simplePos x="0" y="0"/>
                  <wp:positionH relativeFrom="column">
                    <wp:posOffset>0</wp:posOffset>
                  </wp:positionH>
                  <wp:positionV relativeFrom="paragraph">
                    <wp:posOffset>0</wp:posOffset>
                  </wp:positionV>
                  <wp:extent cx="320040" cy="346075"/>
                  <wp:effectExtent l="0" t="0" r="0" b="0"/>
                  <wp:wrapNone/>
                  <wp:docPr id="28" name="AutoShape_248_SpCnt_6"/>
                  <wp:cNvGraphicFramePr/>
                  <a:graphic xmlns:a="http://schemas.openxmlformats.org/drawingml/2006/main">
                    <a:graphicData uri="http://schemas.openxmlformats.org/drawingml/2006/picture">
                      <pic:pic xmlns:pic="http://schemas.openxmlformats.org/drawingml/2006/picture">
                        <pic:nvPicPr>
                          <pic:cNvPr id="28" name="AutoShape_248_SpCnt_6"/>
                          <pic:cNvPicPr/>
                        </pic:nvPicPr>
                        <pic:blipFill>
                          <a:blip r:embed="rId4"/>
                          <a:stretch>
                            <a:fillRect/>
                          </a:stretch>
                        </pic:blipFill>
                        <pic:spPr>
                          <a:xfrm>
                            <a:off x="0" y="0"/>
                            <a:ext cx="320040" cy="346075"/>
                          </a:xfrm>
                          <a:prstGeom prst="rect">
                            <a:avLst/>
                          </a:prstGeom>
                          <a:noFill/>
                          <a:ln>
                            <a:noFill/>
                          </a:ln>
                        </pic:spPr>
                      </pic:pic>
                    </a:graphicData>
                  </a:graphic>
                </wp:anchor>
              </w:drawing>
            </w:r>
            <w:r>
              <w:rPr>
                <w:rFonts w:hint="eastAsia" w:ascii="宋体" w:hAnsi="宋体" w:eastAsia="宋体" w:cs="宋体"/>
                <w:i w:val="0"/>
                <w:iCs w:val="0"/>
                <w:color w:val="auto"/>
                <w:kern w:val="0"/>
                <w:sz w:val="20"/>
                <w:szCs w:val="20"/>
                <w:highlight w:val="none"/>
                <w:u w:val="none"/>
                <w:lang w:val="en-US" w:eastAsia="zh-CN" w:bidi="ar"/>
              </w:rPr>
              <w:drawing>
                <wp:anchor distT="0" distB="0" distL="114300" distR="114300" simplePos="0" relativeHeight="251675648" behindDoc="0" locked="0" layoutInCell="1" allowOverlap="1">
                  <wp:simplePos x="0" y="0"/>
                  <wp:positionH relativeFrom="column">
                    <wp:posOffset>0</wp:posOffset>
                  </wp:positionH>
                  <wp:positionV relativeFrom="paragraph">
                    <wp:posOffset>0</wp:posOffset>
                  </wp:positionV>
                  <wp:extent cx="320040" cy="346075"/>
                  <wp:effectExtent l="0" t="0" r="0" b="0"/>
                  <wp:wrapNone/>
                  <wp:docPr id="16" name="AutoShape_248_SpCnt_7"/>
                  <wp:cNvGraphicFramePr/>
                  <a:graphic xmlns:a="http://schemas.openxmlformats.org/drawingml/2006/main">
                    <a:graphicData uri="http://schemas.openxmlformats.org/drawingml/2006/picture">
                      <pic:pic xmlns:pic="http://schemas.openxmlformats.org/drawingml/2006/picture">
                        <pic:nvPicPr>
                          <pic:cNvPr id="16" name="AutoShape_248_SpCnt_7"/>
                          <pic:cNvPicPr/>
                        </pic:nvPicPr>
                        <pic:blipFill>
                          <a:blip r:embed="rId4"/>
                          <a:stretch>
                            <a:fillRect/>
                          </a:stretch>
                        </pic:blipFill>
                        <pic:spPr>
                          <a:xfrm>
                            <a:off x="0" y="0"/>
                            <a:ext cx="320040" cy="346075"/>
                          </a:xfrm>
                          <a:prstGeom prst="rect">
                            <a:avLst/>
                          </a:prstGeom>
                          <a:noFill/>
                          <a:ln>
                            <a:noFill/>
                          </a:ln>
                        </pic:spPr>
                      </pic:pic>
                    </a:graphicData>
                  </a:graphic>
                </wp:anchor>
              </w:drawing>
            </w:r>
            <w:r>
              <w:rPr>
                <w:rFonts w:hint="eastAsia" w:ascii="宋体" w:hAnsi="宋体" w:eastAsia="宋体" w:cs="宋体"/>
                <w:i w:val="0"/>
                <w:iCs w:val="0"/>
                <w:color w:val="auto"/>
                <w:kern w:val="0"/>
                <w:sz w:val="20"/>
                <w:szCs w:val="20"/>
                <w:highlight w:val="none"/>
                <w:u w:val="none"/>
                <w:lang w:val="en-US" w:eastAsia="zh-CN" w:bidi="ar"/>
              </w:rPr>
              <w:drawing>
                <wp:anchor distT="0" distB="0" distL="114300" distR="114300" simplePos="0" relativeHeight="251676672" behindDoc="0" locked="0" layoutInCell="1" allowOverlap="1">
                  <wp:simplePos x="0" y="0"/>
                  <wp:positionH relativeFrom="column">
                    <wp:posOffset>0</wp:posOffset>
                  </wp:positionH>
                  <wp:positionV relativeFrom="paragraph">
                    <wp:posOffset>0</wp:posOffset>
                  </wp:positionV>
                  <wp:extent cx="320040" cy="346075"/>
                  <wp:effectExtent l="0" t="0" r="0" b="0"/>
                  <wp:wrapNone/>
                  <wp:docPr id="20" name="AutoShape_247_SpCnt_9"/>
                  <wp:cNvGraphicFramePr/>
                  <a:graphic xmlns:a="http://schemas.openxmlformats.org/drawingml/2006/main">
                    <a:graphicData uri="http://schemas.openxmlformats.org/drawingml/2006/picture">
                      <pic:pic xmlns:pic="http://schemas.openxmlformats.org/drawingml/2006/picture">
                        <pic:nvPicPr>
                          <pic:cNvPr id="20" name="AutoShape_247_SpCnt_9"/>
                          <pic:cNvPicPr/>
                        </pic:nvPicPr>
                        <pic:blipFill>
                          <a:blip r:embed="rId4"/>
                          <a:stretch>
                            <a:fillRect/>
                          </a:stretch>
                        </pic:blipFill>
                        <pic:spPr>
                          <a:xfrm>
                            <a:off x="0" y="0"/>
                            <a:ext cx="320040" cy="346075"/>
                          </a:xfrm>
                          <a:prstGeom prst="rect">
                            <a:avLst/>
                          </a:prstGeom>
                          <a:noFill/>
                          <a:ln>
                            <a:noFill/>
                          </a:ln>
                        </pic:spPr>
                      </pic:pic>
                    </a:graphicData>
                  </a:graphic>
                </wp:anchor>
              </w:drawing>
            </w:r>
            <w:r>
              <w:rPr>
                <w:rFonts w:hint="eastAsia" w:ascii="宋体" w:hAnsi="宋体" w:eastAsia="宋体" w:cs="宋体"/>
                <w:i w:val="0"/>
                <w:iCs w:val="0"/>
                <w:color w:val="auto"/>
                <w:kern w:val="0"/>
                <w:sz w:val="20"/>
                <w:szCs w:val="20"/>
                <w:highlight w:val="none"/>
                <w:u w:val="none"/>
                <w:lang w:val="en-US" w:eastAsia="zh-CN" w:bidi="ar"/>
              </w:rPr>
              <w:drawing>
                <wp:anchor distT="0" distB="0" distL="114300" distR="114300" simplePos="0" relativeHeight="251677696" behindDoc="0" locked="0" layoutInCell="1" allowOverlap="1">
                  <wp:simplePos x="0" y="0"/>
                  <wp:positionH relativeFrom="column">
                    <wp:posOffset>0</wp:posOffset>
                  </wp:positionH>
                  <wp:positionV relativeFrom="paragraph">
                    <wp:posOffset>0</wp:posOffset>
                  </wp:positionV>
                  <wp:extent cx="320040" cy="346075"/>
                  <wp:effectExtent l="0" t="0" r="0" b="0"/>
                  <wp:wrapNone/>
                  <wp:docPr id="30" name="AutoShape_247_SpCnt_10"/>
                  <wp:cNvGraphicFramePr/>
                  <a:graphic xmlns:a="http://schemas.openxmlformats.org/drawingml/2006/main">
                    <a:graphicData uri="http://schemas.openxmlformats.org/drawingml/2006/picture">
                      <pic:pic xmlns:pic="http://schemas.openxmlformats.org/drawingml/2006/picture">
                        <pic:nvPicPr>
                          <pic:cNvPr id="30" name="AutoShape_247_SpCnt_10"/>
                          <pic:cNvPicPr/>
                        </pic:nvPicPr>
                        <pic:blipFill>
                          <a:blip r:embed="rId4"/>
                          <a:stretch>
                            <a:fillRect/>
                          </a:stretch>
                        </pic:blipFill>
                        <pic:spPr>
                          <a:xfrm>
                            <a:off x="0" y="0"/>
                            <a:ext cx="320040" cy="346075"/>
                          </a:xfrm>
                          <a:prstGeom prst="rect">
                            <a:avLst/>
                          </a:prstGeom>
                          <a:noFill/>
                          <a:ln>
                            <a:noFill/>
                          </a:ln>
                        </pic:spPr>
                      </pic:pic>
                    </a:graphicData>
                  </a:graphic>
                </wp:anchor>
              </w:drawing>
            </w:r>
            <w:r>
              <w:rPr>
                <w:rFonts w:hint="eastAsia" w:ascii="宋体" w:hAnsi="宋体" w:eastAsia="宋体" w:cs="宋体"/>
                <w:i w:val="0"/>
                <w:iCs w:val="0"/>
                <w:color w:val="auto"/>
                <w:kern w:val="0"/>
                <w:sz w:val="20"/>
                <w:szCs w:val="20"/>
                <w:highlight w:val="none"/>
                <w:u w:val="none"/>
                <w:lang w:val="en-US" w:eastAsia="zh-CN" w:bidi="ar"/>
              </w:rPr>
              <w:drawing>
                <wp:anchor distT="0" distB="0" distL="114300" distR="114300" simplePos="0" relativeHeight="251678720" behindDoc="0" locked="0" layoutInCell="1" allowOverlap="1">
                  <wp:simplePos x="0" y="0"/>
                  <wp:positionH relativeFrom="column">
                    <wp:posOffset>0</wp:posOffset>
                  </wp:positionH>
                  <wp:positionV relativeFrom="paragraph">
                    <wp:posOffset>0</wp:posOffset>
                  </wp:positionV>
                  <wp:extent cx="320040" cy="346075"/>
                  <wp:effectExtent l="0" t="0" r="0" b="0"/>
                  <wp:wrapNone/>
                  <wp:docPr id="23" name="AutoShape_248_SpCnt_8"/>
                  <wp:cNvGraphicFramePr/>
                  <a:graphic xmlns:a="http://schemas.openxmlformats.org/drawingml/2006/main">
                    <a:graphicData uri="http://schemas.openxmlformats.org/drawingml/2006/picture">
                      <pic:pic xmlns:pic="http://schemas.openxmlformats.org/drawingml/2006/picture">
                        <pic:nvPicPr>
                          <pic:cNvPr id="23" name="AutoShape_248_SpCnt_8"/>
                          <pic:cNvPicPr/>
                        </pic:nvPicPr>
                        <pic:blipFill>
                          <a:blip r:embed="rId4"/>
                          <a:stretch>
                            <a:fillRect/>
                          </a:stretch>
                        </pic:blipFill>
                        <pic:spPr>
                          <a:xfrm>
                            <a:off x="0" y="0"/>
                            <a:ext cx="320040" cy="346075"/>
                          </a:xfrm>
                          <a:prstGeom prst="rect">
                            <a:avLst/>
                          </a:prstGeom>
                          <a:noFill/>
                          <a:ln>
                            <a:noFill/>
                          </a:ln>
                        </pic:spPr>
                      </pic:pic>
                    </a:graphicData>
                  </a:graphic>
                </wp:anchor>
              </w:drawing>
            </w:r>
            <w:r>
              <w:rPr>
                <w:rFonts w:hint="eastAsia" w:ascii="宋体" w:hAnsi="宋体" w:eastAsia="宋体" w:cs="宋体"/>
                <w:i w:val="0"/>
                <w:iCs w:val="0"/>
                <w:color w:val="auto"/>
                <w:kern w:val="0"/>
                <w:sz w:val="20"/>
                <w:szCs w:val="20"/>
                <w:highlight w:val="none"/>
                <w:u w:val="none"/>
                <w:lang w:val="en-US" w:eastAsia="zh-CN" w:bidi="ar"/>
              </w:rPr>
              <w:drawing>
                <wp:anchor distT="0" distB="0" distL="114300" distR="114300" simplePos="0" relativeHeight="251679744" behindDoc="0" locked="0" layoutInCell="1" allowOverlap="1">
                  <wp:simplePos x="0" y="0"/>
                  <wp:positionH relativeFrom="column">
                    <wp:posOffset>0</wp:posOffset>
                  </wp:positionH>
                  <wp:positionV relativeFrom="paragraph">
                    <wp:posOffset>0</wp:posOffset>
                  </wp:positionV>
                  <wp:extent cx="320040" cy="346075"/>
                  <wp:effectExtent l="0" t="0" r="0" b="0"/>
                  <wp:wrapNone/>
                  <wp:docPr id="21" name="AutoShape_247_SpCnt_11"/>
                  <wp:cNvGraphicFramePr/>
                  <a:graphic xmlns:a="http://schemas.openxmlformats.org/drawingml/2006/main">
                    <a:graphicData uri="http://schemas.openxmlformats.org/drawingml/2006/picture">
                      <pic:pic xmlns:pic="http://schemas.openxmlformats.org/drawingml/2006/picture">
                        <pic:nvPicPr>
                          <pic:cNvPr id="21" name="AutoShape_247_SpCnt_11"/>
                          <pic:cNvPicPr/>
                        </pic:nvPicPr>
                        <pic:blipFill>
                          <a:blip r:embed="rId4"/>
                          <a:stretch>
                            <a:fillRect/>
                          </a:stretch>
                        </pic:blipFill>
                        <pic:spPr>
                          <a:xfrm>
                            <a:off x="0" y="0"/>
                            <a:ext cx="320040" cy="346075"/>
                          </a:xfrm>
                          <a:prstGeom prst="rect">
                            <a:avLst/>
                          </a:prstGeom>
                          <a:noFill/>
                          <a:ln>
                            <a:noFill/>
                          </a:ln>
                        </pic:spPr>
                      </pic:pic>
                    </a:graphicData>
                  </a:graphic>
                </wp:anchor>
              </w:drawing>
            </w:r>
            <w:r>
              <w:rPr>
                <w:rFonts w:hint="eastAsia" w:ascii="宋体" w:hAnsi="宋体" w:eastAsia="宋体" w:cs="宋体"/>
                <w:i w:val="0"/>
                <w:iCs w:val="0"/>
                <w:color w:val="auto"/>
                <w:kern w:val="0"/>
                <w:sz w:val="20"/>
                <w:szCs w:val="20"/>
                <w:highlight w:val="none"/>
                <w:u w:val="none"/>
                <w:lang w:val="en-US" w:eastAsia="zh-CN" w:bidi="ar"/>
              </w:rPr>
              <w:drawing>
                <wp:anchor distT="0" distB="0" distL="114300" distR="114300" simplePos="0" relativeHeight="251680768" behindDoc="0" locked="0" layoutInCell="1" allowOverlap="1">
                  <wp:simplePos x="0" y="0"/>
                  <wp:positionH relativeFrom="column">
                    <wp:posOffset>0</wp:posOffset>
                  </wp:positionH>
                  <wp:positionV relativeFrom="paragraph">
                    <wp:posOffset>0</wp:posOffset>
                  </wp:positionV>
                  <wp:extent cx="320040" cy="346075"/>
                  <wp:effectExtent l="0" t="0" r="0" b="0"/>
                  <wp:wrapNone/>
                  <wp:docPr id="27" name="AutoShape_248_SpCnt_9"/>
                  <wp:cNvGraphicFramePr/>
                  <a:graphic xmlns:a="http://schemas.openxmlformats.org/drawingml/2006/main">
                    <a:graphicData uri="http://schemas.openxmlformats.org/drawingml/2006/picture">
                      <pic:pic xmlns:pic="http://schemas.openxmlformats.org/drawingml/2006/picture">
                        <pic:nvPicPr>
                          <pic:cNvPr id="27" name="AutoShape_248_SpCnt_9"/>
                          <pic:cNvPicPr/>
                        </pic:nvPicPr>
                        <pic:blipFill>
                          <a:blip r:embed="rId4"/>
                          <a:stretch>
                            <a:fillRect/>
                          </a:stretch>
                        </pic:blipFill>
                        <pic:spPr>
                          <a:xfrm>
                            <a:off x="0" y="0"/>
                            <a:ext cx="320040" cy="346075"/>
                          </a:xfrm>
                          <a:prstGeom prst="rect">
                            <a:avLst/>
                          </a:prstGeom>
                          <a:noFill/>
                          <a:ln>
                            <a:noFill/>
                          </a:ln>
                        </pic:spPr>
                      </pic:pic>
                    </a:graphicData>
                  </a:graphic>
                </wp:anchor>
              </w:drawing>
            </w:r>
            <w:r>
              <w:rPr>
                <w:rFonts w:hint="eastAsia" w:ascii="宋体" w:hAnsi="宋体" w:eastAsia="宋体" w:cs="宋体"/>
                <w:i w:val="0"/>
                <w:iCs w:val="0"/>
                <w:color w:val="auto"/>
                <w:kern w:val="0"/>
                <w:sz w:val="20"/>
                <w:szCs w:val="20"/>
                <w:highlight w:val="none"/>
                <w:u w:val="none"/>
                <w:lang w:val="en-US" w:eastAsia="zh-CN" w:bidi="ar"/>
              </w:rPr>
              <w:drawing>
                <wp:anchor distT="0" distB="0" distL="114300" distR="114300" simplePos="0" relativeHeight="251681792" behindDoc="0" locked="0" layoutInCell="1" allowOverlap="1">
                  <wp:simplePos x="0" y="0"/>
                  <wp:positionH relativeFrom="column">
                    <wp:posOffset>0</wp:posOffset>
                  </wp:positionH>
                  <wp:positionV relativeFrom="paragraph">
                    <wp:posOffset>0</wp:posOffset>
                  </wp:positionV>
                  <wp:extent cx="320040" cy="346075"/>
                  <wp:effectExtent l="0" t="0" r="0" b="0"/>
                  <wp:wrapNone/>
                  <wp:docPr id="29" name="AutoShape_247_SpCnt_12"/>
                  <wp:cNvGraphicFramePr/>
                  <a:graphic xmlns:a="http://schemas.openxmlformats.org/drawingml/2006/main">
                    <a:graphicData uri="http://schemas.openxmlformats.org/drawingml/2006/picture">
                      <pic:pic xmlns:pic="http://schemas.openxmlformats.org/drawingml/2006/picture">
                        <pic:nvPicPr>
                          <pic:cNvPr id="29" name="AutoShape_247_SpCnt_12"/>
                          <pic:cNvPicPr/>
                        </pic:nvPicPr>
                        <pic:blipFill>
                          <a:blip r:embed="rId4"/>
                          <a:stretch>
                            <a:fillRect/>
                          </a:stretch>
                        </pic:blipFill>
                        <pic:spPr>
                          <a:xfrm>
                            <a:off x="0" y="0"/>
                            <a:ext cx="320040" cy="346075"/>
                          </a:xfrm>
                          <a:prstGeom prst="rect">
                            <a:avLst/>
                          </a:prstGeom>
                          <a:noFill/>
                          <a:ln>
                            <a:noFill/>
                          </a:ln>
                        </pic:spPr>
                      </pic:pic>
                    </a:graphicData>
                  </a:graphic>
                </wp:anchor>
              </w:drawing>
            </w:r>
            <w:r>
              <w:rPr>
                <w:rFonts w:hint="eastAsia" w:ascii="宋体" w:hAnsi="宋体" w:eastAsia="宋体" w:cs="宋体"/>
                <w:i w:val="0"/>
                <w:iCs w:val="0"/>
                <w:color w:val="auto"/>
                <w:kern w:val="0"/>
                <w:sz w:val="20"/>
                <w:szCs w:val="20"/>
                <w:highlight w:val="none"/>
                <w:u w:val="none"/>
                <w:lang w:val="en-US" w:eastAsia="zh-CN" w:bidi="ar"/>
              </w:rPr>
              <w:drawing>
                <wp:anchor distT="0" distB="0" distL="114300" distR="114300" simplePos="0" relativeHeight="251682816" behindDoc="0" locked="0" layoutInCell="1" allowOverlap="1">
                  <wp:simplePos x="0" y="0"/>
                  <wp:positionH relativeFrom="column">
                    <wp:posOffset>0</wp:posOffset>
                  </wp:positionH>
                  <wp:positionV relativeFrom="paragraph">
                    <wp:posOffset>0</wp:posOffset>
                  </wp:positionV>
                  <wp:extent cx="320040" cy="346075"/>
                  <wp:effectExtent l="0" t="0" r="0" b="0"/>
                  <wp:wrapNone/>
                  <wp:docPr id="17" name="AutoShape_248_SpCnt_10"/>
                  <wp:cNvGraphicFramePr/>
                  <a:graphic xmlns:a="http://schemas.openxmlformats.org/drawingml/2006/main">
                    <a:graphicData uri="http://schemas.openxmlformats.org/drawingml/2006/picture">
                      <pic:pic xmlns:pic="http://schemas.openxmlformats.org/drawingml/2006/picture">
                        <pic:nvPicPr>
                          <pic:cNvPr id="17" name="AutoShape_248_SpCnt_10"/>
                          <pic:cNvPicPr/>
                        </pic:nvPicPr>
                        <pic:blipFill>
                          <a:blip r:embed="rId4"/>
                          <a:stretch>
                            <a:fillRect/>
                          </a:stretch>
                        </pic:blipFill>
                        <pic:spPr>
                          <a:xfrm>
                            <a:off x="0" y="0"/>
                            <a:ext cx="320040" cy="346075"/>
                          </a:xfrm>
                          <a:prstGeom prst="rect">
                            <a:avLst/>
                          </a:prstGeom>
                          <a:noFill/>
                          <a:ln>
                            <a:noFill/>
                          </a:ln>
                        </pic:spPr>
                      </pic:pic>
                    </a:graphicData>
                  </a:graphic>
                </wp:anchor>
              </w:drawing>
            </w:r>
            <w:r>
              <w:rPr>
                <w:rFonts w:hint="eastAsia" w:ascii="宋体" w:hAnsi="宋体" w:eastAsia="宋体" w:cs="宋体"/>
                <w:i w:val="0"/>
                <w:iCs w:val="0"/>
                <w:color w:val="auto"/>
                <w:kern w:val="0"/>
                <w:sz w:val="20"/>
                <w:szCs w:val="20"/>
                <w:highlight w:val="none"/>
                <w:u w:val="none"/>
                <w:lang w:val="en-US" w:eastAsia="zh-CN" w:bidi="ar"/>
              </w:rPr>
              <w:drawing>
                <wp:anchor distT="0" distB="0" distL="114300" distR="114300" simplePos="0" relativeHeight="251683840" behindDoc="0" locked="0" layoutInCell="1" allowOverlap="1">
                  <wp:simplePos x="0" y="0"/>
                  <wp:positionH relativeFrom="column">
                    <wp:posOffset>0</wp:posOffset>
                  </wp:positionH>
                  <wp:positionV relativeFrom="paragraph">
                    <wp:posOffset>0</wp:posOffset>
                  </wp:positionV>
                  <wp:extent cx="320040" cy="346075"/>
                  <wp:effectExtent l="0" t="0" r="0" b="0"/>
                  <wp:wrapNone/>
                  <wp:docPr id="19" name="AutoShape_247_SpCnt_13"/>
                  <wp:cNvGraphicFramePr/>
                  <a:graphic xmlns:a="http://schemas.openxmlformats.org/drawingml/2006/main">
                    <a:graphicData uri="http://schemas.openxmlformats.org/drawingml/2006/picture">
                      <pic:pic xmlns:pic="http://schemas.openxmlformats.org/drawingml/2006/picture">
                        <pic:nvPicPr>
                          <pic:cNvPr id="19" name="AutoShape_247_SpCnt_13"/>
                          <pic:cNvPicPr/>
                        </pic:nvPicPr>
                        <pic:blipFill>
                          <a:blip r:embed="rId4"/>
                          <a:stretch>
                            <a:fillRect/>
                          </a:stretch>
                        </pic:blipFill>
                        <pic:spPr>
                          <a:xfrm>
                            <a:off x="0" y="0"/>
                            <a:ext cx="320040" cy="346075"/>
                          </a:xfrm>
                          <a:prstGeom prst="rect">
                            <a:avLst/>
                          </a:prstGeom>
                          <a:noFill/>
                          <a:ln>
                            <a:noFill/>
                          </a:ln>
                        </pic:spPr>
                      </pic:pic>
                    </a:graphicData>
                  </a:graphic>
                </wp:anchor>
              </w:drawing>
            </w:r>
            <w:r>
              <w:rPr>
                <w:rFonts w:hint="eastAsia" w:ascii="宋体" w:hAnsi="宋体" w:eastAsia="宋体" w:cs="宋体"/>
                <w:i w:val="0"/>
                <w:iCs w:val="0"/>
                <w:color w:val="auto"/>
                <w:kern w:val="0"/>
                <w:sz w:val="20"/>
                <w:szCs w:val="20"/>
                <w:highlight w:val="none"/>
                <w:u w:val="none"/>
                <w:lang w:val="en-US" w:eastAsia="zh-CN" w:bidi="ar"/>
              </w:rPr>
              <w:drawing>
                <wp:anchor distT="0" distB="0" distL="114300" distR="114300" simplePos="0" relativeHeight="251684864" behindDoc="0" locked="0" layoutInCell="1" allowOverlap="1">
                  <wp:simplePos x="0" y="0"/>
                  <wp:positionH relativeFrom="column">
                    <wp:posOffset>0</wp:posOffset>
                  </wp:positionH>
                  <wp:positionV relativeFrom="paragraph">
                    <wp:posOffset>0</wp:posOffset>
                  </wp:positionV>
                  <wp:extent cx="320040" cy="346075"/>
                  <wp:effectExtent l="0" t="0" r="0" b="0"/>
                  <wp:wrapNone/>
                  <wp:docPr id="22" name="AutoShape_248_SpCnt_11"/>
                  <wp:cNvGraphicFramePr/>
                  <a:graphic xmlns:a="http://schemas.openxmlformats.org/drawingml/2006/main">
                    <a:graphicData uri="http://schemas.openxmlformats.org/drawingml/2006/picture">
                      <pic:pic xmlns:pic="http://schemas.openxmlformats.org/drawingml/2006/picture">
                        <pic:nvPicPr>
                          <pic:cNvPr id="22" name="AutoShape_248_SpCnt_11"/>
                          <pic:cNvPicPr/>
                        </pic:nvPicPr>
                        <pic:blipFill>
                          <a:blip r:embed="rId4"/>
                          <a:stretch>
                            <a:fillRect/>
                          </a:stretch>
                        </pic:blipFill>
                        <pic:spPr>
                          <a:xfrm>
                            <a:off x="0" y="0"/>
                            <a:ext cx="320040" cy="346075"/>
                          </a:xfrm>
                          <a:prstGeom prst="rect">
                            <a:avLst/>
                          </a:prstGeom>
                          <a:noFill/>
                          <a:ln>
                            <a:noFill/>
                          </a:ln>
                        </pic:spPr>
                      </pic:pic>
                    </a:graphicData>
                  </a:graphic>
                </wp:anchor>
              </w:drawing>
            </w:r>
            <w:r>
              <w:rPr>
                <w:rFonts w:hint="eastAsia" w:ascii="宋体" w:hAnsi="宋体" w:eastAsia="宋体" w:cs="宋体"/>
                <w:i w:val="0"/>
                <w:iCs w:val="0"/>
                <w:color w:val="auto"/>
                <w:kern w:val="0"/>
                <w:sz w:val="20"/>
                <w:szCs w:val="20"/>
                <w:highlight w:val="none"/>
                <w:u w:val="none"/>
                <w:lang w:val="en-US" w:eastAsia="zh-CN" w:bidi="ar"/>
              </w:rPr>
              <w:drawing>
                <wp:anchor distT="0" distB="0" distL="114300" distR="114300" simplePos="0" relativeHeight="251685888" behindDoc="0" locked="0" layoutInCell="1" allowOverlap="1">
                  <wp:simplePos x="0" y="0"/>
                  <wp:positionH relativeFrom="column">
                    <wp:posOffset>0</wp:posOffset>
                  </wp:positionH>
                  <wp:positionV relativeFrom="paragraph">
                    <wp:posOffset>0</wp:posOffset>
                  </wp:positionV>
                  <wp:extent cx="320040" cy="346075"/>
                  <wp:effectExtent l="0" t="0" r="0" b="0"/>
                  <wp:wrapNone/>
                  <wp:docPr id="25" name="AutoShape_247_SpCnt_14"/>
                  <wp:cNvGraphicFramePr/>
                  <a:graphic xmlns:a="http://schemas.openxmlformats.org/drawingml/2006/main">
                    <a:graphicData uri="http://schemas.openxmlformats.org/drawingml/2006/picture">
                      <pic:pic xmlns:pic="http://schemas.openxmlformats.org/drawingml/2006/picture">
                        <pic:nvPicPr>
                          <pic:cNvPr id="25" name="AutoShape_247_SpCnt_14"/>
                          <pic:cNvPicPr/>
                        </pic:nvPicPr>
                        <pic:blipFill>
                          <a:blip r:embed="rId4"/>
                          <a:stretch>
                            <a:fillRect/>
                          </a:stretch>
                        </pic:blipFill>
                        <pic:spPr>
                          <a:xfrm>
                            <a:off x="0" y="0"/>
                            <a:ext cx="320040" cy="346075"/>
                          </a:xfrm>
                          <a:prstGeom prst="rect">
                            <a:avLst/>
                          </a:prstGeom>
                          <a:noFill/>
                          <a:ln>
                            <a:noFill/>
                          </a:ln>
                        </pic:spPr>
                      </pic:pic>
                    </a:graphicData>
                  </a:graphic>
                </wp:anchor>
              </w:drawing>
            </w:r>
            <w:r>
              <w:rPr>
                <w:rFonts w:hint="eastAsia" w:ascii="宋体" w:hAnsi="宋体" w:eastAsia="宋体" w:cs="宋体"/>
                <w:i w:val="0"/>
                <w:iCs w:val="0"/>
                <w:color w:val="auto"/>
                <w:kern w:val="0"/>
                <w:sz w:val="20"/>
                <w:szCs w:val="20"/>
                <w:highlight w:val="none"/>
                <w:u w:val="none"/>
                <w:lang w:val="en-US" w:eastAsia="zh-CN" w:bidi="ar"/>
              </w:rPr>
              <w:drawing>
                <wp:anchor distT="0" distB="0" distL="114300" distR="114300" simplePos="0" relativeHeight="251686912" behindDoc="0" locked="0" layoutInCell="1" allowOverlap="1">
                  <wp:simplePos x="0" y="0"/>
                  <wp:positionH relativeFrom="column">
                    <wp:posOffset>0</wp:posOffset>
                  </wp:positionH>
                  <wp:positionV relativeFrom="paragraph">
                    <wp:posOffset>0</wp:posOffset>
                  </wp:positionV>
                  <wp:extent cx="320040" cy="346075"/>
                  <wp:effectExtent l="0" t="0" r="0" b="0"/>
                  <wp:wrapNone/>
                  <wp:docPr id="32" name="AutoShape_248_SpCnt_12"/>
                  <wp:cNvGraphicFramePr/>
                  <a:graphic xmlns:a="http://schemas.openxmlformats.org/drawingml/2006/main">
                    <a:graphicData uri="http://schemas.openxmlformats.org/drawingml/2006/picture">
                      <pic:pic xmlns:pic="http://schemas.openxmlformats.org/drawingml/2006/picture">
                        <pic:nvPicPr>
                          <pic:cNvPr id="32" name="AutoShape_248_SpCnt_12"/>
                          <pic:cNvPicPr/>
                        </pic:nvPicPr>
                        <pic:blipFill>
                          <a:blip r:embed="rId4"/>
                          <a:stretch>
                            <a:fillRect/>
                          </a:stretch>
                        </pic:blipFill>
                        <pic:spPr>
                          <a:xfrm>
                            <a:off x="0" y="0"/>
                            <a:ext cx="320040" cy="346075"/>
                          </a:xfrm>
                          <a:prstGeom prst="rect">
                            <a:avLst/>
                          </a:prstGeom>
                          <a:noFill/>
                          <a:ln>
                            <a:noFill/>
                          </a:ln>
                        </pic:spPr>
                      </pic:pic>
                    </a:graphicData>
                  </a:graphic>
                </wp:anchor>
              </w:drawing>
            </w:r>
            <w:r>
              <w:rPr>
                <w:rFonts w:hint="eastAsia" w:ascii="宋体" w:hAnsi="宋体" w:eastAsia="宋体" w:cs="宋体"/>
                <w:i w:val="0"/>
                <w:iCs w:val="0"/>
                <w:color w:val="auto"/>
                <w:kern w:val="0"/>
                <w:sz w:val="20"/>
                <w:szCs w:val="20"/>
                <w:highlight w:val="none"/>
                <w:u w:val="none"/>
                <w:lang w:val="en-US" w:eastAsia="zh-CN" w:bidi="ar"/>
              </w:rPr>
              <w:drawing>
                <wp:anchor distT="0" distB="0" distL="114300" distR="114300" simplePos="0" relativeHeight="251687936" behindDoc="0" locked="0" layoutInCell="1" allowOverlap="1">
                  <wp:simplePos x="0" y="0"/>
                  <wp:positionH relativeFrom="column">
                    <wp:posOffset>0</wp:posOffset>
                  </wp:positionH>
                  <wp:positionV relativeFrom="paragraph">
                    <wp:posOffset>0</wp:posOffset>
                  </wp:positionV>
                  <wp:extent cx="320040" cy="346075"/>
                  <wp:effectExtent l="0" t="0" r="0" b="0"/>
                  <wp:wrapNone/>
                  <wp:docPr id="31" name="AutoShape_247_SpCnt_15"/>
                  <wp:cNvGraphicFramePr/>
                  <a:graphic xmlns:a="http://schemas.openxmlformats.org/drawingml/2006/main">
                    <a:graphicData uri="http://schemas.openxmlformats.org/drawingml/2006/picture">
                      <pic:pic xmlns:pic="http://schemas.openxmlformats.org/drawingml/2006/picture">
                        <pic:nvPicPr>
                          <pic:cNvPr id="31" name="AutoShape_247_SpCnt_15"/>
                          <pic:cNvPicPr/>
                        </pic:nvPicPr>
                        <pic:blipFill>
                          <a:blip r:embed="rId4"/>
                          <a:stretch>
                            <a:fillRect/>
                          </a:stretch>
                        </pic:blipFill>
                        <pic:spPr>
                          <a:xfrm>
                            <a:off x="0" y="0"/>
                            <a:ext cx="320040" cy="346075"/>
                          </a:xfrm>
                          <a:prstGeom prst="rect">
                            <a:avLst/>
                          </a:prstGeom>
                          <a:noFill/>
                          <a:ln>
                            <a:noFill/>
                          </a:ln>
                        </pic:spPr>
                      </pic:pic>
                    </a:graphicData>
                  </a:graphic>
                </wp:anchor>
              </w:drawing>
            </w:r>
            <w:r>
              <w:rPr>
                <w:rFonts w:hint="eastAsia" w:ascii="宋体" w:hAnsi="宋体" w:eastAsia="宋体" w:cs="宋体"/>
                <w:i w:val="0"/>
                <w:iCs w:val="0"/>
                <w:color w:val="auto"/>
                <w:kern w:val="0"/>
                <w:sz w:val="20"/>
                <w:szCs w:val="20"/>
                <w:highlight w:val="none"/>
                <w:u w:val="none"/>
                <w:lang w:val="en-US" w:eastAsia="zh-CN" w:bidi="ar"/>
              </w:rPr>
              <w:drawing>
                <wp:anchor distT="0" distB="0" distL="114300" distR="114300" simplePos="0" relativeHeight="251688960" behindDoc="0" locked="0" layoutInCell="1" allowOverlap="1">
                  <wp:simplePos x="0" y="0"/>
                  <wp:positionH relativeFrom="column">
                    <wp:posOffset>0</wp:posOffset>
                  </wp:positionH>
                  <wp:positionV relativeFrom="paragraph">
                    <wp:posOffset>0</wp:posOffset>
                  </wp:positionV>
                  <wp:extent cx="320040" cy="346075"/>
                  <wp:effectExtent l="0" t="0" r="0" b="0"/>
                  <wp:wrapNone/>
                  <wp:docPr id="36" name="AutoShape_248_SpCnt_13"/>
                  <wp:cNvGraphicFramePr/>
                  <a:graphic xmlns:a="http://schemas.openxmlformats.org/drawingml/2006/main">
                    <a:graphicData uri="http://schemas.openxmlformats.org/drawingml/2006/picture">
                      <pic:pic xmlns:pic="http://schemas.openxmlformats.org/drawingml/2006/picture">
                        <pic:nvPicPr>
                          <pic:cNvPr id="36" name="AutoShape_248_SpCnt_13"/>
                          <pic:cNvPicPr/>
                        </pic:nvPicPr>
                        <pic:blipFill>
                          <a:blip r:embed="rId4"/>
                          <a:stretch>
                            <a:fillRect/>
                          </a:stretch>
                        </pic:blipFill>
                        <pic:spPr>
                          <a:xfrm>
                            <a:off x="0" y="0"/>
                            <a:ext cx="320040" cy="346075"/>
                          </a:xfrm>
                          <a:prstGeom prst="rect">
                            <a:avLst/>
                          </a:prstGeom>
                          <a:noFill/>
                          <a:ln>
                            <a:noFill/>
                          </a:ln>
                        </pic:spPr>
                      </pic:pic>
                    </a:graphicData>
                  </a:graphic>
                </wp:anchor>
              </w:drawing>
            </w:r>
            <w:r>
              <w:rPr>
                <w:rFonts w:hint="eastAsia" w:ascii="宋体" w:hAnsi="宋体" w:eastAsia="宋体" w:cs="宋体"/>
                <w:i w:val="0"/>
                <w:iCs w:val="0"/>
                <w:color w:val="auto"/>
                <w:kern w:val="0"/>
                <w:sz w:val="20"/>
                <w:szCs w:val="20"/>
                <w:highlight w:val="none"/>
                <w:u w:val="none"/>
                <w:lang w:val="en-US" w:eastAsia="zh-CN" w:bidi="ar"/>
              </w:rPr>
              <w:drawing>
                <wp:anchor distT="0" distB="0" distL="114300" distR="114300" simplePos="0" relativeHeight="251689984" behindDoc="0" locked="0" layoutInCell="1" allowOverlap="1">
                  <wp:simplePos x="0" y="0"/>
                  <wp:positionH relativeFrom="column">
                    <wp:posOffset>0</wp:posOffset>
                  </wp:positionH>
                  <wp:positionV relativeFrom="paragraph">
                    <wp:posOffset>0</wp:posOffset>
                  </wp:positionV>
                  <wp:extent cx="320040" cy="346075"/>
                  <wp:effectExtent l="0" t="0" r="0" b="0"/>
                  <wp:wrapNone/>
                  <wp:docPr id="34" name="AutoShape_248_SpCnt_14"/>
                  <wp:cNvGraphicFramePr/>
                  <a:graphic xmlns:a="http://schemas.openxmlformats.org/drawingml/2006/main">
                    <a:graphicData uri="http://schemas.openxmlformats.org/drawingml/2006/picture">
                      <pic:pic xmlns:pic="http://schemas.openxmlformats.org/drawingml/2006/picture">
                        <pic:nvPicPr>
                          <pic:cNvPr id="34" name="AutoShape_248_SpCnt_14"/>
                          <pic:cNvPicPr/>
                        </pic:nvPicPr>
                        <pic:blipFill>
                          <a:blip r:embed="rId4"/>
                          <a:stretch>
                            <a:fillRect/>
                          </a:stretch>
                        </pic:blipFill>
                        <pic:spPr>
                          <a:xfrm>
                            <a:off x="0" y="0"/>
                            <a:ext cx="320040" cy="346075"/>
                          </a:xfrm>
                          <a:prstGeom prst="rect">
                            <a:avLst/>
                          </a:prstGeom>
                          <a:noFill/>
                          <a:ln>
                            <a:noFill/>
                          </a:ln>
                        </pic:spPr>
                      </pic:pic>
                    </a:graphicData>
                  </a:graphic>
                </wp:anchor>
              </w:drawing>
            </w:r>
            <w:r>
              <w:rPr>
                <w:rFonts w:hint="eastAsia" w:ascii="宋体" w:hAnsi="宋体" w:eastAsia="宋体" w:cs="宋体"/>
                <w:i w:val="0"/>
                <w:iCs w:val="0"/>
                <w:color w:val="auto"/>
                <w:kern w:val="0"/>
                <w:sz w:val="20"/>
                <w:szCs w:val="20"/>
                <w:highlight w:val="none"/>
                <w:u w:val="none"/>
                <w:lang w:val="en-US" w:eastAsia="zh-CN" w:bidi="ar"/>
              </w:rPr>
              <w:drawing>
                <wp:anchor distT="0" distB="0" distL="114300" distR="114300" simplePos="0" relativeHeight="251691008" behindDoc="0" locked="0" layoutInCell="1" allowOverlap="1">
                  <wp:simplePos x="0" y="0"/>
                  <wp:positionH relativeFrom="column">
                    <wp:posOffset>0</wp:posOffset>
                  </wp:positionH>
                  <wp:positionV relativeFrom="paragraph">
                    <wp:posOffset>0</wp:posOffset>
                  </wp:positionV>
                  <wp:extent cx="320040" cy="346075"/>
                  <wp:effectExtent l="0" t="0" r="0" b="0"/>
                  <wp:wrapNone/>
                  <wp:docPr id="33" name="AutoShape_248_SpCnt_15"/>
                  <wp:cNvGraphicFramePr/>
                  <a:graphic xmlns:a="http://schemas.openxmlformats.org/drawingml/2006/main">
                    <a:graphicData uri="http://schemas.openxmlformats.org/drawingml/2006/picture">
                      <pic:pic xmlns:pic="http://schemas.openxmlformats.org/drawingml/2006/picture">
                        <pic:nvPicPr>
                          <pic:cNvPr id="33" name="AutoShape_248_SpCnt_15"/>
                          <pic:cNvPicPr/>
                        </pic:nvPicPr>
                        <pic:blipFill>
                          <a:blip r:embed="rId4"/>
                          <a:stretch>
                            <a:fillRect/>
                          </a:stretch>
                        </pic:blipFill>
                        <pic:spPr>
                          <a:xfrm>
                            <a:off x="0" y="0"/>
                            <a:ext cx="320040" cy="346075"/>
                          </a:xfrm>
                          <a:prstGeom prst="rect">
                            <a:avLst/>
                          </a:prstGeom>
                          <a:noFill/>
                          <a:ln>
                            <a:noFill/>
                          </a:ln>
                        </pic:spPr>
                      </pic:pic>
                    </a:graphicData>
                  </a:graphic>
                </wp:anchor>
              </w:drawing>
            </w:r>
            <w:r>
              <w:rPr>
                <w:rFonts w:hint="eastAsia" w:ascii="宋体" w:hAnsi="宋体" w:eastAsia="宋体" w:cs="宋体"/>
                <w:i w:val="0"/>
                <w:iCs w:val="0"/>
                <w:color w:val="auto"/>
                <w:kern w:val="0"/>
                <w:sz w:val="20"/>
                <w:szCs w:val="20"/>
                <w:highlight w:val="none"/>
                <w:u w:val="none"/>
                <w:lang w:val="en-US" w:eastAsia="zh-CN" w:bidi="ar"/>
              </w:rPr>
              <w:drawing>
                <wp:anchor distT="0" distB="0" distL="114300" distR="114300" simplePos="0" relativeHeight="251692032" behindDoc="0" locked="0" layoutInCell="1" allowOverlap="1">
                  <wp:simplePos x="0" y="0"/>
                  <wp:positionH relativeFrom="column">
                    <wp:posOffset>0</wp:posOffset>
                  </wp:positionH>
                  <wp:positionV relativeFrom="paragraph">
                    <wp:posOffset>0</wp:posOffset>
                  </wp:positionV>
                  <wp:extent cx="320040" cy="346075"/>
                  <wp:effectExtent l="0" t="0" r="0" b="0"/>
                  <wp:wrapNone/>
                  <wp:docPr id="26" name="AutoShape_247_SpCnt_16"/>
                  <wp:cNvGraphicFramePr/>
                  <a:graphic xmlns:a="http://schemas.openxmlformats.org/drawingml/2006/main">
                    <a:graphicData uri="http://schemas.openxmlformats.org/drawingml/2006/picture">
                      <pic:pic xmlns:pic="http://schemas.openxmlformats.org/drawingml/2006/picture">
                        <pic:nvPicPr>
                          <pic:cNvPr id="26" name="AutoShape_247_SpCnt_16"/>
                          <pic:cNvPicPr/>
                        </pic:nvPicPr>
                        <pic:blipFill>
                          <a:blip r:embed="rId4"/>
                          <a:stretch>
                            <a:fillRect/>
                          </a:stretch>
                        </pic:blipFill>
                        <pic:spPr>
                          <a:xfrm>
                            <a:off x="0" y="0"/>
                            <a:ext cx="320040" cy="346075"/>
                          </a:xfrm>
                          <a:prstGeom prst="rect">
                            <a:avLst/>
                          </a:prstGeom>
                          <a:noFill/>
                          <a:ln>
                            <a:noFill/>
                          </a:ln>
                        </pic:spPr>
                      </pic:pic>
                    </a:graphicData>
                  </a:graphic>
                </wp:anchor>
              </w:drawing>
            </w:r>
            <w:r>
              <w:rPr>
                <w:rFonts w:hint="eastAsia" w:ascii="宋体" w:hAnsi="宋体" w:eastAsia="宋体" w:cs="宋体"/>
                <w:i w:val="0"/>
                <w:iCs w:val="0"/>
                <w:color w:val="auto"/>
                <w:kern w:val="0"/>
                <w:sz w:val="20"/>
                <w:szCs w:val="20"/>
                <w:highlight w:val="none"/>
                <w:u w:val="none"/>
                <w:lang w:val="en-US" w:eastAsia="zh-CN" w:bidi="ar"/>
              </w:rPr>
              <w:drawing>
                <wp:anchor distT="0" distB="0" distL="114300" distR="114300" simplePos="0" relativeHeight="251693056" behindDoc="0" locked="0" layoutInCell="1" allowOverlap="1">
                  <wp:simplePos x="0" y="0"/>
                  <wp:positionH relativeFrom="column">
                    <wp:posOffset>0</wp:posOffset>
                  </wp:positionH>
                  <wp:positionV relativeFrom="paragraph">
                    <wp:posOffset>0</wp:posOffset>
                  </wp:positionV>
                  <wp:extent cx="320040" cy="346075"/>
                  <wp:effectExtent l="0" t="0" r="0" b="0"/>
                  <wp:wrapNone/>
                  <wp:docPr id="35" name="AutoShape_247_SpCnt_17"/>
                  <wp:cNvGraphicFramePr/>
                  <a:graphic xmlns:a="http://schemas.openxmlformats.org/drawingml/2006/main">
                    <a:graphicData uri="http://schemas.openxmlformats.org/drawingml/2006/picture">
                      <pic:pic xmlns:pic="http://schemas.openxmlformats.org/drawingml/2006/picture">
                        <pic:nvPicPr>
                          <pic:cNvPr id="35" name="AutoShape_247_SpCnt_17"/>
                          <pic:cNvPicPr/>
                        </pic:nvPicPr>
                        <pic:blipFill>
                          <a:blip r:embed="rId4"/>
                          <a:stretch>
                            <a:fillRect/>
                          </a:stretch>
                        </pic:blipFill>
                        <pic:spPr>
                          <a:xfrm>
                            <a:off x="0" y="0"/>
                            <a:ext cx="320040" cy="346075"/>
                          </a:xfrm>
                          <a:prstGeom prst="rect">
                            <a:avLst/>
                          </a:prstGeom>
                          <a:noFill/>
                          <a:ln>
                            <a:noFill/>
                          </a:ln>
                        </pic:spPr>
                      </pic:pic>
                    </a:graphicData>
                  </a:graphic>
                </wp:anchor>
              </w:drawing>
            </w:r>
            <w:r>
              <w:rPr>
                <w:rFonts w:hint="eastAsia" w:ascii="宋体" w:hAnsi="宋体" w:eastAsia="宋体" w:cs="宋体"/>
                <w:i w:val="0"/>
                <w:iCs w:val="0"/>
                <w:color w:val="auto"/>
                <w:kern w:val="0"/>
                <w:sz w:val="20"/>
                <w:szCs w:val="20"/>
                <w:highlight w:val="none"/>
                <w:u w:val="none"/>
                <w:lang w:val="en-US" w:eastAsia="zh-CN" w:bidi="ar"/>
              </w:rPr>
              <w:drawing>
                <wp:anchor distT="0" distB="0" distL="114300" distR="114300" simplePos="0" relativeHeight="251694080" behindDoc="0" locked="0" layoutInCell="1" allowOverlap="1">
                  <wp:simplePos x="0" y="0"/>
                  <wp:positionH relativeFrom="column">
                    <wp:posOffset>6350</wp:posOffset>
                  </wp:positionH>
                  <wp:positionV relativeFrom="paragraph">
                    <wp:posOffset>711835</wp:posOffset>
                  </wp:positionV>
                  <wp:extent cx="320040" cy="346075"/>
                  <wp:effectExtent l="0" t="0" r="0" b="0"/>
                  <wp:wrapNone/>
                  <wp:docPr id="14" name="AutoShape_247_SpCnt_18"/>
                  <wp:cNvGraphicFramePr/>
                  <a:graphic xmlns:a="http://schemas.openxmlformats.org/drawingml/2006/main">
                    <a:graphicData uri="http://schemas.openxmlformats.org/drawingml/2006/picture">
                      <pic:pic xmlns:pic="http://schemas.openxmlformats.org/drawingml/2006/picture">
                        <pic:nvPicPr>
                          <pic:cNvPr id="14" name="AutoShape_247_SpCnt_18"/>
                          <pic:cNvPicPr/>
                        </pic:nvPicPr>
                        <pic:blipFill>
                          <a:blip r:embed="rId4"/>
                          <a:stretch>
                            <a:fillRect/>
                          </a:stretch>
                        </pic:blipFill>
                        <pic:spPr>
                          <a:xfrm>
                            <a:off x="0" y="0"/>
                            <a:ext cx="320040" cy="346075"/>
                          </a:xfrm>
                          <a:prstGeom prst="rect">
                            <a:avLst/>
                          </a:prstGeom>
                          <a:noFill/>
                          <a:ln>
                            <a:noFill/>
                          </a:ln>
                        </pic:spPr>
                      </pic:pic>
                    </a:graphicData>
                  </a:graphic>
                </wp:anchor>
              </w:drawing>
            </w:r>
          </w:p>
          <w:p w14:paraId="1BB51251">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p w14:paraId="3F8F1EE6">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p w14:paraId="44AF57FF">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p w14:paraId="2A6100F6">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p w14:paraId="116AF07F">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p w14:paraId="4C225E26">
            <w:pPr>
              <w:keepNext w:val="0"/>
              <w:keepLines w:val="0"/>
              <w:widowControl/>
              <w:suppressLineNumbers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1</w:t>
            </w:r>
          </w:p>
        </w:tc>
        <w:tc>
          <w:tcPr>
            <w:tcW w:w="740" w:type="dxa"/>
            <w:noWrap w:val="0"/>
            <w:vAlign w:val="center"/>
          </w:tcPr>
          <w:p w14:paraId="4A431A54">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套</w:t>
            </w:r>
          </w:p>
        </w:tc>
        <w:tc>
          <w:tcPr>
            <w:tcW w:w="1330" w:type="dxa"/>
            <w:noWrap w:val="0"/>
            <w:vAlign w:val="center"/>
          </w:tcPr>
          <w:p w14:paraId="61DA1B7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12.00 </w:t>
            </w:r>
          </w:p>
        </w:tc>
        <w:tc>
          <w:tcPr>
            <w:tcW w:w="1220" w:type="dxa"/>
            <w:noWrap w:val="0"/>
            <w:vAlign w:val="center"/>
          </w:tcPr>
          <w:p w14:paraId="05AB9EB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12.00 </w:t>
            </w:r>
          </w:p>
        </w:tc>
      </w:tr>
      <w:tr w14:paraId="77BE09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670" w:type="dxa"/>
            <w:vMerge w:val="continue"/>
            <w:noWrap w:val="0"/>
            <w:vAlign w:val="center"/>
          </w:tcPr>
          <w:p w14:paraId="2CF2B2E1">
            <w:pPr>
              <w:jc w:val="center"/>
              <w:rPr>
                <w:rFonts w:hint="eastAsia" w:ascii="宋体" w:hAnsi="宋体" w:eastAsia="宋体" w:cs="宋体"/>
                <w:i w:val="0"/>
                <w:iCs w:val="0"/>
                <w:color w:val="auto"/>
                <w:sz w:val="20"/>
                <w:szCs w:val="20"/>
                <w:highlight w:val="none"/>
                <w:u w:val="none"/>
              </w:rPr>
            </w:pPr>
          </w:p>
        </w:tc>
        <w:tc>
          <w:tcPr>
            <w:tcW w:w="620" w:type="dxa"/>
            <w:vMerge w:val="continue"/>
            <w:noWrap w:val="0"/>
            <w:vAlign w:val="center"/>
          </w:tcPr>
          <w:p w14:paraId="580A6F3A">
            <w:pPr>
              <w:jc w:val="center"/>
              <w:rPr>
                <w:rFonts w:hint="eastAsia" w:ascii="宋体" w:hAnsi="宋体" w:eastAsia="宋体" w:cs="宋体"/>
                <w:i w:val="0"/>
                <w:iCs w:val="0"/>
                <w:color w:val="auto"/>
                <w:sz w:val="20"/>
                <w:szCs w:val="20"/>
                <w:highlight w:val="none"/>
                <w:u w:val="none"/>
              </w:rPr>
            </w:pPr>
          </w:p>
        </w:tc>
        <w:tc>
          <w:tcPr>
            <w:tcW w:w="1210" w:type="dxa"/>
            <w:noWrap w:val="0"/>
            <w:vAlign w:val="center"/>
          </w:tcPr>
          <w:p w14:paraId="6182B7E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底盘快拆支撑系统</w:t>
            </w:r>
          </w:p>
        </w:tc>
        <w:tc>
          <w:tcPr>
            <w:tcW w:w="3110" w:type="dxa"/>
            <w:noWrap w:val="0"/>
            <w:vAlign w:val="center"/>
          </w:tcPr>
          <w:p w14:paraId="4CD4D2D6">
            <w:pPr>
              <w:keepNext w:val="0"/>
              <w:keepLines w:val="0"/>
              <w:widowControl/>
              <w:numPr>
                <w:ilvl w:val="0"/>
                <w:numId w:val="0"/>
              </w:numPr>
              <w:suppressLineNumbers w:val="0"/>
              <w:jc w:val="both"/>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lang w:val="en-US" w:eastAsia="zh-CN" w:bidi="ar"/>
              </w:rPr>
              <w:t>1、</w:t>
            </w:r>
            <w:r>
              <w:rPr>
                <w:rFonts w:hint="eastAsia" w:ascii="宋体" w:hAnsi="宋体" w:eastAsia="宋体" w:cs="宋体"/>
                <w:i w:val="0"/>
                <w:iCs w:val="0"/>
                <w:color w:val="auto"/>
                <w:kern w:val="0"/>
                <w:sz w:val="20"/>
                <w:szCs w:val="20"/>
                <w:highlight w:val="none"/>
                <w:u w:val="none"/>
                <w:lang w:val="en-US" w:eastAsia="zh-CN" w:bidi="ar"/>
              </w:rPr>
              <w:t>重型液压油缸   数量：4个、不低于8mm厚方钢、液压控制系统。</w:t>
            </w:r>
          </w:p>
          <w:p w14:paraId="278D8111">
            <w:pPr>
              <w:keepNext w:val="0"/>
              <w:keepLines w:val="0"/>
              <w:widowControl/>
              <w:numPr>
                <w:ilvl w:val="0"/>
                <w:numId w:val="0"/>
              </w:numPr>
              <w:suppressLineNumbers w:val="0"/>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2"/>
                <w:sz w:val="20"/>
                <w:szCs w:val="20"/>
                <w:highlight w:val="none"/>
                <w:lang w:val="en-US" w:eastAsia="zh-CN" w:bidi="ar-SA"/>
              </w:rPr>
              <w:t>2、</w:t>
            </w:r>
            <w:r>
              <w:rPr>
                <w:rFonts w:hint="eastAsia" w:ascii="宋体" w:hAnsi="宋体" w:eastAsia="宋体" w:cs="宋体"/>
                <w:i w:val="0"/>
                <w:iCs w:val="0"/>
                <w:color w:val="auto"/>
                <w:kern w:val="0"/>
                <w:sz w:val="20"/>
                <w:szCs w:val="20"/>
                <w:highlight w:val="none"/>
                <w:u w:val="none"/>
                <w:lang w:val="en-US" w:eastAsia="zh-CN" w:bidi="ar"/>
              </w:rPr>
              <w:t>可帮助底盘进行快速装卸，展车时如遇地面高低落差较大的情况也可以起到调整、支撑箱体的作用</w:t>
            </w:r>
          </w:p>
        </w:tc>
        <w:tc>
          <w:tcPr>
            <w:tcW w:w="750" w:type="dxa"/>
            <w:noWrap w:val="0"/>
            <w:vAlign w:val="center"/>
          </w:tcPr>
          <w:p w14:paraId="18FEE7A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740" w:type="dxa"/>
            <w:noWrap w:val="0"/>
            <w:vAlign w:val="center"/>
          </w:tcPr>
          <w:p w14:paraId="30B061C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1330" w:type="dxa"/>
            <w:noWrap w:val="0"/>
            <w:vAlign w:val="center"/>
          </w:tcPr>
          <w:p w14:paraId="1B380AC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1.50 </w:t>
            </w:r>
          </w:p>
        </w:tc>
        <w:tc>
          <w:tcPr>
            <w:tcW w:w="1220" w:type="dxa"/>
            <w:noWrap w:val="0"/>
            <w:vAlign w:val="center"/>
          </w:tcPr>
          <w:p w14:paraId="10E576B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1.50 </w:t>
            </w:r>
          </w:p>
        </w:tc>
      </w:tr>
      <w:tr w14:paraId="77B55B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670" w:type="dxa"/>
            <w:vMerge w:val="continue"/>
            <w:noWrap w:val="0"/>
            <w:vAlign w:val="center"/>
          </w:tcPr>
          <w:p w14:paraId="1A71942D">
            <w:pPr>
              <w:jc w:val="center"/>
              <w:rPr>
                <w:rFonts w:hint="eastAsia" w:ascii="宋体" w:hAnsi="宋体" w:eastAsia="宋体" w:cs="宋体"/>
                <w:i w:val="0"/>
                <w:iCs w:val="0"/>
                <w:color w:val="auto"/>
                <w:sz w:val="20"/>
                <w:szCs w:val="20"/>
                <w:highlight w:val="none"/>
                <w:u w:val="none"/>
              </w:rPr>
            </w:pPr>
          </w:p>
        </w:tc>
        <w:tc>
          <w:tcPr>
            <w:tcW w:w="620" w:type="dxa"/>
            <w:vMerge w:val="continue"/>
            <w:noWrap w:val="0"/>
            <w:vAlign w:val="center"/>
          </w:tcPr>
          <w:p w14:paraId="756BC46F">
            <w:pPr>
              <w:jc w:val="center"/>
              <w:rPr>
                <w:rFonts w:hint="eastAsia" w:ascii="宋体" w:hAnsi="宋体" w:eastAsia="宋体" w:cs="宋体"/>
                <w:i w:val="0"/>
                <w:iCs w:val="0"/>
                <w:color w:val="auto"/>
                <w:sz w:val="20"/>
                <w:szCs w:val="20"/>
                <w:highlight w:val="none"/>
                <w:u w:val="none"/>
              </w:rPr>
            </w:pPr>
          </w:p>
        </w:tc>
        <w:tc>
          <w:tcPr>
            <w:tcW w:w="1210" w:type="dxa"/>
            <w:noWrap w:val="0"/>
            <w:vAlign w:val="center"/>
          </w:tcPr>
          <w:p w14:paraId="0CC3E09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车辆展合轨道支撑系统</w:t>
            </w:r>
          </w:p>
        </w:tc>
        <w:tc>
          <w:tcPr>
            <w:tcW w:w="3110" w:type="dxa"/>
            <w:noWrap w:val="0"/>
            <w:vAlign w:val="center"/>
          </w:tcPr>
          <w:p w14:paraId="0FF5EFF2">
            <w:pPr>
              <w:keepNext w:val="0"/>
              <w:keepLines w:val="0"/>
              <w:widowControl/>
              <w:numPr>
                <w:ilvl w:val="0"/>
                <w:numId w:val="3"/>
              </w:numPr>
              <w:suppressLineNumbers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重型液压油缸  数量：4个 不低于8mm厚的方钢轨道。</w:t>
            </w:r>
          </w:p>
          <w:p w14:paraId="57AD978A">
            <w:pPr>
              <w:keepNext w:val="0"/>
              <w:keepLines w:val="0"/>
              <w:widowControl/>
              <w:numPr>
                <w:ilvl w:val="0"/>
                <w:numId w:val="0"/>
              </w:numPr>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2、起到支撑箱体，调平车厢的作用，</w:t>
            </w:r>
          </w:p>
        </w:tc>
        <w:tc>
          <w:tcPr>
            <w:tcW w:w="750" w:type="dxa"/>
            <w:noWrap w:val="0"/>
            <w:vAlign w:val="center"/>
          </w:tcPr>
          <w:p w14:paraId="04F1EC5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bdr w:val="single" w:color="000000" w:sz="4" w:space="0"/>
                <w:lang w:val="en-US" w:eastAsia="zh-CN" w:bidi="ar"/>
              </w:rPr>
              <w:drawing>
                <wp:anchor distT="0" distB="0" distL="114300" distR="114300" simplePos="0" relativeHeight="251695104" behindDoc="0" locked="0" layoutInCell="1" allowOverlap="1">
                  <wp:simplePos x="0" y="0"/>
                  <wp:positionH relativeFrom="column">
                    <wp:posOffset>19050</wp:posOffset>
                  </wp:positionH>
                  <wp:positionV relativeFrom="paragraph">
                    <wp:posOffset>33020</wp:posOffset>
                  </wp:positionV>
                  <wp:extent cx="320040" cy="344805"/>
                  <wp:effectExtent l="0" t="0" r="0" b="0"/>
                  <wp:wrapNone/>
                  <wp:docPr id="18" name="AutoShape_247_SpCnt_20"/>
                  <wp:cNvGraphicFramePr/>
                  <a:graphic xmlns:a="http://schemas.openxmlformats.org/drawingml/2006/main">
                    <a:graphicData uri="http://schemas.openxmlformats.org/drawingml/2006/picture">
                      <pic:pic xmlns:pic="http://schemas.openxmlformats.org/drawingml/2006/picture">
                        <pic:nvPicPr>
                          <pic:cNvPr id="18" name="AutoShape_247_SpCnt_20"/>
                          <pic:cNvPicPr/>
                        </pic:nvPicPr>
                        <pic:blipFill>
                          <a:blip r:embed="rId4"/>
                          <a:stretch>
                            <a:fillRect/>
                          </a:stretch>
                        </pic:blipFill>
                        <pic:spPr>
                          <a:xfrm>
                            <a:off x="0" y="0"/>
                            <a:ext cx="320040" cy="344805"/>
                          </a:xfrm>
                          <a:prstGeom prst="rect">
                            <a:avLst/>
                          </a:prstGeom>
                          <a:noFill/>
                          <a:ln>
                            <a:noFill/>
                          </a:ln>
                        </pic:spPr>
                      </pic:pic>
                    </a:graphicData>
                  </a:graphic>
                </wp:anchor>
              </w:drawing>
            </w:r>
            <w:r>
              <w:rPr>
                <w:rFonts w:hint="eastAsia" w:ascii="宋体" w:hAnsi="宋体" w:eastAsia="宋体" w:cs="宋体"/>
                <w:i w:val="0"/>
                <w:iCs w:val="0"/>
                <w:color w:val="auto"/>
                <w:kern w:val="0"/>
                <w:sz w:val="20"/>
                <w:szCs w:val="20"/>
                <w:highlight w:val="none"/>
                <w:u w:val="none"/>
                <w:lang w:val="en-US" w:eastAsia="zh-CN" w:bidi="ar"/>
              </w:rPr>
              <w:t>1</w:t>
            </w:r>
          </w:p>
        </w:tc>
        <w:tc>
          <w:tcPr>
            <w:tcW w:w="740" w:type="dxa"/>
            <w:noWrap w:val="0"/>
            <w:vAlign w:val="center"/>
          </w:tcPr>
          <w:p w14:paraId="1DDEBD8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1330" w:type="dxa"/>
            <w:noWrap w:val="0"/>
            <w:vAlign w:val="center"/>
          </w:tcPr>
          <w:p w14:paraId="5277FEA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2.00 </w:t>
            </w:r>
          </w:p>
        </w:tc>
        <w:tc>
          <w:tcPr>
            <w:tcW w:w="1220" w:type="dxa"/>
            <w:noWrap w:val="0"/>
            <w:vAlign w:val="center"/>
          </w:tcPr>
          <w:p w14:paraId="483E8E0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2.00 </w:t>
            </w:r>
          </w:p>
        </w:tc>
      </w:tr>
      <w:tr w14:paraId="05659C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670" w:type="dxa"/>
            <w:vMerge w:val="continue"/>
            <w:noWrap w:val="0"/>
            <w:vAlign w:val="center"/>
          </w:tcPr>
          <w:p w14:paraId="7D544DDA">
            <w:pPr>
              <w:jc w:val="center"/>
              <w:rPr>
                <w:rFonts w:hint="eastAsia" w:ascii="宋体" w:hAnsi="宋体" w:eastAsia="宋体" w:cs="宋体"/>
                <w:i w:val="0"/>
                <w:iCs w:val="0"/>
                <w:color w:val="auto"/>
                <w:sz w:val="20"/>
                <w:szCs w:val="20"/>
                <w:highlight w:val="none"/>
                <w:u w:val="none"/>
              </w:rPr>
            </w:pPr>
          </w:p>
        </w:tc>
        <w:tc>
          <w:tcPr>
            <w:tcW w:w="620" w:type="dxa"/>
            <w:vMerge w:val="continue"/>
            <w:noWrap w:val="0"/>
            <w:vAlign w:val="center"/>
          </w:tcPr>
          <w:p w14:paraId="0941B432">
            <w:pPr>
              <w:jc w:val="center"/>
              <w:rPr>
                <w:rFonts w:hint="eastAsia" w:ascii="宋体" w:hAnsi="宋体" w:eastAsia="宋体" w:cs="宋体"/>
                <w:i w:val="0"/>
                <w:iCs w:val="0"/>
                <w:color w:val="auto"/>
                <w:sz w:val="20"/>
                <w:szCs w:val="20"/>
                <w:highlight w:val="none"/>
                <w:u w:val="none"/>
              </w:rPr>
            </w:pPr>
          </w:p>
        </w:tc>
        <w:tc>
          <w:tcPr>
            <w:tcW w:w="1210" w:type="dxa"/>
            <w:noWrap w:val="0"/>
            <w:vAlign w:val="center"/>
          </w:tcPr>
          <w:p w14:paraId="5D1AD7C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底扇平衡支撑</w:t>
            </w:r>
          </w:p>
        </w:tc>
        <w:tc>
          <w:tcPr>
            <w:tcW w:w="3110" w:type="dxa"/>
            <w:noWrap w:val="0"/>
            <w:vAlign w:val="center"/>
          </w:tcPr>
          <w:p w14:paraId="3D0EE078">
            <w:pPr>
              <w:keepNext w:val="0"/>
              <w:keepLines w:val="0"/>
              <w:widowControl/>
              <w:suppressLineNumbers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底扇平衡支撑支撑底扇，减少震感数量≥16个</w:t>
            </w:r>
          </w:p>
        </w:tc>
        <w:tc>
          <w:tcPr>
            <w:tcW w:w="750" w:type="dxa"/>
            <w:noWrap w:val="0"/>
            <w:vAlign w:val="center"/>
          </w:tcPr>
          <w:p w14:paraId="52E7900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740" w:type="dxa"/>
            <w:noWrap w:val="0"/>
            <w:vAlign w:val="center"/>
          </w:tcPr>
          <w:p w14:paraId="74E15ED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1330" w:type="dxa"/>
            <w:noWrap w:val="0"/>
            <w:vAlign w:val="center"/>
          </w:tcPr>
          <w:p w14:paraId="46A1532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0.50 </w:t>
            </w:r>
          </w:p>
        </w:tc>
        <w:tc>
          <w:tcPr>
            <w:tcW w:w="1220" w:type="dxa"/>
            <w:noWrap w:val="0"/>
            <w:vAlign w:val="center"/>
          </w:tcPr>
          <w:p w14:paraId="3653958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0.50 </w:t>
            </w:r>
          </w:p>
        </w:tc>
      </w:tr>
      <w:tr w14:paraId="08D652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670" w:type="dxa"/>
            <w:vMerge w:val="continue"/>
            <w:noWrap w:val="0"/>
            <w:vAlign w:val="center"/>
          </w:tcPr>
          <w:p w14:paraId="562EEF6B">
            <w:pPr>
              <w:jc w:val="center"/>
              <w:rPr>
                <w:rFonts w:hint="eastAsia" w:ascii="宋体" w:hAnsi="宋体" w:eastAsia="宋体" w:cs="宋体"/>
                <w:i w:val="0"/>
                <w:iCs w:val="0"/>
                <w:color w:val="auto"/>
                <w:sz w:val="20"/>
                <w:szCs w:val="20"/>
                <w:highlight w:val="none"/>
                <w:u w:val="none"/>
              </w:rPr>
            </w:pPr>
          </w:p>
        </w:tc>
        <w:tc>
          <w:tcPr>
            <w:tcW w:w="620" w:type="dxa"/>
            <w:vMerge w:val="continue"/>
            <w:noWrap w:val="0"/>
            <w:vAlign w:val="center"/>
          </w:tcPr>
          <w:p w14:paraId="0DB70581">
            <w:pPr>
              <w:jc w:val="center"/>
              <w:rPr>
                <w:rFonts w:hint="eastAsia" w:ascii="宋体" w:hAnsi="宋体" w:eastAsia="宋体" w:cs="宋体"/>
                <w:i w:val="0"/>
                <w:iCs w:val="0"/>
                <w:color w:val="auto"/>
                <w:sz w:val="20"/>
                <w:szCs w:val="20"/>
                <w:highlight w:val="none"/>
                <w:u w:val="none"/>
              </w:rPr>
            </w:pPr>
          </w:p>
        </w:tc>
        <w:tc>
          <w:tcPr>
            <w:tcW w:w="1210" w:type="dxa"/>
            <w:noWrap w:val="0"/>
            <w:vAlign w:val="center"/>
          </w:tcPr>
          <w:p w14:paraId="0CBE53F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展合楼梯系统</w:t>
            </w:r>
          </w:p>
        </w:tc>
        <w:tc>
          <w:tcPr>
            <w:tcW w:w="3110" w:type="dxa"/>
            <w:noWrap w:val="0"/>
            <w:vAlign w:val="center"/>
          </w:tcPr>
          <w:p w14:paraId="0ACCC2E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车尾设置液压式楼梯，使用液压油缸对宽2750mm长2750mm进行展合</w:t>
            </w:r>
          </w:p>
        </w:tc>
        <w:tc>
          <w:tcPr>
            <w:tcW w:w="750" w:type="dxa"/>
            <w:noWrap w:val="0"/>
            <w:vAlign w:val="center"/>
          </w:tcPr>
          <w:p w14:paraId="5EE6E98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740" w:type="dxa"/>
            <w:noWrap w:val="0"/>
            <w:vAlign w:val="center"/>
          </w:tcPr>
          <w:p w14:paraId="69A691D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1330" w:type="dxa"/>
            <w:noWrap w:val="0"/>
            <w:vAlign w:val="center"/>
          </w:tcPr>
          <w:p w14:paraId="6322F45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1.00 </w:t>
            </w:r>
          </w:p>
        </w:tc>
        <w:tc>
          <w:tcPr>
            <w:tcW w:w="1220" w:type="dxa"/>
            <w:noWrap w:val="0"/>
            <w:vAlign w:val="center"/>
          </w:tcPr>
          <w:p w14:paraId="76C99C6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1.00 </w:t>
            </w:r>
          </w:p>
        </w:tc>
      </w:tr>
      <w:tr w14:paraId="640D1C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670" w:type="dxa"/>
            <w:vMerge w:val="continue"/>
            <w:noWrap w:val="0"/>
            <w:vAlign w:val="center"/>
          </w:tcPr>
          <w:p w14:paraId="429DEFF8">
            <w:pPr>
              <w:jc w:val="center"/>
              <w:rPr>
                <w:rFonts w:hint="eastAsia" w:ascii="宋体" w:hAnsi="宋体" w:eastAsia="宋体" w:cs="宋体"/>
                <w:i w:val="0"/>
                <w:iCs w:val="0"/>
                <w:color w:val="auto"/>
                <w:sz w:val="20"/>
                <w:szCs w:val="20"/>
                <w:highlight w:val="none"/>
                <w:u w:val="none"/>
              </w:rPr>
            </w:pPr>
          </w:p>
        </w:tc>
        <w:tc>
          <w:tcPr>
            <w:tcW w:w="620" w:type="dxa"/>
            <w:vMerge w:val="continue"/>
            <w:noWrap w:val="0"/>
            <w:vAlign w:val="center"/>
          </w:tcPr>
          <w:p w14:paraId="2471638C">
            <w:pPr>
              <w:jc w:val="center"/>
              <w:rPr>
                <w:rFonts w:hint="eastAsia" w:ascii="宋体" w:hAnsi="宋体" w:eastAsia="宋体" w:cs="宋体"/>
                <w:i w:val="0"/>
                <w:iCs w:val="0"/>
                <w:color w:val="auto"/>
                <w:sz w:val="20"/>
                <w:szCs w:val="20"/>
                <w:highlight w:val="none"/>
                <w:u w:val="none"/>
              </w:rPr>
            </w:pPr>
          </w:p>
        </w:tc>
        <w:tc>
          <w:tcPr>
            <w:tcW w:w="1210" w:type="dxa"/>
            <w:noWrap w:val="0"/>
            <w:vAlign w:val="center"/>
          </w:tcPr>
          <w:p w14:paraId="55DB179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上车梯</w:t>
            </w:r>
          </w:p>
        </w:tc>
        <w:tc>
          <w:tcPr>
            <w:tcW w:w="3110" w:type="dxa"/>
            <w:noWrap w:val="0"/>
            <w:vAlign w:val="center"/>
          </w:tcPr>
          <w:p w14:paraId="160C087B">
            <w:pPr>
              <w:keepNext w:val="0"/>
              <w:keepLines w:val="0"/>
              <w:widowControl/>
              <w:numPr>
                <w:ilvl w:val="0"/>
                <w:numId w:val="4"/>
              </w:numPr>
              <w:suppressLineNumbers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 xml:space="preserve">镀锌板上车梯，结构牢固，步梯间距设置合理，具备防滑功能  </w:t>
            </w:r>
          </w:p>
          <w:p w14:paraId="72035767">
            <w:pPr>
              <w:keepNext w:val="0"/>
              <w:keepLines w:val="0"/>
              <w:widowControl/>
              <w:numPr>
                <w:ilvl w:val="0"/>
                <w:numId w:val="0"/>
              </w:numPr>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2、数量：2个</w:t>
            </w:r>
          </w:p>
        </w:tc>
        <w:tc>
          <w:tcPr>
            <w:tcW w:w="750" w:type="dxa"/>
            <w:noWrap w:val="0"/>
            <w:vAlign w:val="center"/>
          </w:tcPr>
          <w:p w14:paraId="12B370D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740" w:type="dxa"/>
            <w:noWrap w:val="0"/>
            <w:vAlign w:val="center"/>
          </w:tcPr>
          <w:p w14:paraId="23D15D5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1330" w:type="dxa"/>
            <w:noWrap w:val="0"/>
            <w:vAlign w:val="center"/>
          </w:tcPr>
          <w:p w14:paraId="6502068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0.50 </w:t>
            </w:r>
          </w:p>
        </w:tc>
        <w:tc>
          <w:tcPr>
            <w:tcW w:w="1220" w:type="dxa"/>
            <w:noWrap w:val="0"/>
            <w:vAlign w:val="center"/>
          </w:tcPr>
          <w:p w14:paraId="3952803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0.50 </w:t>
            </w:r>
          </w:p>
        </w:tc>
      </w:tr>
      <w:tr w14:paraId="14CB49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670" w:type="dxa"/>
            <w:vMerge w:val="continue"/>
            <w:noWrap w:val="0"/>
            <w:vAlign w:val="center"/>
          </w:tcPr>
          <w:p w14:paraId="78314A9E">
            <w:pPr>
              <w:jc w:val="center"/>
              <w:rPr>
                <w:rFonts w:hint="eastAsia" w:ascii="宋体" w:hAnsi="宋体" w:eastAsia="宋体" w:cs="宋体"/>
                <w:i w:val="0"/>
                <w:iCs w:val="0"/>
                <w:color w:val="auto"/>
                <w:sz w:val="20"/>
                <w:szCs w:val="20"/>
                <w:highlight w:val="none"/>
                <w:u w:val="none"/>
              </w:rPr>
            </w:pPr>
          </w:p>
        </w:tc>
        <w:tc>
          <w:tcPr>
            <w:tcW w:w="620" w:type="dxa"/>
            <w:vMerge w:val="continue"/>
            <w:noWrap w:val="0"/>
            <w:vAlign w:val="center"/>
          </w:tcPr>
          <w:p w14:paraId="3D40980C">
            <w:pPr>
              <w:jc w:val="center"/>
              <w:rPr>
                <w:rFonts w:hint="eastAsia" w:ascii="宋体" w:hAnsi="宋体" w:eastAsia="宋体" w:cs="宋体"/>
                <w:i w:val="0"/>
                <w:iCs w:val="0"/>
                <w:color w:val="auto"/>
                <w:sz w:val="20"/>
                <w:szCs w:val="20"/>
                <w:highlight w:val="none"/>
                <w:u w:val="none"/>
              </w:rPr>
            </w:pPr>
          </w:p>
        </w:tc>
        <w:tc>
          <w:tcPr>
            <w:tcW w:w="1210" w:type="dxa"/>
            <w:noWrap w:val="0"/>
            <w:vAlign w:val="center"/>
          </w:tcPr>
          <w:p w14:paraId="7F20E21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上车门</w:t>
            </w:r>
          </w:p>
        </w:tc>
        <w:tc>
          <w:tcPr>
            <w:tcW w:w="3110" w:type="dxa"/>
            <w:noWrap w:val="0"/>
            <w:vAlign w:val="center"/>
          </w:tcPr>
          <w:p w14:paraId="6B9E691F">
            <w:pPr>
              <w:keepNext w:val="0"/>
              <w:keepLines w:val="0"/>
              <w:widowControl/>
              <w:numPr>
                <w:ilvl w:val="0"/>
                <w:numId w:val="5"/>
              </w:numPr>
              <w:suppressLineNumbers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门厂家定制酱紫色肯德基门。</w:t>
            </w:r>
          </w:p>
          <w:p w14:paraId="6F617CF5">
            <w:pPr>
              <w:keepNext w:val="0"/>
              <w:keepLines w:val="0"/>
              <w:widowControl/>
              <w:numPr>
                <w:ilvl w:val="0"/>
                <w:numId w:val="0"/>
              </w:numPr>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2、规格高 ≥2115cm，宽≥1320cm。</w:t>
            </w:r>
          </w:p>
        </w:tc>
        <w:tc>
          <w:tcPr>
            <w:tcW w:w="750" w:type="dxa"/>
            <w:noWrap w:val="0"/>
            <w:vAlign w:val="center"/>
          </w:tcPr>
          <w:p w14:paraId="6278A17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740" w:type="dxa"/>
            <w:noWrap w:val="0"/>
            <w:vAlign w:val="center"/>
          </w:tcPr>
          <w:p w14:paraId="0881829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1330" w:type="dxa"/>
            <w:noWrap w:val="0"/>
            <w:vAlign w:val="center"/>
          </w:tcPr>
          <w:p w14:paraId="012B072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0.30 </w:t>
            </w:r>
          </w:p>
        </w:tc>
        <w:tc>
          <w:tcPr>
            <w:tcW w:w="1220" w:type="dxa"/>
            <w:noWrap w:val="0"/>
            <w:vAlign w:val="center"/>
          </w:tcPr>
          <w:p w14:paraId="27E5AE3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0.30 </w:t>
            </w:r>
          </w:p>
        </w:tc>
      </w:tr>
      <w:tr w14:paraId="57CAE2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670" w:type="dxa"/>
            <w:vMerge w:val="continue"/>
            <w:noWrap w:val="0"/>
            <w:vAlign w:val="center"/>
          </w:tcPr>
          <w:p w14:paraId="6CB9C27F">
            <w:pPr>
              <w:jc w:val="center"/>
              <w:rPr>
                <w:rFonts w:hint="eastAsia" w:ascii="宋体" w:hAnsi="宋体" w:eastAsia="宋体" w:cs="宋体"/>
                <w:i w:val="0"/>
                <w:iCs w:val="0"/>
                <w:color w:val="auto"/>
                <w:sz w:val="20"/>
                <w:szCs w:val="20"/>
                <w:highlight w:val="none"/>
                <w:u w:val="none"/>
              </w:rPr>
            </w:pPr>
          </w:p>
        </w:tc>
        <w:tc>
          <w:tcPr>
            <w:tcW w:w="620" w:type="dxa"/>
            <w:vMerge w:val="continue"/>
            <w:noWrap w:val="0"/>
            <w:vAlign w:val="center"/>
          </w:tcPr>
          <w:p w14:paraId="10FACA24">
            <w:pPr>
              <w:jc w:val="center"/>
              <w:rPr>
                <w:rFonts w:hint="eastAsia" w:ascii="宋体" w:hAnsi="宋体" w:eastAsia="宋体" w:cs="宋体"/>
                <w:i w:val="0"/>
                <w:iCs w:val="0"/>
                <w:color w:val="auto"/>
                <w:sz w:val="20"/>
                <w:szCs w:val="20"/>
                <w:highlight w:val="none"/>
                <w:u w:val="none"/>
              </w:rPr>
            </w:pPr>
          </w:p>
        </w:tc>
        <w:tc>
          <w:tcPr>
            <w:tcW w:w="1210" w:type="dxa"/>
            <w:noWrap w:val="0"/>
            <w:vAlign w:val="center"/>
          </w:tcPr>
          <w:p w14:paraId="5E8EABD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升顶油缸</w:t>
            </w:r>
          </w:p>
        </w:tc>
        <w:tc>
          <w:tcPr>
            <w:tcW w:w="3110" w:type="dxa"/>
            <w:noWrap w:val="0"/>
            <w:vAlign w:val="center"/>
          </w:tcPr>
          <w:p w14:paraId="19981C0E">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液压油缸   （数量：4个）采用重型拉杆，升顶高度4000mm</w:t>
            </w:r>
          </w:p>
        </w:tc>
        <w:tc>
          <w:tcPr>
            <w:tcW w:w="750" w:type="dxa"/>
            <w:noWrap w:val="0"/>
            <w:vAlign w:val="center"/>
          </w:tcPr>
          <w:p w14:paraId="0297BEA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740" w:type="dxa"/>
            <w:noWrap w:val="0"/>
            <w:vAlign w:val="center"/>
          </w:tcPr>
          <w:p w14:paraId="3F8478D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1330" w:type="dxa"/>
            <w:noWrap w:val="0"/>
            <w:vAlign w:val="center"/>
          </w:tcPr>
          <w:p w14:paraId="2D9C4D3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2.00 </w:t>
            </w:r>
          </w:p>
        </w:tc>
        <w:tc>
          <w:tcPr>
            <w:tcW w:w="1220" w:type="dxa"/>
            <w:noWrap w:val="0"/>
            <w:vAlign w:val="center"/>
          </w:tcPr>
          <w:p w14:paraId="3A7BA0B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2.00 </w:t>
            </w:r>
          </w:p>
        </w:tc>
      </w:tr>
      <w:tr w14:paraId="698A3B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670" w:type="dxa"/>
            <w:vMerge w:val="continue"/>
            <w:noWrap w:val="0"/>
            <w:vAlign w:val="center"/>
          </w:tcPr>
          <w:p w14:paraId="615E0095">
            <w:pPr>
              <w:jc w:val="center"/>
              <w:rPr>
                <w:rFonts w:hint="eastAsia" w:ascii="宋体" w:hAnsi="宋体" w:eastAsia="宋体" w:cs="宋体"/>
                <w:i w:val="0"/>
                <w:iCs w:val="0"/>
                <w:color w:val="auto"/>
                <w:sz w:val="20"/>
                <w:szCs w:val="20"/>
                <w:highlight w:val="none"/>
                <w:u w:val="none"/>
              </w:rPr>
            </w:pPr>
          </w:p>
        </w:tc>
        <w:tc>
          <w:tcPr>
            <w:tcW w:w="620" w:type="dxa"/>
            <w:vMerge w:val="continue"/>
            <w:noWrap w:val="0"/>
            <w:vAlign w:val="center"/>
          </w:tcPr>
          <w:p w14:paraId="76A42BE7">
            <w:pPr>
              <w:jc w:val="center"/>
              <w:rPr>
                <w:rFonts w:hint="eastAsia" w:ascii="宋体" w:hAnsi="宋体" w:eastAsia="宋体" w:cs="宋体"/>
                <w:i w:val="0"/>
                <w:iCs w:val="0"/>
                <w:color w:val="auto"/>
                <w:sz w:val="20"/>
                <w:szCs w:val="20"/>
                <w:highlight w:val="none"/>
                <w:u w:val="none"/>
              </w:rPr>
            </w:pPr>
          </w:p>
        </w:tc>
        <w:tc>
          <w:tcPr>
            <w:tcW w:w="1210" w:type="dxa"/>
            <w:noWrap w:val="0"/>
            <w:vAlign w:val="center"/>
          </w:tcPr>
          <w:p w14:paraId="743691B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底扇及墙体展合系统</w:t>
            </w:r>
          </w:p>
        </w:tc>
        <w:tc>
          <w:tcPr>
            <w:tcW w:w="3110" w:type="dxa"/>
            <w:noWrap w:val="0"/>
            <w:vAlign w:val="center"/>
          </w:tcPr>
          <w:p w14:paraId="740CB59D">
            <w:pPr>
              <w:keepNext w:val="0"/>
              <w:keepLines w:val="0"/>
              <w:widowControl/>
              <w:numPr>
                <w:ilvl w:val="0"/>
                <w:numId w:val="6"/>
              </w:numPr>
              <w:suppressLineNumbers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 xml:space="preserve">液压油缸、不低于100*50-320专用滑轨轴承、联动作业机械臂   </w:t>
            </w:r>
          </w:p>
          <w:p w14:paraId="2D496FE6">
            <w:pPr>
              <w:keepNext w:val="0"/>
              <w:keepLines w:val="0"/>
              <w:widowControl/>
              <w:numPr>
                <w:ilvl w:val="0"/>
                <w:numId w:val="6"/>
              </w:numPr>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数量：10个 </w:t>
            </w:r>
          </w:p>
        </w:tc>
        <w:tc>
          <w:tcPr>
            <w:tcW w:w="750" w:type="dxa"/>
            <w:noWrap w:val="0"/>
            <w:vAlign w:val="center"/>
          </w:tcPr>
          <w:p w14:paraId="0D1D168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740" w:type="dxa"/>
            <w:noWrap w:val="0"/>
            <w:vAlign w:val="center"/>
          </w:tcPr>
          <w:p w14:paraId="20C2C9B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1330" w:type="dxa"/>
            <w:noWrap w:val="0"/>
            <w:vAlign w:val="center"/>
          </w:tcPr>
          <w:p w14:paraId="0DF98B1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3.00 </w:t>
            </w:r>
          </w:p>
        </w:tc>
        <w:tc>
          <w:tcPr>
            <w:tcW w:w="1220" w:type="dxa"/>
            <w:noWrap w:val="0"/>
            <w:vAlign w:val="center"/>
          </w:tcPr>
          <w:p w14:paraId="402AB75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3.00 </w:t>
            </w:r>
          </w:p>
        </w:tc>
      </w:tr>
      <w:tr w14:paraId="4CD767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670" w:type="dxa"/>
            <w:vMerge w:val="continue"/>
            <w:noWrap w:val="0"/>
            <w:vAlign w:val="center"/>
          </w:tcPr>
          <w:p w14:paraId="1ED33DBA">
            <w:pPr>
              <w:jc w:val="center"/>
              <w:rPr>
                <w:rFonts w:hint="eastAsia" w:ascii="宋体" w:hAnsi="宋体" w:eastAsia="宋体" w:cs="宋体"/>
                <w:i w:val="0"/>
                <w:iCs w:val="0"/>
                <w:color w:val="auto"/>
                <w:sz w:val="20"/>
                <w:szCs w:val="20"/>
                <w:highlight w:val="none"/>
                <w:u w:val="none"/>
              </w:rPr>
            </w:pPr>
          </w:p>
        </w:tc>
        <w:tc>
          <w:tcPr>
            <w:tcW w:w="620" w:type="dxa"/>
            <w:vMerge w:val="continue"/>
            <w:noWrap w:val="0"/>
            <w:vAlign w:val="center"/>
          </w:tcPr>
          <w:p w14:paraId="7D83DFB2">
            <w:pPr>
              <w:jc w:val="center"/>
              <w:rPr>
                <w:rFonts w:hint="eastAsia" w:ascii="宋体" w:hAnsi="宋体" w:eastAsia="宋体" w:cs="宋体"/>
                <w:i w:val="0"/>
                <w:iCs w:val="0"/>
                <w:color w:val="auto"/>
                <w:sz w:val="20"/>
                <w:szCs w:val="20"/>
                <w:highlight w:val="none"/>
                <w:u w:val="none"/>
              </w:rPr>
            </w:pPr>
          </w:p>
        </w:tc>
        <w:tc>
          <w:tcPr>
            <w:tcW w:w="1210" w:type="dxa"/>
            <w:noWrap w:val="0"/>
            <w:vAlign w:val="center"/>
          </w:tcPr>
          <w:p w14:paraId="459F451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角扇闭合油缸系统</w:t>
            </w:r>
          </w:p>
        </w:tc>
        <w:tc>
          <w:tcPr>
            <w:tcW w:w="3110" w:type="dxa"/>
            <w:noWrap w:val="0"/>
            <w:vAlign w:val="center"/>
          </w:tcPr>
          <w:p w14:paraId="35EC4D1D">
            <w:pPr>
              <w:keepNext w:val="0"/>
              <w:keepLines w:val="0"/>
              <w:widowControl/>
              <w:numPr>
                <w:ilvl w:val="0"/>
                <w:numId w:val="7"/>
              </w:numPr>
              <w:suppressLineNumbers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 xml:space="preserve">液压油缸 数量：4个  </w:t>
            </w:r>
          </w:p>
          <w:p w14:paraId="6AB6F0DC">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2、联动作业机械臂</w:t>
            </w:r>
          </w:p>
        </w:tc>
        <w:tc>
          <w:tcPr>
            <w:tcW w:w="750" w:type="dxa"/>
            <w:noWrap w:val="0"/>
            <w:vAlign w:val="center"/>
          </w:tcPr>
          <w:p w14:paraId="37B7092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740" w:type="dxa"/>
            <w:noWrap w:val="0"/>
            <w:vAlign w:val="center"/>
          </w:tcPr>
          <w:p w14:paraId="6126780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1330" w:type="dxa"/>
            <w:noWrap w:val="0"/>
            <w:vAlign w:val="center"/>
          </w:tcPr>
          <w:p w14:paraId="2AF0C3C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1.50 </w:t>
            </w:r>
          </w:p>
        </w:tc>
        <w:tc>
          <w:tcPr>
            <w:tcW w:w="1220" w:type="dxa"/>
            <w:noWrap w:val="0"/>
            <w:vAlign w:val="center"/>
          </w:tcPr>
          <w:p w14:paraId="3907322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1.50 </w:t>
            </w:r>
          </w:p>
        </w:tc>
      </w:tr>
      <w:tr w14:paraId="1CC495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670" w:type="dxa"/>
            <w:vMerge w:val="continue"/>
            <w:noWrap w:val="0"/>
            <w:vAlign w:val="center"/>
          </w:tcPr>
          <w:p w14:paraId="0B94F72B">
            <w:pPr>
              <w:jc w:val="center"/>
              <w:rPr>
                <w:rFonts w:hint="eastAsia" w:ascii="宋体" w:hAnsi="宋体" w:eastAsia="宋体" w:cs="宋体"/>
                <w:i w:val="0"/>
                <w:iCs w:val="0"/>
                <w:color w:val="auto"/>
                <w:sz w:val="20"/>
                <w:szCs w:val="20"/>
                <w:highlight w:val="none"/>
                <w:u w:val="none"/>
              </w:rPr>
            </w:pPr>
          </w:p>
        </w:tc>
        <w:tc>
          <w:tcPr>
            <w:tcW w:w="620" w:type="dxa"/>
            <w:vMerge w:val="continue"/>
            <w:noWrap w:val="0"/>
            <w:vAlign w:val="center"/>
          </w:tcPr>
          <w:p w14:paraId="02119AFD">
            <w:pPr>
              <w:jc w:val="center"/>
              <w:rPr>
                <w:rFonts w:hint="eastAsia" w:ascii="宋体" w:hAnsi="宋体" w:eastAsia="宋体" w:cs="宋体"/>
                <w:i w:val="0"/>
                <w:iCs w:val="0"/>
                <w:color w:val="auto"/>
                <w:sz w:val="20"/>
                <w:szCs w:val="20"/>
                <w:highlight w:val="none"/>
                <w:u w:val="none"/>
              </w:rPr>
            </w:pPr>
          </w:p>
        </w:tc>
        <w:tc>
          <w:tcPr>
            <w:tcW w:w="1210" w:type="dxa"/>
            <w:noWrap w:val="0"/>
            <w:vAlign w:val="center"/>
          </w:tcPr>
          <w:p w14:paraId="201AEE4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移位油缸系统</w:t>
            </w:r>
          </w:p>
        </w:tc>
        <w:tc>
          <w:tcPr>
            <w:tcW w:w="3110" w:type="dxa"/>
            <w:noWrap w:val="0"/>
            <w:vAlign w:val="center"/>
          </w:tcPr>
          <w:p w14:paraId="7DF16A2E">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车辆遇到较窄路宽可帮助车辆进行转弯</w:t>
            </w:r>
          </w:p>
        </w:tc>
        <w:tc>
          <w:tcPr>
            <w:tcW w:w="750" w:type="dxa"/>
            <w:noWrap w:val="0"/>
            <w:vAlign w:val="center"/>
          </w:tcPr>
          <w:p w14:paraId="2F486E6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740" w:type="dxa"/>
            <w:noWrap w:val="0"/>
            <w:vAlign w:val="center"/>
          </w:tcPr>
          <w:p w14:paraId="63E9DE6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1330" w:type="dxa"/>
            <w:noWrap w:val="0"/>
            <w:vAlign w:val="center"/>
          </w:tcPr>
          <w:p w14:paraId="748FAD6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0.20 </w:t>
            </w:r>
          </w:p>
        </w:tc>
        <w:tc>
          <w:tcPr>
            <w:tcW w:w="1220" w:type="dxa"/>
            <w:noWrap w:val="0"/>
            <w:vAlign w:val="center"/>
          </w:tcPr>
          <w:p w14:paraId="00F5D48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0.20 </w:t>
            </w:r>
          </w:p>
        </w:tc>
      </w:tr>
      <w:tr w14:paraId="314B72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670" w:type="dxa"/>
            <w:vMerge w:val="continue"/>
            <w:noWrap w:val="0"/>
            <w:vAlign w:val="center"/>
          </w:tcPr>
          <w:p w14:paraId="5A9E7BBF">
            <w:pPr>
              <w:jc w:val="center"/>
              <w:rPr>
                <w:rFonts w:hint="eastAsia" w:ascii="宋体" w:hAnsi="宋体" w:eastAsia="宋体" w:cs="宋体"/>
                <w:i w:val="0"/>
                <w:iCs w:val="0"/>
                <w:color w:val="auto"/>
                <w:sz w:val="20"/>
                <w:szCs w:val="20"/>
                <w:highlight w:val="none"/>
                <w:u w:val="none"/>
              </w:rPr>
            </w:pPr>
          </w:p>
        </w:tc>
        <w:tc>
          <w:tcPr>
            <w:tcW w:w="620" w:type="dxa"/>
            <w:vMerge w:val="continue"/>
            <w:noWrap w:val="0"/>
            <w:vAlign w:val="center"/>
          </w:tcPr>
          <w:p w14:paraId="3B5938C0">
            <w:pPr>
              <w:jc w:val="center"/>
              <w:rPr>
                <w:rFonts w:hint="eastAsia" w:ascii="宋体" w:hAnsi="宋体" w:eastAsia="宋体" w:cs="宋体"/>
                <w:i w:val="0"/>
                <w:iCs w:val="0"/>
                <w:color w:val="auto"/>
                <w:sz w:val="20"/>
                <w:szCs w:val="20"/>
                <w:highlight w:val="none"/>
                <w:u w:val="none"/>
              </w:rPr>
            </w:pPr>
          </w:p>
        </w:tc>
        <w:tc>
          <w:tcPr>
            <w:tcW w:w="1210" w:type="dxa"/>
            <w:noWrap w:val="0"/>
            <w:vAlign w:val="center"/>
          </w:tcPr>
          <w:p w14:paraId="4F44D16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车辆展合控制系统</w:t>
            </w:r>
          </w:p>
        </w:tc>
        <w:tc>
          <w:tcPr>
            <w:tcW w:w="3110" w:type="dxa"/>
            <w:noWrap w:val="0"/>
            <w:vAlign w:val="center"/>
          </w:tcPr>
          <w:p w14:paraId="0AD7B5C1">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展合系统采用集中式液压操作台（含分配器6路2个、一路分配器、2路分配器2个、4路同步马达、液压油箱、油泵电机），液压油管道系统，厢体展合通过液压操作，箱体展合过程中无须人工辅助；</w:t>
            </w:r>
          </w:p>
        </w:tc>
        <w:tc>
          <w:tcPr>
            <w:tcW w:w="750" w:type="dxa"/>
            <w:noWrap w:val="0"/>
            <w:vAlign w:val="center"/>
          </w:tcPr>
          <w:p w14:paraId="5D72F14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740" w:type="dxa"/>
            <w:noWrap w:val="0"/>
            <w:vAlign w:val="center"/>
          </w:tcPr>
          <w:p w14:paraId="6EC6E3C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1330" w:type="dxa"/>
            <w:noWrap w:val="0"/>
            <w:vAlign w:val="center"/>
          </w:tcPr>
          <w:p w14:paraId="689335B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2.20 </w:t>
            </w:r>
          </w:p>
        </w:tc>
        <w:tc>
          <w:tcPr>
            <w:tcW w:w="1220" w:type="dxa"/>
            <w:noWrap w:val="0"/>
            <w:vAlign w:val="center"/>
          </w:tcPr>
          <w:p w14:paraId="0B64212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2.20 </w:t>
            </w:r>
          </w:p>
        </w:tc>
      </w:tr>
      <w:tr w14:paraId="557083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670" w:type="dxa"/>
            <w:vMerge w:val="continue"/>
            <w:noWrap w:val="0"/>
            <w:vAlign w:val="center"/>
          </w:tcPr>
          <w:p w14:paraId="6555627F">
            <w:pPr>
              <w:jc w:val="center"/>
              <w:rPr>
                <w:rFonts w:hint="eastAsia" w:ascii="宋体" w:hAnsi="宋体" w:eastAsia="宋体" w:cs="宋体"/>
                <w:i w:val="0"/>
                <w:iCs w:val="0"/>
                <w:color w:val="auto"/>
                <w:sz w:val="20"/>
                <w:szCs w:val="20"/>
                <w:highlight w:val="none"/>
                <w:u w:val="none"/>
              </w:rPr>
            </w:pPr>
          </w:p>
        </w:tc>
        <w:tc>
          <w:tcPr>
            <w:tcW w:w="620" w:type="dxa"/>
            <w:vMerge w:val="continue"/>
            <w:noWrap w:val="0"/>
            <w:vAlign w:val="center"/>
          </w:tcPr>
          <w:p w14:paraId="1CB834E8">
            <w:pPr>
              <w:jc w:val="center"/>
              <w:rPr>
                <w:rFonts w:hint="eastAsia" w:ascii="宋体" w:hAnsi="宋体" w:eastAsia="宋体" w:cs="宋体"/>
                <w:i w:val="0"/>
                <w:iCs w:val="0"/>
                <w:color w:val="auto"/>
                <w:sz w:val="20"/>
                <w:szCs w:val="20"/>
                <w:highlight w:val="none"/>
                <w:u w:val="none"/>
              </w:rPr>
            </w:pPr>
          </w:p>
        </w:tc>
        <w:tc>
          <w:tcPr>
            <w:tcW w:w="1210" w:type="dxa"/>
            <w:noWrap w:val="0"/>
            <w:vAlign w:val="center"/>
          </w:tcPr>
          <w:p w14:paraId="767159A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厢体隔音、保温处理</w:t>
            </w:r>
          </w:p>
        </w:tc>
        <w:tc>
          <w:tcPr>
            <w:tcW w:w="3110" w:type="dxa"/>
            <w:noWrap w:val="0"/>
            <w:vAlign w:val="center"/>
          </w:tcPr>
          <w:p w14:paraId="0305308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定制 板材保温隔音棉铝板合成</w:t>
            </w:r>
          </w:p>
        </w:tc>
        <w:tc>
          <w:tcPr>
            <w:tcW w:w="750" w:type="dxa"/>
            <w:noWrap w:val="0"/>
            <w:vAlign w:val="center"/>
          </w:tcPr>
          <w:p w14:paraId="1026AE2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740" w:type="dxa"/>
            <w:noWrap w:val="0"/>
            <w:vAlign w:val="center"/>
          </w:tcPr>
          <w:p w14:paraId="08519AC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1330" w:type="dxa"/>
            <w:noWrap w:val="0"/>
            <w:vAlign w:val="center"/>
          </w:tcPr>
          <w:p w14:paraId="0F0DA4C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2.00 </w:t>
            </w:r>
          </w:p>
        </w:tc>
        <w:tc>
          <w:tcPr>
            <w:tcW w:w="1220" w:type="dxa"/>
            <w:noWrap w:val="0"/>
            <w:vAlign w:val="center"/>
          </w:tcPr>
          <w:p w14:paraId="05940B1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2.00 </w:t>
            </w:r>
          </w:p>
        </w:tc>
      </w:tr>
      <w:tr w14:paraId="285F21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670" w:type="dxa"/>
            <w:vMerge w:val="continue"/>
            <w:noWrap w:val="0"/>
            <w:vAlign w:val="center"/>
          </w:tcPr>
          <w:p w14:paraId="5DFCD1A0">
            <w:pPr>
              <w:jc w:val="center"/>
              <w:rPr>
                <w:rFonts w:hint="eastAsia" w:ascii="宋体" w:hAnsi="宋体" w:eastAsia="宋体" w:cs="宋体"/>
                <w:i w:val="0"/>
                <w:iCs w:val="0"/>
                <w:color w:val="auto"/>
                <w:sz w:val="20"/>
                <w:szCs w:val="20"/>
                <w:highlight w:val="none"/>
                <w:u w:val="none"/>
              </w:rPr>
            </w:pPr>
          </w:p>
        </w:tc>
        <w:tc>
          <w:tcPr>
            <w:tcW w:w="620" w:type="dxa"/>
            <w:vMerge w:val="continue"/>
            <w:noWrap w:val="0"/>
            <w:vAlign w:val="center"/>
          </w:tcPr>
          <w:p w14:paraId="37133998">
            <w:pPr>
              <w:jc w:val="center"/>
              <w:rPr>
                <w:rFonts w:hint="eastAsia" w:ascii="宋体" w:hAnsi="宋体" w:eastAsia="宋体" w:cs="宋体"/>
                <w:i w:val="0"/>
                <w:iCs w:val="0"/>
                <w:color w:val="auto"/>
                <w:sz w:val="20"/>
                <w:szCs w:val="20"/>
                <w:highlight w:val="none"/>
                <w:u w:val="none"/>
              </w:rPr>
            </w:pPr>
          </w:p>
        </w:tc>
        <w:tc>
          <w:tcPr>
            <w:tcW w:w="1210" w:type="dxa"/>
            <w:noWrap w:val="0"/>
            <w:vAlign w:val="center"/>
          </w:tcPr>
          <w:p w14:paraId="3D3A7BF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空调风道及附属机构</w:t>
            </w:r>
          </w:p>
        </w:tc>
        <w:tc>
          <w:tcPr>
            <w:tcW w:w="3110" w:type="dxa"/>
            <w:noWrap w:val="0"/>
            <w:vAlign w:val="center"/>
          </w:tcPr>
          <w:p w14:paraId="2A736F4A">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采用“风道”空调系统，车内分别设置冷热送风道、回风道、排水道，车内各空间出风口采用专用结构。</w:t>
            </w:r>
          </w:p>
        </w:tc>
        <w:tc>
          <w:tcPr>
            <w:tcW w:w="750" w:type="dxa"/>
            <w:noWrap w:val="0"/>
            <w:vAlign w:val="center"/>
          </w:tcPr>
          <w:p w14:paraId="2256EC6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740" w:type="dxa"/>
            <w:noWrap w:val="0"/>
            <w:vAlign w:val="center"/>
          </w:tcPr>
          <w:p w14:paraId="5178469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1330" w:type="dxa"/>
            <w:noWrap w:val="0"/>
            <w:vAlign w:val="center"/>
          </w:tcPr>
          <w:p w14:paraId="097CC3E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0.30 </w:t>
            </w:r>
          </w:p>
        </w:tc>
        <w:tc>
          <w:tcPr>
            <w:tcW w:w="1220" w:type="dxa"/>
            <w:noWrap w:val="0"/>
            <w:vAlign w:val="center"/>
          </w:tcPr>
          <w:p w14:paraId="6376BD9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0.30 </w:t>
            </w:r>
          </w:p>
        </w:tc>
      </w:tr>
      <w:tr w14:paraId="75627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670" w:type="dxa"/>
            <w:vMerge w:val="continue"/>
            <w:noWrap w:val="0"/>
            <w:vAlign w:val="center"/>
          </w:tcPr>
          <w:p w14:paraId="1FB82F62">
            <w:pPr>
              <w:jc w:val="center"/>
              <w:rPr>
                <w:rFonts w:hint="eastAsia" w:ascii="宋体" w:hAnsi="宋体" w:eastAsia="宋体" w:cs="宋体"/>
                <w:i w:val="0"/>
                <w:iCs w:val="0"/>
                <w:color w:val="auto"/>
                <w:sz w:val="20"/>
                <w:szCs w:val="20"/>
                <w:highlight w:val="none"/>
                <w:u w:val="none"/>
              </w:rPr>
            </w:pPr>
          </w:p>
        </w:tc>
        <w:tc>
          <w:tcPr>
            <w:tcW w:w="620" w:type="dxa"/>
            <w:vMerge w:val="continue"/>
            <w:noWrap w:val="0"/>
            <w:vAlign w:val="center"/>
          </w:tcPr>
          <w:p w14:paraId="70F5F5E4">
            <w:pPr>
              <w:jc w:val="center"/>
              <w:rPr>
                <w:rFonts w:hint="eastAsia" w:ascii="宋体" w:hAnsi="宋体" w:eastAsia="宋体" w:cs="宋体"/>
                <w:i w:val="0"/>
                <w:iCs w:val="0"/>
                <w:color w:val="auto"/>
                <w:sz w:val="20"/>
                <w:szCs w:val="20"/>
                <w:highlight w:val="none"/>
                <w:u w:val="none"/>
              </w:rPr>
            </w:pPr>
          </w:p>
        </w:tc>
        <w:tc>
          <w:tcPr>
            <w:tcW w:w="1210" w:type="dxa"/>
            <w:noWrap w:val="0"/>
            <w:vAlign w:val="center"/>
          </w:tcPr>
          <w:p w14:paraId="702E6A9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采光窗</w:t>
            </w:r>
          </w:p>
        </w:tc>
        <w:tc>
          <w:tcPr>
            <w:tcW w:w="3110" w:type="dxa"/>
            <w:noWrap w:val="0"/>
            <w:vAlign w:val="center"/>
          </w:tcPr>
          <w:p w14:paraId="1C4EF291">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断桥铝窗户，遮光窗帘</w:t>
            </w:r>
          </w:p>
        </w:tc>
        <w:tc>
          <w:tcPr>
            <w:tcW w:w="750" w:type="dxa"/>
            <w:noWrap w:val="0"/>
            <w:vAlign w:val="center"/>
          </w:tcPr>
          <w:p w14:paraId="2A1FB98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w:t>
            </w:r>
          </w:p>
        </w:tc>
        <w:tc>
          <w:tcPr>
            <w:tcW w:w="740" w:type="dxa"/>
            <w:noWrap w:val="0"/>
            <w:vAlign w:val="center"/>
          </w:tcPr>
          <w:p w14:paraId="6AB2661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1330" w:type="dxa"/>
            <w:noWrap w:val="0"/>
            <w:vAlign w:val="center"/>
          </w:tcPr>
          <w:p w14:paraId="5136CF2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0.30 </w:t>
            </w:r>
          </w:p>
        </w:tc>
        <w:tc>
          <w:tcPr>
            <w:tcW w:w="1220" w:type="dxa"/>
            <w:noWrap w:val="0"/>
            <w:vAlign w:val="center"/>
          </w:tcPr>
          <w:p w14:paraId="2F7578A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2.40 </w:t>
            </w:r>
          </w:p>
        </w:tc>
      </w:tr>
      <w:tr w14:paraId="681C62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670" w:type="dxa"/>
            <w:vMerge w:val="continue"/>
            <w:noWrap w:val="0"/>
            <w:vAlign w:val="center"/>
          </w:tcPr>
          <w:p w14:paraId="2C52999A">
            <w:pPr>
              <w:jc w:val="center"/>
              <w:rPr>
                <w:rFonts w:hint="eastAsia" w:ascii="宋体" w:hAnsi="宋体" w:eastAsia="宋体" w:cs="宋体"/>
                <w:i w:val="0"/>
                <w:iCs w:val="0"/>
                <w:color w:val="auto"/>
                <w:sz w:val="20"/>
                <w:szCs w:val="20"/>
                <w:highlight w:val="none"/>
                <w:u w:val="none"/>
              </w:rPr>
            </w:pPr>
          </w:p>
        </w:tc>
        <w:tc>
          <w:tcPr>
            <w:tcW w:w="620" w:type="dxa"/>
            <w:vMerge w:val="continue"/>
            <w:noWrap w:val="0"/>
            <w:vAlign w:val="center"/>
          </w:tcPr>
          <w:p w14:paraId="1DA1A7A0">
            <w:pPr>
              <w:jc w:val="center"/>
              <w:rPr>
                <w:rFonts w:hint="eastAsia" w:ascii="宋体" w:hAnsi="宋体" w:eastAsia="宋体" w:cs="宋体"/>
                <w:i w:val="0"/>
                <w:iCs w:val="0"/>
                <w:color w:val="auto"/>
                <w:sz w:val="20"/>
                <w:szCs w:val="20"/>
                <w:highlight w:val="none"/>
                <w:u w:val="none"/>
              </w:rPr>
            </w:pPr>
          </w:p>
        </w:tc>
        <w:tc>
          <w:tcPr>
            <w:tcW w:w="1210" w:type="dxa"/>
            <w:noWrap w:val="0"/>
            <w:vAlign w:val="center"/>
          </w:tcPr>
          <w:p w14:paraId="1472801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外接口箱</w:t>
            </w:r>
          </w:p>
        </w:tc>
        <w:tc>
          <w:tcPr>
            <w:tcW w:w="3110" w:type="dxa"/>
            <w:noWrap w:val="0"/>
            <w:vAlign w:val="center"/>
          </w:tcPr>
          <w:p w14:paraId="7ECC41B4">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定制电源接口</w:t>
            </w:r>
          </w:p>
        </w:tc>
        <w:tc>
          <w:tcPr>
            <w:tcW w:w="750" w:type="dxa"/>
            <w:noWrap w:val="0"/>
            <w:vAlign w:val="center"/>
          </w:tcPr>
          <w:p w14:paraId="20036ED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740" w:type="dxa"/>
            <w:noWrap w:val="0"/>
            <w:vAlign w:val="center"/>
          </w:tcPr>
          <w:p w14:paraId="3F8BCFC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1330" w:type="dxa"/>
            <w:noWrap w:val="0"/>
            <w:vAlign w:val="center"/>
          </w:tcPr>
          <w:p w14:paraId="4915959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0.10 </w:t>
            </w:r>
          </w:p>
        </w:tc>
        <w:tc>
          <w:tcPr>
            <w:tcW w:w="1220" w:type="dxa"/>
            <w:noWrap w:val="0"/>
            <w:vAlign w:val="center"/>
          </w:tcPr>
          <w:p w14:paraId="61F3A8D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0.10 </w:t>
            </w:r>
          </w:p>
        </w:tc>
      </w:tr>
      <w:tr w14:paraId="207675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670" w:type="dxa"/>
            <w:vMerge w:val="continue"/>
            <w:noWrap w:val="0"/>
            <w:vAlign w:val="center"/>
          </w:tcPr>
          <w:p w14:paraId="076ED119">
            <w:pPr>
              <w:jc w:val="center"/>
              <w:rPr>
                <w:rFonts w:hint="eastAsia" w:ascii="宋体" w:hAnsi="宋体" w:eastAsia="宋体" w:cs="宋体"/>
                <w:i w:val="0"/>
                <w:iCs w:val="0"/>
                <w:color w:val="auto"/>
                <w:sz w:val="20"/>
                <w:szCs w:val="20"/>
                <w:highlight w:val="none"/>
                <w:u w:val="none"/>
              </w:rPr>
            </w:pPr>
          </w:p>
        </w:tc>
        <w:tc>
          <w:tcPr>
            <w:tcW w:w="620" w:type="dxa"/>
            <w:vMerge w:val="continue"/>
            <w:noWrap w:val="0"/>
            <w:vAlign w:val="center"/>
          </w:tcPr>
          <w:p w14:paraId="441A87A0">
            <w:pPr>
              <w:jc w:val="center"/>
              <w:rPr>
                <w:rFonts w:hint="eastAsia" w:ascii="宋体" w:hAnsi="宋体" w:eastAsia="宋体" w:cs="宋体"/>
                <w:i w:val="0"/>
                <w:iCs w:val="0"/>
                <w:color w:val="auto"/>
                <w:sz w:val="20"/>
                <w:szCs w:val="20"/>
                <w:highlight w:val="none"/>
                <w:u w:val="none"/>
              </w:rPr>
            </w:pPr>
          </w:p>
        </w:tc>
        <w:tc>
          <w:tcPr>
            <w:tcW w:w="1210" w:type="dxa"/>
            <w:noWrap w:val="0"/>
            <w:vAlign w:val="center"/>
          </w:tcPr>
          <w:p w14:paraId="6D4C28F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杂件辅料</w:t>
            </w:r>
          </w:p>
        </w:tc>
        <w:tc>
          <w:tcPr>
            <w:tcW w:w="3110" w:type="dxa"/>
            <w:noWrap w:val="0"/>
            <w:vAlign w:val="center"/>
          </w:tcPr>
          <w:p w14:paraId="6CE0E471">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全车设备紧固件、接插件、密封胶、树脂胶、绑扎带、防水处理等</w:t>
            </w:r>
          </w:p>
        </w:tc>
        <w:tc>
          <w:tcPr>
            <w:tcW w:w="750" w:type="dxa"/>
            <w:noWrap w:val="0"/>
            <w:vAlign w:val="center"/>
          </w:tcPr>
          <w:p w14:paraId="681A9AE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740" w:type="dxa"/>
            <w:noWrap w:val="0"/>
            <w:vAlign w:val="center"/>
          </w:tcPr>
          <w:p w14:paraId="6EFE6BB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1330" w:type="dxa"/>
            <w:noWrap w:val="0"/>
            <w:vAlign w:val="center"/>
          </w:tcPr>
          <w:p w14:paraId="6DE6989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1.00 </w:t>
            </w:r>
          </w:p>
        </w:tc>
        <w:tc>
          <w:tcPr>
            <w:tcW w:w="1220" w:type="dxa"/>
            <w:noWrap w:val="0"/>
            <w:vAlign w:val="center"/>
          </w:tcPr>
          <w:p w14:paraId="3DA7D51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1.00 </w:t>
            </w:r>
          </w:p>
        </w:tc>
      </w:tr>
      <w:tr w14:paraId="7828AD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670" w:type="dxa"/>
            <w:vMerge w:val="continue"/>
            <w:noWrap w:val="0"/>
            <w:vAlign w:val="center"/>
          </w:tcPr>
          <w:p w14:paraId="6E6FA337">
            <w:pPr>
              <w:jc w:val="center"/>
              <w:rPr>
                <w:rFonts w:hint="eastAsia" w:ascii="宋体" w:hAnsi="宋体" w:eastAsia="宋体" w:cs="宋体"/>
                <w:i w:val="0"/>
                <w:iCs w:val="0"/>
                <w:color w:val="auto"/>
                <w:sz w:val="20"/>
                <w:szCs w:val="20"/>
                <w:highlight w:val="none"/>
                <w:u w:val="none"/>
              </w:rPr>
            </w:pPr>
          </w:p>
        </w:tc>
        <w:tc>
          <w:tcPr>
            <w:tcW w:w="620" w:type="dxa"/>
            <w:vMerge w:val="continue"/>
            <w:noWrap w:val="0"/>
            <w:vAlign w:val="center"/>
          </w:tcPr>
          <w:p w14:paraId="1223BEEB">
            <w:pPr>
              <w:jc w:val="center"/>
              <w:rPr>
                <w:rFonts w:hint="eastAsia" w:ascii="宋体" w:hAnsi="宋体" w:eastAsia="宋体" w:cs="宋体"/>
                <w:i w:val="0"/>
                <w:iCs w:val="0"/>
                <w:color w:val="auto"/>
                <w:sz w:val="20"/>
                <w:szCs w:val="20"/>
                <w:highlight w:val="none"/>
                <w:u w:val="none"/>
              </w:rPr>
            </w:pPr>
          </w:p>
        </w:tc>
        <w:tc>
          <w:tcPr>
            <w:tcW w:w="1210" w:type="dxa"/>
            <w:noWrap w:val="0"/>
            <w:vAlign w:val="center"/>
          </w:tcPr>
          <w:p w14:paraId="5A61405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外观油漆</w:t>
            </w:r>
          </w:p>
        </w:tc>
        <w:tc>
          <w:tcPr>
            <w:tcW w:w="3110" w:type="dxa"/>
            <w:noWrap w:val="0"/>
            <w:vAlign w:val="center"/>
          </w:tcPr>
          <w:p w14:paraId="4CA3E752">
            <w:pPr>
              <w:keepNext w:val="0"/>
              <w:keepLines w:val="0"/>
              <w:widowControl/>
              <w:numPr>
                <w:ilvl w:val="0"/>
                <w:numId w:val="8"/>
              </w:numPr>
              <w:suppressLineNumbers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专业喷漆工艺，底漆、整体喷涂，外墙上面三分之二是中国红，下面三公之一是火焰蓝。</w:t>
            </w:r>
          </w:p>
          <w:p w14:paraId="65F14393">
            <w:pPr>
              <w:keepNext w:val="0"/>
              <w:keepLines w:val="0"/>
              <w:widowControl/>
              <w:numPr>
                <w:ilvl w:val="0"/>
                <w:numId w:val="0"/>
              </w:numPr>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2、含车顶辽宁消防救援 综合保障车字样</w:t>
            </w:r>
          </w:p>
        </w:tc>
        <w:tc>
          <w:tcPr>
            <w:tcW w:w="750" w:type="dxa"/>
            <w:noWrap w:val="0"/>
            <w:vAlign w:val="center"/>
          </w:tcPr>
          <w:p w14:paraId="356C8DC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740" w:type="dxa"/>
            <w:noWrap w:val="0"/>
            <w:vAlign w:val="center"/>
          </w:tcPr>
          <w:p w14:paraId="43C1696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1330" w:type="dxa"/>
            <w:noWrap w:val="0"/>
            <w:vAlign w:val="center"/>
          </w:tcPr>
          <w:p w14:paraId="7F87337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2.67 </w:t>
            </w:r>
          </w:p>
        </w:tc>
        <w:tc>
          <w:tcPr>
            <w:tcW w:w="1220" w:type="dxa"/>
            <w:noWrap w:val="0"/>
            <w:vAlign w:val="center"/>
          </w:tcPr>
          <w:p w14:paraId="433F5E8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2.67 </w:t>
            </w:r>
          </w:p>
        </w:tc>
      </w:tr>
      <w:tr w14:paraId="5EFFD1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670" w:type="dxa"/>
            <w:vMerge w:val="continue"/>
            <w:noWrap w:val="0"/>
            <w:vAlign w:val="center"/>
          </w:tcPr>
          <w:p w14:paraId="7FF27623">
            <w:pPr>
              <w:jc w:val="center"/>
              <w:rPr>
                <w:rFonts w:hint="eastAsia" w:ascii="宋体" w:hAnsi="宋体" w:eastAsia="宋体" w:cs="宋体"/>
                <w:i w:val="0"/>
                <w:iCs w:val="0"/>
                <w:color w:val="auto"/>
                <w:sz w:val="20"/>
                <w:szCs w:val="20"/>
                <w:highlight w:val="none"/>
                <w:u w:val="none"/>
              </w:rPr>
            </w:pPr>
          </w:p>
        </w:tc>
        <w:tc>
          <w:tcPr>
            <w:tcW w:w="620" w:type="dxa"/>
            <w:vMerge w:val="continue"/>
            <w:noWrap w:val="0"/>
            <w:vAlign w:val="center"/>
          </w:tcPr>
          <w:p w14:paraId="707276E6">
            <w:pPr>
              <w:jc w:val="center"/>
              <w:rPr>
                <w:rFonts w:hint="eastAsia" w:ascii="宋体" w:hAnsi="宋体" w:eastAsia="宋体" w:cs="宋体"/>
                <w:i w:val="0"/>
                <w:iCs w:val="0"/>
                <w:color w:val="auto"/>
                <w:sz w:val="20"/>
                <w:szCs w:val="20"/>
                <w:highlight w:val="none"/>
                <w:u w:val="none"/>
              </w:rPr>
            </w:pPr>
          </w:p>
        </w:tc>
        <w:tc>
          <w:tcPr>
            <w:tcW w:w="1210" w:type="dxa"/>
            <w:noWrap w:val="0"/>
            <w:vAlign w:val="center"/>
          </w:tcPr>
          <w:p w14:paraId="4B93C7C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基础内饰</w:t>
            </w:r>
          </w:p>
        </w:tc>
        <w:tc>
          <w:tcPr>
            <w:tcW w:w="3110" w:type="dxa"/>
            <w:noWrap w:val="0"/>
            <w:vAlign w:val="center"/>
          </w:tcPr>
          <w:p w14:paraId="77008852">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两面侧墙留不少于四个插座，墙面全部用木饰面板材、顶部无造型，地板选装灰色木质复合地板，不低于156平方米</w:t>
            </w:r>
          </w:p>
        </w:tc>
        <w:tc>
          <w:tcPr>
            <w:tcW w:w="750" w:type="dxa"/>
            <w:noWrap w:val="0"/>
            <w:vAlign w:val="center"/>
          </w:tcPr>
          <w:p w14:paraId="4355E16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740" w:type="dxa"/>
            <w:noWrap w:val="0"/>
            <w:vAlign w:val="center"/>
          </w:tcPr>
          <w:p w14:paraId="1943FB9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1330" w:type="dxa"/>
            <w:noWrap w:val="0"/>
            <w:vAlign w:val="center"/>
          </w:tcPr>
          <w:p w14:paraId="32C366D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2.50 </w:t>
            </w:r>
          </w:p>
        </w:tc>
        <w:tc>
          <w:tcPr>
            <w:tcW w:w="1220" w:type="dxa"/>
            <w:noWrap w:val="0"/>
            <w:vAlign w:val="center"/>
          </w:tcPr>
          <w:p w14:paraId="4764C7D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2.50 </w:t>
            </w:r>
          </w:p>
        </w:tc>
      </w:tr>
      <w:tr w14:paraId="55F537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670" w:type="dxa"/>
            <w:vMerge w:val="continue"/>
            <w:noWrap w:val="0"/>
            <w:vAlign w:val="center"/>
          </w:tcPr>
          <w:p w14:paraId="0DB58870">
            <w:pPr>
              <w:jc w:val="center"/>
              <w:rPr>
                <w:rFonts w:hint="eastAsia" w:ascii="宋体" w:hAnsi="宋体" w:eastAsia="宋体" w:cs="宋体"/>
                <w:i w:val="0"/>
                <w:iCs w:val="0"/>
                <w:color w:val="auto"/>
                <w:sz w:val="20"/>
                <w:szCs w:val="20"/>
                <w:highlight w:val="none"/>
                <w:u w:val="none"/>
              </w:rPr>
            </w:pPr>
          </w:p>
        </w:tc>
        <w:tc>
          <w:tcPr>
            <w:tcW w:w="620" w:type="dxa"/>
            <w:noWrap w:val="0"/>
            <w:vAlign w:val="center"/>
          </w:tcPr>
          <w:p w14:paraId="27162439">
            <w:pPr>
              <w:jc w:val="center"/>
              <w:rPr>
                <w:rFonts w:hint="eastAsia" w:ascii="宋体" w:hAnsi="宋体" w:eastAsia="宋体" w:cs="宋体"/>
                <w:i w:val="0"/>
                <w:iCs w:val="0"/>
                <w:color w:val="auto"/>
                <w:sz w:val="20"/>
                <w:szCs w:val="20"/>
                <w:highlight w:val="none"/>
                <w:u w:val="none"/>
              </w:rPr>
            </w:pPr>
          </w:p>
        </w:tc>
        <w:tc>
          <w:tcPr>
            <w:tcW w:w="1210" w:type="dxa"/>
            <w:noWrap w:val="0"/>
            <w:vAlign w:val="center"/>
          </w:tcPr>
          <w:p w14:paraId="233F4F8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外部装修</w:t>
            </w:r>
          </w:p>
        </w:tc>
        <w:tc>
          <w:tcPr>
            <w:tcW w:w="3110" w:type="dxa"/>
            <w:noWrap w:val="0"/>
            <w:vAlign w:val="center"/>
          </w:tcPr>
          <w:p w14:paraId="76EDEC8D">
            <w:pPr>
              <w:keepNext w:val="0"/>
              <w:keepLines w:val="0"/>
              <w:widowControl/>
              <w:numPr>
                <w:ilvl w:val="0"/>
                <w:numId w:val="9"/>
              </w:numPr>
              <w:suppressLineNumbers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 xml:space="preserve">外门头两侧：辽宁省消防救援总队 发光字    </w:t>
            </w:r>
          </w:p>
          <w:p w14:paraId="671C4A5A">
            <w:pPr>
              <w:keepNext w:val="0"/>
              <w:keepLines w:val="0"/>
              <w:widowControl/>
              <w:numPr>
                <w:ilvl w:val="0"/>
                <w:numId w:val="0"/>
              </w:numPr>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2、定制车门上侧小扇中间放不小于3平方显示屏，（门头字字体大小：高不低于40cm；宽35cm~40cm）</w:t>
            </w:r>
          </w:p>
        </w:tc>
        <w:tc>
          <w:tcPr>
            <w:tcW w:w="750" w:type="dxa"/>
            <w:noWrap w:val="0"/>
            <w:vAlign w:val="center"/>
          </w:tcPr>
          <w:p w14:paraId="6B057DD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w:t>
            </w:r>
          </w:p>
        </w:tc>
        <w:tc>
          <w:tcPr>
            <w:tcW w:w="740" w:type="dxa"/>
            <w:noWrap w:val="0"/>
            <w:vAlign w:val="center"/>
          </w:tcPr>
          <w:p w14:paraId="3ED8FF6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1330" w:type="dxa"/>
            <w:noWrap w:val="0"/>
            <w:vAlign w:val="center"/>
          </w:tcPr>
          <w:p w14:paraId="4FBE353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0.20 </w:t>
            </w:r>
          </w:p>
        </w:tc>
        <w:tc>
          <w:tcPr>
            <w:tcW w:w="1220" w:type="dxa"/>
            <w:noWrap w:val="0"/>
            <w:vAlign w:val="center"/>
          </w:tcPr>
          <w:p w14:paraId="385B85F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0.40 </w:t>
            </w:r>
          </w:p>
        </w:tc>
      </w:tr>
      <w:tr w14:paraId="2F1BBD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670" w:type="dxa"/>
            <w:vMerge w:val="continue"/>
            <w:noWrap w:val="0"/>
            <w:vAlign w:val="center"/>
          </w:tcPr>
          <w:p w14:paraId="150DB4CE">
            <w:pPr>
              <w:jc w:val="center"/>
              <w:rPr>
                <w:rFonts w:hint="eastAsia" w:ascii="宋体" w:hAnsi="宋体" w:eastAsia="宋体" w:cs="宋体"/>
                <w:i w:val="0"/>
                <w:iCs w:val="0"/>
                <w:color w:val="auto"/>
                <w:sz w:val="20"/>
                <w:szCs w:val="20"/>
                <w:highlight w:val="none"/>
                <w:u w:val="none"/>
              </w:rPr>
            </w:pPr>
          </w:p>
        </w:tc>
        <w:tc>
          <w:tcPr>
            <w:tcW w:w="620" w:type="dxa"/>
            <w:vMerge w:val="restart"/>
            <w:noWrap w:val="0"/>
            <w:vAlign w:val="center"/>
          </w:tcPr>
          <w:p w14:paraId="6594219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供电</w:t>
            </w:r>
          </w:p>
        </w:tc>
        <w:tc>
          <w:tcPr>
            <w:tcW w:w="1210" w:type="dxa"/>
            <w:noWrap w:val="0"/>
            <w:vAlign w:val="center"/>
          </w:tcPr>
          <w:p w14:paraId="1ED104B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外接电源电缆线盘</w:t>
            </w:r>
          </w:p>
        </w:tc>
        <w:tc>
          <w:tcPr>
            <w:tcW w:w="3110" w:type="dxa"/>
            <w:noWrap w:val="0"/>
            <w:vAlign w:val="center"/>
          </w:tcPr>
          <w:p w14:paraId="59D95779">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不低于25米电源线，不低于国标16平方</w:t>
            </w:r>
          </w:p>
        </w:tc>
        <w:tc>
          <w:tcPr>
            <w:tcW w:w="750" w:type="dxa"/>
            <w:noWrap w:val="0"/>
            <w:vAlign w:val="center"/>
          </w:tcPr>
          <w:p w14:paraId="0015069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w:t>
            </w:r>
          </w:p>
        </w:tc>
        <w:tc>
          <w:tcPr>
            <w:tcW w:w="740" w:type="dxa"/>
            <w:noWrap w:val="0"/>
            <w:vAlign w:val="center"/>
          </w:tcPr>
          <w:p w14:paraId="6C7C9DB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1330" w:type="dxa"/>
            <w:noWrap w:val="0"/>
            <w:vAlign w:val="center"/>
          </w:tcPr>
          <w:p w14:paraId="431F922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0.10 </w:t>
            </w:r>
          </w:p>
        </w:tc>
        <w:tc>
          <w:tcPr>
            <w:tcW w:w="1220" w:type="dxa"/>
            <w:noWrap w:val="0"/>
            <w:vAlign w:val="center"/>
          </w:tcPr>
          <w:p w14:paraId="67AF27D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0.20 </w:t>
            </w:r>
          </w:p>
        </w:tc>
      </w:tr>
      <w:tr w14:paraId="4943CF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670" w:type="dxa"/>
            <w:vMerge w:val="continue"/>
            <w:noWrap w:val="0"/>
            <w:vAlign w:val="center"/>
          </w:tcPr>
          <w:p w14:paraId="444A0F45">
            <w:pPr>
              <w:jc w:val="center"/>
              <w:rPr>
                <w:rFonts w:hint="eastAsia" w:ascii="宋体" w:hAnsi="宋体" w:eastAsia="宋体" w:cs="宋体"/>
                <w:i w:val="0"/>
                <w:iCs w:val="0"/>
                <w:color w:val="auto"/>
                <w:sz w:val="20"/>
                <w:szCs w:val="20"/>
                <w:highlight w:val="none"/>
                <w:u w:val="none"/>
              </w:rPr>
            </w:pPr>
          </w:p>
        </w:tc>
        <w:tc>
          <w:tcPr>
            <w:tcW w:w="620" w:type="dxa"/>
            <w:vMerge w:val="continue"/>
            <w:noWrap w:val="0"/>
            <w:vAlign w:val="center"/>
          </w:tcPr>
          <w:p w14:paraId="609665DA">
            <w:pPr>
              <w:jc w:val="center"/>
              <w:rPr>
                <w:rFonts w:hint="eastAsia" w:ascii="宋体" w:hAnsi="宋体" w:eastAsia="宋体" w:cs="宋体"/>
                <w:i w:val="0"/>
                <w:iCs w:val="0"/>
                <w:color w:val="auto"/>
                <w:sz w:val="20"/>
                <w:szCs w:val="20"/>
                <w:highlight w:val="none"/>
                <w:u w:val="none"/>
              </w:rPr>
            </w:pPr>
          </w:p>
        </w:tc>
        <w:tc>
          <w:tcPr>
            <w:tcW w:w="1210" w:type="dxa"/>
            <w:noWrap w:val="0"/>
            <w:vAlign w:val="center"/>
          </w:tcPr>
          <w:p w14:paraId="6B2380D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外接口窗</w:t>
            </w:r>
          </w:p>
        </w:tc>
        <w:tc>
          <w:tcPr>
            <w:tcW w:w="3110" w:type="dxa"/>
            <w:noWrap w:val="0"/>
            <w:vAlign w:val="center"/>
          </w:tcPr>
          <w:p w14:paraId="27E91568">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定制</w:t>
            </w:r>
          </w:p>
        </w:tc>
        <w:tc>
          <w:tcPr>
            <w:tcW w:w="750" w:type="dxa"/>
            <w:noWrap w:val="0"/>
            <w:vAlign w:val="center"/>
          </w:tcPr>
          <w:p w14:paraId="2F4DCD1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740" w:type="dxa"/>
            <w:noWrap w:val="0"/>
            <w:vAlign w:val="center"/>
          </w:tcPr>
          <w:p w14:paraId="5953BAF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项</w:t>
            </w:r>
          </w:p>
        </w:tc>
        <w:tc>
          <w:tcPr>
            <w:tcW w:w="1330" w:type="dxa"/>
            <w:noWrap w:val="0"/>
            <w:vAlign w:val="center"/>
          </w:tcPr>
          <w:p w14:paraId="5FCB7F7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0.10 </w:t>
            </w:r>
          </w:p>
        </w:tc>
        <w:tc>
          <w:tcPr>
            <w:tcW w:w="1220" w:type="dxa"/>
            <w:noWrap w:val="0"/>
            <w:vAlign w:val="center"/>
          </w:tcPr>
          <w:p w14:paraId="1B649CC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0.10 </w:t>
            </w:r>
          </w:p>
        </w:tc>
      </w:tr>
      <w:tr w14:paraId="007345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670" w:type="dxa"/>
            <w:vMerge w:val="continue"/>
            <w:noWrap w:val="0"/>
            <w:vAlign w:val="center"/>
          </w:tcPr>
          <w:p w14:paraId="72AE0A10">
            <w:pPr>
              <w:jc w:val="center"/>
              <w:rPr>
                <w:rFonts w:hint="eastAsia" w:ascii="宋体" w:hAnsi="宋体" w:eastAsia="宋体" w:cs="宋体"/>
                <w:i w:val="0"/>
                <w:iCs w:val="0"/>
                <w:color w:val="auto"/>
                <w:sz w:val="20"/>
                <w:szCs w:val="20"/>
                <w:highlight w:val="none"/>
                <w:u w:val="none"/>
              </w:rPr>
            </w:pPr>
          </w:p>
        </w:tc>
        <w:tc>
          <w:tcPr>
            <w:tcW w:w="620" w:type="dxa"/>
            <w:vMerge w:val="continue"/>
            <w:noWrap w:val="0"/>
            <w:vAlign w:val="center"/>
          </w:tcPr>
          <w:p w14:paraId="5EBBFC09">
            <w:pPr>
              <w:jc w:val="center"/>
              <w:rPr>
                <w:rFonts w:hint="eastAsia" w:ascii="宋体" w:hAnsi="宋体" w:eastAsia="宋体" w:cs="宋体"/>
                <w:i w:val="0"/>
                <w:iCs w:val="0"/>
                <w:color w:val="auto"/>
                <w:sz w:val="20"/>
                <w:szCs w:val="20"/>
                <w:highlight w:val="none"/>
                <w:u w:val="none"/>
              </w:rPr>
            </w:pPr>
          </w:p>
        </w:tc>
        <w:tc>
          <w:tcPr>
            <w:tcW w:w="1210" w:type="dxa"/>
            <w:noWrap w:val="0"/>
            <w:vAlign w:val="center"/>
          </w:tcPr>
          <w:p w14:paraId="3109B82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综合布线</w:t>
            </w:r>
          </w:p>
        </w:tc>
        <w:tc>
          <w:tcPr>
            <w:tcW w:w="3110" w:type="dxa"/>
            <w:noWrap w:val="0"/>
            <w:vAlign w:val="center"/>
          </w:tcPr>
          <w:p w14:paraId="4A3C4599">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含各种规格的电源线、音视频线等</w:t>
            </w:r>
          </w:p>
        </w:tc>
        <w:tc>
          <w:tcPr>
            <w:tcW w:w="750" w:type="dxa"/>
            <w:noWrap w:val="0"/>
            <w:vAlign w:val="center"/>
          </w:tcPr>
          <w:p w14:paraId="7DD794A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740" w:type="dxa"/>
            <w:noWrap w:val="0"/>
            <w:vAlign w:val="center"/>
          </w:tcPr>
          <w:p w14:paraId="530B572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1330" w:type="dxa"/>
            <w:noWrap w:val="0"/>
            <w:vAlign w:val="center"/>
          </w:tcPr>
          <w:p w14:paraId="2BC8B04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0.40 </w:t>
            </w:r>
          </w:p>
        </w:tc>
        <w:tc>
          <w:tcPr>
            <w:tcW w:w="1220" w:type="dxa"/>
            <w:noWrap w:val="0"/>
            <w:vAlign w:val="center"/>
          </w:tcPr>
          <w:p w14:paraId="6B1B2B4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0.40 </w:t>
            </w:r>
          </w:p>
        </w:tc>
      </w:tr>
      <w:tr w14:paraId="3DD4EE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670" w:type="dxa"/>
            <w:vMerge w:val="continue"/>
            <w:noWrap w:val="0"/>
            <w:vAlign w:val="center"/>
          </w:tcPr>
          <w:p w14:paraId="5D5EE487">
            <w:pPr>
              <w:jc w:val="center"/>
              <w:rPr>
                <w:rFonts w:hint="eastAsia" w:ascii="宋体" w:hAnsi="宋体" w:eastAsia="宋体" w:cs="宋体"/>
                <w:i w:val="0"/>
                <w:iCs w:val="0"/>
                <w:color w:val="auto"/>
                <w:sz w:val="20"/>
                <w:szCs w:val="20"/>
                <w:highlight w:val="none"/>
                <w:u w:val="none"/>
              </w:rPr>
            </w:pPr>
          </w:p>
        </w:tc>
        <w:tc>
          <w:tcPr>
            <w:tcW w:w="620" w:type="dxa"/>
            <w:vMerge w:val="restart"/>
            <w:noWrap w:val="0"/>
            <w:vAlign w:val="center"/>
          </w:tcPr>
          <w:p w14:paraId="1D46474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照明</w:t>
            </w:r>
          </w:p>
        </w:tc>
        <w:tc>
          <w:tcPr>
            <w:tcW w:w="1210" w:type="dxa"/>
            <w:noWrap w:val="0"/>
            <w:vAlign w:val="center"/>
          </w:tcPr>
          <w:p w14:paraId="7B9A620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牛眼灯</w:t>
            </w:r>
          </w:p>
        </w:tc>
        <w:tc>
          <w:tcPr>
            <w:tcW w:w="3110" w:type="dxa"/>
            <w:noWrap w:val="0"/>
            <w:vAlign w:val="center"/>
          </w:tcPr>
          <w:p w14:paraId="03545859">
            <w:pPr>
              <w:keepNext w:val="0"/>
              <w:keepLines w:val="0"/>
              <w:widowControl/>
              <w:suppressLineNumbers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 xml:space="preserve">1、不低于6寸 </w:t>
            </w:r>
          </w:p>
          <w:p w14:paraId="71F18E10">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2、数量：100个</w:t>
            </w:r>
          </w:p>
        </w:tc>
        <w:tc>
          <w:tcPr>
            <w:tcW w:w="750" w:type="dxa"/>
            <w:noWrap w:val="0"/>
            <w:vAlign w:val="center"/>
          </w:tcPr>
          <w:p w14:paraId="2B9A272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100</w:t>
            </w:r>
          </w:p>
        </w:tc>
        <w:tc>
          <w:tcPr>
            <w:tcW w:w="740" w:type="dxa"/>
            <w:noWrap w:val="0"/>
            <w:vAlign w:val="center"/>
          </w:tcPr>
          <w:p w14:paraId="672AAB2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1330" w:type="dxa"/>
            <w:noWrap w:val="0"/>
            <w:vAlign w:val="center"/>
          </w:tcPr>
          <w:p w14:paraId="2D0BD74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0.01 </w:t>
            </w:r>
          </w:p>
        </w:tc>
        <w:tc>
          <w:tcPr>
            <w:tcW w:w="1220" w:type="dxa"/>
            <w:noWrap w:val="0"/>
            <w:vAlign w:val="center"/>
          </w:tcPr>
          <w:p w14:paraId="687CEE0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1.00 </w:t>
            </w:r>
          </w:p>
        </w:tc>
      </w:tr>
      <w:tr w14:paraId="2A954C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670" w:type="dxa"/>
            <w:vMerge w:val="continue"/>
            <w:noWrap w:val="0"/>
            <w:vAlign w:val="center"/>
          </w:tcPr>
          <w:p w14:paraId="51C68FD2">
            <w:pPr>
              <w:jc w:val="center"/>
              <w:rPr>
                <w:rFonts w:hint="eastAsia" w:ascii="宋体" w:hAnsi="宋体" w:eastAsia="宋体" w:cs="宋体"/>
                <w:i w:val="0"/>
                <w:iCs w:val="0"/>
                <w:color w:val="auto"/>
                <w:sz w:val="20"/>
                <w:szCs w:val="20"/>
                <w:highlight w:val="none"/>
                <w:u w:val="none"/>
              </w:rPr>
            </w:pPr>
          </w:p>
        </w:tc>
        <w:tc>
          <w:tcPr>
            <w:tcW w:w="620" w:type="dxa"/>
            <w:vMerge w:val="continue"/>
            <w:noWrap w:val="0"/>
            <w:vAlign w:val="center"/>
          </w:tcPr>
          <w:p w14:paraId="754F92B5">
            <w:pPr>
              <w:jc w:val="center"/>
              <w:rPr>
                <w:rFonts w:hint="eastAsia" w:ascii="宋体" w:hAnsi="宋体" w:eastAsia="宋体" w:cs="宋体"/>
                <w:i w:val="0"/>
                <w:iCs w:val="0"/>
                <w:color w:val="auto"/>
                <w:sz w:val="20"/>
                <w:szCs w:val="20"/>
                <w:highlight w:val="none"/>
                <w:u w:val="none"/>
              </w:rPr>
            </w:pPr>
          </w:p>
        </w:tc>
        <w:tc>
          <w:tcPr>
            <w:tcW w:w="1210" w:type="dxa"/>
            <w:noWrap w:val="0"/>
            <w:vAlign w:val="center"/>
          </w:tcPr>
          <w:p w14:paraId="6DD08A2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箱体内部主灯光</w:t>
            </w:r>
          </w:p>
        </w:tc>
        <w:tc>
          <w:tcPr>
            <w:tcW w:w="3110" w:type="dxa"/>
            <w:noWrap w:val="0"/>
            <w:vAlign w:val="center"/>
          </w:tcPr>
          <w:p w14:paraId="2149849C">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吸顶灯  LED超薄三防吸顶灯不低于30W</w:t>
            </w:r>
          </w:p>
        </w:tc>
        <w:tc>
          <w:tcPr>
            <w:tcW w:w="750" w:type="dxa"/>
            <w:noWrap w:val="0"/>
            <w:vAlign w:val="center"/>
          </w:tcPr>
          <w:p w14:paraId="1D15BEE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w:t>
            </w:r>
          </w:p>
        </w:tc>
        <w:tc>
          <w:tcPr>
            <w:tcW w:w="740" w:type="dxa"/>
            <w:noWrap w:val="0"/>
            <w:vAlign w:val="center"/>
          </w:tcPr>
          <w:p w14:paraId="53730F4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1330" w:type="dxa"/>
            <w:noWrap w:val="0"/>
            <w:vAlign w:val="center"/>
          </w:tcPr>
          <w:p w14:paraId="74AF563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0.20 </w:t>
            </w:r>
          </w:p>
        </w:tc>
        <w:tc>
          <w:tcPr>
            <w:tcW w:w="1220" w:type="dxa"/>
            <w:noWrap w:val="0"/>
            <w:vAlign w:val="center"/>
          </w:tcPr>
          <w:p w14:paraId="7660660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0.80 </w:t>
            </w:r>
          </w:p>
        </w:tc>
      </w:tr>
      <w:tr w14:paraId="7D2751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670" w:type="dxa"/>
            <w:vMerge w:val="continue"/>
            <w:noWrap w:val="0"/>
            <w:vAlign w:val="center"/>
          </w:tcPr>
          <w:p w14:paraId="3B804B3A">
            <w:pPr>
              <w:jc w:val="center"/>
              <w:rPr>
                <w:rFonts w:hint="eastAsia" w:ascii="宋体" w:hAnsi="宋体" w:eastAsia="宋体" w:cs="宋体"/>
                <w:i w:val="0"/>
                <w:iCs w:val="0"/>
                <w:color w:val="auto"/>
                <w:sz w:val="20"/>
                <w:szCs w:val="20"/>
                <w:highlight w:val="none"/>
                <w:u w:val="none"/>
              </w:rPr>
            </w:pPr>
          </w:p>
        </w:tc>
        <w:tc>
          <w:tcPr>
            <w:tcW w:w="620" w:type="dxa"/>
            <w:vMerge w:val="restart"/>
            <w:noWrap w:val="0"/>
            <w:vAlign w:val="center"/>
          </w:tcPr>
          <w:p w14:paraId="1B58AAD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辅助保障系统</w:t>
            </w:r>
          </w:p>
        </w:tc>
        <w:tc>
          <w:tcPr>
            <w:tcW w:w="1210" w:type="dxa"/>
            <w:noWrap w:val="0"/>
            <w:vAlign w:val="center"/>
          </w:tcPr>
          <w:p w14:paraId="34F77E8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展车发电机</w:t>
            </w:r>
          </w:p>
        </w:tc>
        <w:tc>
          <w:tcPr>
            <w:tcW w:w="3110" w:type="dxa"/>
            <w:noWrap w:val="0"/>
            <w:vAlign w:val="center"/>
          </w:tcPr>
          <w:p w14:paraId="33C7482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1、不低于7.5kw  230/400V双电压输出，并可同时使用，总功率不超过规定要求</w:t>
            </w:r>
          </w:p>
        </w:tc>
        <w:tc>
          <w:tcPr>
            <w:tcW w:w="750" w:type="dxa"/>
            <w:noWrap w:val="0"/>
            <w:vAlign w:val="center"/>
          </w:tcPr>
          <w:p w14:paraId="5839CFC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740" w:type="dxa"/>
            <w:noWrap w:val="0"/>
            <w:vAlign w:val="center"/>
          </w:tcPr>
          <w:p w14:paraId="0D32A8E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1330" w:type="dxa"/>
            <w:noWrap w:val="0"/>
            <w:vAlign w:val="center"/>
          </w:tcPr>
          <w:p w14:paraId="58861FF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0.75 </w:t>
            </w:r>
          </w:p>
        </w:tc>
        <w:tc>
          <w:tcPr>
            <w:tcW w:w="1220" w:type="dxa"/>
            <w:noWrap w:val="0"/>
            <w:vAlign w:val="center"/>
          </w:tcPr>
          <w:p w14:paraId="4A3816B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0.75 </w:t>
            </w:r>
          </w:p>
        </w:tc>
      </w:tr>
      <w:tr w14:paraId="7DD372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670" w:type="dxa"/>
            <w:vMerge w:val="continue"/>
            <w:noWrap w:val="0"/>
            <w:vAlign w:val="center"/>
          </w:tcPr>
          <w:p w14:paraId="417C417F">
            <w:pPr>
              <w:jc w:val="center"/>
              <w:rPr>
                <w:rFonts w:hint="eastAsia" w:ascii="宋体" w:hAnsi="宋体" w:eastAsia="宋体" w:cs="宋体"/>
                <w:i w:val="0"/>
                <w:iCs w:val="0"/>
                <w:color w:val="auto"/>
                <w:sz w:val="20"/>
                <w:szCs w:val="20"/>
                <w:highlight w:val="none"/>
                <w:u w:val="none"/>
              </w:rPr>
            </w:pPr>
          </w:p>
        </w:tc>
        <w:tc>
          <w:tcPr>
            <w:tcW w:w="620" w:type="dxa"/>
            <w:vMerge w:val="continue"/>
            <w:noWrap w:val="0"/>
            <w:vAlign w:val="center"/>
          </w:tcPr>
          <w:p w14:paraId="1E16A546">
            <w:pPr>
              <w:jc w:val="center"/>
              <w:rPr>
                <w:rFonts w:hint="eastAsia" w:ascii="宋体" w:hAnsi="宋体" w:eastAsia="宋体" w:cs="宋体"/>
                <w:i w:val="0"/>
                <w:iCs w:val="0"/>
                <w:color w:val="auto"/>
                <w:sz w:val="20"/>
                <w:szCs w:val="20"/>
                <w:highlight w:val="none"/>
                <w:u w:val="none"/>
              </w:rPr>
            </w:pPr>
          </w:p>
        </w:tc>
        <w:tc>
          <w:tcPr>
            <w:tcW w:w="1210" w:type="dxa"/>
            <w:noWrap w:val="0"/>
            <w:vAlign w:val="center"/>
          </w:tcPr>
          <w:p w14:paraId="544E1AA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中央空调</w:t>
            </w:r>
          </w:p>
        </w:tc>
        <w:tc>
          <w:tcPr>
            <w:tcW w:w="3110" w:type="dxa"/>
            <w:noWrap w:val="0"/>
            <w:vAlign w:val="center"/>
          </w:tcPr>
          <w:p w14:paraId="5F8BD6F5">
            <w:pPr>
              <w:keepNext w:val="0"/>
              <w:keepLines w:val="0"/>
              <w:widowControl/>
              <w:numPr>
                <w:ilvl w:val="0"/>
                <w:numId w:val="10"/>
              </w:numPr>
              <w:suppressLineNumbers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 xml:space="preserve">  5匹空调白色，5.0P 冷暖型，定频，制冷功率≥12000W，制热功率≥12500W，电源性能380V/50HZ</w:t>
            </w:r>
          </w:p>
          <w:p w14:paraId="6164BB53">
            <w:pPr>
              <w:keepNext w:val="0"/>
              <w:keepLines w:val="0"/>
              <w:widowControl/>
              <w:numPr>
                <w:ilvl w:val="0"/>
                <w:numId w:val="10"/>
              </w:numPr>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外角盖推压结构，内置凹面螺钉槽，使外角盖精简不小于4mm，外观平滑更大气，360度环形导风板设计，与面板体造型融合统一，面板精简化设计，简洁造型更经薄，不大于240mm机身厚度</w:t>
            </w:r>
          </w:p>
        </w:tc>
        <w:tc>
          <w:tcPr>
            <w:tcW w:w="750" w:type="dxa"/>
            <w:noWrap w:val="0"/>
            <w:vAlign w:val="center"/>
          </w:tcPr>
          <w:p w14:paraId="6C12099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w:t>
            </w:r>
          </w:p>
        </w:tc>
        <w:tc>
          <w:tcPr>
            <w:tcW w:w="740" w:type="dxa"/>
            <w:noWrap w:val="0"/>
            <w:vAlign w:val="center"/>
          </w:tcPr>
          <w:p w14:paraId="04E62E4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1330" w:type="dxa"/>
            <w:noWrap w:val="0"/>
            <w:vAlign w:val="center"/>
          </w:tcPr>
          <w:p w14:paraId="5844EB9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1.50 </w:t>
            </w:r>
          </w:p>
        </w:tc>
        <w:tc>
          <w:tcPr>
            <w:tcW w:w="1220" w:type="dxa"/>
            <w:noWrap w:val="0"/>
            <w:vAlign w:val="center"/>
          </w:tcPr>
          <w:p w14:paraId="2BA3983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6.00 </w:t>
            </w:r>
          </w:p>
        </w:tc>
      </w:tr>
      <w:tr w14:paraId="6073BA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670" w:type="dxa"/>
            <w:vMerge w:val="continue"/>
            <w:noWrap w:val="0"/>
            <w:vAlign w:val="center"/>
          </w:tcPr>
          <w:p w14:paraId="5E949BDE">
            <w:pPr>
              <w:jc w:val="center"/>
              <w:rPr>
                <w:rFonts w:hint="eastAsia" w:ascii="宋体" w:hAnsi="宋体" w:eastAsia="宋体" w:cs="宋体"/>
                <w:i w:val="0"/>
                <w:iCs w:val="0"/>
                <w:color w:val="auto"/>
                <w:sz w:val="20"/>
                <w:szCs w:val="20"/>
                <w:highlight w:val="none"/>
                <w:u w:val="none"/>
              </w:rPr>
            </w:pPr>
          </w:p>
        </w:tc>
        <w:tc>
          <w:tcPr>
            <w:tcW w:w="620" w:type="dxa"/>
            <w:vMerge w:val="continue"/>
            <w:noWrap w:val="0"/>
            <w:vAlign w:val="center"/>
          </w:tcPr>
          <w:p w14:paraId="70721A9F">
            <w:pPr>
              <w:jc w:val="center"/>
              <w:rPr>
                <w:rFonts w:hint="eastAsia" w:ascii="宋体" w:hAnsi="宋体" w:eastAsia="宋体" w:cs="宋体"/>
                <w:i w:val="0"/>
                <w:iCs w:val="0"/>
                <w:color w:val="auto"/>
                <w:sz w:val="20"/>
                <w:szCs w:val="20"/>
                <w:highlight w:val="none"/>
                <w:u w:val="none"/>
              </w:rPr>
            </w:pPr>
          </w:p>
        </w:tc>
        <w:tc>
          <w:tcPr>
            <w:tcW w:w="1210" w:type="dxa"/>
            <w:noWrap w:val="0"/>
            <w:vAlign w:val="center"/>
          </w:tcPr>
          <w:p w14:paraId="0197757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随车工具</w:t>
            </w:r>
          </w:p>
        </w:tc>
        <w:tc>
          <w:tcPr>
            <w:tcW w:w="3110" w:type="dxa"/>
            <w:noWrap w:val="0"/>
            <w:vAlign w:val="center"/>
          </w:tcPr>
          <w:p w14:paraId="04B11542">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常用工具包一套</w:t>
            </w:r>
          </w:p>
        </w:tc>
        <w:tc>
          <w:tcPr>
            <w:tcW w:w="750" w:type="dxa"/>
            <w:noWrap w:val="0"/>
            <w:vAlign w:val="center"/>
          </w:tcPr>
          <w:p w14:paraId="75E18B8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740" w:type="dxa"/>
            <w:noWrap w:val="0"/>
            <w:vAlign w:val="center"/>
          </w:tcPr>
          <w:p w14:paraId="0A724FE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1330" w:type="dxa"/>
            <w:noWrap w:val="0"/>
            <w:vAlign w:val="center"/>
          </w:tcPr>
          <w:p w14:paraId="0074F3B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0.02 </w:t>
            </w:r>
          </w:p>
        </w:tc>
        <w:tc>
          <w:tcPr>
            <w:tcW w:w="1220" w:type="dxa"/>
            <w:noWrap w:val="0"/>
            <w:vAlign w:val="center"/>
          </w:tcPr>
          <w:p w14:paraId="109DF38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0.02 </w:t>
            </w:r>
          </w:p>
        </w:tc>
      </w:tr>
      <w:tr w14:paraId="29E768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670" w:type="dxa"/>
            <w:vMerge w:val="continue"/>
            <w:shd w:val="clear" w:color="auto" w:fill="auto"/>
            <w:noWrap w:val="0"/>
            <w:vAlign w:val="center"/>
          </w:tcPr>
          <w:p w14:paraId="4652B90E">
            <w:pPr>
              <w:jc w:val="center"/>
              <w:rPr>
                <w:rFonts w:hint="eastAsia" w:ascii="宋体" w:hAnsi="宋体" w:eastAsia="宋体" w:cs="宋体"/>
                <w:i w:val="0"/>
                <w:iCs w:val="0"/>
                <w:color w:val="auto"/>
                <w:sz w:val="20"/>
                <w:szCs w:val="20"/>
                <w:highlight w:val="none"/>
                <w:u w:val="none"/>
              </w:rPr>
            </w:pPr>
          </w:p>
        </w:tc>
        <w:tc>
          <w:tcPr>
            <w:tcW w:w="620" w:type="dxa"/>
            <w:vMerge w:val="restart"/>
            <w:shd w:val="clear" w:color="auto" w:fill="auto"/>
            <w:noWrap w:val="0"/>
            <w:vAlign w:val="center"/>
          </w:tcPr>
          <w:p w14:paraId="10C3998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其它</w:t>
            </w:r>
          </w:p>
        </w:tc>
        <w:tc>
          <w:tcPr>
            <w:tcW w:w="1210" w:type="dxa"/>
            <w:shd w:val="clear" w:color="auto" w:fill="FFFFFF"/>
            <w:noWrap w:val="0"/>
            <w:vAlign w:val="center"/>
          </w:tcPr>
          <w:p w14:paraId="784493A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人工</w:t>
            </w:r>
          </w:p>
        </w:tc>
        <w:tc>
          <w:tcPr>
            <w:tcW w:w="3110" w:type="dxa"/>
            <w:noWrap w:val="0"/>
            <w:vAlign w:val="center"/>
          </w:tcPr>
          <w:p w14:paraId="5042FEAA">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60天</w:t>
            </w:r>
          </w:p>
        </w:tc>
        <w:tc>
          <w:tcPr>
            <w:tcW w:w="750" w:type="dxa"/>
            <w:noWrap w:val="0"/>
            <w:vAlign w:val="center"/>
          </w:tcPr>
          <w:p w14:paraId="7B9AE0E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740" w:type="dxa"/>
            <w:noWrap w:val="0"/>
            <w:vAlign w:val="center"/>
          </w:tcPr>
          <w:p w14:paraId="7C40F33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项</w:t>
            </w:r>
          </w:p>
        </w:tc>
        <w:tc>
          <w:tcPr>
            <w:tcW w:w="1330" w:type="dxa"/>
            <w:noWrap w:val="0"/>
            <w:vAlign w:val="center"/>
          </w:tcPr>
          <w:p w14:paraId="101D9E7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4.80 </w:t>
            </w:r>
          </w:p>
        </w:tc>
        <w:tc>
          <w:tcPr>
            <w:tcW w:w="1220" w:type="dxa"/>
            <w:noWrap w:val="0"/>
            <w:vAlign w:val="center"/>
          </w:tcPr>
          <w:p w14:paraId="0F5B2E0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4.80 </w:t>
            </w:r>
          </w:p>
        </w:tc>
      </w:tr>
      <w:tr w14:paraId="2993B0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70" w:type="dxa"/>
            <w:vMerge w:val="continue"/>
            <w:shd w:val="clear" w:color="auto" w:fill="auto"/>
            <w:noWrap w:val="0"/>
            <w:vAlign w:val="center"/>
          </w:tcPr>
          <w:p w14:paraId="54931984">
            <w:pPr>
              <w:jc w:val="center"/>
              <w:rPr>
                <w:rFonts w:hint="eastAsia" w:ascii="宋体" w:hAnsi="宋体" w:eastAsia="宋体" w:cs="宋体"/>
                <w:i w:val="0"/>
                <w:iCs w:val="0"/>
                <w:color w:val="auto"/>
                <w:sz w:val="20"/>
                <w:szCs w:val="20"/>
                <w:highlight w:val="none"/>
                <w:u w:val="none"/>
              </w:rPr>
            </w:pPr>
          </w:p>
        </w:tc>
        <w:tc>
          <w:tcPr>
            <w:tcW w:w="620" w:type="dxa"/>
            <w:vMerge w:val="continue"/>
            <w:shd w:val="clear" w:color="auto" w:fill="auto"/>
            <w:noWrap w:val="0"/>
            <w:vAlign w:val="center"/>
          </w:tcPr>
          <w:p w14:paraId="6DDC1E79">
            <w:pPr>
              <w:jc w:val="center"/>
              <w:rPr>
                <w:rFonts w:hint="eastAsia" w:ascii="宋体" w:hAnsi="宋体" w:eastAsia="宋体" w:cs="宋体"/>
                <w:i w:val="0"/>
                <w:iCs w:val="0"/>
                <w:color w:val="auto"/>
                <w:sz w:val="20"/>
                <w:szCs w:val="20"/>
                <w:highlight w:val="none"/>
                <w:u w:val="none"/>
              </w:rPr>
            </w:pPr>
          </w:p>
        </w:tc>
        <w:tc>
          <w:tcPr>
            <w:tcW w:w="1210" w:type="dxa"/>
            <w:shd w:val="clear" w:color="auto" w:fill="FFFFFF"/>
            <w:noWrap w:val="0"/>
            <w:vAlign w:val="center"/>
          </w:tcPr>
          <w:p w14:paraId="31AD8F9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运费</w:t>
            </w:r>
          </w:p>
        </w:tc>
        <w:tc>
          <w:tcPr>
            <w:tcW w:w="3110" w:type="dxa"/>
            <w:noWrap w:val="0"/>
            <w:vAlign w:val="center"/>
          </w:tcPr>
          <w:p w14:paraId="5EDB8C5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底盘到厂家，改装后往返</w:t>
            </w:r>
          </w:p>
        </w:tc>
        <w:tc>
          <w:tcPr>
            <w:tcW w:w="750" w:type="dxa"/>
            <w:noWrap w:val="0"/>
            <w:vAlign w:val="center"/>
          </w:tcPr>
          <w:p w14:paraId="0CCA270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740" w:type="dxa"/>
            <w:noWrap w:val="0"/>
            <w:vAlign w:val="center"/>
          </w:tcPr>
          <w:p w14:paraId="2259A56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项</w:t>
            </w:r>
          </w:p>
        </w:tc>
        <w:tc>
          <w:tcPr>
            <w:tcW w:w="1330" w:type="dxa"/>
            <w:noWrap w:val="0"/>
            <w:vAlign w:val="center"/>
          </w:tcPr>
          <w:p w14:paraId="4698D6E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1.50 </w:t>
            </w:r>
          </w:p>
        </w:tc>
        <w:tc>
          <w:tcPr>
            <w:tcW w:w="1220" w:type="dxa"/>
            <w:noWrap w:val="0"/>
            <w:vAlign w:val="center"/>
          </w:tcPr>
          <w:p w14:paraId="20876DE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1.50 </w:t>
            </w:r>
          </w:p>
        </w:tc>
      </w:tr>
      <w:tr w14:paraId="2DE24D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670" w:type="dxa"/>
            <w:vMerge w:val="continue"/>
            <w:shd w:val="clear" w:color="auto" w:fill="auto"/>
            <w:noWrap w:val="0"/>
            <w:vAlign w:val="center"/>
          </w:tcPr>
          <w:p w14:paraId="4045B72B">
            <w:pPr>
              <w:jc w:val="center"/>
              <w:rPr>
                <w:rFonts w:hint="eastAsia" w:ascii="宋体" w:hAnsi="宋体" w:eastAsia="宋体" w:cs="宋体"/>
                <w:i w:val="0"/>
                <w:iCs w:val="0"/>
                <w:color w:val="auto"/>
                <w:sz w:val="20"/>
                <w:szCs w:val="20"/>
                <w:highlight w:val="none"/>
                <w:u w:val="none"/>
              </w:rPr>
            </w:pPr>
          </w:p>
        </w:tc>
        <w:tc>
          <w:tcPr>
            <w:tcW w:w="620" w:type="dxa"/>
            <w:vMerge w:val="continue"/>
            <w:shd w:val="clear" w:color="auto" w:fill="auto"/>
            <w:noWrap w:val="0"/>
            <w:vAlign w:val="center"/>
          </w:tcPr>
          <w:p w14:paraId="3D01EAEB">
            <w:pPr>
              <w:jc w:val="center"/>
              <w:rPr>
                <w:rFonts w:hint="eastAsia" w:ascii="宋体" w:hAnsi="宋体" w:eastAsia="宋体" w:cs="宋体"/>
                <w:i w:val="0"/>
                <w:iCs w:val="0"/>
                <w:color w:val="auto"/>
                <w:sz w:val="20"/>
                <w:szCs w:val="20"/>
                <w:highlight w:val="none"/>
                <w:u w:val="none"/>
              </w:rPr>
            </w:pPr>
          </w:p>
        </w:tc>
        <w:tc>
          <w:tcPr>
            <w:tcW w:w="1210" w:type="dxa"/>
            <w:shd w:val="clear" w:color="auto" w:fill="FFFFFF"/>
            <w:noWrap w:val="0"/>
            <w:vAlign w:val="center"/>
          </w:tcPr>
          <w:p w14:paraId="56C04A1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研发费</w:t>
            </w:r>
          </w:p>
        </w:tc>
        <w:tc>
          <w:tcPr>
            <w:tcW w:w="3110" w:type="dxa"/>
            <w:noWrap w:val="0"/>
            <w:vAlign w:val="center"/>
          </w:tcPr>
          <w:p w14:paraId="4344361D">
            <w:pPr>
              <w:jc w:val="center"/>
              <w:rPr>
                <w:rFonts w:hint="eastAsia" w:ascii="宋体" w:hAnsi="宋体" w:eastAsia="宋体" w:cs="宋体"/>
                <w:i w:val="0"/>
                <w:iCs w:val="0"/>
                <w:color w:val="auto"/>
                <w:sz w:val="20"/>
                <w:szCs w:val="20"/>
                <w:highlight w:val="none"/>
                <w:u w:val="none"/>
              </w:rPr>
            </w:pPr>
          </w:p>
        </w:tc>
        <w:tc>
          <w:tcPr>
            <w:tcW w:w="750" w:type="dxa"/>
            <w:noWrap w:val="0"/>
            <w:vAlign w:val="center"/>
          </w:tcPr>
          <w:p w14:paraId="62A9587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740" w:type="dxa"/>
            <w:noWrap w:val="0"/>
            <w:vAlign w:val="center"/>
          </w:tcPr>
          <w:p w14:paraId="00B3835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项</w:t>
            </w:r>
          </w:p>
        </w:tc>
        <w:tc>
          <w:tcPr>
            <w:tcW w:w="1330" w:type="dxa"/>
            <w:noWrap w:val="0"/>
            <w:vAlign w:val="center"/>
          </w:tcPr>
          <w:p w14:paraId="71F659C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2.00 </w:t>
            </w:r>
          </w:p>
        </w:tc>
        <w:tc>
          <w:tcPr>
            <w:tcW w:w="1220" w:type="dxa"/>
            <w:noWrap w:val="0"/>
            <w:vAlign w:val="center"/>
          </w:tcPr>
          <w:p w14:paraId="7309459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2.00 </w:t>
            </w:r>
          </w:p>
        </w:tc>
      </w:tr>
      <w:tr w14:paraId="239D70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670" w:type="dxa"/>
            <w:vMerge w:val="continue"/>
            <w:noWrap w:val="0"/>
            <w:vAlign w:val="center"/>
          </w:tcPr>
          <w:p w14:paraId="721702A3">
            <w:pPr>
              <w:jc w:val="center"/>
              <w:rPr>
                <w:rFonts w:hint="eastAsia" w:ascii="宋体" w:hAnsi="宋体" w:eastAsia="宋体" w:cs="宋体"/>
                <w:i w:val="0"/>
                <w:iCs w:val="0"/>
                <w:color w:val="auto"/>
                <w:sz w:val="20"/>
                <w:szCs w:val="20"/>
                <w:highlight w:val="none"/>
                <w:u w:val="none"/>
              </w:rPr>
            </w:pPr>
          </w:p>
        </w:tc>
        <w:tc>
          <w:tcPr>
            <w:tcW w:w="7760" w:type="dxa"/>
            <w:gridSpan w:val="6"/>
            <w:noWrap w:val="0"/>
            <w:vAlign w:val="center"/>
          </w:tcPr>
          <w:p w14:paraId="22BB7872">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小计</w:t>
            </w:r>
          </w:p>
        </w:tc>
        <w:tc>
          <w:tcPr>
            <w:tcW w:w="1220" w:type="dxa"/>
            <w:noWrap w:val="0"/>
            <w:vAlign w:val="center"/>
          </w:tcPr>
          <w:p w14:paraId="73A40890">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 xml:space="preserve">55.64 </w:t>
            </w:r>
          </w:p>
        </w:tc>
      </w:tr>
      <w:tr w14:paraId="0CF4DF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670" w:type="dxa"/>
            <w:vMerge w:val="restart"/>
            <w:noWrap w:val="0"/>
            <w:vAlign w:val="center"/>
          </w:tcPr>
          <w:p w14:paraId="508121D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宿营车2台</w:t>
            </w:r>
          </w:p>
        </w:tc>
        <w:tc>
          <w:tcPr>
            <w:tcW w:w="620" w:type="dxa"/>
            <w:vMerge w:val="restart"/>
            <w:noWrap w:val="0"/>
            <w:vAlign w:val="center"/>
          </w:tcPr>
          <w:p w14:paraId="6C09B6B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全车改装</w:t>
            </w:r>
          </w:p>
        </w:tc>
        <w:tc>
          <w:tcPr>
            <w:tcW w:w="1210" w:type="dxa"/>
            <w:noWrap w:val="0"/>
            <w:vAlign w:val="center"/>
          </w:tcPr>
          <w:p w14:paraId="352F741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宿营车座椅改装</w:t>
            </w:r>
          </w:p>
        </w:tc>
        <w:tc>
          <w:tcPr>
            <w:tcW w:w="3110" w:type="dxa"/>
            <w:noWrap w:val="0"/>
            <w:vAlign w:val="center"/>
          </w:tcPr>
          <w:p w14:paraId="4A948F38">
            <w:pPr>
              <w:keepNext w:val="0"/>
              <w:keepLines w:val="0"/>
              <w:widowControl/>
              <w:numPr>
                <w:ilvl w:val="0"/>
                <w:numId w:val="11"/>
              </w:numPr>
              <w:suppressLineNumbers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座椅拆卸后改装为可折叠式行军床，长度≥175cm，宽度≥80cm，铰链链接。</w:t>
            </w:r>
          </w:p>
          <w:p w14:paraId="6DC81E1E">
            <w:pPr>
              <w:keepNext w:val="0"/>
              <w:keepLines w:val="0"/>
              <w:widowControl/>
              <w:numPr>
                <w:ilvl w:val="0"/>
                <w:numId w:val="11"/>
              </w:numPr>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钢架，实木床板，折叠弹簧支腿。座椅皮质软包</w:t>
            </w:r>
          </w:p>
        </w:tc>
        <w:tc>
          <w:tcPr>
            <w:tcW w:w="750" w:type="dxa"/>
            <w:noWrap w:val="0"/>
            <w:vAlign w:val="center"/>
          </w:tcPr>
          <w:p w14:paraId="41D1FF4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28</w:t>
            </w:r>
          </w:p>
        </w:tc>
        <w:tc>
          <w:tcPr>
            <w:tcW w:w="740" w:type="dxa"/>
            <w:noWrap w:val="0"/>
            <w:vAlign w:val="center"/>
          </w:tcPr>
          <w:p w14:paraId="46A8000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1330" w:type="dxa"/>
            <w:noWrap w:val="0"/>
            <w:vAlign w:val="center"/>
          </w:tcPr>
          <w:p w14:paraId="1C4959B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0.65</w:t>
            </w:r>
          </w:p>
        </w:tc>
        <w:tc>
          <w:tcPr>
            <w:tcW w:w="1220" w:type="dxa"/>
            <w:noWrap w:val="0"/>
            <w:vAlign w:val="center"/>
          </w:tcPr>
          <w:p w14:paraId="4ACAE7A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18.20 </w:t>
            </w:r>
          </w:p>
        </w:tc>
      </w:tr>
      <w:tr w14:paraId="4DB56B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670" w:type="dxa"/>
            <w:vMerge w:val="continue"/>
            <w:noWrap w:val="0"/>
            <w:vAlign w:val="center"/>
          </w:tcPr>
          <w:p w14:paraId="34921AC2">
            <w:pPr>
              <w:jc w:val="center"/>
              <w:rPr>
                <w:rFonts w:hint="eastAsia" w:ascii="宋体" w:hAnsi="宋体" w:eastAsia="宋体" w:cs="宋体"/>
                <w:i w:val="0"/>
                <w:iCs w:val="0"/>
                <w:color w:val="auto"/>
                <w:sz w:val="20"/>
                <w:szCs w:val="20"/>
                <w:highlight w:val="none"/>
                <w:u w:val="none"/>
              </w:rPr>
            </w:pPr>
          </w:p>
        </w:tc>
        <w:tc>
          <w:tcPr>
            <w:tcW w:w="620" w:type="dxa"/>
            <w:vMerge w:val="continue"/>
            <w:noWrap w:val="0"/>
            <w:vAlign w:val="center"/>
          </w:tcPr>
          <w:p w14:paraId="367DAD59">
            <w:pPr>
              <w:jc w:val="center"/>
              <w:rPr>
                <w:rFonts w:hint="eastAsia" w:ascii="宋体" w:hAnsi="宋体" w:eastAsia="宋体" w:cs="宋体"/>
                <w:i w:val="0"/>
                <w:iCs w:val="0"/>
                <w:color w:val="auto"/>
                <w:sz w:val="20"/>
                <w:szCs w:val="20"/>
                <w:highlight w:val="none"/>
                <w:u w:val="none"/>
              </w:rPr>
            </w:pPr>
          </w:p>
        </w:tc>
        <w:tc>
          <w:tcPr>
            <w:tcW w:w="1210" w:type="dxa"/>
            <w:noWrap w:val="0"/>
            <w:vAlign w:val="center"/>
          </w:tcPr>
          <w:p w14:paraId="7620424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侧帘改装</w:t>
            </w:r>
          </w:p>
        </w:tc>
        <w:tc>
          <w:tcPr>
            <w:tcW w:w="3110" w:type="dxa"/>
            <w:noWrap w:val="0"/>
            <w:vAlign w:val="center"/>
          </w:tcPr>
          <w:p w14:paraId="2B59013A">
            <w:pPr>
              <w:keepNext w:val="0"/>
              <w:keepLines w:val="0"/>
              <w:widowControl/>
              <w:numPr>
                <w:ilvl w:val="0"/>
                <w:numId w:val="12"/>
              </w:numPr>
              <w:suppressLineNumbers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采用军用防雨软帘不低于700*180cm，上下滑轨链接，每侧三个不低于40*60cm透明窗（不可开启）每个窗配备遮阳软帘，左右两侧后方各一个拉链式开启舱门不低于80*160cm。</w:t>
            </w:r>
          </w:p>
          <w:p w14:paraId="7E1F20CD">
            <w:pPr>
              <w:keepNext w:val="0"/>
              <w:keepLines w:val="0"/>
              <w:widowControl/>
              <w:numPr>
                <w:ilvl w:val="0"/>
                <w:numId w:val="12"/>
              </w:numPr>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左右软帘中部加装弹性胶带。</w:t>
            </w:r>
          </w:p>
        </w:tc>
        <w:tc>
          <w:tcPr>
            <w:tcW w:w="750" w:type="dxa"/>
            <w:noWrap w:val="0"/>
            <w:vAlign w:val="center"/>
          </w:tcPr>
          <w:p w14:paraId="6C23528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w:t>
            </w:r>
          </w:p>
        </w:tc>
        <w:tc>
          <w:tcPr>
            <w:tcW w:w="740" w:type="dxa"/>
            <w:noWrap w:val="0"/>
            <w:vAlign w:val="center"/>
          </w:tcPr>
          <w:p w14:paraId="5B95B06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1330" w:type="dxa"/>
            <w:noWrap w:val="0"/>
            <w:vAlign w:val="center"/>
          </w:tcPr>
          <w:p w14:paraId="227727B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w:t>
            </w:r>
          </w:p>
        </w:tc>
        <w:tc>
          <w:tcPr>
            <w:tcW w:w="1220" w:type="dxa"/>
            <w:noWrap w:val="0"/>
            <w:vAlign w:val="center"/>
          </w:tcPr>
          <w:p w14:paraId="381B837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8.00 </w:t>
            </w:r>
          </w:p>
        </w:tc>
      </w:tr>
      <w:tr w14:paraId="65D345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670" w:type="dxa"/>
            <w:vMerge w:val="continue"/>
            <w:noWrap w:val="0"/>
            <w:vAlign w:val="center"/>
          </w:tcPr>
          <w:p w14:paraId="74DF5714">
            <w:pPr>
              <w:jc w:val="center"/>
              <w:rPr>
                <w:rFonts w:hint="eastAsia" w:ascii="宋体" w:hAnsi="宋体" w:eastAsia="宋体" w:cs="宋体"/>
                <w:i w:val="0"/>
                <w:iCs w:val="0"/>
                <w:color w:val="auto"/>
                <w:sz w:val="20"/>
                <w:szCs w:val="20"/>
                <w:highlight w:val="none"/>
                <w:u w:val="none"/>
              </w:rPr>
            </w:pPr>
          </w:p>
        </w:tc>
        <w:tc>
          <w:tcPr>
            <w:tcW w:w="620" w:type="dxa"/>
            <w:vMerge w:val="continue"/>
            <w:noWrap w:val="0"/>
            <w:vAlign w:val="center"/>
          </w:tcPr>
          <w:p w14:paraId="3A2733C1">
            <w:pPr>
              <w:jc w:val="center"/>
              <w:rPr>
                <w:rFonts w:hint="eastAsia" w:ascii="宋体" w:hAnsi="宋体" w:eastAsia="宋体" w:cs="宋体"/>
                <w:i w:val="0"/>
                <w:iCs w:val="0"/>
                <w:color w:val="auto"/>
                <w:sz w:val="20"/>
                <w:szCs w:val="20"/>
                <w:highlight w:val="none"/>
                <w:u w:val="none"/>
              </w:rPr>
            </w:pPr>
          </w:p>
        </w:tc>
        <w:tc>
          <w:tcPr>
            <w:tcW w:w="1210" w:type="dxa"/>
            <w:noWrap w:val="0"/>
            <w:vAlign w:val="center"/>
          </w:tcPr>
          <w:p w14:paraId="57296C9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驾驶室座椅改装</w:t>
            </w:r>
          </w:p>
        </w:tc>
        <w:tc>
          <w:tcPr>
            <w:tcW w:w="3110" w:type="dxa"/>
            <w:noWrap w:val="0"/>
            <w:vAlign w:val="center"/>
          </w:tcPr>
          <w:p w14:paraId="4A77271A">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正驾驶包装皮质软包。</w:t>
            </w:r>
          </w:p>
        </w:tc>
        <w:tc>
          <w:tcPr>
            <w:tcW w:w="750" w:type="dxa"/>
            <w:noWrap w:val="0"/>
            <w:vAlign w:val="center"/>
          </w:tcPr>
          <w:p w14:paraId="7F33AF6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w:t>
            </w:r>
          </w:p>
        </w:tc>
        <w:tc>
          <w:tcPr>
            <w:tcW w:w="740" w:type="dxa"/>
            <w:noWrap w:val="0"/>
            <w:vAlign w:val="center"/>
          </w:tcPr>
          <w:p w14:paraId="2C52EFC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1330" w:type="dxa"/>
            <w:noWrap w:val="0"/>
            <w:vAlign w:val="center"/>
          </w:tcPr>
          <w:p w14:paraId="7BD1135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0.5</w:t>
            </w:r>
          </w:p>
        </w:tc>
        <w:tc>
          <w:tcPr>
            <w:tcW w:w="1220" w:type="dxa"/>
            <w:noWrap w:val="0"/>
            <w:vAlign w:val="center"/>
          </w:tcPr>
          <w:p w14:paraId="57F8000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1.00 </w:t>
            </w:r>
          </w:p>
        </w:tc>
      </w:tr>
      <w:tr w14:paraId="10320F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670" w:type="dxa"/>
            <w:vMerge w:val="continue"/>
            <w:noWrap w:val="0"/>
            <w:vAlign w:val="center"/>
          </w:tcPr>
          <w:p w14:paraId="5AAB1261">
            <w:pPr>
              <w:jc w:val="center"/>
              <w:rPr>
                <w:rFonts w:hint="eastAsia" w:ascii="宋体" w:hAnsi="宋体" w:eastAsia="宋体" w:cs="宋体"/>
                <w:i w:val="0"/>
                <w:iCs w:val="0"/>
                <w:color w:val="auto"/>
                <w:sz w:val="20"/>
                <w:szCs w:val="20"/>
                <w:highlight w:val="none"/>
                <w:u w:val="none"/>
              </w:rPr>
            </w:pPr>
          </w:p>
        </w:tc>
        <w:tc>
          <w:tcPr>
            <w:tcW w:w="620" w:type="dxa"/>
            <w:vMerge w:val="continue"/>
            <w:noWrap w:val="0"/>
            <w:vAlign w:val="center"/>
          </w:tcPr>
          <w:p w14:paraId="3C3FC27A">
            <w:pPr>
              <w:jc w:val="center"/>
              <w:rPr>
                <w:rFonts w:hint="eastAsia" w:ascii="宋体" w:hAnsi="宋体" w:eastAsia="宋体" w:cs="宋体"/>
                <w:i w:val="0"/>
                <w:iCs w:val="0"/>
                <w:color w:val="auto"/>
                <w:sz w:val="20"/>
                <w:szCs w:val="20"/>
                <w:highlight w:val="none"/>
                <w:u w:val="none"/>
              </w:rPr>
            </w:pPr>
          </w:p>
        </w:tc>
        <w:tc>
          <w:tcPr>
            <w:tcW w:w="1210" w:type="dxa"/>
            <w:noWrap w:val="0"/>
            <w:vAlign w:val="center"/>
          </w:tcPr>
          <w:p w14:paraId="11C2B35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超静音发电机组安装</w:t>
            </w:r>
          </w:p>
        </w:tc>
        <w:tc>
          <w:tcPr>
            <w:tcW w:w="3110" w:type="dxa"/>
            <w:noWrap w:val="0"/>
            <w:vAlign w:val="center"/>
          </w:tcPr>
          <w:p w14:paraId="760159BA">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不低于5000瓦静音汽油发电机双电压220v</w:t>
            </w:r>
          </w:p>
        </w:tc>
        <w:tc>
          <w:tcPr>
            <w:tcW w:w="750" w:type="dxa"/>
            <w:noWrap w:val="0"/>
            <w:vAlign w:val="center"/>
          </w:tcPr>
          <w:p w14:paraId="0773807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w:t>
            </w:r>
          </w:p>
        </w:tc>
        <w:tc>
          <w:tcPr>
            <w:tcW w:w="740" w:type="dxa"/>
            <w:noWrap w:val="0"/>
            <w:vAlign w:val="center"/>
          </w:tcPr>
          <w:p w14:paraId="5A9176D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1330" w:type="dxa"/>
            <w:noWrap w:val="0"/>
            <w:vAlign w:val="center"/>
          </w:tcPr>
          <w:p w14:paraId="3BB7D6D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3.88 </w:t>
            </w:r>
          </w:p>
        </w:tc>
        <w:tc>
          <w:tcPr>
            <w:tcW w:w="1220" w:type="dxa"/>
            <w:noWrap w:val="0"/>
            <w:vAlign w:val="center"/>
          </w:tcPr>
          <w:p w14:paraId="2570E14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7.76 </w:t>
            </w:r>
          </w:p>
        </w:tc>
      </w:tr>
      <w:tr w14:paraId="2FB186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670" w:type="dxa"/>
            <w:vMerge w:val="continue"/>
            <w:noWrap w:val="0"/>
            <w:vAlign w:val="center"/>
          </w:tcPr>
          <w:p w14:paraId="3FF2BF0D">
            <w:pPr>
              <w:jc w:val="center"/>
              <w:rPr>
                <w:rFonts w:hint="eastAsia" w:ascii="宋体" w:hAnsi="宋体" w:eastAsia="宋体" w:cs="宋体"/>
                <w:i w:val="0"/>
                <w:iCs w:val="0"/>
                <w:color w:val="auto"/>
                <w:sz w:val="20"/>
                <w:szCs w:val="20"/>
                <w:highlight w:val="none"/>
                <w:u w:val="none"/>
              </w:rPr>
            </w:pPr>
          </w:p>
        </w:tc>
        <w:tc>
          <w:tcPr>
            <w:tcW w:w="620" w:type="dxa"/>
            <w:vMerge w:val="continue"/>
            <w:noWrap w:val="0"/>
            <w:vAlign w:val="center"/>
          </w:tcPr>
          <w:p w14:paraId="2A6E6EFC">
            <w:pPr>
              <w:jc w:val="center"/>
              <w:rPr>
                <w:rFonts w:hint="eastAsia" w:ascii="宋体" w:hAnsi="宋体" w:eastAsia="宋体" w:cs="宋体"/>
                <w:i w:val="0"/>
                <w:iCs w:val="0"/>
                <w:color w:val="auto"/>
                <w:sz w:val="20"/>
                <w:szCs w:val="20"/>
                <w:highlight w:val="none"/>
                <w:u w:val="none"/>
              </w:rPr>
            </w:pPr>
          </w:p>
        </w:tc>
        <w:tc>
          <w:tcPr>
            <w:tcW w:w="1210" w:type="dxa"/>
            <w:noWrap w:val="0"/>
            <w:vAlign w:val="center"/>
          </w:tcPr>
          <w:p w14:paraId="446FAD5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逆变器安装</w:t>
            </w:r>
          </w:p>
        </w:tc>
        <w:tc>
          <w:tcPr>
            <w:tcW w:w="3110" w:type="dxa"/>
            <w:noWrap w:val="0"/>
            <w:vAlign w:val="center"/>
          </w:tcPr>
          <w:p w14:paraId="32E1FF00">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不低于3000瓦逆变器:220V 50Hz</w:t>
            </w:r>
          </w:p>
        </w:tc>
        <w:tc>
          <w:tcPr>
            <w:tcW w:w="750" w:type="dxa"/>
            <w:noWrap w:val="0"/>
            <w:vAlign w:val="center"/>
          </w:tcPr>
          <w:p w14:paraId="3B11076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w:t>
            </w:r>
          </w:p>
        </w:tc>
        <w:tc>
          <w:tcPr>
            <w:tcW w:w="740" w:type="dxa"/>
            <w:noWrap w:val="0"/>
            <w:vAlign w:val="center"/>
          </w:tcPr>
          <w:p w14:paraId="61BB910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1330" w:type="dxa"/>
            <w:noWrap w:val="0"/>
            <w:vAlign w:val="center"/>
          </w:tcPr>
          <w:p w14:paraId="2EFC282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0.3</w:t>
            </w:r>
          </w:p>
        </w:tc>
        <w:tc>
          <w:tcPr>
            <w:tcW w:w="1220" w:type="dxa"/>
            <w:noWrap w:val="0"/>
            <w:vAlign w:val="center"/>
          </w:tcPr>
          <w:p w14:paraId="2780349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0.60 </w:t>
            </w:r>
          </w:p>
        </w:tc>
      </w:tr>
      <w:tr w14:paraId="4B8920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670" w:type="dxa"/>
            <w:vMerge w:val="continue"/>
            <w:noWrap w:val="0"/>
            <w:vAlign w:val="center"/>
          </w:tcPr>
          <w:p w14:paraId="0B7EC1DD">
            <w:pPr>
              <w:jc w:val="center"/>
              <w:rPr>
                <w:rFonts w:hint="eastAsia" w:ascii="宋体" w:hAnsi="宋体" w:eastAsia="宋体" w:cs="宋体"/>
                <w:i w:val="0"/>
                <w:iCs w:val="0"/>
                <w:color w:val="auto"/>
                <w:sz w:val="20"/>
                <w:szCs w:val="20"/>
                <w:highlight w:val="none"/>
                <w:u w:val="none"/>
              </w:rPr>
            </w:pPr>
          </w:p>
        </w:tc>
        <w:tc>
          <w:tcPr>
            <w:tcW w:w="620" w:type="dxa"/>
            <w:vMerge w:val="continue"/>
            <w:noWrap w:val="0"/>
            <w:vAlign w:val="center"/>
          </w:tcPr>
          <w:p w14:paraId="03133185">
            <w:pPr>
              <w:jc w:val="center"/>
              <w:rPr>
                <w:rFonts w:hint="eastAsia" w:ascii="宋体" w:hAnsi="宋体" w:eastAsia="宋体" w:cs="宋体"/>
                <w:i w:val="0"/>
                <w:iCs w:val="0"/>
                <w:color w:val="auto"/>
                <w:sz w:val="20"/>
                <w:szCs w:val="20"/>
                <w:highlight w:val="none"/>
                <w:u w:val="none"/>
              </w:rPr>
            </w:pPr>
          </w:p>
        </w:tc>
        <w:tc>
          <w:tcPr>
            <w:tcW w:w="1210" w:type="dxa"/>
            <w:noWrap w:val="0"/>
            <w:vAlign w:val="center"/>
          </w:tcPr>
          <w:p w14:paraId="586D5CC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折叠桌板安装</w:t>
            </w:r>
          </w:p>
        </w:tc>
        <w:tc>
          <w:tcPr>
            <w:tcW w:w="3110" w:type="dxa"/>
            <w:noWrap w:val="0"/>
            <w:vAlign w:val="center"/>
          </w:tcPr>
          <w:p w14:paraId="600A624D">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折叠桌板尺寸不低于18*36cm，折叠方式对折</w:t>
            </w:r>
          </w:p>
        </w:tc>
        <w:tc>
          <w:tcPr>
            <w:tcW w:w="750" w:type="dxa"/>
            <w:noWrap w:val="0"/>
            <w:vAlign w:val="center"/>
          </w:tcPr>
          <w:p w14:paraId="5EAEA4E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28</w:t>
            </w:r>
          </w:p>
        </w:tc>
        <w:tc>
          <w:tcPr>
            <w:tcW w:w="740" w:type="dxa"/>
            <w:noWrap w:val="0"/>
            <w:vAlign w:val="center"/>
          </w:tcPr>
          <w:p w14:paraId="6B3D715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1330" w:type="dxa"/>
            <w:noWrap w:val="0"/>
            <w:vAlign w:val="center"/>
          </w:tcPr>
          <w:p w14:paraId="55BF1CB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0.32</w:t>
            </w:r>
          </w:p>
        </w:tc>
        <w:tc>
          <w:tcPr>
            <w:tcW w:w="1220" w:type="dxa"/>
            <w:noWrap w:val="0"/>
            <w:vAlign w:val="center"/>
          </w:tcPr>
          <w:p w14:paraId="7BE33F3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8.96 </w:t>
            </w:r>
          </w:p>
        </w:tc>
      </w:tr>
      <w:tr w14:paraId="1855D0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670" w:type="dxa"/>
            <w:vMerge w:val="continue"/>
            <w:noWrap w:val="0"/>
            <w:vAlign w:val="center"/>
          </w:tcPr>
          <w:p w14:paraId="3E90CEDF">
            <w:pPr>
              <w:jc w:val="center"/>
              <w:rPr>
                <w:rFonts w:hint="eastAsia" w:ascii="宋体" w:hAnsi="宋体" w:eastAsia="宋体" w:cs="宋体"/>
                <w:i w:val="0"/>
                <w:iCs w:val="0"/>
                <w:color w:val="auto"/>
                <w:sz w:val="20"/>
                <w:szCs w:val="20"/>
                <w:highlight w:val="none"/>
                <w:u w:val="none"/>
              </w:rPr>
            </w:pPr>
          </w:p>
        </w:tc>
        <w:tc>
          <w:tcPr>
            <w:tcW w:w="620" w:type="dxa"/>
            <w:vMerge w:val="continue"/>
            <w:noWrap w:val="0"/>
            <w:vAlign w:val="center"/>
          </w:tcPr>
          <w:p w14:paraId="362DAE01">
            <w:pPr>
              <w:jc w:val="center"/>
              <w:rPr>
                <w:rFonts w:hint="eastAsia" w:ascii="宋体" w:hAnsi="宋体" w:eastAsia="宋体" w:cs="宋体"/>
                <w:i w:val="0"/>
                <w:iCs w:val="0"/>
                <w:color w:val="auto"/>
                <w:sz w:val="20"/>
                <w:szCs w:val="20"/>
                <w:highlight w:val="none"/>
                <w:u w:val="none"/>
              </w:rPr>
            </w:pPr>
          </w:p>
        </w:tc>
        <w:tc>
          <w:tcPr>
            <w:tcW w:w="1210" w:type="dxa"/>
            <w:noWrap w:val="0"/>
            <w:vAlign w:val="center"/>
          </w:tcPr>
          <w:p w14:paraId="7CFB7AD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电源插座加装</w:t>
            </w:r>
          </w:p>
        </w:tc>
        <w:tc>
          <w:tcPr>
            <w:tcW w:w="3110" w:type="dxa"/>
            <w:noWrap w:val="0"/>
            <w:vAlign w:val="center"/>
          </w:tcPr>
          <w:p w14:paraId="4C290410">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座椅上方四组12A插座带USB插孔</w:t>
            </w:r>
          </w:p>
        </w:tc>
        <w:tc>
          <w:tcPr>
            <w:tcW w:w="750" w:type="dxa"/>
            <w:noWrap w:val="0"/>
            <w:vAlign w:val="center"/>
          </w:tcPr>
          <w:p w14:paraId="386A200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28</w:t>
            </w:r>
          </w:p>
        </w:tc>
        <w:tc>
          <w:tcPr>
            <w:tcW w:w="740" w:type="dxa"/>
            <w:noWrap w:val="0"/>
            <w:vAlign w:val="center"/>
          </w:tcPr>
          <w:p w14:paraId="104B21A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1330" w:type="dxa"/>
            <w:noWrap w:val="0"/>
            <w:vAlign w:val="center"/>
          </w:tcPr>
          <w:p w14:paraId="67360C8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0.03</w:t>
            </w:r>
          </w:p>
        </w:tc>
        <w:tc>
          <w:tcPr>
            <w:tcW w:w="1220" w:type="dxa"/>
            <w:noWrap w:val="0"/>
            <w:vAlign w:val="center"/>
          </w:tcPr>
          <w:p w14:paraId="6C6ED9D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0.84 </w:t>
            </w:r>
          </w:p>
        </w:tc>
      </w:tr>
      <w:tr w14:paraId="07EC0B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670" w:type="dxa"/>
            <w:vMerge w:val="continue"/>
            <w:noWrap w:val="0"/>
            <w:vAlign w:val="center"/>
          </w:tcPr>
          <w:p w14:paraId="52BCDAD4">
            <w:pPr>
              <w:jc w:val="center"/>
              <w:rPr>
                <w:rFonts w:hint="eastAsia" w:ascii="宋体" w:hAnsi="宋体" w:eastAsia="宋体" w:cs="宋体"/>
                <w:i w:val="0"/>
                <w:iCs w:val="0"/>
                <w:color w:val="auto"/>
                <w:sz w:val="20"/>
                <w:szCs w:val="20"/>
                <w:highlight w:val="none"/>
                <w:u w:val="none"/>
              </w:rPr>
            </w:pPr>
          </w:p>
        </w:tc>
        <w:tc>
          <w:tcPr>
            <w:tcW w:w="620" w:type="dxa"/>
            <w:vMerge w:val="continue"/>
            <w:noWrap w:val="0"/>
            <w:vAlign w:val="center"/>
          </w:tcPr>
          <w:p w14:paraId="0525A90B">
            <w:pPr>
              <w:jc w:val="center"/>
              <w:rPr>
                <w:rFonts w:hint="eastAsia" w:ascii="宋体" w:hAnsi="宋体" w:eastAsia="宋体" w:cs="宋体"/>
                <w:i w:val="0"/>
                <w:iCs w:val="0"/>
                <w:color w:val="auto"/>
                <w:sz w:val="20"/>
                <w:szCs w:val="20"/>
                <w:highlight w:val="none"/>
                <w:u w:val="none"/>
              </w:rPr>
            </w:pPr>
          </w:p>
        </w:tc>
        <w:tc>
          <w:tcPr>
            <w:tcW w:w="1210" w:type="dxa"/>
            <w:noWrap w:val="0"/>
            <w:vAlign w:val="center"/>
          </w:tcPr>
          <w:p w14:paraId="039E59D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副驾驶改装</w:t>
            </w:r>
          </w:p>
        </w:tc>
        <w:tc>
          <w:tcPr>
            <w:tcW w:w="3110" w:type="dxa"/>
            <w:noWrap w:val="0"/>
            <w:vAlign w:val="center"/>
          </w:tcPr>
          <w:p w14:paraId="3C3D028A">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副驾驶安装壁挂式可折叠座椅</w:t>
            </w:r>
          </w:p>
        </w:tc>
        <w:tc>
          <w:tcPr>
            <w:tcW w:w="750" w:type="dxa"/>
            <w:noWrap w:val="0"/>
            <w:vAlign w:val="center"/>
          </w:tcPr>
          <w:p w14:paraId="137AF2F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w:t>
            </w:r>
          </w:p>
        </w:tc>
        <w:tc>
          <w:tcPr>
            <w:tcW w:w="740" w:type="dxa"/>
            <w:noWrap w:val="0"/>
            <w:vAlign w:val="center"/>
          </w:tcPr>
          <w:p w14:paraId="1954441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1330" w:type="dxa"/>
            <w:noWrap w:val="0"/>
            <w:vAlign w:val="center"/>
          </w:tcPr>
          <w:p w14:paraId="1CE4006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0.3</w:t>
            </w:r>
          </w:p>
        </w:tc>
        <w:tc>
          <w:tcPr>
            <w:tcW w:w="1220" w:type="dxa"/>
            <w:noWrap w:val="0"/>
            <w:vAlign w:val="center"/>
          </w:tcPr>
          <w:p w14:paraId="64D85AD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0.60 </w:t>
            </w:r>
          </w:p>
        </w:tc>
      </w:tr>
      <w:tr w14:paraId="335E4B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670" w:type="dxa"/>
            <w:vMerge w:val="continue"/>
            <w:noWrap w:val="0"/>
            <w:vAlign w:val="center"/>
          </w:tcPr>
          <w:p w14:paraId="4E707403">
            <w:pPr>
              <w:jc w:val="center"/>
              <w:rPr>
                <w:rFonts w:hint="eastAsia" w:ascii="宋体" w:hAnsi="宋体" w:eastAsia="宋体" w:cs="宋体"/>
                <w:i w:val="0"/>
                <w:iCs w:val="0"/>
                <w:color w:val="auto"/>
                <w:sz w:val="20"/>
                <w:szCs w:val="20"/>
                <w:highlight w:val="none"/>
                <w:u w:val="none"/>
              </w:rPr>
            </w:pPr>
          </w:p>
        </w:tc>
        <w:tc>
          <w:tcPr>
            <w:tcW w:w="620" w:type="dxa"/>
            <w:vMerge w:val="continue"/>
            <w:noWrap w:val="0"/>
            <w:vAlign w:val="center"/>
          </w:tcPr>
          <w:p w14:paraId="78684D54">
            <w:pPr>
              <w:jc w:val="center"/>
              <w:rPr>
                <w:rFonts w:hint="eastAsia" w:ascii="宋体" w:hAnsi="宋体" w:eastAsia="宋体" w:cs="宋体"/>
                <w:i w:val="0"/>
                <w:iCs w:val="0"/>
                <w:color w:val="auto"/>
                <w:sz w:val="20"/>
                <w:szCs w:val="20"/>
                <w:highlight w:val="none"/>
                <w:u w:val="none"/>
              </w:rPr>
            </w:pPr>
          </w:p>
        </w:tc>
        <w:tc>
          <w:tcPr>
            <w:tcW w:w="1210" w:type="dxa"/>
            <w:noWrap w:val="0"/>
            <w:vAlign w:val="center"/>
          </w:tcPr>
          <w:p w14:paraId="5FA4458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多档照明灯改装</w:t>
            </w:r>
          </w:p>
        </w:tc>
        <w:tc>
          <w:tcPr>
            <w:tcW w:w="3110" w:type="dxa"/>
            <w:noWrap w:val="0"/>
            <w:vAlign w:val="center"/>
          </w:tcPr>
          <w:p w14:paraId="2F5B133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更换灯具总成，强弱光可调。</w:t>
            </w:r>
          </w:p>
        </w:tc>
        <w:tc>
          <w:tcPr>
            <w:tcW w:w="750" w:type="dxa"/>
            <w:noWrap w:val="0"/>
            <w:vAlign w:val="center"/>
          </w:tcPr>
          <w:p w14:paraId="0585674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w:t>
            </w:r>
          </w:p>
        </w:tc>
        <w:tc>
          <w:tcPr>
            <w:tcW w:w="740" w:type="dxa"/>
            <w:noWrap w:val="0"/>
            <w:vAlign w:val="center"/>
          </w:tcPr>
          <w:p w14:paraId="0F5C768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1330" w:type="dxa"/>
            <w:noWrap w:val="0"/>
            <w:vAlign w:val="center"/>
          </w:tcPr>
          <w:p w14:paraId="61E9736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0.4</w:t>
            </w:r>
          </w:p>
        </w:tc>
        <w:tc>
          <w:tcPr>
            <w:tcW w:w="1220" w:type="dxa"/>
            <w:noWrap w:val="0"/>
            <w:vAlign w:val="center"/>
          </w:tcPr>
          <w:p w14:paraId="51288AF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0.80 </w:t>
            </w:r>
          </w:p>
        </w:tc>
      </w:tr>
      <w:tr w14:paraId="2299CB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670" w:type="dxa"/>
            <w:vMerge w:val="continue"/>
            <w:noWrap w:val="0"/>
            <w:vAlign w:val="center"/>
          </w:tcPr>
          <w:p w14:paraId="3D27E847">
            <w:pPr>
              <w:jc w:val="center"/>
              <w:rPr>
                <w:rFonts w:hint="eastAsia" w:ascii="宋体" w:hAnsi="宋体" w:eastAsia="宋体" w:cs="宋体"/>
                <w:i w:val="0"/>
                <w:iCs w:val="0"/>
                <w:color w:val="auto"/>
                <w:sz w:val="20"/>
                <w:szCs w:val="20"/>
                <w:highlight w:val="none"/>
                <w:u w:val="none"/>
              </w:rPr>
            </w:pPr>
          </w:p>
        </w:tc>
        <w:tc>
          <w:tcPr>
            <w:tcW w:w="620" w:type="dxa"/>
            <w:vMerge w:val="continue"/>
            <w:noWrap w:val="0"/>
            <w:vAlign w:val="center"/>
          </w:tcPr>
          <w:p w14:paraId="40861050">
            <w:pPr>
              <w:jc w:val="center"/>
              <w:rPr>
                <w:rFonts w:hint="eastAsia" w:ascii="宋体" w:hAnsi="宋体" w:eastAsia="宋体" w:cs="宋体"/>
                <w:i w:val="0"/>
                <w:iCs w:val="0"/>
                <w:color w:val="auto"/>
                <w:sz w:val="20"/>
                <w:szCs w:val="20"/>
                <w:highlight w:val="none"/>
                <w:u w:val="none"/>
              </w:rPr>
            </w:pPr>
          </w:p>
        </w:tc>
        <w:tc>
          <w:tcPr>
            <w:tcW w:w="1210" w:type="dxa"/>
            <w:noWrap w:val="0"/>
            <w:vAlign w:val="center"/>
          </w:tcPr>
          <w:p w14:paraId="7316E54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灯带改装</w:t>
            </w:r>
          </w:p>
        </w:tc>
        <w:tc>
          <w:tcPr>
            <w:tcW w:w="3110" w:type="dxa"/>
            <w:noWrap w:val="0"/>
            <w:vAlign w:val="center"/>
          </w:tcPr>
          <w:p w14:paraId="7B49432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左右拓展区域加装LED灯带</w:t>
            </w:r>
          </w:p>
        </w:tc>
        <w:tc>
          <w:tcPr>
            <w:tcW w:w="750" w:type="dxa"/>
            <w:noWrap w:val="0"/>
            <w:vAlign w:val="center"/>
          </w:tcPr>
          <w:p w14:paraId="6D3B612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w:t>
            </w:r>
          </w:p>
        </w:tc>
        <w:tc>
          <w:tcPr>
            <w:tcW w:w="740" w:type="dxa"/>
            <w:noWrap w:val="0"/>
            <w:vAlign w:val="center"/>
          </w:tcPr>
          <w:p w14:paraId="25D374C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1330" w:type="dxa"/>
            <w:noWrap w:val="0"/>
            <w:vAlign w:val="center"/>
          </w:tcPr>
          <w:p w14:paraId="7CB6EB7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0.1</w:t>
            </w:r>
          </w:p>
        </w:tc>
        <w:tc>
          <w:tcPr>
            <w:tcW w:w="1220" w:type="dxa"/>
            <w:noWrap w:val="0"/>
            <w:vAlign w:val="center"/>
          </w:tcPr>
          <w:p w14:paraId="5842548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0.40 </w:t>
            </w:r>
          </w:p>
        </w:tc>
      </w:tr>
      <w:tr w14:paraId="0EEF05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670" w:type="dxa"/>
            <w:vMerge w:val="continue"/>
            <w:noWrap w:val="0"/>
            <w:vAlign w:val="center"/>
          </w:tcPr>
          <w:p w14:paraId="46063CE6">
            <w:pPr>
              <w:jc w:val="center"/>
              <w:rPr>
                <w:rFonts w:hint="eastAsia" w:ascii="宋体" w:hAnsi="宋体" w:eastAsia="宋体" w:cs="宋体"/>
                <w:i w:val="0"/>
                <w:iCs w:val="0"/>
                <w:color w:val="auto"/>
                <w:sz w:val="20"/>
                <w:szCs w:val="20"/>
                <w:highlight w:val="none"/>
                <w:u w:val="none"/>
              </w:rPr>
            </w:pPr>
          </w:p>
        </w:tc>
        <w:tc>
          <w:tcPr>
            <w:tcW w:w="620" w:type="dxa"/>
            <w:vMerge w:val="continue"/>
            <w:noWrap w:val="0"/>
            <w:vAlign w:val="center"/>
          </w:tcPr>
          <w:p w14:paraId="7C8AFCF9">
            <w:pPr>
              <w:jc w:val="center"/>
              <w:rPr>
                <w:rFonts w:hint="eastAsia" w:ascii="宋体" w:hAnsi="宋体" w:eastAsia="宋体" w:cs="宋体"/>
                <w:i w:val="0"/>
                <w:iCs w:val="0"/>
                <w:color w:val="auto"/>
                <w:sz w:val="20"/>
                <w:szCs w:val="20"/>
                <w:highlight w:val="none"/>
                <w:u w:val="none"/>
              </w:rPr>
            </w:pPr>
          </w:p>
        </w:tc>
        <w:tc>
          <w:tcPr>
            <w:tcW w:w="1210" w:type="dxa"/>
            <w:noWrap w:val="0"/>
            <w:vAlign w:val="center"/>
          </w:tcPr>
          <w:p w14:paraId="79FD1CC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出风口改装</w:t>
            </w:r>
          </w:p>
        </w:tc>
        <w:tc>
          <w:tcPr>
            <w:tcW w:w="3110" w:type="dxa"/>
            <w:noWrap w:val="0"/>
            <w:vAlign w:val="center"/>
          </w:tcPr>
          <w:p w14:paraId="6340AE22">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拆装顶部原有行李架，顶棚包覆</w:t>
            </w:r>
          </w:p>
        </w:tc>
        <w:tc>
          <w:tcPr>
            <w:tcW w:w="750" w:type="dxa"/>
            <w:noWrap w:val="0"/>
            <w:vAlign w:val="center"/>
          </w:tcPr>
          <w:p w14:paraId="193862A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w:t>
            </w:r>
          </w:p>
        </w:tc>
        <w:tc>
          <w:tcPr>
            <w:tcW w:w="740" w:type="dxa"/>
            <w:noWrap w:val="0"/>
            <w:vAlign w:val="center"/>
          </w:tcPr>
          <w:p w14:paraId="35EDB99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1330" w:type="dxa"/>
            <w:noWrap w:val="0"/>
            <w:vAlign w:val="center"/>
          </w:tcPr>
          <w:p w14:paraId="71D87DD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2.2</w:t>
            </w:r>
          </w:p>
        </w:tc>
        <w:tc>
          <w:tcPr>
            <w:tcW w:w="1220" w:type="dxa"/>
            <w:noWrap w:val="0"/>
            <w:vAlign w:val="center"/>
          </w:tcPr>
          <w:p w14:paraId="4DDF8E3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4.40 </w:t>
            </w:r>
          </w:p>
        </w:tc>
      </w:tr>
      <w:tr w14:paraId="314F8A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670" w:type="dxa"/>
            <w:vMerge w:val="continue"/>
            <w:noWrap w:val="0"/>
            <w:vAlign w:val="center"/>
          </w:tcPr>
          <w:p w14:paraId="4DFA9E1D">
            <w:pPr>
              <w:jc w:val="center"/>
              <w:rPr>
                <w:rFonts w:hint="eastAsia" w:ascii="宋体" w:hAnsi="宋体" w:eastAsia="宋体" w:cs="宋体"/>
                <w:i w:val="0"/>
                <w:iCs w:val="0"/>
                <w:color w:val="auto"/>
                <w:sz w:val="20"/>
                <w:szCs w:val="20"/>
                <w:highlight w:val="none"/>
                <w:u w:val="none"/>
              </w:rPr>
            </w:pPr>
          </w:p>
        </w:tc>
        <w:tc>
          <w:tcPr>
            <w:tcW w:w="620" w:type="dxa"/>
            <w:vMerge w:val="continue"/>
            <w:noWrap w:val="0"/>
            <w:vAlign w:val="center"/>
          </w:tcPr>
          <w:p w14:paraId="71E4C710">
            <w:pPr>
              <w:jc w:val="center"/>
              <w:rPr>
                <w:rFonts w:hint="eastAsia" w:ascii="宋体" w:hAnsi="宋体" w:eastAsia="宋体" w:cs="宋体"/>
                <w:i w:val="0"/>
                <w:iCs w:val="0"/>
                <w:color w:val="auto"/>
                <w:sz w:val="20"/>
                <w:szCs w:val="20"/>
                <w:highlight w:val="none"/>
                <w:u w:val="none"/>
              </w:rPr>
            </w:pPr>
          </w:p>
        </w:tc>
        <w:tc>
          <w:tcPr>
            <w:tcW w:w="1210" w:type="dxa"/>
            <w:noWrap w:val="0"/>
            <w:vAlign w:val="center"/>
          </w:tcPr>
          <w:p w14:paraId="3A21F06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灭蝇灯安装</w:t>
            </w:r>
          </w:p>
        </w:tc>
        <w:tc>
          <w:tcPr>
            <w:tcW w:w="3110" w:type="dxa"/>
            <w:noWrap w:val="0"/>
            <w:vAlign w:val="center"/>
          </w:tcPr>
          <w:p w14:paraId="107DBD55">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前后四个紫外线蓝光灭蝇灯</w:t>
            </w:r>
          </w:p>
        </w:tc>
        <w:tc>
          <w:tcPr>
            <w:tcW w:w="750" w:type="dxa"/>
            <w:noWrap w:val="0"/>
            <w:vAlign w:val="center"/>
          </w:tcPr>
          <w:p w14:paraId="4AA1C9C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w:t>
            </w:r>
          </w:p>
        </w:tc>
        <w:tc>
          <w:tcPr>
            <w:tcW w:w="740" w:type="dxa"/>
            <w:noWrap w:val="0"/>
            <w:vAlign w:val="center"/>
          </w:tcPr>
          <w:p w14:paraId="5FA277F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1330" w:type="dxa"/>
            <w:noWrap w:val="0"/>
            <w:vAlign w:val="center"/>
          </w:tcPr>
          <w:p w14:paraId="026F04F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0.05</w:t>
            </w:r>
          </w:p>
        </w:tc>
        <w:tc>
          <w:tcPr>
            <w:tcW w:w="1220" w:type="dxa"/>
            <w:noWrap w:val="0"/>
            <w:vAlign w:val="center"/>
          </w:tcPr>
          <w:p w14:paraId="665AB8F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0.20 </w:t>
            </w:r>
          </w:p>
        </w:tc>
      </w:tr>
      <w:tr w14:paraId="7D912D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670" w:type="dxa"/>
            <w:vMerge w:val="continue"/>
            <w:noWrap w:val="0"/>
            <w:vAlign w:val="center"/>
          </w:tcPr>
          <w:p w14:paraId="6F18A23C">
            <w:pPr>
              <w:jc w:val="center"/>
              <w:rPr>
                <w:rFonts w:hint="eastAsia" w:ascii="宋体" w:hAnsi="宋体" w:eastAsia="宋体" w:cs="宋体"/>
                <w:i w:val="0"/>
                <w:iCs w:val="0"/>
                <w:color w:val="auto"/>
                <w:sz w:val="20"/>
                <w:szCs w:val="20"/>
                <w:highlight w:val="none"/>
                <w:u w:val="none"/>
              </w:rPr>
            </w:pPr>
          </w:p>
        </w:tc>
        <w:tc>
          <w:tcPr>
            <w:tcW w:w="620" w:type="dxa"/>
            <w:vMerge w:val="continue"/>
            <w:noWrap w:val="0"/>
            <w:vAlign w:val="center"/>
          </w:tcPr>
          <w:p w14:paraId="2E13B71E">
            <w:pPr>
              <w:jc w:val="center"/>
              <w:rPr>
                <w:rFonts w:hint="eastAsia" w:ascii="宋体" w:hAnsi="宋体" w:eastAsia="宋体" w:cs="宋体"/>
                <w:i w:val="0"/>
                <w:iCs w:val="0"/>
                <w:color w:val="auto"/>
                <w:sz w:val="20"/>
                <w:szCs w:val="20"/>
                <w:highlight w:val="none"/>
                <w:u w:val="none"/>
              </w:rPr>
            </w:pPr>
          </w:p>
        </w:tc>
        <w:tc>
          <w:tcPr>
            <w:tcW w:w="1210" w:type="dxa"/>
            <w:noWrap w:val="0"/>
            <w:vAlign w:val="center"/>
          </w:tcPr>
          <w:p w14:paraId="6566190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车尾隔间改装</w:t>
            </w:r>
          </w:p>
        </w:tc>
        <w:tc>
          <w:tcPr>
            <w:tcW w:w="3110" w:type="dxa"/>
            <w:noWrap w:val="0"/>
            <w:vAlign w:val="center"/>
          </w:tcPr>
          <w:p w14:paraId="737905E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拆除原有固定物，加装上下可折叠行军床</w:t>
            </w:r>
          </w:p>
        </w:tc>
        <w:tc>
          <w:tcPr>
            <w:tcW w:w="750" w:type="dxa"/>
            <w:noWrap w:val="0"/>
            <w:vAlign w:val="center"/>
          </w:tcPr>
          <w:p w14:paraId="2BA7A57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w:t>
            </w:r>
          </w:p>
        </w:tc>
        <w:tc>
          <w:tcPr>
            <w:tcW w:w="740" w:type="dxa"/>
            <w:noWrap w:val="0"/>
            <w:vAlign w:val="center"/>
          </w:tcPr>
          <w:p w14:paraId="02F9ABF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1330" w:type="dxa"/>
            <w:noWrap w:val="0"/>
            <w:vAlign w:val="center"/>
          </w:tcPr>
          <w:p w14:paraId="23285A1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1.02</w:t>
            </w:r>
          </w:p>
        </w:tc>
        <w:tc>
          <w:tcPr>
            <w:tcW w:w="1220" w:type="dxa"/>
            <w:noWrap w:val="0"/>
            <w:vAlign w:val="center"/>
          </w:tcPr>
          <w:p w14:paraId="2BAF44B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2.04 </w:t>
            </w:r>
          </w:p>
        </w:tc>
      </w:tr>
      <w:tr w14:paraId="359AA0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670" w:type="dxa"/>
            <w:vMerge w:val="continue"/>
            <w:noWrap w:val="0"/>
            <w:vAlign w:val="center"/>
          </w:tcPr>
          <w:p w14:paraId="5B03B56E">
            <w:pPr>
              <w:jc w:val="center"/>
              <w:rPr>
                <w:rFonts w:hint="eastAsia" w:ascii="宋体" w:hAnsi="宋体" w:eastAsia="宋体" w:cs="宋体"/>
                <w:i w:val="0"/>
                <w:iCs w:val="0"/>
                <w:color w:val="auto"/>
                <w:sz w:val="20"/>
                <w:szCs w:val="20"/>
                <w:highlight w:val="none"/>
                <w:u w:val="none"/>
              </w:rPr>
            </w:pPr>
          </w:p>
        </w:tc>
        <w:tc>
          <w:tcPr>
            <w:tcW w:w="620" w:type="dxa"/>
            <w:vMerge w:val="continue"/>
            <w:noWrap w:val="0"/>
            <w:vAlign w:val="center"/>
          </w:tcPr>
          <w:p w14:paraId="4BA3D1BD">
            <w:pPr>
              <w:jc w:val="center"/>
              <w:rPr>
                <w:rFonts w:hint="eastAsia" w:ascii="宋体" w:hAnsi="宋体" w:eastAsia="宋体" w:cs="宋体"/>
                <w:i w:val="0"/>
                <w:iCs w:val="0"/>
                <w:color w:val="auto"/>
                <w:sz w:val="20"/>
                <w:szCs w:val="20"/>
                <w:highlight w:val="none"/>
                <w:u w:val="none"/>
              </w:rPr>
            </w:pPr>
          </w:p>
        </w:tc>
        <w:tc>
          <w:tcPr>
            <w:tcW w:w="1210" w:type="dxa"/>
            <w:noWrap w:val="0"/>
            <w:vAlign w:val="center"/>
          </w:tcPr>
          <w:p w14:paraId="347974A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车辆保养维修</w:t>
            </w:r>
          </w:p>
        </w:tc>
        <w:tc>
          <w:tcPr>
            <w:tcW w:w="3110" w:type="dxa"/>
            <w:noWrap w:val="0"/>
            <w:vAlign w:val="center"/>
          </w:tcPr>
          <w:p w14:paraId="210089B4">
            <w:pPr>
              <w:keepNext w:val="0"/>
              <w:keepLines w:val="0"/>
              <w:widowControl/>
              <w:numPr>
                <w:ilvl w:val="0"/>
                <w:numId w:val="13"/>
              </w:numPr>
              <w:suppressLineNumbers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发动机系统</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 更换机油和机油滤清器2. 更换空气滤清器</w:t>
            </w:r>
          </w:p>
          <w:p w14:paraId="45F24790">
            <w:pPr>
              <w:keepNext w:val="0"/>
              <w:keepLines w:val="0"/>
              <w:widowControl/>
              <w:numPr>
                <w:ilvl w:val="0"/>
                <w:numId w:val="14"/>
              </w:numPr>
              <w:suppressLineNumbers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更换燃油滤清器</w:t>
            </w:r>
          </w:p>
          <w:p w14:paraId="0C146567">
            <w:pPr>
              <w:keepNext w:val="0"/>
              <w:keepLines w:val="0"/>
              <w:widowControl/>
              <w:numPr>
                <w:ilvl w:val="0"/>
                <w:numId w:val="14"/>
              </w:numPr>
              <w:suppressLineNumbers w:val="0"/>
              <w:ind w:left="0" w:leftChars="0" w:firstLine="0" w:firstLineChars="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更换火花塞</w:t>
            </w:r>
          </w:p>
          <w:p w14:paraId="417F6DF5">
            <w:pPr>
              <w:keepNext w:val="0"/>
              <w:keepLines w:val="0"/>
              <w:widowControl/>
              <w:numPr>
                <w:ilvl w:val="0"/>
                <w:numId w:val="14"/>
              </w:numPr>
              <w:suppressLineNumbers w:val="0"/>
              <w:ind w:left="0" w:leftChars="0" w:firstLine="0" w:firstLineChars="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更换发动机皮带</w:t>
            </w:r>
          </w:p>
          <w:p w14:paraId="0502872E">
            <w:pPr>
              <w:keepNext w:val="0"/>
              <w:keepLines w:val="0"/>
              <w:widowControl/>
              <w:numPr>
                <w:ilvl w:val="0"/>
                <w:numId w:val="14"/>
              </w:numPr>
              <w:suppressLineNumbers w:val="0"/>
              <w:ind w:left="0" w:leftChars="0" w:firstLine="0" w:firstLineChars="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更换冷却系统</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二、传动系统</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 更换变速器油</w:t>
            </w:r>
          </w:p>
          <w:p w14:paraId="396F4787">
            <w:pPr>
              <w:keepNext w:val="0"/>
              <w:keepLines w:val="0"/>
              <w:widowControl/>
              <w:numPr>
                <w:ilvl w:val="0"/>
                <w:numId w:val="0"/>
              </w:numPr>
              <w:suppressLineNumbers w:val="0"/>
              <w:ind w:left="0" w:leftChars="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lang w:val="en-US" w:eastAsia="zh-CN" w:bidi="ar"/>
              </w:rPr>
              <w:t>2.</w:t>
            </w:r>
            <w:r>
              <w:rPr>
                <w:rFonts w:hint="eastAsia" w:ascii="宋体" w:hAnsi="宋体" w:eastAsia="宋体" w:cs="宋体"/>
                <w:i w:val="0"/>
                <w:iCs w:val="0"/>
                <w:color w:val="auto"/>
                <w:kern w:val="0"/>
                <w:sz w:val="20"/>
                <w:szCs w:val="20"/>
                <w:highlight w:val="none"/>
                <w:u w:val="none"/>
                <w:lang w:val="en-US" w:eastAsia="zh-CN" w:bidi="ar"/>
              </w:rPr>
              <w:t>检修传动轴、万向节等部件</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三、制动系统</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1.检修制动片和制动盘</w:t>
            </w:r>
          </w:p>
          <w:p w14:paraId="4A3CD2C1">
            <w:pPr>
              <w:keepNext w:val="0"/>
              <w:keepLines w:val="0"/>
              <w:widowControl/>
              <w:numPr>
                <w:ilvl w:val="0"/>
                <w:numId w:val="0"/>
              </w:numPr>
              <w:suppressLineNumbers w:val="0"/>
              <w:ind w:left="0" w:leftChars="0" w:firstLine="0" w:firstLineChars="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lang w:val="en-US" w:eastAsia="zh-CN" w:bidi="ar"/>
              </w:rPr>
              <w:t>2.</w:t>
            </w:r>
            <w:r>
              <w:rPr>
                <w:rFonts w:hint="eastAsia" w:ascii="宋体" w:hAnsi="宋体" w:eastAsia="宋体" w:cs="宋体"/>
                <w:i w:val="0"/>
                <w:iCs w:val="0"/>
                <w:color w:val="auto"/>
                <w:kern w:val="0"/>
                <w:sz w:val="20"/>
                <w:szCs w:val="20"/>
                <w:highlight w:val="none"/>
                <w:u w:val="none"/>
                <w:lang w:val="en-US" w:eastAsia="zh-CN" w:bidi="ar"/>
              </w:rPr>
              <w:t>更换制动液</w:t>
            </w:r>
          </w:p>
          <w:p w14:paraId="62958DBD">
            <w:pPr>
              <w:keepNext w:val="0"/>
              <w:keepLines w:val="0"/>
              <w:widowControl/>
              <w:numPr>
                <w:ilvl w:val="0"/>
                <w:numId w:val="0"/>
              </w:numPr>
              <w:suppressLineNumbers w:val="0"/>
              <w:ind w:left="0" w:leftChars="0" w:firstLine="0" w:firstLineChars="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lang w:val="en-US" w:eastAsia="zh-CN" w:bidi="ar"/>
              </w:rPr>
              <w:t>3.</w:t>
            </w:r>
            <w:r>
              <w:rPr>
                <w:rFonts w:hint="eastAsia" w:ascii="宋体" w:hAnsi="宋体" w:eastAsia="宋体" w:cs="宋体"/>
                <w:i w:val="0"/>
                <w:iCs w:val="0"/>
                <w:color w:val="auto"/>
                <w:kern w:val="0"/>
                <w:sz w:val="20"/>
                <w:szCs w:val="20"/>
                <w:highlight w:val="none"/>
                <w:u w:val="none"/>
                <w:lang w:val="en-US" w:eastAsia="zh-CN" w:bidi="ar"/>
              </w:rPr>
              <w:t>检修制动管路</w:t>
            </w:r>
          </w:p>
          <w:p w14:paraId="2AA45FF3">
            <w:pPr>
              <w:keepNext w:val="0"/>
              <w:keepLines w:val="0"/>
              <w:widowControl/>
              <w:numPr>
                <w:ilvl w:val="0"/>
                <w:numId w:val="0"/>
              </w:numPr>
              <w:suppressLineNumbers w:val="0"/>
              <w:ind w:left="0" w:leftChars="0" w:firstLine="0" w:firstLineChars="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lang w:val="en-US" w:eastAsia="zh-CN" w:bidi="ar"/>
              </w:rPr>
              <w:t>4.</w:t>
            </w:r>
            <w:r>
              <w:rPr>
                <w:rFonts w:hint="eastAsia" w:ascii="宋体" w:hAnsi="宋体" w:eastAsia="宋体" w:cs="宋体"/>
                <w:i w:val="0"/>
                <w:iCs w:val="0"/>
                <w:color w:val="auto"/>
                <w:kern w:val="0"/>
                <w:sz w:val="20"/>
                <w:szCs w:val="20"/>
                <w:highlight w:val="none"/>
                <w:u w:val="none"/>
                <w:lang w:val="en-US" w:eastAsia="zh-CN" w:bidi="ar"/>
              </w:rPr>
              <w:t xml:space="preserve">检修手刹系统 </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四、悬挂系统</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 检修减震器检修悬挂球头、衬套等部件</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五、轮胎和轮毂</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 检修轮胎磨损情况</w:t>
            </w:r>
          </w:p>
          <w:p w14:paraId="6F03E65A">
            <w:pPr>
              <w:keepNext w:val="0"/>
              <w:keepLines w:val="0"/>
              <w:widowControl/>
              <w:numPr>
                <w:ilvl w:val="0"/>
                <w:numId w:val="15"/>
              </w:numPr>
              <w:suppressLineNumbers w:val="0"/>
              <w:ind w:leftChars="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检修轮胎气压</w:t>
            </w:r>
          </w:p>
          <w:p w14:paraId="21CBAD76">
            <w:pPr>
              <w:keepNext w:val="0"/>
              <w:keepLines w:val="0"/>
              <w:widowControl/>
              <w:numPr>
                <w:ilvl w:val="0"/>
                <w:numId w:val="15"/>
              </w:numPr>
              <w:suppressLineNumbers w:val="0"/>
              <w:ind w:left="0" w:leftChars="0" w:firstLine="0" w:firstLineChars="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 xml:space="preserve">检修轮毂轴承 </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六、电气系统</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 检修电瓶</w:t>
            </w:r>
          </w:p>
          <w:p w14:paraId="4CBEA534">
            <w:pPr>
              <w:keepNext w:val="0"/>
              <w:keepLines w:val="0"/>
              <w:widowControl/>
              <w:numPr>
                <w:ilvl w:val="0"/>
                <w:numId w:val="16"/>
              </w:numPr>
              <w:suppressLineNumbers w:val="0"/>
              <w:ind w:leftChars="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检修灯光系统</w:t>
            </w:r>
          </w:p>
          <w:p w14:paraId="58E97811">
            <w:pPr>
              <w:keepNext w:val="0"/>
              <w:keepLines w:val="0"/>
              <w:widowControl/>
              <w:numPr>
                <w:ilvl w:val="0"/>
                <w:numId w:val="16"/>
              </w:numPr>
              <w:suppressLineNumbers w:val="0"/>
              <w:ind w:left="0" w:leftChars="0" w:firstLine="0" w:firstLineChars="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 xml:space="preserve">检修雨刮器 </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七、车内设施</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 检修空调系统</w:t>
            </w:r>
          </w:p>
          <w:p w14:paraId="34BEEA34">
            <w:pPr>
              <w:keepNext w:val="0"/>
              <w:keepLines w:val="0"/>
              <w:widowControl/>
              <w:numPr>
                <w:ilvl w:val="0"/>
                <w:numId w:val="0"/>
              </w:numPr>
              <w:suppressLineNumbers w:val="0"/>
              <w:ind w:leftChars="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 检修车内电器设备</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八、更换两侧后视镜</w:t>
            </w:r>
          </w:p>
        </w:tc>
        <w:tc>
          <w:tcPr>
            <w:tcW w:w="750" w:type="dxa"/>
            <w:noWrap w:val="0"/>
            <w:vAlign w:val="center"/>
          </w:tcPr>
          <w:p w14:paraId="41A34DA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w:t>
            </w:r>
          </w:p>
        </w:tc>
        <w:tc>
          <w:tcPr>
            <w:tcW w:w="740" w:type="dxa"/>
            <w:noWrap w:val="0"/>
            <w:vAlign w:val="center"/>
          </w:tcPr>
          <w:p w14:paraId="2D6B7DA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1330" w:type="dxa"/>
            <w:noWrap w:val="0"/>
            <w:vAlign w:val="center"/>
          </w:tcPr>
          <w:p w14:paraId="65D8835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w:t>
            </w:r>
          </w:p>
        </w:tc>
        <w:tc>
          <w:tcPr>
            <w:tcW w:w="1220" w:type="dxa"/>
            <w:noWrap w:val="0"/>
            <w:vAlign w:val="center"/>
          </w:tcPr>
          <w:p w14:paraId="6DE3A3B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4.00 </w:t>
            </w:r>
          </w:p>
        </w:tc>
      </w:tr>
      <w:tr w14:paraId="31319C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670" w:type="dxa"/>
            <w:vMerge w:val="continue"/>
            <w:noWrap w:val="0"/>
            <w:vAlign w:val="center"/>
          </w:tcPr>
          <w:p w14:paraId="182C89E5">
            <w:pPr>
              <w:jc w:val="center"/>
              <w:rPr>
                <w:rFonts w:hint="eastAsia" w:ascii="宋体" w:hAnsi="宋体" w:eastAsia="宋体" w:cs="宋体"/>
                <w:i w:val="0"/>
                <w:iCs w:val="0"/>
                <w:color w:val="auto"/>
                <w:sz w:val="20"/>
                <w:szCs w:val="20"/>
                <w:highlight w:val="none"/>
                <w:u w:val="none"/>
              </w:rPr>
            </w:pPr>
          </w:p>
        </w:tc>
        <w:tc>
          <w:tcPr>
            <w:tcW w:w="620" w:type="dxa"/>
            <w:vMerge w:val="continue"/>
            <w:noWrap w:val="0"/>
            <w:vAlign w:val="center"/>
          </w:tcPr>
          <w:p w14:paraId="718E8F27">
            <w:pPr>
              <w:jc w:val="center"/>
              <w:rPr>
                <w:rFonts w:hint="eastAsia" w:ascii="宋体" w:hAnsi="宋体" w:eastAsia="宋体" w:cs="宋体"/>
                <w:i w:val="0"/>
                <w:iCs w:val="0"/>
                <w:color w:val="auto"/>
                <w:sz w:val="20"/>
                <w:szCs w:val="20"/>
                <w:highlight w:val="none"/>
                <w:u w:val="none"/>
              </w:rPr>
            </w:pPr>
          </w:p>
        </w:tc>
        <w:tc>
          <w:tcPr>
            <w:tcW w:w="1210" w:type="dxa"/>
            <w:noWrap w:val="0"/>
            <w:vAlign w:val="center"/>
          </w:tcPr>
          <w:p w14:paraId="7CBD92B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车尾通道改装</w:t>
            </w:r>
          </w:p>
        </w:tc>
        <w:tc>
          <w:tcPr>
            <w:tcW w:w="3110" w:type="dxa"/>
            <w:noWrap w:val="0"/>
            <w:vAlign w:val="center"/>
          </w:tcPr>
          <w:p w14:paraId="7E2F9C6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抽拉式隐形白钢三步梯，台阶面为白钢花纹板，步梯结构白钢型材。</w:t>
            </w:r>
          </w:p>
        </w:tc>
        <w:tc>
          <w:tcPr>
            <w:tcW w:w="750" w:type="dxa"/>
            <w:noWrap w:val="0"/>
            <w:vAlign w:val="center"/>
          </w:tcPr>
          <w:p w14:paraId="3FF4CF4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w:t>
            </w:r>
          </w:p>
        </w:tc>
        <w:tc>
          <w:tcPr>
            <w:tcW w:w="740" w:type="dxa"/>
            <w:noWrap w:val="0"/>
            <w:vAlign w:val="center"/>
          </w:tcPr>
          <w:p w14:paraId="20C8C51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1330" w:type="dxa"/>
            <w:noWrap w:val="0"/>
            <w:vAlign w:val="center"/>
          </w:tcPr>
          <w:p w14:paraId="7445798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1220" w:type="dxa"/>
            <w:noWrap w:val="0"/>
            <w:vAlign w:val="center"/>
          </w:tcPr>
          <w:p w14:paraId="5DBD5B3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2.00 </w:t>
            </w:r>
          </w:p>
        </w:tc>
      </w:tr>
      <w:tr w14:paraId="5AA80B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670" w:type="dxa"/>
            <w:noWrap w:val="0"/>
            <w:vAlign w:val="center"/>
          </w:tcPr>
          <w:p w14:paraId="7A2B650B">
            <w:pPr>
              <w:jc w:val="center"/>
              <w:rPr>
                <w:rFonts w:hint="eastAsia" w:ascii="宋体" w:hAnsi="宋体" w:eastAsia="宋体" w:cs="宋体"/>
                <w:i w:val="0"/>
                <w:iCs w:val="0"/>
                <w:color w:val="auto"/>
                <w:sz w:val="20"/>
                <w:szCs w:val="20"/>
                <w:highlight w:val="none"/>
                <w:u w:val="none"/>
              </w:rPr>
            </w:pPr>
          </w:p>
        </w:tc>
        <w:tc>
          <w:tcPr>
            <w:tcW w:w="620" w:type="dxa"/>
            <w:vMerge w:val="continue"/>
            <w:noWrap w:val="0"/>
            <w:vAlign w:val="center"/>
          </w:tcPr>
          <w:p w14:paraId="6BEA1927">
            <w:pPr>
              <w:jc w:val="center"/>
              <w:rPr>
                <w:rFonts w:hint="eastAsia" w:ascii="宋体" w:hAnsi="宋体" w:eastAsia="宋体" w:cs="宋体"/>
                <w:i w:val="0"/>
                <w:iCs w:val="0"/>
                <w:color w:val="auto"/>
                <w:sz w:val="20"/>
                <w:szCs w:val="20"/>
                <w:highlight w:val="none"/>
                <w:u w:val="none"/>
              </w:rPr>
            </w:pPr>
          </w:p>
        </w:tc>
        <w:tc>
          <w:tcPr>
            <w:tcW w:w="1210" w:type="dxa"/>
            <w:noWrap w:val="0"/>
            <w:vAlign w:val="center"/>
          </w:tcPr>
          <w:p w14:paraId="0724501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人工</w:t>
            </w:r>
          </w:p>
        </w:tc>
        <w:tc>
          <w:tcPr>
            <w:tcW w:w="3110" w:type="dxa"/>
            <w:noWrap w:val="0"/>
            <w:vAlign w:val="center"/>
          </w:tcPr>
          <w:p w14:paraId="737ADFC4">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每天6人</w:t>
            </w:r>
          </w:p>
        </w:tc>
        <w:tc>
          <w:tcPr>
            <w:tcW w:w="750" w:type="dxa"/>
            <w:noWrap w:val="0"/>
            <w:vAlign w:val="center"/>
          </w:tcPr>
          <w:p w14:paraId="540EAF5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30</w:t>
            </w:r>
          </w:p>
        </w:tc>
        <w:tc>
          <w:tcPr>
            <w:tcW w:w="740" w:type="dxa"/>
            <w:noWrap w:val="0"/>
            <w:vAlign w:val="center"/>
          </w:tcPr>
          <w:p w14:paraId="0BCBBC0B">
            <w:pPr>
              <w:jc w:val="center"/>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lang w:val="en-US" w:eastAsia="zh-CN"/>
              </w:rPr>
              <w:t>天</w:t>
            </w:r>
          </w:p>
        </w:tc>
        <w:tc>
          <w:tcPr>
            <w:tcW w:w="1330" w:type="dxa"/>
            <w:noWrap w:val="0"/>
            <w:vAlign w:val="center"/>
          </w:tcPr>
          <w:p w14:paraId="4752AD8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0.12</w:t>
            </w:r>
          </w:p>
        </w:tc>
        <w:tc>
          <w:tcPr>
            <w:tcW w:w="1220" w:type="dxa"/>
            <w:noWrap w:val="0"/>
            <w:vAlign w:val="center"/>
          </w:tcPr>
          <w:p w14:paraId="0014207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3.60 </w:t>
            </w:r>
          </w:p>
        </w:tc>
      </w:tr>
      <w:tr w14:paraId="3CE18B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670" w:type="dxa"/>
            <w:noWrap w:val="0"/>
            <w:vAlign w:val="center"/>
          </w:tcPr>
          <w:p w14:paraId="0AB00225">
            <w:pPr>
              <w:jc w:val="center"/>
              <w:rPr>
                <w:rFonts w:hint="eastAsia" w:ascii="宋体" w:hAnsi="宋体" w:eastAsia="宋体" w:cs="宋体"/>
                <w:i w:val="0"/>
                <w:iCs w:val="0"/>
                <w:color w:val="auto"/>
                <w:sz w:val="20"/>
                <w:szCs w:val="20"/>
                <w:highlight w:val="none"/>
                <w:u w:val="none"/>
              </w:rPr>
            </w:pPr>
          </w:p>
        </w:tc>
        <w:tc>
          <w:tcPr>
            <w:tcW w:w="7760" w:type="dxa"/>
            <w:gridSpan w:val="6"/>
            <w:noWrap w:val="0"/>
            <w:vAlign w:val="center"/>
          </w:tcPr>
          <w:p w14:paraId="79F82E38">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小计</w:t>
            </w:r>
          </w:p>
        </w:tc>
        <w:tc>
          <w:tcPr>
            <w:tcW w:w="1220" w:type="dxa"/>
            <w:noWrap w:val="0"/>
            <w:vAlign w:val="center"/>
          </w:tcPr>
          <w:p w14:paraId="2FD49F15">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 xml:space="preserve">63.40 </w:t>
            </w:r>
          </w:p>
        </w:tc>
      </w:tr>
      <w:tr w14:paraId="0896EA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670" w:type="dxa"/>
            <w:vMerge w:val="restart"/>
            <w:noWrap w:val="0"/>
            <w:vAlign w:val="center"/>
          </w:tcPr>
          <w:p w14:paraId="5015D93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净水车</w:t>
            </w:r>
          </w:p>
        </w:tc>
        <w:tc>
          <w:tcPr>
            <w:tcW w:w="620" w:type="dxa"/>
            <w:vMerge w:val="restart"/>
            <w:noWrap w:val="0"/>
            <w:vAlign w:val="center"/>
          </w:tcPr>
          <w:p w14:paraId="0D7594B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全车改装</w:t>
            </w:r>
          </w:p>
        </w:tc>
        <w:tc>
          <w:tcPr>
            <w:tcW w:w="1210" w:type="dxa"/>
            <w:noWrap w:val="0"/>
            <w:vAlign w:val="center"/>
          </w:tcPr>
          <w:p w14:paraId="5F5CEB4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水箱加装</w:t>
            </w:r>
          </w:p>
        </w:tc>
        <w:tc>
          <w:tcPr>
            <w:tcW w:w="3110" w:type="dxa"/>
            <w:noWrap w:val="0"/>
            <w:vAlign w:val="center"/>
          </w:tcPr>
          <w:p w14:paraId="0F3D9A72">
            <w:pPr>
              <w:keepNext w:val="0"/>
              <w:keepLines w:val="0"/>
              <w:widowControl/>
              <w:numPr>
                <w:ilvl w:val="0"/>
                <w:numId w:val="17"/>
              </w:numPr>
              <w:suppressLineNumbers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采用316白钢水箱，容水率不低于1.5m³。</w:t>
            </w:r>
          </w:p>
          <w:p w14:paraId="43576996">
            <w:pPr>
              <w:keepNext w:val="0"/>
              <w:keepLines w:val="0"/>
              <w:widowControl/>
              <w:numPr>
                <w:ilvl w:val="0"/>
                <w:numId w:val="17"/>
              </w:numPr>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螺栓固定，水箱上部预留检修口</w:t>
            </w:r>
          </w:p>
        </w:tc>
        <w:tc>
          <w:tcPr>
            <w:tcW w:w="750" w:type="dxa"/>
            <w:noWrap w:val="0"/>
            <w:vAlign w:val="center"/>
          </w:tcPr>
          <w:p w14:paraId="34C9C8D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w:t>
            </w:r>
          </w:p>
        </w:tc>
        <w:tc>
          <w:tcPr>
            <w:tcW w:w="740" w:type="dxa"/>
            <w:noWrap w:val="0"/>
            <w:vAlign w:val="center"/>
          </w:tcPr>
          <w:p w14:paraId="12A4931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1330" w:type="dxa"/>
            <w:noWrap w:val="0"/>
            <w:vAlign w:val="center"/>
          </w:tcPr>
          <w:p w14:paraId="4EF6FAB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1.90</w:t>
            </w:r>
          </w:p>
        </w:tc>
        <w:tc>
          <w:tcPr>
            <w:tcW w:w="1220" w:type="dxa"/>
            <w:noWrap w:val="0"/>
            <w:vAlign w:val="center"/>
          </w:tcPr>
          <w:p w14:paraId="16787F1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3.80 </w:t>
            </w:r>
          </w:p>
        </w:tc>
      </w:tr>
      <w:tr w14:paraId="65B44D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670" w:type="dxa"/>
            <w:vMerge w:val="continue"/>
            <w:noWrap w:val="0"/>
            <w:vAlign w:val="center"/>
          </w:tcPr>
          <w:p w14:paraId="505913E4">
            <w:pPr>
              <w:jc w:val="center"/>
              <w:rPr>
                <w:rFonts w:hint="eastAsia" w:ascii="宋体" w:hAnsi="宋体" w:eastAsia="宋体" w:cs="宋体"/>
                <w:i w:val="0"/>
                <w:iCs w:val="0"/>
                <w:color w:val="auto"/>
                <w:sz w:val="20"/>
                <w:szCs w:val="20"/>
                <w:highlight w:val="none"/>
                <w:u w:val="none"/>
              </w:rPr>
            </w:pPr>
          </w:p>
        </w:tc>
        <w:tc>
          <w:tcPr>
            <w:tcW w:w="620" w:type="dxa"/>
            <w:vMerge w:val="continue"/>
            <w:noWrap w:val="0"/>
            <w:vAlign w:val="center"/>
          </w:tcPr>
          <w:p w14:paraId="55E791EB">
            <w:pPr>
              <w:jc w:val="center"/>
              <w:rPr>
                <w:rFonts w:hint="eastAsia" w:ascii="宋体" w:hAnsi="宋体" w:eastAsia="宋体" w:cs="宋体"/>
                <w:i w:val="0"/>
                <w:iCs w:val="0"/>
                <w:color w:val="auto"/>
                <w:sz w:val="20"/>
                <w:szCs w:val="20"/>
                <w:highlight w:val="none"/>
                <w:u w:val="none"/>
              </w:rPr>
            </w:pPr>
          </w:p>
        </w:tc>
        <w:tc>
          <w:tcPr>
            <w:tcW w:w="1210" w:type="dxa"/>
            <w:noWrap w:val="0"/>
            <w:vAlign w:val="center"/>
          </w:tcPr>
          <w:p w14:paraId="2248A48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取水装置加装</w:t>
            </w:r>
          </w:p>
        </w:tc>
        <w:tc>
          <w:tcPr>
            <w:tcW w:w="3110" w:type="dxa"/>
            <w:noWrap w:val="0"/>
            <w:vAlign w:val="center"/>
          </w:tcPr>
          <w:p w14:paraId="4B6176C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加装240瓦高压泵，采用304白钢管路，白钢法兰阀门。</w:t>
            </w:r>
          </w:p>
        </w:tc>
        <w:tc>
          <w:tcPr>
            <w:tcW w:w="750" w:type="dxa"/>
            <w:noWrap w:val="0"/>
            <w:vAlign w:val="center"/>
          </w:tcPr>
          <w:p w14:paraId="237DDE0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740" w:type="dxa"/>
            <w:noWrap w:val="0"/>
            <w:vAlign w:val="center"/>
          </w:tcPr>
          <w:p w14:paraId="7B42D61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1330" w:type="dxa"/>
            <w:noWrap w:val="0"/>
            <w:vAlign w:val="center"/>
          </w:tcPr>
          <w:p w14:paraId="58675B5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0.80</w:t>
            </w:r>
          </w:p>
        </w:tc>
        <w:tc>
          <w:tcPr>
            <w:tcW w:w="1220" w:type="dxa"/>
            <w:noWrap w:val="0"/>
            <w:vAlign w:val="center"/>
          </w:tcPr>
          <w:p w14:paraId="741313B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0.80 </w:t>
            </w:r>
          </w:p>
        </w:tc>
      </w:tr>
      <w:tr w14:paraId="183B9E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670" w:type="dxa"/>
            <w:vMerge w:val="continue"/>
            <w:noWrap w:val="0"/>
            <w:vAlign w:val="center"/>
          </w:tcPr>
          <w:p w14:paraId="4E33372E">
            <w:pPr>
              <w:jc w:val="center"/>
              <w:rPr>
                <w:rFonts w:hint="eastAsia" w:ascii="宋体" w:hAnsi="宋体" w:eastAsia="宋体" w:cs="宋体"/>
                <w:i w:val="0"/>
                <w:iCs w:val="0"/>
                <w:color w:val="auto"/>
                <w:sz w:val="20"/>
                <w:szCs w:val="20"/>
                <w:highlight w:val="none"/>
                <w:u w:val="none"/>
              </w:rPr>
            </w:pPr>
          </w:p>
        </w:tc>
        <w:tc>
          <w:tcPr>
            <w:tcW w:w="620" w:type="dxa"/>
            <w:vMerge w:val="continue"/>
            <w:noWrap w:val="0"/>
            <w:vAlign w:val="center"/>
          </w:tcPr>
          <w:p w14:paraId="03AA43A1">
            <w:pPr>
              <w:jc w:val="center"/>
              <w:rPr>
                <w:rFonts w:hint="eastAsia" w:ascii="宋体" w:hAnsi="宋体" w:eastAsia="宋体" w:cs="宋体"/>
                <w:i w:val="0"/>
                <w:iCs w:val="0"/>
                <w:color w:val="auto"/>
                <w:sz w:val="20"/>
                <w:szCs w:val="20"/>
                <w:highlight w:val="none"/>
                <w:u w:val="none"/>
              </w:rPr>
            </w:pPr>
          </w:p>
        </w:tc>
        <w:tc>
          <w:tcPr>
            <w:tcW w:w="1210" w:type="dxa"/>
            <w:noWrap w:val="0"/>
            <w:vAlign w:val="center"/>
          </w:tcPr>
          <w:p w14:paraId="779C9AA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净水设备维护</w:t>
            </w:r>
          </w:p>
        </w:tc>
        <w:tc>
          <w:tcPr>
            <w:tcW w:w="3110" w:type="dxa"/>
            <w:noWrap w:val="0"/>
            <w:vAlign w:val="center"/>
          </w:tcPr>
          <w:p w14:paraId="4AB5D906">
            <w:pPr>
              <w:keepNext w:val="0"/>
              <w:keepLines w:val="0"/>
              <w:widowControl/>
              <w:numPr>
                <w:ilvl w:val="0"/>
                <w:numId w:val="18"/>
              </w:numPr>
              <w:suppressLineNumbers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净水滤芯总成更换，维护保养。</w:t>
            </w:r>
          </w:p>
          <w:p w14:paraId="28A23602">
            <w:pPr>
              <w:keepNext w:val="0"/>
              <w:keepLines w:val="0"/>
              <w:widowControl/>
              <w:numPr>
                <w:ilvl w:val="0"/>
                <w:numId w:val="18"/>
              </w:numPr>
              <w:suppressLineNumbers w:val="0"/>
              <w:ind w:left="0" w:leftChars="0" w:firstLine="0" w:firstLineChars="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 xml:space="preserve">运行参数最高操作温度: 不低于113 F (450℃) </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3、最高操作压力:600 psi (41bar)</w:t>
            </w:r>
          </w:p>
          <w:p w14:paraId="64D4D8F1">
            <w:pPr>
              <w:keepNext w:val="0"/>
              <w:keepLines w:val="0"/>
              <w:widowControl/>
              <w:numPr>
                <w:ilvl w:val="0"/>
                <w:numId w:val="0"/>
              </w:numPr>
              <w:suppressLineNumbers w:val="0"/>
              <w:ind w:leftChars="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4、最高压降: 15 psi (1. Obar)</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 xml:space="preserve">5、pH范围，连续运行: 2-12 </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 xml:space="preserve">   pH范围，短期清洗(30分钟): 1-13</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6、最大给水SDI15: 5</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7、允许游离氯含量: &lt;0. Ippm</w:t>
            </w:r>
          </w:p>
        </w:tc>
        <w:tc>
          <w:tcPr>
            <w:tcW w:w="750" w:type="dxa"/>
            <w:noWrap w:val="0"/>
            <w:vAlign w:val="center"/>
          </w:tcPr>
          <w:p w14:paraId="5D374E5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740" w:type="dxa"/>
            <w:noWrap w:val="0"/>
            <w:vAlign w:val="center"/>
          </w:tcPr>
          <w:p w14:paraId="2125392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1330" w:type="dxa"/>
            <w:noWrap w:val="0"/>
            <w:vAlign w:val="center"/>
          </w:tcPr>
          <w:p w14:paraId="4CEF6BE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3.80</w:t>
            </w:r>
          </w:p>
        </w:tc>
        <w:tc>
          <w:tcPr>
            <w:tcW w:w="1220" w:type="dxa"/>
            <w:noWrap w:val="0"/>
            <w:vAlign w:val="center"/>
          </w:tcPr>
          <w:p w14:paraId="4FBD7DB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3.80 </w:t>
            </w:r>
          </w:p>
        </w:tc>
      </w:tr>
      <w:tr w14:paraId="16309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670" w:type="dxa"/>
            <w:vMerge w:val="continue"/>
            <w:noWrap w:val="0"/>
            <w:vAlign w:val="center"/>
          </w:tcPr>
          <w:p w14:paraId="52115E19">
            <w:pPr>
              <w:jc w:val="center"/>
              <w:rPr>
                <w:rFonts w:hint="eastAsia" w:ascii="宋体" w:hAnsi="宋体" w:eastAsia="宋体" w:cs="宋体"/>
                <w:i w:val="0"/>
                <w:iCs w:val="0"/>
                <w:color w:val="auto"/>
                <w:sz w:val="20"/>
                <w:szCs w:val="20"/>
                <w:highlight w:val="none"/>
                <w:u w:val="none"/>
              </w:rPr>
            </w:pPr>
          </w:p>
        </w:tc>
        <w:tc>
          <w:tcPr>
            <w:tcW w:w="620" w:type="dxa"/>
            <w:vMerge w:val="continue"/>
            <w:noWrap w:val="0"/>
            <w:vAlign w:val="center"/>
          </w:tcPr>
          <w:p w14:paraId="3B04E3BE">
            <w:pPr>
              <w:jc w:val="center"/>
              <w:rPr>
                <w:rFonts w:hint="eastAsia" w:ascii="宋体" w:hAnsi="宋体" w:eastAsia="宋体" w:cs="宋体"/>
                <w:i w:val="0"/>
                <w:iCs w:val="0"/>
                <w:color w:val="auto"/>
                <w:sz w:val="20"/>
                <w:szCs w:val="20"/>
                <w:highlight w:val="none"/>
                <w:u w:val="none"/>
              </w:rPr>
            </w:pPr>
          </w:p>
        </w:tc>
        <w:tc>
          <w:tcPr>
            <w:tcW w:w="1210" w:type="dxa"/>
            <w:noWrap w:val="0"/>
            <w:vAlign w:val="center"/>
          </w:tcPr>
          <w:p w14:paraId="3390C40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热水器安装</w:t>
            </w:r>
          </w:p>
        </w:tc>
        <w:tc>
          <w:tcPr>
            <w:tcW w:w="3110" w:type="dxa"/>
            <w:noWrap w:val="0"/>
            <w:vAlign w:val="center"/>
          </w:tcPr>
          <w:p w14:paraId="111127F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不低于1500瓦白钢冷热水热水器</w:t>
            </w:r>
          </w:p>
        </w:tc>
        <w:tc>
          <w:tcPr>
            <w:tcW w:w="750" w:type="dxa"/>
            <w:noWrap w:val="0"/>
            <w:vAlign w:val="center"/>
          </w:tcPr>
          <w:p w14:paraId="509FDC6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740" w:type="dxa"/>
            <w:noWrap w:val="0"/>
            <w:vAlign w:val="center"/>
          </w:tcPr>
          <w:p w14:paraId="1DC30F8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1330" w:type="dxa"/>
            <w:noWrap w:val="0"/>
            <w:vAlign w:val="center"/>
          </w:tcPr>
          <w:p w14:paraId="6039439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0.30</w:t>
            </w:r>
          </w:p>
        </w:tc>
        <w:tc>
          <w:tcPr>
            <w:tcW w:w="1220" w:type="dxa"/>
            <w:noWrap w:val="0"/>
            <w:vAlign w:val="center"/>
          </w:tcPr>
          <w:p w14:paraId="04832DF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0.30 </w:t>
            </w:r>
          </w:p>
        </w:tc>
      </w:tr>
      <w:tr w14:paraId="019495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670" w:type="dxa"/>
            <w:vMerge w:val="continue"/>
            <w:noWrap w:val="0"/>
            <w:vAlign w:val="center"/>
          </w:tcPr>
          <w:p w14:paraId="5D027C96">
            <w:pPr>
              <w:jc w:val="center"/>
              <w:rPr>
                <w:rFonts w:hint="eastAsia" w:ascii="宋体" w:hAnsi="宋体" w:eastAsia="宋体" w:cs="宋体"/>
                <w:i w:val="0"/>
                <w:iCs w:val="0"/>
                <w:color w:val="auto"/>
                <w:sz w:val="20"/>
                <w:szCs w:val="20"/>
                <w:highlight w:val="none"/>
                <w:u w:val="none"/>
              </w:rPr>
            </w:pPr>
          </w:p>
        </w:tc>
        <w:tc>
          <w:tcPr>
            <w:tcW w:w="620" w:type="dxa"/>
            <w:vMerge w:val="continue"/>
            <w:noWrap w:val="0"/>
            <w:vAlign w:val="center"/>
          </w:tcPr>
          <w:p w14:paraId="4D16DFDA">
            <w:pPr>
              <w:jc w:val="center"/>
              <w:rPr>
                <w:rFonts w:hint="eastAsia" w:ascii="宋体" w:hAnsi="宋体" w:eastAsia="宋体" w:cs="宋体"/>
                <w:i w:val="0"/>
                <w:iCs w:val="0"/>
                <w:color w:val="auto"/>
                <w:sz w:val="20"/>
                <w:szCs w:val="20"/>
                <w:highlight w:val="none"/>
                <w:u w:val="none"/>
              </w:rPr>
            </w:pPr>
          </w:p>
        </w:tc>
        <w:tc>
          <w:tcPr>
            <w:tcW w:w="1210" w:type="dxa"/>
            <w:noWrap w:val="0"/>
            <w:vAlign w:val="center"/>
          </w:tcPr>
          <w:p w14:paraId="10D5953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人工</w:t>
            </w:r>
          </w:p>
        </w:tc>
        <w:tc>
          <w:tcPr>
            <w:tcW w:w="3110" w:type="dxa"/>
            <w:noWrap w:val="0"/>
            <w:vAlign w:val="center"/>
          </w:tcPr>
          <w:p w14:paraId="30F0DB63">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每天6人</w:t>
            </w:r>
          </w:p>
        </w:tc>
        <w:tc>
          <w:tcPr>
            <w:tcW w:w="750" w:type="dxa"/>
            <w:noWrap w:val="0"/>
            <w:vAlign w:val="center"/>
          </w:tcPr>
          <w:p w14:paraId="5024BC2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w:t>
            </w:r>
          </w:p>
        </w:tc>
        <w:tc>
          <w:tcPr>
            <w:tcW w:w="740" w:type="dxa"/>
            <w:noWrap w:val="0"/>
            <w:vAlign w:val="center"/>
          </w:tcPr>
          <w:p w14:paraId="7EB5982F">
            <w:pPr>
              <w:jc w:val="center"/>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lang w:val="en-US" w:eastAsia="zh-CN"/>
              </w:rPr>
              <w:t>天</w:t>
            </w:r>
          </w:p>
        </w:tc>
        <w:tc>
          <w:tcPr>
            <w:tcW w:w="1330" w:type="dxa"/>
            <w:noWrap w:val="0"/>
            <w:vAlign w:val="center"/>
          </w:tcPr>
          <w:p w14:paraId="028D31D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0.12</w:t>
            </w:r>
          </w:p>
        </w:tc>
        <w:tc>
          <w:tcPr>
            <w:tcW w:w="1220" w:type="dxa"/>
            <w:noWrap w:val="0"/>
            <w:vAlign w:val="center"/>
          </w:tcPr>
          <w:p w14:paraId="1D0786F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1.20 </w:t>
            </w:r>
          </w:p>
        </w:tc>
      </w:tr>
      <w:tr w14:paraId="0BBB67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670" w:type="dxa"/>
            <w:noWrap w:val="0"/>
            <w:vAlign w:val="center"/>
          </w:tcPr>
          <w:p w14:paraId="1E7FCB4A">
            <w:pPr>
              <w:jc w:val="center"/>
              <w:rPr>
                <w:rFonts w:hint="eastAsia" w:ascii="宋体" w:hAnsi="宋体" w:eastAsia="宋体" w:cs="宋体"/>
                <w:i w:val="0"/>
                <w:iCs w:val="0"/>
                <w:color w:val="auto"/>
                <w:sz w:val="20"/>
                <w:szCs w:val="20"/>
                <w:highlight w:val="none"/>
                <w:u w:val="none"/>
              </w:rPr>
            </w:pPr>
          </w:p>
        </w:tc>
        <w:tc>
          <w:tcPr>
            <w:tcW w:w="7760" w:type="dxa"/>
            <w:gridSpan w:val="6"/>
            <w:noWrap w:val="0"/>
            <w:vAlign w:val="center"/>
          </w:tcPr>
          <w:p w14:paraId="0F720067">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小计</w:t>
            </w:r>
          </w:p>
        </w:tc>
        <w:tc>
          <w:tcPr>
            <w:tcW w:w="1220" w:type="dxa"/>
            <w:noWrap w:val="0"/>
            <w:vAlign w:val="center"/>
          </w:tcPr>
          <w:p w14:paraId="7E1AFC8F">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 xml:space="preserve">9.90 </w:t>
            </w:r>
          </w:p>
        </w:tc>
      </w:tr>
      <w:tr w14:paraId="5C1BDE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670" w:type="dxa"/>
            <w:vMerge w:val="restart"/>
            <w:noWrap w:val="0"/>
            <w:vAlign w:val="center"/>
          </w:tcPr>
          <w:p w14:paraId="7021429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淋浴车</w:t>
            </w:r>
          </w:p>
        </w:tc>
        <w:tc>
          <w:tcPr>
            <w:tcW w:w="620" w:type="dxa"/>
            <w:vMerge w:val="restart"/>
            <w:noWrap w:val="0"/>
            <w:vAlign w:val="center"/>
          </w:tcPr>
          <w:p w14:paraId="63611BE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全车改装</w:t>
            </w:r>
          </w:p>
        </w:tc>
        <w:tc>
          <w:tcPr>
            <w:tcW w:w="1210" w:type="dxa"/>
            <w:noWrap w:val="0"/>
            <w:vAlign w:val="center"/>
          </w:tcPr>
          <w:p w14:paraId="3C48959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间壁加装</w:t>
            </w:r>
          </w:p>
        </w:tc>
        <w:tc>
          <w:tcPr>
            <w:tcW w:w="3110" w:type="dxa"/>
            <w:noWrap w:val="0"/>
            <w:vAlign w:val="center"/>
          </w:tcPr>
          <w:p w14:paraId="5E92D6A1">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采用304白钢骨架，304白钢板</w:t>
            </w:r>
          </w:p>
        </w:tc>
        <w:tc>
          <w:tcPr>
            <w:tcW w:w="750" w:type="dxa"/>
            <w:noWrap w:val="0"/>
            <w:vAlign w:val="center"/>
          </w:tcPr>
          <w:p w14:paraId="7494A53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740" w:type="dxa"/>
            <w:noWrap w:val="0"/>
            <w:vAlign w:val="center"/>
          </w:tcPr>
          <w:p w14:paraId="15D4F60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1330" w:type="dxa"/>
            <w:noWrap w:val="0"/>
            <w:vAlign w:val="center"/>
          </w:tcPr>
          <w:p w14:paraId="6532347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2.16</w:t>
            </w:r>
          </w:p>
        </w:tc>
        <w:tc>
          <w:tcPr>
            <w:tcW w:w="1220" w:type="dxa"/>
            <w:noWrap w:val="0"/>
            <w:vAlign w:val="center"/>
          </w:tcPr>
          <w:p w14:paraId="1088548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2.16 </w:t>
            </w:r>
          </w:p>
        </w:tc>
      </w:tr>
      <w:tr w14:paraId="2241B0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670" w:type="dxa"/>
            <w:vMerge w:val="continue"/>
            <w:noWrap w:val="0"/>
            <w:vAlign w:val="center"/>
          </w:tcPr>
          <w:p w14:paraId="5278225F">
            <w:pPr>
              <w:jc w:val="center"/>
              <w:rPr>
                <w:rFonts w:hint="eastAsia" w:ascii="宋体" w:hAnsi="宋体" w:eastAsia="宋体" w:cs="宋体"/>
                <w:i w:val="0"/>
                <w:iCs w:val="0"/>
                <w:color w:val="auto"/>
                <w:sz w:val="20"/>
                <w:szCs w:val="20"/>
                <w:highlight w:val="none"/>
                <w:u w:val="none"/>
              </w:rPr>
            </w:pPr>
          </w:p>
        </w:tc>
        <w:tc>
          <w:tcPr>
            <w:tcW w:w="620" w:type="dxa"/>
            <w:vMerge w:val="continue"/>
            <w:noWrap w:val="0"/>
            <w:vAlign w:val="center"/>
          </w:tcPr>
          <w:p w14:paraId="7E5A0A5E">
            <w:pPr>
              <w:jc w:val="center"/>
              <w:rPr>
                <w:rFonts w:hint="eastAsia" w:ascii="宋体" w:hAnsi="宋体" w:eastAsia="宋体" w:cs="宋体"/>
                <w:i w:val="0"/>
                <w:iCs w:val="0"/>
                <w:color w:val="auto"/>
                <w:sz w:val="20"/>
                <w:szCs w:val="20"/>
                <w:highlight w:val="none"/>
                <w:u w:val="none"/>
              </w:rPr>
            </w:pPr>
          </w:p>
        </w:tc>
        <w:tc>
          <w:tcPr>
            <w:tcW w:w="1210" w:type="dxa"/>
            <w:noWrap w:val="0"/>
            <w:vAlign w:val="center"/>
          </w:tcPr>
          <w:p w14:paraId="25F09FF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U型水箱加装</w:t>
            </w:r>
          </w:p>
        </w:tc>
        <w:tc>
          <w:tcPr>
            <w:tcW w:w="3110" w:type="dxa"/>
            <w:noWrap w:val="0"/>
            <w:vAlign w:val="center"/>
          </w:tcPr>
          <w:p w14:paraId="526A109B">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采用304白钢焊接水箱，外侧加装保温层，容水率 不低于1.8m³，螺栓固定。</w:t>
            </w:r>
          </w:p>
        </w:tc>
        <w:tc>
          <w:tcPr>
            <w:tcW w:w="750" w:type="dxa"/>
            <w:noWrap w:val="0"/>
            <w:vAlign w:val="center"/>
          </w:tcPr>
          <w:p w14:paraId="52BE624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740" w:type="dxa"/>
            <w:noWrap w:val="0"/>
            <w:vAlign w:val="center"/>
          </w:tcPr>
          <w:p w14:paraId="147AC20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1330" w:type="dxa"/>
            <w:noWrap w:val="0"/>
            <w:vAlign w:val="center"/>
          </w:tcPr>
          <w:p w14:paraId="4FA8DAB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2.80</w:t>
            </w:r>
          </w:p>
        </w:tc>
        <w:tc>
          <w:tcPr>
            <w:tcW w:w="1220" w:type="dxa"/>
            <w:noWrap w:val="0"/>
            <w:vAlign w:val="center"/>
          </w:tcPr>
          <w:p w14:paraId="46F1576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2.80 </w:t>
            </w:r>
          </w:p>
        </w:tc>
      </w:tr>
      <w:tr w14:paraId="0BB6FE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670" w:type="dxa"/>
            <w:vMerge w:val="continue"/>
            <w:noWrap w:val="0"/>
            <w:vAlign w:val="center"/>
          </w:tcPr>
          <w:p w14:paraId="6503C20D">
            <w:pPr>
              <w:jc w:val="center"/>
              <w:rPr>
                <w:rFonts w:hint="eastAsia" w:ascii="宋体" w:hAnsi="宋体" w:eastAsia="宋体" w:cs="宋体"/>
                <w:i w:val="0"/>
                <w:iCs w:val="0"/>
                <w:color w:val="auto"/>
                <w:sz w:val="20"/>
                <w:szCs w:val="20"/>
                <w:highlight w:val="none"/>
                <w:u w:val="none"/>
              </w:rPr>
            </w:pPr>
          </w:p>
        </w:tc>
        <w:tc>
          <w:tcPr>
            <w:tcW w:w="620" w:type="dxa"/>
            <w:vMerge w:val="continue"/>
            <w:noWrap w:val="0"/>
            <w:vAlign w:val="center"/>
          </w:tcPr>
          <w:p w14:paraId="352FF939">
            <w:pPr>
              <w:jc w:val="center"/>
              <w:rPr>
                <w:rFonts w:hint="eastAsia" w:ascii="宋体" w:hAnsi="宋体" w:eastAsia="宋体" w:cs="宋体"/>
                <w:i w:val="0"/>
                <w:iCs w:val="0"/>
                <w:color w:val="auto"/>
                <w:sz w:val="20"/>
                <w:szCs w:val="20"/>
                <w:highlight w:val="none"/>
                <w:u w:val="none"/>
              </w:rPr>
            </w:pPr>
          </w:p>
        </w:tc>
        <w:tc>
          <w:tcPr>
            <w:tcW w:w="1210" w:type="dxa"/>
            <w:noWrap w:val="0"/>
            <w:vAlign w:val="center"/>
          </w:tcPr>
          <w:p w14:paraId="0B8E7F7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水管加装</w:t>
            </w:r>
          </w:p>
        </w:tc>
        <w:tc>
          <w:tcPr>
            <w:tcW w:w="3110" w:type="dxa"/>
            <w:noWrap w:val="0"/>
            <w:vAlign w:val="center"/>
          </w:tcPr>
          <w:p w14:paraId="11A7CE9A">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六分pvc管线。</w:t>
            </w:r>
          </w:p>
        </w:tc>
        <w:tc>
          <w:tcPr>
            <w:tcW w:w="750" w:type="dxa"/>
            <w:noWrap w:val="0"/>
            <w:vAlign w:val="center"/>
          </w:tcPr>
          <w:p w14:paraId="5211AF1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740" w:type="dxa"/>
            <w:noWrap w:val="0"/>
            <w:vAlign w:val="center"/>
          </w:tcPr>
          <w:p w14:paraId="3230010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1330" w:type="dxa"/>
            <w:noWrap w:val="0"/>
            <w:vAlign w:val="center"/>
          </w:tcPr>
          <w:p w14:paraId="31F8664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0.30</w:t>
            </w:r>
          </w:p>
        </w:tc>
        <w:tc>
          <w:tcPr>
            <w:tcW w:w="1220" w:type="dxa"/>
            <w:noWrap w:val="0"/>
            <w:vAlign w:val="center"/>
          </w:tcPr>
          <w:p w14:paraId="6BA43C4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0.30 </w:t>
            </w:r>
          </w:p>
        </w:tc>
      </w:tr>
      <w:tr w14:paraId="19D3A0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670" w:type="dxa"/>
            <w:vMerge w:val="continue"/>
            <w:noWrap w:val="0"/>
            <w:vAlign w:val="center"/>
          </w:tcPr>
          <w:p w14:paraId="1D04ADDB">
            <w:pPr>
              <w:jc w:val="center"/>
              <w:rPr>
                <w:rFonts w:hint="eastAsia" w:ascii="宋体" w:hAnsi="宋体" w:eastAsia="宋体" w:cs="宋体"/>
                <w:i w:val="0"/>
                <w:iCs w:val="0"/>
                <w:color w:val="auto"/>
                <w:sz w:val="20"/>
                <w:szCs w:val="20"/>
                <w:highlight w:val="none"/>
                <w:u w:val="none"/>
              </w:rPr>
            </w:pPr>
          </w:p>
        </w:tc>
        <w:tc>
          <w:tcPr>
            <w:tcW w:w="620" w:type="dxa"/>
            <w:vMerge w:val="continue"/>
            <w:noWrap w:val="0"/>
            <w:vAlign w:val="center"/>
          </w:tcPr>
          <w:p w14:paraId="33D1750B">
            <w:pPr>
              <w:jc w:val="center"/>
              <w:rPr>
                <w:rFonts w:hint="eastAsia" w:ascii="宋体" w:hAnsi="宋体" w:eastAsia="宋体" w:cs="宋体"/>
                <w:i w:val="0"/>
                <w:iCs w:val="0"/>
                <w:color w:val="auto"/>
                <w:sz w:val="20"/>
                <w:szCs w:val="20"/>
                <w:highlight w:val="none"/>
                <w:u w:val="none"/>
              </w:rPr>
            </w:pPr>
          </w:p>
        </w:tc>
        <w:tc>
          <w:tcPr>
            <w:tcW w:w="1210" w:type="dxa"/>
            <w:noWrap w:val="0"/>
            <w:vAlign w:val="center"/>
          </w:tcPr>
          <w:p w14:paraId="06B8C8A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衣柜加装</w:t>
            </w:r>
          </w:p>
        </w:tc>
        <w:tc>
          <w:tcPr>
            <w:tcW w:w="3110" w:type="dxa"/>
            <w:noWrap w:val="0"/>
            <w:vAlign w:val="center"/>
          </w:tcPr>
          <w:p w14:paraId="3AB0425E">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每个淋雨喷头加装储物柜。</w:t>
            </w:r>
          </w:p>
        </w:tc>
        <w:tc>
          <w:tcPr>
            <w:tcW w:w="750" w:type="dxa"/>
            <w:noWrap w:val="0"/>
            <w:vAlign w:val="center"/>
          </w:tcPr>
          <w:p w14:paraId="26C9B60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740" w:type="dxa"/>
            <w:noWrap w:val="0"/>
            <w:vAlign w:val="center"/>
          </w:tcPr>
          <w:p w14:paraId="4F0AC2D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1330" w:type="dxa"/>
            <w:noWrap w:val="0"/>
            <w:vAlign w:val="center"/>
          </w:tcPr>
          <w:p w14:paraId="6327E7C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1.90</w:t>
            </w:r>
          </w:p>
        </w:tc>
        <w:tc>
          <w:tcPr>
            <w:tcW w:w="1220" w:type="dxa"/>
            <w:noWrap w:val="0"/>
            <w:vAlign w:val="center"/>
          </w:tcPr>
          <w:p w14:paraId="625D7A5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1.90 </w:t>
            </w:r>
          </w:p>
        </w:tc>
      </w:tr>
      <w:tr w14:paraId="571C22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670" w:type="dxa"/>
            <w:vMerge w:val="continue"/>
            <w:noWrap w:val="0"/>
            <w:vAlign w:val="center"/>
          </w:tcPr>
          <w:p w14:paraId="7BD9E1F7">
            <w:pPr>
              <w:jc w:val="center"/>
              <w:rPr>
                <w:rFonts w:hint="eastAsia" w:ascii="宋体" w:hAnsi="宋体" w:eastAsia="宋体" w:cs="宋体"/>
                <w:i w:val="0"/>
                <w:iCs w:val="0"/>
                <w:color w:val="auto"/>
                <w:sz w:val="20"/>
                <w:szCs w:val="20"/>
                <w:highlight w:val="none"/>
                <w:u w:val="none"/>
              </w:rPr>
            </w:pPr>
          </w:p>
        </w:tc>
        <w:tc>
          <w:tcPr>
            <w:tcW w:w="620" w:type="dxa"/>
            <w:vMerge w:val="continue"/>
            <w:noWrap w:val="0"/>
            <w:vAlign w:val="center"/>
          </w:tcPr>
          <w:p w14:paraId="5FB65B56">
            <w:pPr>
              <w:jc w:val="center"/>
              <w:rPr>
                <w:rFonts w:hint="eastAsia" w:ascii="宋体" w:hAnsi="宋体" w:eastAsia="宋体" w:cs="宋体"/>
                <w:i w:val="0"/>
                <w:iCs w:val="0"/>
                <w:color w:val="auto"/>
                <w:sz w:val="20"/>
                <w:szCs w:val="20"/>
                <w:highlight w:val="none"/>
                <w:u w:val="none"/>
              </w:rPr>
            </w:pPr>
          </w:p>
        </w:tc>
        <w:tc>
          <w:tcPr>
            <w:tcW w:w="1210" w:type="dxa"/>
            <w:noWrap w:val="0"/>
            <w:vAlign w:val="center"/>
          </w:tcPr>
          <w:p w14:paraId="67C781A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喷头改装</w:t>
            </w:r>
          </w:p>
        </w:tc>
        <w:tc>
          <w:tcPr>
            <w:tcW w:w="3110" w:type="dxa"/>
            <w:noWrap w:val="0"/>
            <w:vAlign w:val="center"/>
          </w:tcPr>
          <w:p w14:paraId="59F4C208">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钢制耐用品牌喷头，管道更换及改造</w:t>
            </w:r>
          </w:p>
        </w:tc>
        <w:tc>
          <w:tcPr>
            <w:tcW w:w="750" w:type="dxa"/>
            <w:noWrap w:val="0"/>
            <w:vAlign w:val="center"/>
          </w:tcPr>
          <w:p w14:paraId="4DAA3E5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740" w:type="dxa"/>
            <w:noWrap w:val="0"/>
            <w:vAlign w:val="center"/>
          </w:tcPr>
          <w:p w14:paraId="3D22C44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1330" w:type="dxa"/>
            <w:noWrap w:val="0"/>
            <w:vAlign w:val="center"/>
          </w:tcPr>
          <w:p w14:paraId="22528B6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0.60</w:t>
            </w:r>
          </w:p>
        </w:tc>
        <w:tc>
          <w:tcPr>
            <w:tcW w:w="1220" w:type="dxa"/>
            <w:noWrap w:val="0"/>
            <w:vAlign w:val="center"/>
          </w:tcPr>
          <w:p w14:paraId="0FE8F23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0.60 </w:t>
            </w:r>
          </w:p>
        </w:tc>
      </w:tr>
      <w:tr w14:paraId="540BE5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670" w:type="dxa"/>
            <w:vMerge w:val="continue"/>
            <w:noWrap w:val="0"/>
            <w:vAlign w:val="center"/>
          </w:tcPr>
          <w:p w14:paraId="2488A7B8">
            <w:pPr>
              <w:jc w:val="center"/>
              <w:rPr>
                <w:rFonts w:hint="eastAsia" w:ascii="宋体" w:hAnsi="宋体" w:eastAsia="宋体" w:cs="宋体"/>
                <w:i w:val="0"/>
                <w:iCs w:val="0"/>
                <w:color w:val="auto"/>
                <w:sz w:val="20"/>
                <w:szCs w:val="20"/>
                <w:highlight w:val="none"/>
                <w:u w:val="none"/>
              </w:rPr>
            </w:pPr>
          </w:p>
        </w:tc>
        <w:tc>
          <w:tcPr>
            <w:tcW w:w="620" w:type="dxa"/>
            <w:vMerge w:val="continue"/>
            <w:noWrap w:val="0"/>
            <w:vAlign w:val="center"/>
          </w:tcPr>
          <w:p w14:paraId="702E6B13">
            <w:pPr>
              <w:jc w:val="center"/>
              <w:rPr>
                <w:rFonts w:hint="eastAsia" w:ascii="宋体" w:hAnsi="宋体" w:eastAsia="宋体" w:cs="宋体"/>
                <w:i w:val="0"/>
                <w:iCs w:val="0"/>
                <w:color w:val="auto"/>
                <w:sz w:val="20"/>
                <w:szCs w:val="20"/>
                <w:highlight w:val="none"/>
                <w:u w:val="none"/>
              </w:rPr>
            </w:pPr>
          </w:p>
        </w:tc>
        <w:tc>
          <w:tcPr>
            <w:tcW w:w="1210" w:type="dxa"/>
            <w:noWrap w:val="0"/>
            <w:vAlign w:val="center"/>
          </w:tcPr>
          <w:p w14:paraId="41BEE21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发电机组及电缆盘安装改造</w:t>
            </w:r>
          </w:p>
        </w:tc>
        <w:tc>
          <w:tcPr>
            <w:tcW w:w="3110" w:type="dxa"/>
            <w:noWrap w:val="0"/>
            <w:vAlign w:val="center"/>
          </w:tcPr>
          <w:p w14:paraId="2F408F0A">
            <w:pPr>
              <w:keepNext w:val="0"/>
              <w:keepLines w:val="0"/>
              <w:widowControl/>
              <w:numPr>
                <w:ilvl w:val="0"/>
                <w:numId w:val="19"/>
              </w:numPr>
              <w:suppressLineNumbers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加装不低于5000瓦静音汽油发电机双电压220v及线路</w:t>
            </w:r>
          </w:p>
          <w:p w14:paraId="0C110B20">
            <w:pPr>
              <w:keepNext w:val="0"/>
              <w:keepLines w:val="0"/>
              <w:widowControl/>
              <w:numPr>
                <w:ilvl w:val="0"/>
                <w:numId w:val="19"/>
              </w:numPr>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不低于50米三芯4平方电缆盘，电流不低于32A，电压220V空气开关，电路水路控制盒。</w:t>
            </w:r>
          </w:p>
        </w:tc>
        <w:tc>
          <w:tcPr>
            <w:tcW w:w="750" w:type="dxa"/>
            <w:noWrap w:val="0"/>
            <w:vAlign w:val="center"/>
          </w:tcPr>
          <w:p w14:paraId="57E19B1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740" w:type="dxa"/>
            <w:noWrap w:val="0"/>
            <w:vAlign w:val="center"/>
          </w:tcPr>
          <w:p w14:paraId="731AF2E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1330" w:type="dxa"/>
            <w:noWrap w:val="0"/>
            <w:vAlign w:val="center"/>
          </w:tcPr>
          <w:p w14:paraId="40CF2ED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0.80</w:t>
            </w:r>
          </w:p>
        </w:tc>
        <w:tc>
          <w:tcPr>
            <w:tcW w:w="1220" w:type="dxa"/>
            <w:noWrap w:val="0"/>
            <w:vAlign w:val="center"/>
          </w:tcPr>
          <w:p w14:paraId="5BF09CE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0.80 </w:t>
            </w:r>
          </w:p>
        </w:tc>
      </w:tr>
      <w:tr w14:paraId="0D6DBA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670" w:type="dxa"/>
            <w:vMerge w:val="continue"/>
            <w:noWrap w:val="0"/>
            <w:vAlign w:val="center"/>
          </w:tcPr>
          <w:p w14:paraId="705DE554">
            <w:pPr>
              <w:jc w:val="center"/>
              <w:rPr>
                <w:rFonts w:hint="eastAsia" w:ascii="宋体" w:hAnsi="宋体" w:eastAsia="宋体" w:cs="宋体"/>
                <w:i w:val="0"/>
                <w:iCs w:val="0"/>
                <w:color w:val="auto"/>
                <w:sz w:val="20"/>
                <w:szCs w:val="20"/>
                <w:highlight w:val="none"/>
                <w:u w:val="none"/>
              </w:rPr>
            </w:pPr>
          </w:p>
        </w:tc>
        <w:tc>
          <w:tcPr>
            <w:tcW w:w="620" w:type="dxa"/>
            <w:vMerge w:val="continue"/>
            <w:noWrap w:val="0"/>
            <w:vAlign w:val="center"/>
          </w:tcPr>
          <w:p w14:paraId="5204F818">
            <w:pPr>
              <w:jc w:val="center"/>
              <w:rPr>
                <w:rFonts w:hint="eastAsia" w:ascii="宋体" w:hAnsi="宋体" w:eastAsia="宋体" w:cs="宋体"/>
                <w:i w:val="0"/>
                <w:iCs w:val="0"/>
                <w:color w:val="auto"/>
                <w:sz w:val="20"/>
                <w:szCs w:val="20"/>
                <w:highlight w:val="none"/>
                <w:u w:val="none"/>
              </w:rPr>
            </w:pPr>
          </w:p>
        </w:tc>
        <w:tc>
          <w:tcPr>
            <w:tcW w:w="1210" w:type="dxa"/>
            <w:noWrap w:val="0"/>
            <w:vAlign w:val="center"/>
          </w:tcPr>
          <w:p w14:paraId="2FDD63E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人工</w:t>
            </w:r>
          </w:p>
        </w:tc>
        <w:tc>
          <w:tcPr>
            <w:tcW w:w="3110" w:type="dxa"/>
            <w:noWrap w:val="0"/>
            <w:vAlign w:val="center"/>
          </w:tcPr>
          <w:p w14:paraId="51E5061B">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每天6人</w:t>
            </w:r>
          </w:p>
        </w:tc>
        <w:tc>
          <w:tcPr>
            <w:tcW w:w="750" w:type="dxa"/>
            <w:noWrap w:val="0"/>
            <w:vAlign w:val="center"/>
          </w:tcPr>
          <w:p w14:paraId="0D17044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w:t>
            </w:r>
          </w:p>
        </w:tc>
        <w:tc>
          <w:tcPr>
            <w:tcW w:w="740" w:type="dxa"/>
            <w:noWrap w:val="0"/>
            <w:vAlign w:val="center"/>
          </w:tcPr>
          <w:p w14:paraId="652BE79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天</w:t>
            </w:r>
          </w:p>
        </w:tc>
        <w:tc>
          <w:tcPr>
            <w:tcW w:w="1330" w:type="dxa"/>
            <w:noWrap w:val="0"/>
            <w:vAlign w:val="center"/>
          </w:tcPr>
          <w:p w14:paraId="5F20CCD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0.12</w:t>
            </w:r>
          </w:p>
        </w:tc>
        <w:tc>
          <w:tcPr>
            <w:tcW w:w="1220" w:type="dxa"/>
            <w:noWrap w:val="0"/>
            <w:vAlign w:val="center"/>
          </w:tcPr>
          <w:p w14:paraId="10ACC15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1.20 </w:t>
            </w:r>
          </w:p>
        </w:tc>
      </w:tr>
      <w:tr w14:paraId="728F8C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670" w:type="dxa"/>
            <w:noWrap w:val="0"/>
            <w:vAlign w:val="center"/>
          </w:tcPr>
          <w:p w14:paraId="7EAB72B8">
            <w:pPr>
              <w:jc w:val="center"/>
              <w:rPr>
                <w:rFonts w:hint="eastAsia" w:ascii="宋体" w:hAnsi="宋体" w:eastAsia="宋体" w:cs="宋体"/>
                <w:i w:val="0"/>
                <w:iCs w:val="0"/>
                <w:color w:val="auto"/>
                <w:sz w:val="20"/>
                <w:szCs w:val="20"/>
                <w:highlight w:val="none"/>
                <w:u w:val="none"/>
              </w:rPr>
            </w:pPr>
          </w:p>
        </w:tc>
        <w:tc>
          <w:tcPr>
            <w:tcW w:w="7760" w:type="dxa"/>
            <w:gridSpan w:val="6"/>
            <w:noWrap w:val="0"/>
            <w:vAlign w:val="center"/>
          </w:tcPr>
          <w:p w14:paraId="046976F1">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小计</w:t>
            </w:r>
          </w:p>
        </w:tc>
        <w:tc>
          <w:tcPr>
            <w:tcW w:w="1220" w:type="dxa"/>
            <w:noWrap w:val="0"/>
            <w:vAlign w:val="center"/>
          </w:tcPr>
          <w:p w14:paraId="2F6EA78F">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 xml:space="preserve">9.76 </w:t>
            </w:r>
          </w:p>
        </w:tc>
      </w:tr>
      <w:tr w14:paraId="598FB2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670" w:type="dxa"/>
            <w:vMerge w:val="restart"/>
            <w:noWrap w:val="0"/>
            <w:vAlign w:val="center"/>
          </w:tcPr>
          <w:p w14:paraId="3D4CF68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厢式货车</w:t>
            </w:r>
          </w:p>
        </w:tc>
        <w:tc>
          <w:tcPr>
            <w:tcW w:w="620" w:type="dxa"/>
            <w:vMerge w:val="restart"/>
            <w:noWrap w:val="0"/>
            <w:vAlign w:val="center"/>
          </w:tcPr>
          <w:p w14:paraId="02C2A81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全车改装</w:t>
            </w:r>
          </w:p>
        </w:tc>
        <w:tc>
          <w:tcPr>
            <w:tcW w:w="1210" w:type="dxa"/>
            <w:noWrap w:val="0"/>
            <w:vAlign w:val="center"/>
          </w:tcPr>
          <w:p w14:paraId="149FD3C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车厢改装</w:t>
            </w:r>
          </w:p>
        </w:tc>
        <w:tc>
          <w:tcPr>
            <w:tcW w:w="3110" w:type="dxa"/>
            <w:noWrap w:val="0"/>
            <w:vAlign w:val="center"/>
          </w:tcPr>
          <w:p w14:paraId="6213E8C0">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液压机构支撑展翼开启90°展翼门镀锌方管骨架内外蒙皮不低于1.2mm铝板高密度聚氨酯保温板填充，双侧锁死机构。</w:t>
            </w:r>
          </w:p>
        </w:tc>
        <w:tc>
          <w:tcPr>
            <w:tcW w:w="750" w:type="dxa"/>
            <w:noWrap w:val="0"/>
            <w:vAlign w:val="center"/>
          </w:tcPr>
          <w:p w14:paraId="3EE8685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740" w:type="dxa"/>
            <w:noWrap w:val="0"/>
            <w:vAlign w:val="center"/>
          </w:tcPr>
          <w:p w14:paraId="3147C72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1330" w:type="dxa"/>
            <w:noWrap w:val="0"/>
            <w:vAlign w:val="center"/>
          </w:tcPr>
          <w:p w14:paraId="0C64DC8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4.90</w:t>
            </w:r>
          </w:p>
        </w:tc>
        <w:tc>
          <w:tcPr>
            <w:tcW w:w="1220" w:type="dxa"/>
            <w:noWrap w:val="0"/>
            <w:vAlign w:val="center"/>
          </w:tcPr>
          <w:p w14:paraId="6EB7C4E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4.90 </w:t>
            </w:r>
          </w:p>
        </w:tc>
      </w:tr>
      <w:tr w14:paraId="156F7D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670" w:type="dxa"/>
            <w:vMerge w:val="continue"/>
            <w:noWrap w:val="0"/>
            <w:vAlign w:val="center"/>
          </w:tcPr>
          <w:p w14:paraId="217EA001">
            <w:pPr>
              <w:jc w:val="center"/>
              <w:rPr>
                <w:rFonts w:hint="eastAsia" w:ascii="宋体" w:hAnsi="宋体" w:eastAsia="宋体" w:cs="宋体"/>
                <w:i w:val="0"/>
                <w:iCs w:val="0"/>
                <w:color w:val="auto"/>
                <w:sz w:val="20"/>
                <w:szCs w:val="20"/>
                <w:highlight w:val="none"/>
                <w:u w:val="none"/>
              </w:rPr>
            </w:pPr>
          </w:p>
        </w:tc>
        <w:tc>
          <w:tcPr>
            <w:tcW w:w="620" w:type="dxa"/>
            <w:vMerge w:val="continue"/>
            <w:noWrap w:val="0"/>
            <w:vAlign w:val="center"/>
          </w:tcPr>
          <w:p w14:paraId="085A65CF">
            <w:pPr>
              <w:jc w:val="center"/>
              <w:rPr>
                <w:rFonts w:hint="eastAsia" w:ascii="宋体" w:hAnsi="宋体" w:eastAsia="宋体" w:cs="宋体"/>
                <w:i w:val="0"/>
                <w:iCs w:val="0"/>
                <w:color w:val="auto"/>
                <w:sz w:val="20"/>
                <w:szCs w:val="20"/>
                <w:highlight w:val="none"/>
                <w:u w:val="none"/>
              </w:rPr>
            </w:pPr>
          </w:p>
        </w:tc>
        <w:tc>
          <w:tcPr>
            <w:tcW w:w="1210" w:type="dxa"/>
            <w:noWrap w:val="0"/>
            <w:vAlign w:val="center"/>
          </w:tcPr>
          <w:p w14:paraId="431546B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货架安装</w:t>
            </w:r>
          </w:p>
        </w:tc>
        <w:tc>
          <w:tcPr>
            <w:tcW w:w="3110" w:type="dxa"/>
            <w:noWrap w:val="0"/>
            <w:vAlign w:val="center"/>
          </w:tcPr>
          <w:p w14:paraId="5CAE5E48">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内置白钢货架，货架采用螺栓固定方式可拆卸。</w:t>
            </w:r>
          </w:p>
        </w:tc>
        <w:tc>
          <w:tcPr>
            <w:tcW w:w="750" w:type="dxa"/>
            <w:noWrap w:val="0"/>
            <w:vAlign w:val="center"/>
          </w:tcPr>
          <w:p w14:paraId="5F8B5AF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740" w:type="dxa"/>
            <w:noWrap w:val="0"/>
            <w:vAlign w:val="center"/>
          </w:tcPr>
          <w:p w14:paraId="34CC7B2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1330" w:type="dxa"/>
            <w:noWrap w:val="0"/>
            <w:vAlign w:val="center"/>
          </w:tcPr>
          <w:p w14:paraId="44BFFDC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2.00</w:t>
            </w:r>
          </w:p>
        </w:tc>
        <w:tc>
          <w:tcPr>
            <w:tcW w:w="1220" w:type="dxa"/>
            <w:noWrap w:val="0"/>
            <w:vAlign w:val="center"/>
          </w:tcPr>
          <w:p w14:paraId="6FB4DA3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2.00 </w:t>
            </w:r>
          </w:p>
        </w:tc>
      </w:tr>
      <w:tr w14:paraId="255581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670" w:type="dxa"/>
            <w:vMerge w:val="continue"/>
            <w:noWrap w:val="0"/>
            <w:vAlign w:val="center"/>
          </w:tcPr>
          <w:p w14:paraId="0F60DA0D">
            <w:pPr>
              <w:jc w:val="center"/>
              <w:rPr>
                <w:rFonts w:hint="eastAsia" w:ascii="宋体" w:hAnsi="宋体" w:eastAsia="宋体" w:cs="宋体"/>
                <w:i w:val="0"/>
                <w:iCs w:val="0"/>
                <w:color w:val="auto"/>
                <w:sz w:val="20"/>
                <w:szCs w:val="20"/>
                <w:highlight w:val="none"/>
                <w:u w:val="none"/>
              </w:rPr>
            </w:pPr>
          </w:p>
        </w:tc>
        <w:tc>
          <w:tcPr>
            <w:tcW w:w="620" w:type="dxa"/>
            <w:vMerge w:val="continue"/>
            <w:noWrap w:val="0"/>
            <w:vAlign w:val="center"/>
          </w:tcPr>
          <w:p w14:paraId="7ADFA373">
            <w:pPr>
              <w:jc w:val="center"/>
              <w:rPr>
                <w:rFonts w:hint="eastAsia" w:ascii="宋体" w:hAnsi="宋体" w:eastAsia="宋体" w:cs="宋体"/>
                <w:i w:val="0"/>
                <w:iCs w:val="0"/>
                <w:color w:val="auto"/>
                <w:sz w:val="20"/>
                <w:szCs w:val="20"/>
                <w:highlight w:val="none"/>
                <w:u w:val="none"/>
              </w:rPr>
            </w:pPr>
          </w:p>
        </w:tc>
        <w:tc>
          <w:tcPr>
            <w:tcW w:w="1210" w:type="dxa"/>
            <w:noWrap w:val="0"/>
            <w:vAlign w:val="center"/>
          </w:tcPr>
          <w:p w14:paraId="1E04916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油漆</w:t>
            </w:r>
          </w:p>
        </w:tc>
        <w:tc>
          <w:tcPr>
            <w:tcW w:w="3110" w:type="dxa"/>
            <w:noWrap w:val="0"/>
            <w:vAlign w:val="center"/>
          </w:tcPr>
          <w:p w14:paraId="1641308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箱体采用消防红色喷漆。环氧底漆，军用双组份面漆</w:t>
            </w:r>
          </w:p>
        </w:tc>
        <w:tc>
          <w:tcPr>
            <w:tcW w:w="750" w:type="dxa"/>
            <w:noWrap w:val="0"/>
            <w:vAlign w:val="center"/>
          </w:tcPr>
          <w:p w14:paraId="4A3715B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740" w:type="dxa"/>
            <w:noWrap w:val="0"/>
            <w:vAlign w:val="center"/>
          </w:tcPr>
          <w:p w14:paraId="5AE0767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1330" w:type="dxa"/>
            <w:noWrap w:val="0"/>
            <w:vAlign w:val="center"/>
          </w:tcPr>
          <w:p w14:paraId="0A35563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0.44</w:t>
            </w:r>
          </w:p>
        </w:tc>
        <w:tc>
          <w:tcPr>
            <w:tcW w:w="1220" w:type="dxa"/>
            <w:noWrap w:val="0"/>
            <w:vAlign w:val="center"/>
          </w:tcPr>
          <w:p w14:paraId="120B7B7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0.44 </w:t>
            </w:r>
          </w:p>
        </w:tc>
      </w:tr>
      <w:tr w14:paraId="006BC7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670" w:type="dxa"/>
            <w:vMerge w:val="continue"/>
            <w:noWrap w:val="0"/>
            <w:vAlign w:val="center"/>
          </w:tcPr>
          <w:p w14:paraId="2F0BF8A8">
            <w:pPr>
              <w:jc w:val="center"/>
              <w:rPr>
                <w:rFonts w:hint="eastAsia" w:ascii="宋体" w:hAnsi="宋体" w:eastAsia="宋体" w:cs="宋体"/>
                <w:i w:val="0"/>
                <w:iCs w:val="0"/>
                <w:color w:val="auto"/>
                <w:sz w:val="20"/>
                <w:szCs w:val="20"/>
                <w:highlight w:val="none"/>
                <w:u w:val="none"/>
              </w:rPr>
            </w:pPr>
          </w:p>
        </w:tc>
        <w:tc>
          <w:tcPr>
            <w:tcW w:w="620" w:type="dxa"/>
            <w:vMerge w:val="continue"/>
            <w:noWrap w:val="0"/>
            <w:vAlign w:val="center"/>
          </w:tcPr>
          <w:p w14:paraId="76F9DE05">
            <w:pPr>
              <w:jc w:val="center"/>
              <w:rPr>
                <w:rFonts w:hint="eastAsia" w:ascii="宋体" w:hAnsi="宋体" w:eastAsia="宋体" w:cs="宋体"/>
                <w:i w:val="0"/>
                <w:iCs w:val="0"/>
                <w:color w:val="auto"/>
                <w:sz w:val="20"/>
                <w:szCs w:val="20"/>
                <w:highlight w:val="none"/>
                <w:u w:val="none"/>
              </w:rPr>
            </w:pPr>
          </w:p>
        </w:tc>
        <w:tc>
          <w:tcPr>
            <w:tcW w:w="1210" w:type="dxa"/>
            <w:noWrap w:val="0"/>
            <w:vAlign w:val="center"/>
          </w:tcPr>
          <w:p w14:paraId="20C5172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人工</w:t>
            </w:r>
          </w:p>
        </w:tc>
        <w:tc>
          <w:tcPr>
            <w:tcW w:w="3110" w:type="dxa"/>
            <w:noWrap w:val="0"/>
            <w:vAlign w:val="center"/>
          </w:tcPr>
          <w:p w14:paraId="6B6EE472">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每天6人</w:t>
            </w:r>
          </w:p>
        </w:tc>
        <w:tc>
          <w:tcPr>
            <w:tcW w:w="750" w:type="dxa"/>
            <w:noWrap w:val="0"/>
            <w:vAlign w:val="center"/>
          </w:tcPr>
          <w:p w14:paraId="5ED21EC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w:t>
            </w:r>
          </w:p>
        </w:tc>
        <w:tc>
          <w:tcPr>
            <w:tcW w:w="740" w:type="dxa"/>
            <w:noWrap w:val="0"/>
            <w:vAlign w:val="center"/>
          </w:tcPr>
          <w:p w14:paraId="1D5FB2C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天</w:t>
            </w:r>
          </w:p>
        </w:tc>
        <w:tc>
          <w:tcPr>
            <w:tcW w:w="1330" w:type="dxa"/>
            <w:noWrap w:val="0"/>
            <w:vAlign w:val="center"/>
          </w:tcPr>
          <w:p w14:paraId="44E8A24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0.12</w:t>
            </w:r>
          </w:p>
        </w:tc>
        <w:tc>
          <w:tcPr>
            <w:tcW w:w="1220" w:type="dxa"/>
            <w:noWrap w:val="0"/>
            <w:vAlign w:val="center"/>
          </w:tcPr>
          <w:p w14:paraId="4BEA409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0.96 </w:t>
            </w:r>
          </w:p>
        </w:tc>
      </w:tr>
      <w:tr w14:paraId="4E6A2D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670" w:type="dxa"/>
            <w:vMerge w:val="continue"/>
            <w:noWrap w:val="0"/>
            <w:vAlign w:val="center"/>
          </w:tcPr>
          <w:p w14:paraId="3A388802">
            <w:pPr>
              <w:jc w:val="center"/>
              <w:rPr>
                <w:rFonts w:hint="eastAsia" w:ascii="宋体" w:hAnsi="宋体" w:eastAsia="宋体" w:cs="宋体"/>
                <w:i w:val="0"/>
                <w:iCs w:val="0"/>
                <w:color w:val="auto"/>
                <w:sz w:val="20"/>
                <w:szCs w:val="20"/>
                <w:highlight w:val="none"/>
                <w:u w:val="none"/>
              </w:rPr>
            </w:pPr>
          </w:p>
        </w:tc>
        <w:tc>
          <w:tcPr>
            <w:tcW w:w="7760" w:type="dxa"/>
            <w:gridSpan w:val="6"/>
            <w:noWrap w:val="0"/>
            <w:vAlign w:val="center"/>
          </w:tcPr>
          <w:p w14:paraId="4BFC015E">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小计</w:t>
            </w:r>
          </w:p>
        </w:tc>
        <w:tc>
          <w:tcPr>
            <w:tcW w:w="1220" w:type="dxa"/>
            <w:noWrap w:val="0"/>
            <w:vAlign w:val="center"/>
          </w:tcPr>
          <w:p w14:paraId="07D2AD95">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 xml:space="preserve">8.30 </w:t>
            </w:r>
          </w:p>
        </w:tc>
      </w:tr>
    </w:tbl>
    <w:p w14:paraId="6E36C462">
      <w:pPr>
        <w:spacing w:line="360" w:lineRule="auto"/>
        <w:rPr>
          <w:rFonts w:ascii="仿宋_GB2312" w:hAnsi="仿宋_GB2312" w:eastAsia="仿宋_GB2312" w:cs="仿宋_GB2312"/>
          <w:color w:val="auto"/>
          <w:szCs w:val="21"/>
          <w:highlight w:val="none"/>
        </w:rPr>
      </w:pPr>
    </w:p>
    <w:p w14:paraId="424D7FE4">
      <w:pPr>
        <w:pStyle w:val="9"/>
        <w:rPr>
          <w:color w:val="auto"/>
          <w:highlight w:val="none"/>
        </w:rPr>
      </w:pPr>
    </w:p>
    <w:p w14:paraId="7822E8B9">
      <w:pPr>
        <w:keepNext w:val="0"/>
        <w:keepLines w:val="0"/>
        <w:pageBreakBefore w:val="0"/>
        <w:numPr>
          <w:ilvl w:val="0"/>
          <w:numId w:val="0"/>
        </w:numPr>
        <w:kinsoku/>
        <w:wordWrap/>
        <w:overflowPunct/>
        <w:topLinePunct w:val="0"/>
        <w:autoSpaceDE/>
        <w:autoSpaceDN/>
        <w:bidi w:val="0"/>
        <w:adjustRightInd/>
        <w:snapToGrid w:val="0"/>
        <w:spacing w:afterAutospacing="0" w:line="360" w:lineRule="auto"/>
        <w:jc w:val="left"/>
        <w:textAlignment w:val="auto"/>
        <w:rPr>
          <w:rFonts w:hint="default" w:ascii="仿宋" w:hAnsi="仿宋" w:eastAsia="仿宋" w:cs="仿宋"/>
          <w:b/>
          <w:bCs/>
          <w:i w:val="0"/>
          <w:iCs w:val="0"/>
          <w:caps w:val="0"/>
          <w:color w:val="auto"/>
          <w:spacing w:val="0"/>
          <w:kern w:val="0"/>
          <w:sz w:val="24"/>
          <w:szCs w:val="24"/>
          <w:highlight w:val="none"/>
          <w:lang w:val="en-US" w:eastAsia="zh-CN" w:bidi="ar-SA"/>
        </w:rPr>
      </w:pPr>
      <w:r>
        <w:rPr>
          <w:rFonts w:hint="eastAsia" w:ascii="仿宋" w:hAnsi="仿宋" w:eastAsia="仿宋" w:cs="仿宋"/>
          <w:b/>
          <w:bCs/>
          <w:i w:val="0"/>
          <w:iCs w:val="0"/>
          <w:caps w:val="0"/>
          <w:color w:val="auto"/>
          <w:spacing w:val="0"/>
          <w:kern w:val="0"/>
          <w:sz w:val="24"/>
          <w:szCs w:val="24"/>
          <w:highlight w:val="none"/>
          <w:lang w:val="en-US" w:eastAsia="zh-CN" w:bidi="ar-SA"/>
        </w:rPr>
        <w:t>三、其他要求：</w:t>
      </w:r>
    </w:p>
    <w:p w14:paraId="2D39FDEE">
      <w:pPr>
        <w:keepNext w:val="0"/>
        <w:keepLines w:val="0"/>
        <w:pageBreakBefore w:val="0"/>
        <w:numPr>
          <w:ilvl w:val="0"/>
          <w:numId w:val="0"/>
        </w:numPr>
        <w:kinsoku/>
        <w:wordWrap/>
        <w:overflowPunct/>
        <w:topLinePunct w:val="0"/>
        <w:autoSpaceDE/>
        <w:autoSpaceDN/>
        <w:bidi w:val="0"/>
        <w:adjustRightInd/>
        <w:snapToGrid w:val="0"/>
        <w:spacing w:afterAutospacing="0" w:line="360" w:lineRule="auto"/>
        <w:ind w:firstLine="420" w:firstLineChars="200"/>
        <w:jc w:val="left"/>
        <w:textAlignment w:val="auto"/>
        <w:rPr>
          <w:rFonts w:hint="eastAsia"/>
          <w:b w:val="0"/>
          <w:bCs w:val="0"/>
          <w:color w:val="auto"/>
          <w:sz w:val="21"/>
          <w:szCs w:val="21"/>
          <w:highlight w:val="none"/>
          <w:lang w:val="en-US" w:eastAsia="zh-CN"/>
        </w:rPr>
      </w:pPr>
      <w:r>
        <w:rPr>
          <w:rFonts w:hint="eastAsia"/>
          <w:b w:val="0"/>
          <w:bCs w:val="0"/>
          <w:color w:val="auto"/>
          <w:sz w:val="21"/>
          <w:szCs w:val="21"/>
          <w:highlight w:val="none"/>
          <w:lang w:val="en-US" w:eastAsia="zh-CN"/>
        </w:rPr>
        <w:t>综合保障车装饰要求：综合保障车采用挂车底盘进行改装，上装的框架结构主要由方管、槽钢、工字钢构成，车身结构，具有优越的保温、隔音、支撑和抗冲击性。</w:t>
      </w:r>
    </w:p>
    <w:p w14:paraId="0AE9096A">
      <w:pPr>
        <w:keepNext w:val="0"/>
        <w:keepLines w:val="0"/>
        <w:pageBreakBefore w:val="0"/>
        <w:numPr>
          <w:ilvl w:val="0"/>
          <w:numId w:val="0"/>
        </w:numPr>
        <w:kinsoku/>
        <w:wordWrap/>
        <w:overflowPunct/>
        <w:topLinePunct w:val="0"/>
        <w:autoSpaceDE/>
        <w:autoSpaceDN/>
        <w:bidi w:val="0"/>
        <w:adjustRightInd/>
        <w:snapToGrid w:val="0"/>
        <w:spacing w:afterAutospacing="0" w:line="360" w:lineRule="auto"/>
        <w:ind w:firstLine="420" w:firstLineChars="200"/>
        <w:jc w:val="left"/>
        <w:textAlignment w:val="auto"/>
        <w:rPr>
          <w:rFonts w:hint="eastAsia"/>
          <w:b w:val="0"/>
          <w:bCs w:val="0"/>
          <w:color w:val="auto"/>
          <w:sz w:val="21"/>
          <w:szCs w:val="21"/>
          <w:highlight w:val="none"/>
          <w:lang w:val="en-US" w:eastAsia="zh-CN"/>
        </w:rPr>
      </w:pPr>
      <w:r>
        <w:rPr>
          <w:rFonts w:hint="eastAsia"/>
          <w:b w:val="0"/>
          <w:bCs w:val="0"/>
          <w:color w:val="auto"/>
          <w:sz w:val="21"/>
          <w:szCs w:val="21"/>
          <w:highlight w:val="none"/>
          <w:lang w:val="en-US" w:eastAsia="zh-CN"/>
        </w:rPr>
        <w:t>1. 基本框架材料：</w:t>
      </w:r>
    </w:p>
    <w:p w14:paraId="2B61A338">
      <w:pPr>
        <w:keepNext w:val="0"/>
        <w:keepLines w:val="0"/>
        <w:pageBreakBefore w:val="0"/>
        <w:numPr>
          <w:ilvl w:val="0"/>
          <w:numId w:val="0"/>
        </w:numPr>
        <w:kinsoku/>
        <w:wordWrap/>
        <w:overflowPunct/>
        <w:topLinePunct w:val="0"/>
        <w:autoSpaceDE/>
        <w:autoSpaceDN/>
        <w:bidi w:val="0"/>
        <w:adjustRightInd/>
        <w:snapToGrid w:val="0"/>
        <w:spacing w:afterAutospacing="0" w:line="360" w:lineRule="auto"/>
        <w:ind w:firstLine="420" w:firstLineChars="200"/>
        <w:jc w:val="left"/>
        <w:textAlignment w:val="auto"/>
        <w:rPr>
          <w:rFonts w:hint="eastAsia"/>
          <w:b w:val="0"/>
          <w:bCs w:val="0"/>
          <w:color w:val="auto"/>
          <w:sz w:val="21"/>
          <w:szCs w:val="21"/>
          <w:highlight w:val="none"/>
          <w:lang w:val="en-US" w:eastAsia="zh-CN"/>
        </w:rPr>
      </w:pPr>
      <w:r>
        <w:rPr>
          <w:rFonts w:hint="eastAsia"/>
          <w:b w:val="0"/>
          <w:bCs w:val="0"/>
          <w:color w:val="auto"/>
          <w:sz w:val="21"/>
          <w:szCs w:val="21"/>
          <w:highlight w:val="none"/>
          <w:lang w:val="en-US" w:eastAsia="zh-CN"/>
        </w:rPr>
        <w:t>综合保障车的基本框架结构使用方管、槽钢和工字钢等材料构建。这些材料因其优良的结构强度和稳定性而被广泛应用于房车的制造中。方管、槽钢和工字钢不仅能够承受较大的载荷，同时具有良好的抗弯曲性能，确保了车辆在移动过程中的稳定性和安全性。</w:t>
      </w:r>
    </w:p>
    <w:p w14:paraId="1400712C">
      <w:pPr>
        <w:keepNext w:val="0"/>
        <w:keepLines w:val="0"/>
        <w:pageBreakBefore w:val="0"/>
        <w:numPr>
          <w:ilvl w:val="0"/>
          <w:numId w:val="0"/>
        </w:numPr>
        <w:kinsoku/>
        <w:wordWrap/>
        <w:overflowPunct/>
        <w:topLinePunct w:val="0"/>
        <w:autoSpaceDE/>
        <w:autoSpaceDN/>
        <w:bidi w:val="0"/>
        <w:adjustRightInd/>
        <w:snapToGrid w:val="0"/>
        <w:spacing w:afterAutospacing="0" w:line="360" w:lineRule="auto"/>
        <w:ind w:firstLine="420" w:firstLineChars="200"/>
        <w:jc w:val="left"/>
        <w:textAlignment w:val="auto"/>
        <w:rPr>
          <w:rFonts w:hint="eastAsia"/>
          <w:b w:val="0"/>
          <w:bCs w:val="0"/>
          <w:color w:val="auto"/>
          <w:sz w:val="21"/>
          <w:szCs w:val="21"/>
          <w:highlight w:val="none"/>
          <w:lang w:val="en-US" w:eastAsia="zh-CN"/>
        </w:rPr>
      </w:pPr>
      <w:r>
        <w:rPr>
          <w:rFonts w:hint="eastAsia"/>
          <w:b w:val="0"/>
          <w:bCs w:val="0"/>
          <w:color w:val="auto"/>
          <w:sz w:val="21"/>
          <w:szCs w:val="21"/>
          <w:highlight w:val="none"/>
          <w:lang w:val="en-US" w:eastAsia="zh-CN"/>
        </w:rPr>
        <w:t>这些金属材料通过焊接等工艺相互连接，形成的基础骨架。在构造骨架时，通过精确的计算和设计，确保每个部分的尺寸和强度都能够符合预期要求，从而保障整体结构的稳定性和耐用性。</w:t>
      </w:r>
    </w:p>
    <w:p w14:paraId="15095DE1">
      <w:pPr>
        <w:keepNext w:val="0"/>
        <w:keepLines w:val="0"/>
        <w:pageBreakBefore w:val="0"/>
        <w:numPr>
          <w:ilvl w:val="0"/>
          <w:numId w:val="0"/>
        </w:numPr>
        <w:kinsoku/>
        <w:wordWrap/>
        <w:overflowPunct/>
        <w:topLinePunct w:val="0"/>
        <w:autoSpaceDE/>
        <w:autoSpaceDN/>
        <w:bidi w:val="0"/>
        <w:adjustRightInd/>
        <w:snapToGrid w:val="0"/>
        <w:spacing w:afterAutospacing="0" w:line="360" w:lineRule="auto"/>
        <w:ind w:firstLine="420" w:firstLineChars="200"/>
        <w:jc w:val="left"/>
        <w:textAlignment w:val="auto"/>
        <w:rPr>
          <w:rFonts w:hint="eastAsia"/>
          <w:b w:val="0"/>
          <w:bCs w:val="0"/>
          <w:color w:val="auto"/>
          <w:sz w:val="21"/>
          <w:szCs w:val="21"/>
          <w:highlight w:val="none"/>
          <w:lang w:val="en-US" w:eastAsia="zh-CN"/>
        </w:rPr>
      </w:pPr>
      <w:r>
        <w:rPr>
          <w:rFonts w:hint="eastAsia"/>
          <w:b w:val="0"/>
          <w:bCs w:val="0"/>
          <w:color w:val="auto"/>
          <w:sz w:val="21"/>
          <w:szCs w:val="21"/>
          <w:highlight w:val="none"/>
          <w:lang w:val="en-US" w:eastAsia="zh-CN"/>
        </w:rPr>
        <w:t>2. 车身结构：</w:t>
      </w:r>
    </w:p>
    <w:p w14:paraId="2FC0C94A">
      <w:pPr>
        <w:keepNext w:val="0"/>
        <w:keepLines w:val="0"/>
        <w:pageBreakBefore w:val="0"/>
        <w:numPr>
          <w:ilvl w:val="0"/>
          <w:numId w:val="0"/>
        </w:numPr>
        <w:kinsoku/>
        <w:wordWrap/>
        <w:overflowPunct/>
        <w:topLinePunct w:val="0"/>
        <w:autoSpaceDE/>
        <w:autoSpaceDN/>
        <w:bidi w:val="0"/>
        <w:adjustRightInd/>
        <w:snapToGrid w:val="0"/>
        <w:spacing w:afterAutospacing="0" w:line="360" w:lineRule="auto"/>
        <w:ind w:firstLine="420" w:firstLineChars="200"/>
        <w:jc w:val="left"/>
        <w:textAlignment w:val="auto"/>
        <w:rPr>
          <w:rFonts w:hint="eastAsia"/>
          <w:b w:val="0"/>
          <w:bCs w:val="0"/>
          <w:color w:val="auto"/>
          <w:sz w:val="21"/>
          <w:szCs w:val="21"/>
          <w:highlight w:val="none"/>
          <w:lang w:val="en-US" w:eastAsia="zh-CN"/>
        </w:rPr>
      </w:pPr>
      <w:r>
        <w:rPr>
          <w:rFonts w:hint="eastAsia"/>
          <w:b w:val="0"/>
          <w:bCs w:val="0"/>
          <w:color w:val="auto"/>
          <w:sz w:val="21"/>
          <w:szCs w:val="21"/>
          <w:highlight w:val="none"/>
          <w:lang w:val="en-US" w:eastAsia="zh-CN"/>
        </w:rPr>
        <w:t>车身结构是车框架设计中的一项关键技术，它由外部板材、夹层材料和内部板材三种材料叠加组合而成，这种设计能够有效地进行墙体支撑、隔热保温、隔音降噪，同时减轻车身的重量。</w:t>
      </w:r>
    </w:p>
    <w:p w14:paraId="0E7AEC94">
      <w:pPr>
        <w:keepNext w:val="0"/>
        <w:keepLines w:val="0"/>
        <w:pageBreakBefore w:val="0"/>
        <w:numPr>
          <w:ilvl w:val="0"/>
          <w:numId w:val="0"/>
        </w:numPr>
        <w:kinsoku/>
        <w:wordWrap/>
        <w:overflowPunct/>
        <w:topLinePunct w:val="0"/>
        <w:autoSpaceDE/>
        <w:autoSpaceDN/>
        <w:bidi w:val="0"/>
        <w:adjustRightInd/>
        <w:snapToGrid w:val="0"/>
        <w:spacing w:afterAutospacing="0" w:line="360" w:lineRule="auto"/>
        <w:ind w:firstLine="420" w:firstLineChars="200"/>
        <w:jc w:val="left"/>
        <w:textAlignment w:val="auto"/>
        <w:rPr>
          <w:rFonts w:hint="eastAsia"/>
          <w:b w:val="0"/>
          <w:bCs w:val="0"/>
          <w:color w:val="auto"/>
          <w:sz w:val="21"/>
          <w:szCs w:val="21"/>
          <w:highlight w:val="none"/>
          <w:lang w:val="en-US" w:eastAsia="zh-CN"/>
        </w:rPr>
      </w:pPr>
      <w:r>
        <w:rPr>
          <w:rFonts w:hint="eastAsia"/>
          <w:b w:val="0"/>
          <w:bCs w:val="0"/>
          <w:color w:val="auto"/>
          <w:sz w:val="21"/>
          <w:szCs w:val="21"/>
          <w:highlight w:val="none"/>
          <w:lang w:val="en-US" w:eastAsia="zh-CN"/>
        </w:rPr>
        <w:t>外部板材选用高强度、轻质量的金属雕花板，以保护车身免受外界影响；夹层材料选用聚苯乙烯泡沫塑料板，负责保温和隔音功能；内部板材选择木饰面装修板，不仅提升了车内的环保等级而且使车内环境更加舒适且易于清洁维护。</w:t>
      </w:r>
    </w:p>
    <w:p w14:paraId="7F855CC4">
      <w:pPr>
        <w:keepNext w:val="0"/>
        <w:keepLines w:val="0"/>
        <w:pageBreakBefore w:val="0"/>
        <w:numPr>
          <w:ilvl w:val="0"/>
          <w:numId w:val="0"/>
        </w:numPr>
        <w:kinsoku/>
        <w:wordWrap/>
        <w:overflowPunct/>
        <w:topLinePunct w:val="0"/>
        <w:autoSpaceDE/>
        <w:autoSpaceDN/>
        <w:bidi w:val="0"/>
        <w:adjustRightInd/>
        <w:snapToGrid w:val="0"/>
        <w:spacing w:afterAutospacing="0" w:line="360" w:lineRule="auto"/>
        <w:ind w:firstLine="420" w:firstLineChars="200"/>
        <w:jc w:val="left"/>
        <w:textAlignment w:val="auto"/>
        <w:rPr>
          <w:rFonts w:hint="eastAsia"/>
          <w:b w:val="0"/>
          <w:bCs w:val="0"/>
          <w:color w:val="auto"/>
          <w:sz w:val="21"/>
          <w:szCs w:val="21"/>
          <w:highlight w:val="none"/>
          <w:lang w:val="en-US" w:eastAsia="zh-CN"/>
        </w:rPr>
      </w:pPr>
      <w:r>
        <w:rPr>
          <w:rFonts w:hint="eastAsia"/>
          <w:b w:val="0"/>
          <w:bCs w:val="0"/>
          <w:color w:val="auto"/>
          <w:sz w:val="21"/>
          <w:szCs w:val="21"/>
          <w:highlight w:val="none"/>
          <w:lang w:val="en-US" w:eastAsia="zh-CN"/>
        </w:rPr>
        <w:t>3.车身外观设计：</w:t>
      </w:r>
    </w:p>
    <w:p w14:paraId="2D844F59">
      <w:pPr>
        <w:keepNext w:val="0"/>
        <w:keepLines w:val="0"/>
        <w:pageBreakBefore w:val="0"/>
        <w:numPr>
          <w:ilvl w:val="0"/>
          <w:numId w:val="0"/>
        </w:numPr>
        <w:kinsoku/>
        <w:wordWrap/>
        <w:overflowPunct/>
        <w:topLinePunct w:val="0"/>
        <w:autoSpaceDE/>
        <w:autoSpaceDN/>
        <w:bidi w:val="0"/>
        <w:adjustRightInd/>
        <w:snapToGrid w:val="0"/>
        <w:spacing w:afterAutospacing="0" w:line="360" w:lineRule="auto"/>
        <w:ind w:firstLine="420" w:firstLineChars="200"/>
        <w:jc w:val="left"/>
        <w:textAlignment w:val="auto"/>
        <w:rPr>
          <w:rFonts w:hint="eastAsia"/>
          <w:b w:val="0"/>
          <w:bCs w:val="0"/>
          <w:color w:val="auto"/>
          <w:sz w:val="21"/>
          <w:szCs w:val="21"/>
          <w:highlight w:val="none"/>
          <w:lang w:val="en-US" w:eastAsia="zh-CN"/>
        </w:rPr>
      </w:pPr>
      <w:r>
        <w:rPr>
          <w:rFonts w:hint="eastAsia"/>
          <w:b w:val="0"/>
          <w:bCs w:val="0"/>
          <w:color w:val="auto"/>
          <w:sz w:val="21"/>
          <w:szCs w:val="21"/>
          <w:highlight w:val="none"/>
          <w:lang w:val="en-US" w:eastAsia="zh-CN"/>
        </w:rPr>
        <w:t>综合保障车，车身箱体外部采用波浪形侧墙板。构成箱体围护的波浪形侧墙板，不仅美观更重要的是增强了箱体的刚性和承载能力。</w:t>
      </w:r>
    </w:p>
    <w:p w14:paraId="4449BD86">
      <w:pPr>
        <w:keepNext w:val="0"/>
        <w:keepLines w:val="0"/>
        <w:pageBreakBefore w:val="0"/>
        <w:numPr>
          <w:ilvl w:val="0"/>
          <w:numId w:val="0"/>
        </w:numPr>
        <w:kinsoku/>
        <w:wordWrap/>
        <w:overflowPunct/>
        <w:topLinePunct w:val="0"/>
        <w:autoSpaceDE/>
        <w:autoSpaceDN/>
        <w:bidi w:val="0"/>
        <w:adjustRightInd/>
        <w:snapToGrid w:val="0"/>
        <w:spacing w:afterAutospacing="0" w:line="360" w:lineRule="auto"/>
        <w:ind w:firstLine="420" w:firstLineChars="200"/>
        <w:jc w:val="left"/>
        <w:textAlignment w:val="auto"/>
        <w:rPr>
          <w:rFonts w:hint="eastAsia"/>
          <w:b w:val="0"/>
          <w:bCs w:val="0"/>
          <w:color w:val="auto"/>
          <w:sz w:val="21"/>
          <w:szCs w:val="21"/>
          <w:highlight w:val="none"/>
          <w:lang w:val="en-US" w:eastAsia="zh-CN"/>
        </w:rPr>
      </w:pPr>
      <w:r>
        <w:rPr>
          <w:rFonts w:hint="eastAsia"/>
          <w:b w:val="0"/>
          <w:bCs w:val="0"/>
          <w:color w:val="auto"/>
          <w:sz w:val="21"/>
          <w:szCs w:val="21"/>
          <w:highlight w:val="none"/>
          <w:lang w:val="en-US" w:eastAsia="zh-CN"/>
        </w:rPr>
        <w:t>完成主体结构后，集装箱会进行焊接和热处理，以提高其强度和耐久性。之后，对箱体进行除锈、喷漆等表面处理，提升其抗腐蚀能力和外观质量。选择使用汽车喷漆工艺，先喷涂一层防锈底漆，再喷涂一层带有色彩和标识的亮面漆。</w:t>
      </w:r>
    </w:p>
    <w:p w14:paraId="224A7E99">
      <w:pPr>
        <w:keepNext w:val="0"/>
        <w:keepLines w:val="0"/>
        <w:pageBreakBefore w:val="0"/>
        <w:numPr>
          <w:ilvl w:val="0"/>
          <w:numId w:val="0"/>
        </w:numPr>
        <w:kinsoku/>
        <w:wordWrap/>
        <w:overflowPunct/>
        <w:topLinePunct w:val="0"/>
        <w:autoSpaceDE/>
        <w:autoSpaceDN/>
        <w:bidi w:val="0"/>
        <w:adjustRightInd/>
        <w:snapToGrid w:val="0"/>
        <w:spacing w:afterAutospacing="0" w:line="360" w:lineRule="auto"/>
        <w:ind w:firstLine="420" w:firstLineChars="200"/>
        <w:jc w:val="left"/>
        <w:textAlignment w:val="auto"/>
        <w:rPr>
          <w:rFonts w:hint="eastAsia"/>
          <w:b w:val="0"/>
          <w:bCs w:val="0"/>
          <w:color w:val="auto"/>
          <w:sz w:val="21"/>
          <w:szCs w:val="21"/>
          <w:highlight w:val="none"/>
          <w:lang w:val="en-US" w:eastAsia="zh-CN"/>
        </w:rPr>
      </w:pPr>
    </w:p>
    <w:p w14:paraId="15FB289A">
      <w:pPr>
        <w:keepNext w:val="0"/>
        <w:keepLines w:val="0"/>
        <w:pageBreakBefore w:val="0"/>
        <w:widowControl w:val="0"/>
        <w:numPr>
          <w:ilvl w:val="0"/>
          <w:numId w:val="0"/>
        </w:numPr>
        <w:kinsoku/>
        <w:wordWrap/>
        <w:overflowPunct/>
        <w:topLinePunct w:val="0"/>
        <w:autoSpaceDE/>
        <w:autoSpaceDN/>
        <w:bidi w:val="0"/>
        <w:adjustRightInd/>
        <w:snapToGrid w:val="0"/>
        <w:spacing w:afterAutospacing="0" w:line="360" w:lineRule="auto"/>
        <w:ind w:firstLine="420" w:firstLineChars="200"/>
        <w:jc w:val="left"/>
        <w:textAlignment w:val="auto"/>
        <w:rPr>
          <w:rFonts w:hint="default"/>
          <w:b w:val="0"/>
          <w:bCs w:val="0"/>
          <w:color w:val="auto"/>
          <w:sz w:val="21"/>
          <w:szCs w:val="21"/>
          <w:highlight w:val="none"/>
          <w:lang w:val="en-US" w:eastAsia="zh-CN"/>
        </w:rPr>
      </w:pPr>
    </w:p>
    <w:p w14:paraId="0F735AB2">
      <w:pPr>
        <w:spacing w:line="360" w:lineRule="auto"/>
        <w:ind w:left="420"/>
        <w:rPr>
          <w:rFonts w:ascii="仿宋_GB2312" w:hAnsi="仿宋_GB2312" w:eastAsia="仿宋_GB2312" w:cs="仿宋_GB2312"/>
          <w:color w:val="auto"/>
          <w:szCs w:val="21"/>
          <w:highlight w:val="none"/>
        </w:rPr>
      </w:pPr>
    </w:p>
    <w:p w14:paraId="79122D2C">
      <w:r>
        <w:rPr>
          <w:rFonts w:hint="eastAsia" w:ascii="仿宋" w:hAnsi="仿宋" w:eastAsia="仿宋" w:cs="仿宋"/>
          <w:color w:val="auto"/>
          <w:sz w:val="21"/>
          <w:szCs w:val="21"/>
          <w:highlight w:val="none"/>
        </w:rPr>
        <w:br w:type="page"/>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1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469E3FB"/>
    <w:multiLevelType w:val="singleLevel"/>
    <w:tmpl w:val="8469E3FB"/>
    <w:lvl w:ilvl="0" w:tentative="0">
      <w:start w:val="1"/>
      <w:numFmt w:val="decimal"/>
      <w:suff w:val="nothing"/>
      <w:lvlText w:val="%1、"/>
      <w:lvlJc w:val="left"/>
    </w:lvl>
  </w:abstractNum>
  <w:abstractNum w:abstractNumId="1">
    <w:nsid w:val="84C94D27"/>
    <w:multiLevelType w:val="singleLevel"/>
    <w:tmpl w:val="84C94D27"/>
    <w:lvl w:ilvl="0" w:tentative="0">
      <w:start w:val="1"/>
      <w:numFmt w:val="decimal"/>
      <w:suff w:val="nothing"/>
      <w:lvlText w:val="%1、"/>
      <w:lvlJc w:val="left"/>
    </w:lvl>
  </w:abstractNum>
  <w:abstractNum w:abstractNumId="2">
    <w:nsid w:val="888CB4E5"/>
    <w:multiLevelType w:val="singleLevel"/>
    <w:tmpl w:val="888CB4E5"/>
    <w:lvl w:ilvl="0" w:tentative="0">
      <w:start w:val="1"/>
      <w:numFmt w:val="decimal"/>
      <w:suff w:val="nothing"/>
      <w:lvlText w:val="%1、"/>
      <w:lvlJc w:val="left"/>
    </w:lvl>
  </w:abstractNum>
  <w:abstractNum w:abstractNumId="3">
    <w:nsid w:val="8AC10BC6"/>
    <w:multiLevelType w:val="singleLevel"/>
    <w:tmpl w:val="8AC10BC6"/>
    <w:lvl w:ilvl="0" w:tentative="0">
      <w:start w:val="1"/>
      <w:numFmt w:val="decimal"/>
      <w:suff w:val="nothing"/>
      <w:lvlText w:val="%1、"/>
      <w:lvlJc w:val="left"/>
    </w:lvl>
  </w:abstractNum>
  <w:abstractNum w:abstractNumId="4">
    <w:nsid w:val="9394F0B1"/>
    <w:multiLevelType w:val="singleLevel"/>
    <w:tmpl w:val="9394F0B1"/>
    <w:lvl w:ilvl="0" w:tentative="0">
      <w:start w:val="2"/>
      <w:numFmt w:val="decimal"/>
      <w:suff w:val="space"/>
      <w:lvlText w:val="%1."/>
      <w:lvlJc w:val="left"/>
    </w:lvl>
  </w:abstractNum>
  <w:abstractNum w:abstractNumId="5">
    <w:nsid w:val="9C6FA283"/>
    <w:multiLevelType w:val="singleLevel"/>
    <w:tmpl w:val="9C6FA283"/>
    <w:lvl w:ilvl="0" w:tentative="0">
      <w:start w:val="1"/>
      <w:numFmt w:val="decimal"/>
      <w:suff w:val="nothing"/>
      <w:lvlText w:val="%1、"/>
      <w:lvlJc w:val="left"/>
    </w:lvl>
  </w:abstractNum>
  <w:abstractNum w:abstractNumId="6">
    <w:nsid w:val="9D5E7904"/>
    <w:multiLevelType w:val="singleLevel"/>
    <w:tmpl w:val="9D5E7904"/>
    <w:lvl w:ilvl="0" w:tentative="0">
      <w:start w:val="1"/>
      <w:numFmt w:val="decimal"/>
      <w:suff w:val="nothing"/>
      <w:lvlText w:val="%1、"/>
      <w:lvlJc w:val="left"/>
    </w:lvl>
  </w:abstractNum>
  <w:abstractNum w:abstractNumId="7">
    <w:nsid w:val="BDA65841"/>
    <w:multiLevelType w:val="singleLevel"/>
    <w:tmpl w:val="BDA65841"/>
    <w:lvl w:ilvl="0" w:tentative="0">
      <w:start w:val="3"/>
      <w:numFmt w:val="decimal"/>
      <w:suff w:val="space"/>
      <w:lvlText w:val="%1."/>
      <w:lvlJc w:val="left"/>
    </w:lvl>
  </w:abstractNum>
  <w:abstractNum w:abstractNumId="8">
    <w:nsid w:val="DCA791BB"/>
    <w:multiLevelType w:val="singleLevel"/>
    <w:tmpl w:val="DCA791BB"/>
    <w:lvl w:ilvl="0" w:tentative="0">
      <w:start w:val="1"/>
      <w:numFmt w:val="decimal"/>
      <w:suff w:val="nothing"/>
      <w:lvlText w:val="%1、"/>
      <w:lvlJc w:val="left"/>
    </w:lvl>
  </w:abstractNum>
  <w:abstractNum w:abstractNumId="9">
    <w:nsid w:val="ED65CA17"/>
    <w:multiLevelType w:val="singleLevel"/>
    <w:tmpl w:val="ED65CA17"/>
    <w:lvl w:ilvl="0" w:tentative="0">
      <w:start w:val="1"/>
      <w:numFmt w:val="decimal"/>
      <w:suff w:val="nothing"/>
      <w:lvlText w:val="%1、"/>
      <w:lvlJc w:val="left"/>
    </w:lvl>
  </w:abstractNum>
  <w:abstractNum w:abstractNumId="10">
    <w:nsid w:val="EDC1207C"/>
    <w:multiLevelType w:val="singleLevel"/>
    <w:tmpl w:val="EDC1207C"/>
    <w:lvl w:ilvl="0" w:tentative="0">
      <w:start w:val="1"/>
      <w:numFmt w:val="decimal"/>
      <w:suff w:val="nothing"/>
      <w:lvlText w:val="%1、"/>
      <w:lvlJc w:val="left"/>
    </w:lvl>
  </w:abstractNum>
  <w:abstractNum w:abstractNumId="11">
    <w:nsid w:val="19AEEA2B"/>
    <w:multiLevelType w:val="singleLevel"/>
    <w:tmpl w:val="19AEEA2B"/>
    <w:lvl w:ilvl="0" w:tentative="0">
      <w:start w:val="1"/>
      <w:numFmt w:val="decimal"/>
      <w:suff w:val="nothing"/>
      <w:lvlText w:val="%1、"/>
      <w:lvlJc w:val="left"/>
    </w:lvl>
  </w:abstractNum>
  <w:abstractNum w:abstractNumId="12">
    <w:nsid w:val="2E918495"/>
    <w:multiLevelType w:val="singleLevel"/>
    <w:tmpl w:val="2E918495"/>
    <w:lvl w:ilvl="0" w:tentative="0">
      <w:start w:val="1"/>
      <w:numFmt w:val="chineseCounting"/>
      <w:suff w:val="nothing"/>
      <w:lvlText w:val="%1、"/>
      <w:lvlJc w:val="left"/>
      <w:rPr>
        <w:rFonts w:hint="eastAsia"/>
      </w:rPr>
    </w:lvl>
  </w:abstractNum>
  <w:abstractNum w:abstractNumId="13">
    <w:nsid w:val="2FFE1908"/>
    <w:multiLevelType w:val="singleLevel"/>
    <w:tmpl w:val="2FFE1908"/>
    <w:lvl w:ilvl="0" w:tentative="0">
      <w:start w:val="1"/>
      <w:numFmt w:val="decimal"/>
      <w:suff w:val="nothing"/>
      <w:lvlText w:val="%1、"/>
      <w:lvlJc w:val="left"/>
    </w:lvl>
  </w:abstractNum>
  <w:abstractNum w:abstractNumId="14">
    <w:nsid w:val="36E459E5"/>
    <w:multiLevelType w:val="singleLevel"/>
    <w:tmpl w:val="36E459E5"/>
    <w:lvl w:ilvl="0" w:tentative="0">
      <w:start w:val="1"/>
      <w:numFmt w:val="decimal"/>
      <w:suff w:val="nothing"/>
      <w:lvlText w:val="%1、"/>
      <w:lvlJc w:val="left"/>
    </w:lvl>
  </w:abstractNum>
  <w:abstractNum w:abstractNumId="15">
    <w:nsid w:val="428D9FA0"/>
    <w:multiLevelType w:val="singleLevel"/>
    <w:tmpl w:val="428D9FA0"/>
    <w:lvl w:ilvl="0" w:tentative="0">
      <w:start w:val="1"/>
      <w:numFmt w:val="decimal"/>
      <w:suff w:val="nothing"/>
      <w:lvlText w:val="%1、"/>
      <w:lvlJc w:val="left"/>
    </w:lvl>
  </w:abstractNum>
  <w:abstractNum w:abstractNumId="16">
    <w:nsid w:val="43011AD2"/>
    <w:multiLevelType w:val="singleLevel"/>
    <w:tmpl w:val="43011AD2"/>
    <w:lvl w:ilvl="0" w:tentative="0">
      <w:start w:val="2"/>
      <w:numFmt w:val="decimal"/>
      <w:suff w:val="space"/>
      <w:lvlText w:val="%1."/>
      <w:lvlJc w:val="left"/>
    </w:lvl>
  </w:abstractNum>
  <w:abstractNum w:abstractNumId="17">
    <w:nsid w:val="47A6E979"/>
    <w:multiLevelType w:val="singleLevel"/>
    <w:tmpl w:val="47A6E979"/>
    <w:lvl w:ilvl="0" w:tentative="0">
      <w:start w:val="1"/>
      <w:numFmt w:val="decimal"/>
      <w:suff w:val="nothing"/>
      <w:lvlText w:val="%1、"/>
      <w:lvlJc w:val="left"/>
    </w:lvl>
  </w:abstractNum>
  <w:abstractNum w:abstractNumId="18">
    <w:nsid w:val="7683D5CE"/>
    <w:multiLevelType w:val="singleLevel"/>
    <w:tmpl w:val="7683D5CE"/>
    <w:lvl w:ilvl="0" w:tentative="0">
      <w:start w:val="2"/>
      <w:numFmt w:val="chineseCounting"/>
      <w:suff w:val="nothing"/>
      <w:lvlText w:val="%1、"/>
      <w:lvlJc w:val="left"/>
      <w:rPr>
        <w:rFonts w:hint="eastAsia"/>
      </w:rPr>
    </w:lvl>
  </w:abstractNum>
  <w:num w:numId="1">
    <w:abstractNumId w:val="18"/>
  </w:num>
  <w:num w:numId="2">
    <w:abstractNumId w:val="14"/>
  </w:num>
  <w:num w:numId="3">
    <w:abstractNumId w:val="3"/>
  </w:num>
  <w:num w:numId="4">
    <w:abstractNumId w:val="1"/>
  </w:num>
  <w:num w:numId="5">
    <w:abstractNumId w:val="0"/>
  </w:num>
  <w:num w:numId="6">
    <w:abstractNumId w:val="10"/>
  </w:num>
  <w:num w:numId="7">
    <w:abstractNumId w:val="2"/>
  </w:num>
  <w:num w:numId="8">
    <w:abstractNumId w:val="6"/>
  </w:num>
  <w:num w:numId="9">
    <w:abstractNumId w:val="9"/>
  </w:num>
  <w:num w:numId="10">
    <w:abstractNumId w:val="15"/>
  </w:num>
  <w:num w:numId="11">
    <w:abstractNumId w:val="5"/>
  </w:num>
  <w:num w:numId="12">
    <w:abstractNumId w:val="11"/>
  </w:num>
  <w:num w:numId="13">
    <w:abstractNumId w:val="12"/>
  </w:num>
  <w:num w:numId="14">
    <w:abstractNumId w:val="7"/>
  </w:num>
  <w:num w:numId="15">
    <w:abstractNumId w:val="16"/>
  </w:num>
  <w:num w:numId="16">
    <w:abstractNumId w:val="4"/>
  </w:num>
  <w:num w:numId="17">
    <w:abstractNumId w:val="17"/>
  </w:num>
  <w:num w:numId="18">
    <w:abstractNumId w:val="13"/>
  </w:num>
  <w:num w:numId="1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F6265A9"/>
    <w:rsid w:val="6F6265A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iPriority="1"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仿宋" w:cs="Times New Roman"/>
      <w:kern w:val="2"/>
      <w:sz w:val="21"/>
      <w:szCs w:val="24"/>
      <w:lang w:val="en-US" w:eastAsia="zh-CN" w:bidi="ar-SA"/>
    </w:rPr>
  </w:style>
  <w:style w:type="paragraph" w:styleId="4">
    <w:name w:val="heading 1"/>
    <w:basedOn w:val="1"/>
    <w:next w:val="1"/>
    <w:qFormat/>
    <w:uiPriority w:val="0"/>
    <w:pPr>
      <w:keepNext/>
      <w:keepLines/>
      <w:spacing w:before="120" w:after="120"/>
      <w:jc w:val="center"/>
      <w:outlineLvl w:val="0"/>
    </w:pPr>
    <w:rPr>
      <w:b/>
      <w:kern w:val="44"/>
      <w:sz w:val="44"/>
    </w:rPr>
  </w:style>
  <w:style w:type="character" w:default="1" w:styleId="8">
    <w:name w:val="Default Paragraph Font"/>
    <w:semiHidden/>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First Indent 2"/>
    <w:basedOn w:val="3"/>
    <w:next w:val="1"/>
    <w:qFormat/>
    <w:uiPriority w:val="99"/>
    <w:pPr>
      <w:ind w:firstLine="420"/>
    </w:pPr>
  </w:style>
  <w:style w:type="paragraph" w:styleId="3">
    <w:name w:val="Body Text Indent"/>
    <w:basedOn w:val="1"/>
    <w:qFormat/>
    <w:uiPriority w:val="0"/>
    <w:pPr>
      <w:spacing w:after="120"/>
      <w:ind w:left="420" w:leftChars="200"/>
    </w:pPr>
    <w:rPr>
      <w:kern w:val="0"/>
      <w:sz w:val="24"/>
      <w:lang w:val="zh-CN"/>
    </w:rPr>
  </w:style>
  <w:style w:type="paragraph" w:styleId="5">
    <w:name w:val="Body Text"/>
    <w:basedOn w:val="1"/>
    <w:next w:val="1"/>
    <w:unhideWhenUsed/>
    <w:qFormat/>
    <w:uiPriority w:val="1"/>
    <w:pPr>
      <w:spacing w:after="120"/>
    </w:pPr>
  </w:style>
  <w:style w:type="paragraph" w:styleId="6">
    <w:name w:val="Normal (Web)"/>
    <w:basedOn w:val="1"/>
    <w:unhideWhenUsed/>
    <w:qFormat/>
    <w:uiPriority w:val="0"/>
    <w:pPr>
      <w:widowControl/>
      <w:spacing w:before="100" w:beforeAutospacing="1" w:after="100" w:afterAutospacing="1"/>
      <w:jc w:val="left"/>
    </w:pPr>
    <w:rPr>
      <w:rFonts w:ascii="宋体" w:hAnsi="宋体" w:eastAsia="宋体" w:cs="宋体"/>
      <w:kern w:val="0"/>
      <w:sz w:val="24"/>
    </w:rPr>
  </w:style>
  <w:style w:type="paragraph" w:customStyle="1" w:styleId="9">
    <w:name w:val="正文文本首行缩进1"/>
    <w:basedOn w:val="5"/>
    <w:qFormat/>
    <w:uiPriority w:val="0"/>
    <w:pPr>
      <w:ind w:firstLine="420" w:firstLineChars="100"/>
    </w:pPr>
    <w:rPr>
      <w:kern w:val="2"/>
      <w:sz w:val="21"/>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0</Words>
  <Characters>0</Characters>
  <Lines>0</Lines>
  <Paragraphs>0</Paragraphs>
  <TotalTime>1</TotalTime>
  <ScaleCrop>false</ScaleCrop>
  <LinksUpToDate>false</LinksUpToDate>
  <CharactersWithSpaces>0</CharactersWithSpaces>
  <Application>WPS Office_12.1.0.18912_F1E327BC-269C-435d-A152-05C5408002CA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2024-11-24T07:54:00Z</dcterms:created>
  <dc:creator>118</dc:creator>
  <cp:lastModifiedBy>118</cp:lastModifiedBy>
  <dcterms:modified xsi:type="dcterms:W3CDTF">2024-11-24T07:56:51Z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FBCC77B25A35421BB2CF18F2D5DFA7BC_11</vt:lpwstr>
  </property>
</Properties>
</file>