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海洋科技馆设施设备采购</w:t>
      </w:r>
    </w:p>
    <w:p>
      <w:pPr>
        <w:pStyle w:val="null3"/>
        <w:jc w:val="center"/>
        <w:outlineLvl w:val="2"/>
      </w:pPr>
      <w:r>
        <w:rPr>
          <w:sz w:val="28"/>
          <w:b/>
        </w:rPr>
        <w:t>备案编号：</w:t>
      </w:r>
      <w:r>
        <w:rPr>
          <w:sz w:val="28"/>
          <w:b/>
        </w:rPr>
        <w:t>CGXM-2024-350122-00551[2024]00322</w:t>
      </w:r>
    </w:p>
    <w:p>
      <w:pPr>
        <w:pStyle w:val="null3"/>
        <w:jc w:val="center"/>
        <w:outlineLvl w:val="2"/>
      </w:pPr>
      <w:r>
        <w:rPr>
          <w:sz w:val="28"/>
          <w:b/>
        </w:rPr>
        <w:t>项目编号：</w:t>
      </w:r>
      <w:r>
        <w:rPr>
          <w:sz w:val="28"/>
          <w:b/>
        </w:rPr>
        <w:t>[350122]FJDB[GK]2024001</w:t>
      </w:r>
    </w:p>
    <w:p>
      <w:pPr>
        <w:pStyle w:val="null3"/>
        <w:jc w:val="center"/>
        <w:outlineLvl w:val="2"/>
      </w:pPr>
      <w:r>
        <w:rPr>
          <w:sz w:val="28"/>
          <w:b/>
        </w:rPr>
        <w:t>采购人：</w:t>
      </w:r>
      <w:r>
        <w:rPr>
          <w:sz w:val="28"/>
          <w:b/>
        </w:rPr>
        <w:t>福建省连江第一中学</w:t>
      </w:r>
    </w:p>
    <w:p>
      <w:pPr>
        <w:pStyle w:val="null3"/>
        <w:jc w:val="center"/>
        <w:outlineLvl w:val="2"/>
      </w:pPr>
      <w:r>
        <w:rPr>
          <w:sz w:val="28"/>
          <w:b/>
        </w:rPr>
        <w:t>代理机构：</w:t>
      </w:r>
      <w:r>
        <w:rPr>
          <w:sz w:val="28"/>
          <w:b/>
        </w:rPr>
        <w:t>福建德宝招标有限公司</w:t>
      </w:r>
    </w:p>
    <w:p>
      <w:pPr>
        <w:pStyle w:val="null3"/>
        <w:jc w:val="center"/>
        <w:outlineLvl w:val="2"/>
      </w:pPr>
      <w:r>
        <w:rPr>
          <w:sz w:val="28"/>
          <w:b/>
        </w:rPr>
        <w:t>编制时间</w:t>
      </w:r>
      <w:r>
        <w:rPr>
          <w:sz w:val="28"/>
          <w:b/>
        </w:rPr>
        <w:t>：</w:t>
      </w:r>
      <w:r>
        <w:rPr>
          <w:sz w:val="28"/>
          <w:b/>
        </w:rPr>
        <w:t>2024年09月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福建德宝招标有限公司</w:t>
      </w:r>
      <w:r>
        <w:rPr/>
        <w:t xml:space="preserve"> 采用公开招标方式组织 </w:t>
      </w:r>
      <w:r>
        <w:rPr/>
        <w:t>海洋科技馆设施设备采购</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CGXM-2024-350122-00551[2024]00322</w:t>
      </w:r>
    </w:p>
    <w:p>
      <w:pPr>
        <w:pStyle w:val="null3"/>
        <w:ind w:firstLine="480"/>
        <w:jc w:val="left"/>
        <w:outlineLvl w:val="2"/>
      </w:pPr>
      <w:r>
        <w:rPr>
          <w:sz w:val="28"/>
          <w:b/>
        </w:rPr>
        <w:t>2、项目编号</w:t>
      </w:r>
      <w:r>
        <w:rPr>
          <w:sz w:val="28"/>
          <w:b/>
        </w:rPr>
        <w:t>：</w:t>
      </w:r>
      <w:r>
        <w:rPr>
          <w:sz w:val="28"/>
          <w:b/>
        </w:rPr>
        <w:t>[350122]FJDB[GK]2024001</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不适用本项目</w:t>
      </w:r>
    </w:p>
    <w:p>
      <w:pPr>
        <w:pStyle w:val="null3"/>
        <w:ind w:firstLine="960"/>
        <w:jc w:val="left"/>
      </w:pPr>
      <w:r>
        <w:rPr/>
        <w:t>节能产品：</w:t>
      </w:r>
      <w:r>
        <w:rPr/>
        <w:t>适用，按照最新一期节能清单执行。</w:t>
      </w:r>
    </w:p>
    <w:p>
      <w:pPr>
        <w:pStyle w:val="null3"/>
        <w:ind w:firstLine="960"/>
        <w:jc w:val="left"/>
      </w:pPr>
      <w:r>
        <w:rPr/>
        <w:t>环境标志产品：</w:t>
      </w:r>
      <w:r>
        <w:rPr/>
        <w:t>适用，按照最新一期环境标志清单执行。</w:t>
      </w:r>
    </w:p>
    <w:p>
      <w:pPr>
        <w:pStyle w:val="null3"/>
        <w:ind w:firstLine="960"/>
        <w:jc w:val="left"/>
      </w:pPr>
      <w:r>
        <w:rPr/>
        <w:t>促进中小企业发展的相关政策：</w:t>
      </w:r>
    </w:p>
    <w:p>
      <w:pPr>
        <w:pStyle w:val="null3"/>
        <w:ind w:firstLine="960"/>
        <w:jc w:val="left"/>
      </w:pPr>
      <w:r>
        <w:rPr/>
        <w:t>采购包1：专门采购包预留</w:t>
      </w:r>
    </w:p>
    <w:p>
      <w:pPr>
        <w:pStyle w:val="null3"/>
        <w:jc w:val="left"/>
      </w:pPr>
      <w:r>
        <w:rPr/>
        <w:t>面向的企业规模：</w:t>
      </w:r>
      <w:r>
        <w:rPr/>
        <w:t>中小企业</w:t>
      </w:r>
    </w:p>
    <w:p>
      <w:pPr>
        <w:pStyle w:val="null3"/>
        <w:jc w:val="left"/>
      </w:pPr>
      <w:r>
        <w:rPr/>
        <w:t>预留形式：</w:t>
      </w:r>
      <w:r>
        <w:rPr/>
        <w:t>专门采购包预留</w:t>
      </w:r>
    </w:p>
    <w:p>
      <w:pPr>
        <w:pStyle w:val="null3"/>
        <w:jc w:val="left"/>
      </w:pPr>
      <w:r>
        <w:rPr/>
        <w:t>预留比例：</w:t>
      </w:r>
      <w:r>
        <w:rPr/>
        <w:t>100%</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①本采购包专门面向符合财政部、工信部文件（财库〔2020〕46号）规定的中、小、微型企业。投标人须提供《中小企业声明函》（工程、服务），即全部服务由中/小/微型企业承接。投标人应认真对照《工业和信息化部、国家统计局、国家发展和改革委员会、财政部关于印发中小企业划型标准规定的通知》（工信部联企业[2011]300号）规定的划分标准，并按照国家统计局关于印发《统计上大中小微型企业划分办法（2017）》的通知（国统字〔2017〕213号）规定准确划分企业类型。若招标文件中的有关条款与本条款有矛盾之处以此处为准。②监狱企业视同小型、微型企业，投标人为监狱企业的，可不提供《中小企业声明函》，但须提供由省级以上监狱管理局、戒毒管理局（含新疆生产建设兵团）出具的属于监狱企业的证明文件。③残疾人福利性单位视同小型、微型企业，投标人为残疾人福利性单位的，可不提供《中小企业声明函》，但须提供《残疾人福利性单位声明函》，残疾人福利性单位应满足：《关于促进残疾人就业政府采购政策的通知》财库〔2017〕141号文件规定。※投标人应按照招标文件第七章规定提供。注：享受扶持政策获得政府采购合同的，小微企业不得将合同分包给大中型企业，中型企业不得将合同分包给大型企业。采购标的对应的中小企业划分标准所属行业为“其他未列明行业”。</w:t>
            </w:r>
          </w:p>
        </w:tc>
      </w:tr>
      <w:tr>
        <w:tc>
          <w:tcPr>
            <w:tcW w:type="dxa" w:w="3692"/>
          </w:tcPr>
          <w:p>
            <w:pPr>
              <w:pStyle w:val="null3"/>
              <w:jc w:val="left"/>
            </w:pPr>
            <w:r>
              <w:rPr/>
              <w:t>简化资格证明材料（若有）</w:t>
            </w:r>
          </w:p>
        </w:tc>
        <w:tc>
          <w:tcPr>
            <w:tcW w:type="dxa" w:w="4614"/>
          </w:tcPr>
          <w:p>
            <w:pPr>
              <w:pStyle w:val="null3"/>
              <w:jc w:val="left"/>
            </w:pPr>
            <w:r>
              <w:rPr/>
              <w:t>根据《福州市财政局关于进一步推进政府采购领域优化营商环境工作的通知》（榕财采〔2021〕52号）规定，①供应商在投标文件中可自行选择是否提供资格承诺函（格式详见附件），若按附件内容要求提供资格承诺函，无需在投标文件中提交财务状况、缴纳税收和社保资金缴纳证明材料，采购人有权在签订合同前要求中标供应商提供相关证明材料以核实中标供应商承诺事项的真实性。供应商应当遵循诚实守信的原则，不得作出虚假承诺，承诺不实的，属于提供虚假材料谋取中标、成交，依法追究相关的法律责任。②若不提供本承诺函的，应按招标文件要求提供相应的证明材料。③供应商可删减承诺事项，如删去承诺第1项的，则应按招标文件要求提供财务状况报告。招标文件其他地方要求与本条款要求不一致的，以本条款要求为准。</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福建省连江第一中学</w:t>
      </w:r>
    </w:p>
    <w:p>
      <w:pPr>
        <w:pStyle w:val="null3"/>
        <w:ind w:firstLine="960"/>
        <w:jc w:val="left"/>
      </w:pPr>
      <w:r>
        <w:rPr/>
        <w:t xml:space="preserve"> 地址： </w:t>
      </w:r>
      <w:r>
        <w:rPr/>
        <w:t>连江县凤城镇816东路223号</w:t>
      </w:r>
    </w:p>
    <w:p>
      <w:pPr>
        <w:pStyle w:val="null3"/>
        <w:jc w:val="left"/>
      </w:pPr>
      <w:r>
        <w:rPr/>
        <w:t xml:space="preserve"> 邮编： </w:t>
      </w:r>
      <w:r>
        <w:rPr/>
        <w:t>350500</w:t>
      </w:r>
    </w:p>
    <w:p>
      <w:pPr>
        <w:pStyle w:val="null3"/>
        <w:jc w:val="left"/>
      </w:pPr>
      <w:r>
        <w:rPr/>
        <w:t xml:space="preserve"> 联系人： </w:t>
      </w:r>
      <w:r>
        <w:rPr/>
        <w:t>林财喜</w:t>
      </w:r>
    </w:p>
    <w:p>
      <w:pPr>
        <w:pStyle w:val="null3"/>
        <w:jc w:val="left"/>
      </w:pPr>
      <w:r>
        <w:rPr/>
        <w:t xml:space="preserve"> 联系电话： </w:t>
      </w:r>
      <w:r>
        <w:rPr/>
        <w:t>059126239863</w:t>
      </w:r>
    </w:p>
    <w:p>
      <w:pPr>
        <w:pStyle w:val="null3"/>
        <w:ind w:firstLine="480"/>
        <w:jc w:val="left"/>
        <w:outlineLvl w:val="2"/>
      </w:pPr>
      <w:r>
        <w:rPr>
          <w:sz w:val="28"/>
          <w:b/>
        </w:rPr>
        <w:t>12、代理机构</w:t>
      </w:r>
      <w:r>
        <w:rPr>
          <w:sz w:val="28"/>
          <w:b/>
        </w:rPr>
        <w:t>：</w:t>
      </w:r>
      <w:r>
        <w:rPr>
          <w:sz w:val="28"/>
          <w:b/>
        </w:rPr>
        <w:t>福建德宝招标有限公司</w:t>
      </w:r>
    </w:p>
    <w:p>
      <w:pPr>
        <w:pStyle w:val="null3"/>
        <w:ind w:firstLine="960"/>
        <w:jc w:val="both"/>
      </w:pPr>
      <w:r>
        <w:rPr/>
        <w:t xml:space="preserve"> 地址： </w:t>
      </w:r>
      <w:r>
        <w:rPr/>
        <w:t>福建省福州市鼓楼区古田路60号福晟财富中心1608室</w:t>
      </w:r>
    </w:p>
    <w:p>
      <w:pPr>
        <w:pStyle w:val="null3"/>
        <w:jc w:val="both"/>
      </w:pPr>
      <w:r>
        <w:rPr/>
        <w:t xml:space="preserve"> 邮编： </w:t>
      </w:r>
      <w:r>
        <w:rPr/>
        <w:t>350001</w:t>
      </w:r>
    </w:p>
    <w:p>
      <w:pPr>
        <w:pStyle w:val="null3"/>
        <w:jc w:val="both"/>
      </w:pPr>
      <w:r>
        <w:rPr/>
        <w:t xml:space="preserve"> 联系人： </w:t>
      </w:r>
      <w:r>
        <w:rPr/>
        <w:t>郑直、江影、傅宇洋</w:t>
      </w:r>
    </w:p>
    <w:p>
      <w:pPr>
        <w:pStyle w:val="null3"/>
        <w:jc w:val="both"/>
      </w:pPr>
      <w:r>
        <w:rPr/>
        <w:t xml:space="preserve"> 联系电话： </w:t>
      </w:r>
      <w:r>
        <w:rPr/>
        <w:t>0591-83206069</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福建德宝招标有限公司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1,350,000.00</w:t>
      </w:r>
    </w:p>
    <w:p>
      <w:pPr>
        <w:pStyle w:val="null3"/>
        <w:jc w:val="left"/>
      </w:pPr>
      <w:r>
        <w:rPr/>
        <w:t>采购包最高限价（元）: 1,350,000.00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致远楼海洋科技馆设施设备采购</w:t>
            </w:r>
          </w:p>
        </w:tc>
        <w:tc>
          <w:tcPr>
            <w:tcW w:type="dxa" w:w="1187"/>
          </w:tcPr>
          <w:p>
            <w:pPr>
              <w:pStyle w:val="null3"/>
              <w:jc w:val="right"/>
            </w:pPr>
            <w:r>
              <w:rPr/>
              <w:t>1.00</w:t>
            </w:r>
          </w:p>
        </w:tc>
        <w:tc>
          <w:tcPr>
            <w:tcW w:type="dxa" w:w="1187"/>
          </w:tcPr>
          <w:p>
            <w:pPr>
              <w:pStyle w:val="null3"/>
              <w:jc w:val="right"/>
            </w:pPr>
            <w:r>
              <w:rPr/>
              <w:t>1,350,000.00</w:t>
            </w:r>
          </w:p>
        </w:tc>
        <w:tc>
          <w:tcPr>
            <w:tcW w:type="dxa" w:w="1187"/>
          </w:tcPr>
          <w:p>
            <w:pPr>
              <w:pStyle w:val="null3"/>
              <w:jc w:val="left"/>
            </w:pPr>
            <w:r>
              <w:rPr/>
              <w:t>批</w:t>
            </w:r>
          </w:p>
        </w:tc>
        <w:tc>
          <w:tcPr>
            <w:tcW w:type="dxa" w:w="1187"/>
          </w:tcPr>
          <w:p>
            <w:pPr>
              <w:pStyle w:val="null3"/>
              <w:jc w:val="left"/>
            </w:pPr>
            <w:r>
              <w:rPr/>
              <w:t>其他未列明行业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致远楼海洋科技馆设施设备采购</w:t>
            </w:r>
          </w:p>
        </w:tc>
        <w:tc>
          <w:tcPr>
            <w:tcW w:type="dxa" w:w="554"/>
          </w:tcPr>
          <w:p>
            <w:pPr>
              <w:pStyle w:val="null3"/>
              <w:jc w:val="left"/>
            </w:pPr>
            <w:r>
              <w:rPr/>
              <w:t>批</w:t>
            </w:r>
          </w:p>
        </w:tc>
        <w:tc>
          <w:tcPr>
            <w:tcW w:type="dxa" w:w="554"/>
          </w:tcPr>
          <w:p>
            <w:pPr>
              <w:pStyle w:val="null3"/>
              <w:jc w:val="left"/>
            </w:pPr>
            <w:r>
              <w:rPr/>
              <w:t>元</w:t>
            </w:r>
          </w:p>
        </w:tc>
        <w:tc>
          <w:tcPr>
            <w:tcW w:type="dxa" w:w="1384"/>
          </w:tcPr>
          <w:p>
            <w:pPr>
              <w:pStyle w:val="null3"/>
              <w:jc w:val="right"/>
            </w:pPr>
            <w:r>
              <w:rPr/>
              <w:t>1,350,000.00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致远楼海洋科技馆设施设备采购</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致远楼海洋科技馆设施设备采购</w:t>
            </w:r>
          </w:p>
        </w:tc>
        <w:tc>
          <w:tcPr>
            <w:tcW w:type="dxa" w:w="2076"/>
          </w:tcPr>
          <w:p>
            <w:pPr>
              <w:pStyle w:val="null3"/>
              <w:jc w:val="left"/>
            </w:pPr>
            <w:r>
              <w:rPr/>
              <w:t>致远楼海洋科技馆设施设备采购</w:t>
            </w:r>
          </w:p>
        </w:tc>
        <w:tc>
          <w:tcPr>
            <w:tcW w:type="dxa" w:w="415"/>
          </w:tcPr>
          <w:p>
            <w:pPr>
              <w:pStyle w:val="null3"/>
              <w:jc w:val="left"/>
            </w:pPr>
            <w:r>
              <w:rPr/>
              <w:t>批</w:t>
            </w:r>
          </w:p>
        </w:tc>
        <w:tc>
          <w:tcPr>
            <w:tcW w:type="dxa" w:w="415"/>
          </w:tcPr>
          <w:p>
            <w:pPr>
              <w:pStyle w:val="null3"/>
              <w:jc w:val="left"/>
            </w:pPr>
            <w:r>
              <w:rPr/>
              <w:t>元</w:t>
            </w:r>
          </w:p>
        </w:tc>
        <w:tc>
          <w:tcPr>
            <w:tcW w:type="dxa" w:w="831"/>
          </w:tcPr>
          <w:p>
            <w:pPr>
              <w:pStyle w:val="null3"/>
              <w:jc w:val="right"/>
            </w:pPr>
            <w:r>
              <w:rPr/>
              <w:t>1,350,000.00</w:t>
            </w:r>
          </w:p>
        </w:tc>
        <w:tc>
          <w:tcPr>
            <w:tcW w:type="dxa" w:w="831"/>
          </w:tcPr>
          <w:p>
            <w:pPr>
              <w:pStyle w:val="null3"/>
              <w:jc w:val="left"/>
            </w:pPr>
            <w:r>
              <w:rPr/>
              <w:t>总价</w:t>
            </w:r>
          </w:p>
        </w:tc>
        <w:tc>
          <w:tcPr>
            <w:tcW w:type="dxa" w:w="1246"/>
          </w:tcPr>
          <w:p>
            <w:pPr>
              <w:pStyle w:val="null3"/>
              <w:jc w:val="left"/>
            </w:pPr>
            <w:r>
              <w:rPr/>
              <w:t>无</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（1） </w:t>
            </w:r>
            <w:r>
              <w:rPr/>
              <w:t>采购人应在政府采购招投标管理办法规定的时限内确定中标人。</w:t>
            </w:r>
          </w:p>
          <w:p>
            <w:pPr>
              <w:pStyle w:val="null3"/>
              <w:jc w:val="left"/>
            </w:pPr>
            <w:r>
              <w:rPr/>
              <w:t>（2）若出现中标候选人并列情形，则按照下列方式确定中标人：</w:t>
            </w:r>
          </w:p>
          <w:p>
            <w:pPr>
              <w:pStyle w:val="null3"/>
              <w:jc w:val="left"/>
            </w:pPr>
            <w:r>
              <w:rPr/>
              <w:t>①招标文件规定的方式：</w:t>
            </w:r>
          </w:p>
          <w:p>
            <w:pPr>
              <w:pStyle w:val="null3"/>
              <w:jc w:val="left"/>
            </w:pPr>
            <w:r>
              <w:rPr/>
              <w:t>无</w:t>
            </w:r>
          </w:p>
          <w:p>
            <w:pPr>
              <w:pStyle w:val="null3"/>
              <w:jc w:val="left"/>
            </w:pPr>
            <w:r>
              <w:rPr/>
              <w:t>②若本款第①点规定方式为“无”，则按照下列方式确定：</w:t>
            </w:r>
          </w:p>
          <w:p>
            <w:pPr>
              <w:pStyle w:val="null3"/>
              <w:jc w:val="left"/>
            </w:pPr>
            <w:r>
              <w:rPr/>
              <w:t>无</w:t>
            </w:r>
          </w:p>
          <w:p>
            <w:pPr>
              <w:pStyle w:val="null3"/>
              <w:jc w:val="left"/>
            </w:pPr>
            <w:r>
              <w:rPr/>
              <w:t>③若本款第①、②点规定方式均为“无”，则按照下列方式确定：随机抽取。</w:t>
            </w:r>
          </w:p>
          <w:p>
            <w:pPr>
              <w:pStyle w:val="null3"/>
              <w:jc w:val="left"/>
            </w:pPr>
            <w:r>
              <w:rPr/>
              <w:t>（3）本项目确定的中标人家数：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福建德宝招标有限公司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连江县财政局</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100(万元)以下收费费率标准：1.5%；100-500(万元)收费费率标准：1.1%；按差额定率累进法计算。招标代理服务费的交纳方式：中标人应在领取中标通知书的同时按规定的标准一次性向招标代理机构缴清招标代理服务费。招标代理服务费以银行转账、电汇、汇票或现金等付款方式。中标服务费缴纳账户：开户名--福建德宝招标有限公司，开户行—中国民生银行股份有限公司福州闽都支行，账号—642741063。</w:t>
            </w:r>
          </w:p>
          <w:p>
            <w:pPr>
              <w:pStyle w:val="null3"/>
              <w:jc w:val="left"/>
            </w:pPr>
            <w:r>
              <w:rPr/>
              <w:t xml:space="preserve"> (2)其他：</w:t>
            </w:r>
          </w:p>
          <w:p>
            <w:pPr>
              <w:pStyle w:val="null3"/>
              <w:jc w:val="left"/>
            </w:pPr>
            <w:r>
              <w:rPr/>
              <w:t>无</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保持一致，并以投标客户端的投标（响应）报价明细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无</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福建德宝招标有限公司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福建德宝招标有限公司</w:t>
      </w:r>
      <w:r>
        <w:rPr/>
        <w:t xml:space="preserve"> 将在投标截止时间至少15个日历日前，在招标文件载明的指定媒体以更正公告的形式发布澄清或修改的内容。不足15个日历日的， </w:t>
      </w:r>
      <w:r>
        <w:rPr/>
        <w:t>福建德宝招标有限公司</w:t>
      </w:r>
      <w:r>
        <w:rPr/>
        <w:t xml:space="preserve"> 将顺延投标截止时间及开标时间， </w:t>
      </w:r>
      <w:r>
        <w:rPr/>
        <w:t>福建德宝招标有限公司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福建德宝招标有限公司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福建德宝招标有限公司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福建德宝招标有限公司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福建德宝招标有限公司</w:t>
      </w:r>
      <w:r>
        <w:rPr/>
        <w:t xml:space="preserve"> 可终止招标并发布终止公告。</w:t>
      </w:r>
    </w:p>
    <w:p>
      <w:pPr>
        <w:pStyle w:val="null3"/>
        <w:ind w:firstLine="480"/>
        <w:jc w:val="both"/>
      </w:pPr>
      <w:r>
        <w:rPr/>
        <w:t xml:space="preserve">8.2终止公告作为 </w:t>
      </w:r>
      <w:r>
        <w:rPr/>
        <w:t>福建德宝招标有限公司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①开标（报价）一览表</w:t>
      </w:r>
    </w:p>
    <w:p>
      <w:pPr>
        <w:pStyle w:val="null3"/>
        <w:ind w:firstLine="480"/>
        <w:jc w:val="both"/>
      </w:pPr>
      <w:r>
        <w:rPr/>
        <w:t>②投标（响应）报价明细表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福建德宝招标有限公司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福建德宝招标有限公司</w:t>
      </w:r>
      <w:r>
        <w:rPr/>
        <w:t xml:space="preserve"> 可于投标有效期届满之前书面要求投标人延长投标有效期，投标人应在 </w:t>
      </w:r>
      <w:r>
        <w:rPr/>
        <w:t>福建德宝招标有限公司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福建德宝招标有限公司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福建德宝招标有限公司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福建德宝招标有限公司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福建德宝招标有限公司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福建德宝招标有限公司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福建德宝招标有限公司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福建德宝招标有限公司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福建德宝招标有限公司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福建德宝招标有限公司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福建德宝招标有限公司</w:t>
      </w:r>
      <w:r>
        <w:rPr/>
        <w:t xml:space="preserve"> 提出询问， </w:t>
      </w:r>
      <w:r>
        <w:rPr/>
        <w:t>福建德宝招标有限公司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福建德宝招标有限公司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福建德宝招标有限公司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由福建德宝招标有限公司派出的工作人员至少1人，</w:t>
      </w:r>
      <w:r>
        <w:rPr/>
        <w:t>其余1人可为采购人代表或福建德宝招标有限公司的工作人员。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①本采购包专门面向符合财政部、工信部文件（财库〔2020〕46号）规定的中、小、微型企业。投标人须提供《中小企业声明函》（工程、服务），即全部服务由中/小/微型企业承接。投标人应认真对照《工业和信息化部、国家统计局、国家发展和改革委员会、财政部关于印发中小企业划型标准规定的通知》（工信部联企业[2011]300号）规定的划分标准，并按照国家统计局关于印发《统计上大中小微型企业划分办法（2017）》的通知（国统字〔2017〕213号）规定准确划分企业类型。若招标文件中的有关条款与本条款有矛盾之处以此处为准。②监狱企业视同小型、微型企业，投标人为监狱企业的，可不提供《中小企业声明函》，但须提供由省级以上监狱管理局、戒毒管理局（含新疆生产建设兵团）出具的属于监狱企业的证明文件。③残疾人福利性单位视同小型、微型企业，投标人为残疾人福利性单位的，可不提供《中小企业声明函》，但须提供《残疾人福利性单位声明函》，残疾人福利性单位应满足：《关于促进残疾人就业政府采购政策的通知》财库〔2017〕141号文件规定。※投标人应按照招标文件第七章规定提供。注：享受扶持政策获得政府采购合同的，小微企业不得将合同分包给大中型企业，中型企业不得将合同分包给大型企业。采购标的对应的中小企业划分标准所属行业为“其他未列明行业”。</w:t>
            </w:r>
          </w:p>
        </w:tc>
      </w:tr>
      <w:tr>
        <w:tc>
          <w:tcPr>
            <w:tcW w:type="dxa" w:w="3692"/>
          </w:tcPr>
          <w:p>
            <w:pPr>
              <w:pStyle w:val="null3"/>
              <w:jc w:val="left"/>
            </w:pPr>
            <w:r>
              <w:rPr/>
              <w:t>简化资格证明材料（若有）</w:t>
            </w:r>
          </w:p>
        </w:tc>
        <w:tc>
          <w:tcPr>
            <w:tcW w:type="dxa" w:w="4614"/>
          </w:tcPr>
          <w:p>
            <w:pPr>
              <w:pStyle w:val="null3"/>
              <w:jc w:val="left"/>
            </w:pPr>
            <w:r>
              <w:rPr/>
              <w:t>根据《福州市财政局关于进一步推进政府采购领域优化营商环境工作的通知》（榕财采〔2021〕52号）规定，①供应商在投标文件中可自行选择是否提供资格承诺函（格式详见附件），若按附件内容要求提供资格承诺函，无需在投标文件中提交财务状况、缴纳税收和社保资金缴纳证明材料，采购人有权在签订合同前要求中标供应商提供相关证明材料以核实中标供应商承诺事项的真实性。供应商应当遵循诚实守信的原则，不得作出虚假承诺，承诺不实的，属于提供虚假材料谋取中标、成交，依法追究相关的法律责任。②若不提供本承诺函的，应按招标文件要求提供相应的证明材料。③供应商可删减承诺事项，如删去承诺第1项的，则应按招标文件要求提供财务状况报告。招标文件其他地方要求与本条款要求不一致的，以本条款要求为准。</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资格及资信证明部分中出现报价部分的全部或部分的投标报价信息（或组成资料）的；出现招标文件中载明“资格审查不合格”条款的规定。</w:t>
            </w:r>
          </w:p>
        </w:tc>
      </w:tr>
    </w:tbl>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福建德宝招标有限公司</w:t>
      </w:r>
      <w:r>
        <w:rPr/>
        <w:t xml:space="preserve"> 统一对外发布。</w:t>
      </w:r>
    </w:p>
    <w:p>
      <w:pPr>
        <w:pStyle w:val="null3"/>
        <w:ind w:firstLine="480"/>
        <w:jc w:val="both"/>
      </w:pPr>
      <w:r>
        <w:rPr/>
        <w:t xml:space="preserve">3、资格审查合格的投标人不足三家的，不进行评标。同时，本次采购活动结束， </w:t>
      </w:r>
      <w:r>
        <w:rPr/>
        <w:t>福建德宝招标有限公司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福建德宝招标有限公司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福建德宝招标有限公司</w:t>
      </w:r>
      <w:r>
        <w:rPr/>
        <w:t xml:space="preserve"> 统一对外发布。</w:t>
      </w:r>
    </w:p>
    <w:p>
      <w:pPr>
        <w:pStyle w:val="null3"/>
        <w:ind w:firstLine="480"/>
        <w:jc w:val="both"/>
      </w:pPr>
      <w:r>
        <w:rPr/>
        <w:t xml:space="preserve">②对 </w:t>
      </w:r>
      <w:r>
        <w:rPr/>
        <w:t>福建德宝招标有限公司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1、招标文件第五章“二、技术和服务要求”中标注★条款不满足招标文件要求的按无效标处理。2、不符合招标文件中规定的实质性要求和条件、无效投标条款的；</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1、不符合招标文件中规定的实质性要求和条件、无效投标条款的；</w:t>
            </w:r>
          </w:p>
        </w:tc>
      </w:tr>
    </w:tbl>
    <w:p>
      <w:pPr>
        <w:pStyle w:val="null3"/>
        <w:jc w:val="left"/>
      </w:pPr>
      <w:r>
        <w:rPr/>
        <w:t>附加符合性：无</w:t>
      </w:r>
    </w:p>
    <w:p>
      <w:pPr>
        <w:pStyle w:val="null3"/>
        <w:jc w:val="left"/>
      </w:pPr>
      <w:r>
        <w:rPr/>
        <w:t>价格符合性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1、超过本项目最高限价的为无效报价。</w:t>
            </w:r>
          </w:p>
        </w:tc>
      </w:tr>
    </w:tbl>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①开标（报价）一览表内容与电子投标文件中相应内容不一致的，以开标（报价）一览表为准；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③单价金额小数点或百分比有明显错位的，以开标（报价）一览表的总价为准，并修改单价；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福建德宝招标有限公司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价格项（F1×A1）满分为30.0000分</w:t>
      </w:r>
    </w:p>
    <w:p>
      <w:pPr>
        <w:pStyle w:val="null3"/>
        <w:jc w:val="both"/>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技术项（F2×A2）满分为61.9000分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投标产品技术响应情况</w:t>
            </w:r>
          </w:p>
        </w:tc>
        <w:tc>
          <w:tcPr>
            <w:tcW w:type="dxa" w:w="831"/>
          </w:tcPr>
          <w:p>
            <w:pPr>
              <w:pStyle w:val="null3"/>
              <w:jc w:val="right"/>
            </w:pPr>
            <w:r>
              <w:rPr/>
              <w:t>55.9000</w:t>
            </w:r>
          </w:p>
        </w:tc>
        <w:tc>
          <w:tcPr>
            <w:tcW w:type="dxa" w:w="4153"/>
          </w:tcPr>
          <w:p>
            <w:pPr>
              <w:pStyle w:val="null3"/>
              <w:jc w:val="both"/>
            </w:pPr>
            <w:r>
              <w:rPr/>
              <w:t>根据各投标人所投产品对第五章《招标内容及要求》“二、技术和服务要求”中的各项要求的响应情况，由评委进行评分，投标人所投产品的技术参数完全满足招标文件要求的，得55.9分。（1）技术参数中注有“★”符号的技术指标（共3项）为不允许负偏离的实质性要求，若出现负偏离的按无效投标处理； （2）未以“★”符号标注的技术指标（共43项）为一般技术指标，每负偏离一项扣1.3分，共55.9分，正偏离不加分，扣完为止。【注：招标文件中技术指标若有要求投标人提供相应佐证材料的，投标人未提供相应佐证材料或者投标人的响应承诺与其佐证材料不一致的，评标委员会将以不利于投标人的内容为准进行评审（负偏离）】</w:t>
            </w:r>
          </w:p>
        </w:tc>
      </w:tr>
      <w:tr>
        <w:tc>
          <w:tcPr>
            <w:tcW w:type="dxa" w:w="3322"/>
          </w:tcPr>
          <w:p>
            <w:pPr>
              <w:pStyle w:val="null3"/>
              <w:jc w:val="both"/>
            </w:pPr>
            <w:r>
              <w:rPr/>
              <w:t>技术实力</w:t>
            </w:r>
          </w:p>
        </w:tc>
        <w:tc>
          <w:tcPr>
            <w:tcW w:type="dxa" w:w="831"/>
          </w:tcPr>
          <w:p>
            <w:pPr>
              <w:pStyle w:val="null3"/>
              <w:jc w:val="right"/>
            </w:pPr>
            <w:r>
              <w:rPr/>
              <w:t>3.0000</w:t>
            </w:r>
          </w:p>
        </w:tc>
        <w:tc>
          <w:tcPr>
            <w:tcW w:type="dxa" w:w="4153"/>
          </w:tcPr>
          <w:p>
            <w:pPr>
              <w:pStyle w:val="null3"/>
              <w:jc w:val="both"/>
            </w:pPr>
            <w:r>
              <w:rPr/>
              <w:t>根据标本制造商提供的专业修复人员资质、专业人员配备情况，由评委进行打分，每提供一份修复人员的标本职业技能国家级培训证书复印件得1分，满分3分。需附修复人员投标截止前六个月内（不含当月）任一个月缴纳社保证明材料复印件，否则不得分。</w:t>
            </w:r>
          </w:p>
        </w:tc>
      </w:tr>
      <w:tr>
        <w:tc>
          <w:tcPr>
            <w:tcW w:type="dxa" w:w="3322"/>
          </w:tcPr>
          <w:p>
            <w:pPr>
              <w:pStyle w:val="null3"/>
              <w:jc w:val="both"/>
            </w:pPr>
            <w:r>
              <w:rPr/>
              <w:t>平面布置图</w:t>
            </w:r>
          </w:p>
        </w:tc>
        <w:tc>
          <w:tcPr>
            <w:tcW w:type="dxa" w:w="831"/>
          </w:tcPr>
          <w:p>
            <w:pPr>
              <w:pStyle w:val="null3"/>
              <w:jc w:val="right"/>
            </w:pPr>
            <w:r>
              <w:rPr/>
              <w:t>1.5000</w:t>
            </w:r>
          </w:p>
        </w:tc>
        <w:tc>
          <w:tcPr>
            <w:tcW w:type="dxa" w:w="4153"/>
          </w:tcPr>
          <w:p>
            <w:pPr>
              <w:pStyle w:val="null3"/>
              <w:jc w:val="both"/>
            </w:pPr>
            <w:r>
              <w:rPr/>
              <w:t>投标人针对标本馆提供平面布置图。根据各投标人提供的图纸，制作规范、细节充分、能够充分结合场地因素，布局科学安全合理，整体效果完全符合或优于采购人需求的得1.5分；图纸制作较规范、细节较充分、对场地因素有一定的考虑，布局较合理的，整体效果基本满足采购人需求得1分；图纸制作一般、对场地因素考虑不周或各项功能、布局存在不合理性得0.5分，其余不得分。</w:t>
            </w:r>
          </w:p>
        </w:tc>
      </w:tr>
      <w:tr>
        <w:tc>
          <w:tcPr>
            <w:tcW w:type="dxa" w:w="3322"/>
          </w:tcPr>
          <w:p>
            <w:pPr>
              <w:pStyle w:val="null3"/>
              <w:jc w:val="both"/>
            </w:pPr>
            <w:r>
              <w:rPr/>
              <w:t>设计效果图</w:t>
            </w:r>
          </w:p>
        </w:tc>
        <w:tc>
          <w:tcPr>
            <w:tcW w:type="dxa" w:w="831"/>
          </w:tcPr>
          <w:p>
            <w:pPr>
              <w:pStyle w:val="null3"/>
              <w:jc w:val="right"/>
            </w:pPr>
            <w:r>
              <w:rPr/>
              <w:t>1.5000</w:t>
            </w:r>
          </w:p>
        </w:tc>
        <w:tc>
          <w:tcPr>
            <w:tcW w:type="dxa" w:w="4153"/>
          </w:tcPr>
          <w:p>
            <w:pPr>
              <w:pStyle w:val="null3"/>
              <w:jc w:val="both"/>
            </w:pPr>
            <w:r>
              <w:rPr/>
              <w:t>投标人针对标本馆提供设计效果图。根据各投标人提供的图纸，制作规范、细节充分、能够充分结合场地因素，布局科学安全合理，整体效果完全符合或优于采购人需求的得1.5分；图纸制作较规范、细节较充分、对场地因素有一定的考虑，布局较合理的，整体效果基本满足采购人需求得1分；图纸制作一般、对场地因素考虑不周或各项功能、布局存在不合理性得0.5分，其余不得分。</w:t>
            </w:r>
          </w:p>
        </w:tc>
      </w:tr>
    </w:tbl>
    <w:p>
      <w:pPr>
        <w:pStyle w:val="null3"/>
        <w:jc w:val="both"/>
      </w:pPr>
      <w:r>
        <w:rPr/>
        <w:t>商务项（F3×A3）满分为8.1000分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企业实力1</w:t>
            </w:r>
          </w:p>
        </w:tc>
        <w:tc>
          <w:tcPr>
            <w:tcW w:type="dxa" w:w="831"/>
          </w:tcPr>
          <w:p>
            <w:pPr>
              <w:pStyle w:val="null3"/>
              <w:jc w:val="right"/>
            </w:pPr>
            <w:r>
              <w:rPr/>
              <w:t>1.0000</w:t>
            </w:r>
          </w:p>
        </w:tc>
        <w:tc>
          <w:tcPr>
            <w:tcW w:type="dxa" w:w="4153"/>
          </w:tcPr>
          <w:p>
            <w:pPr>
              <w:pStyle w:val="null3"/>
              <w:jc w:val="both"/>
            </w:pPr>
            <w:r>
              <w:rPr/>
              <w:t>所投标本制造商获得国家级教育装备主管部门出具的推荐产品证书的得1分，须提供有效的证明材料，否则不得分。</w:t>
            </w:r>
          </w:p>
        </w:tc>
      </w:tr>
      <w:tr>
        <w:tc>
          <w:tcPr>
            <w:tcW w:type="dxa" w:w="3322"/>
          </w:tcPr>
          <w:p>
            <w:pPr>
              <w:pStyle w:val="null3"/>
              <w:jc w:val="both"/>
            </w:pPr>
            <w:r>
              <w:rPr/>
              <w:t>企业实力2</w:t>
            </w:r>
          </w:p>
        </w:tc>
        <w:tc>
          <w:tcPr>
            <w:tcW w:type="dxa" w:w="831"/>
          </w:tcPr>
          <w:p>
            <w:pPr>
              <w:pStyle w:val="null3"/>
              <w:jc w:val="right"/>
            </w:pPr>
            <w:r>
              <w:rPr/>
              <w:t>1.0000</w:t>
            </w:r>
          </w:p>
        </w:tc>
        <w:tc>
          <w:tcPr>
            <w:tcW w:type="dxa" w:w="4153"/>
          </w:tcPr>
          <w:p>
            <w:pPr>
              <w:pStyle w:val="null3"/>
              <w:jc w:val="both"/>
            </w:pPr>
            <w:r>
              <w:rPr/>
              <w:t>所投标本制造商获得省级或以上教育主管部门出具的新产品新技术鉴定证书得1分，须提供证明材料，否则不得分。</w:t>
            </w:r>
          </w:p>
        </w:tc>
      </w:tr>
      <w:tr>
        <w:tc>
          <w:tcPr>
            <w:tcW w:type="dxa" w:w="3322"/>
          </w:tcPr>
          <w:p>
            <w:pPr>
              <w:pStyle w:val="null3"/>
              <w:jc w:val="both"/>
            </w:pPr>
            <w:r>
              <w:rPr/>
              <w:t>产品质量保障方案</w:t>
            </w:r>
          </w:p>
        </w:tc>
        <w:tc>
          <w:tcPr>
            <w:tcW w:type="dxa" w:w="831"/>
          </w:tcPr>
          <w:p>
            <w:pPr>
              <w:pStyle w:val="null3"/>
              <w:jc w:val="right"/>
            </w:pPr>
            <w:r>
              <w:rPr/>
              <w:t>2.5000</w:t>
            </w:r>
          </w:p>
        </w:tc>
        <w:tc>
          <w:tcPr>
            <w:tcW w:type="dxa" w:w="4153"/>
          </w:tcPr>
          <w:p>
            <w:pPr>
              <w:pStyle w:val="null3"/>
              <w:jc w:val="both"/>
            </w:pPr>
            <w:r>
              <w:rPr/>
              <w:t>根据各投标人所投产品质量保障方案（包括但不限于：①货物质量保证、②货物检验标准、③货物来源渠道、④制造商资质荣誉、⑤供货保障方案等）由评委进行评分：每提供一项得0.5分,满分2.5分，未提供或提供的内容与项目不相符的不得分。</w:t>
            </w:r>
          </w:p>
        </w:tc>
      </w:tr>
      <w:tr>
        <w:tc>
          <w:tcPr>
            <w:tcW w:type="dxa" w:w="3322"/>
          </w:tcPr>
          <w:p>
            <w:pPr>
              <w:pStyle w:val="null3"/>
              <w:jc w:val="both"/>
            </w:pPr>
            <w:r>
              <w:rPr/>
              <w:t>售后服务响应方案</w:t>
            </w:r>
          </w:p>
        </w:tc>
        <w:tc>
          <w:tcPr>
            <w:tcW w:type="dxa" w:w="831"/>
          </w:tcPr>
          <w:p>
            <w:pPr>
              <w:pStyle w:val="null3"/>
              <w:jc w:val="right"/>
            </w:pPr>
            <w:r>
              <w:rPr/>
              <w:t>2.0000</w:t>
            </w:r>
          </w:p>
        </w:tc>
        <w:tc>
          <w:tcPr>
            <w:tcW w:type="dxa" w:w="4153"/>
          </w:tcPr>
          <w:p>
            <w:pPr>
              <w:pStyle w:val="null3"/>
              <w:jc w:val="both"/>
            </w:pPr>
            <w:r>
              <w:rPr/>
              <w:t>根据投标人提供售后服务及免费质保期满后的维保服务方案（包括但不限于售后服务机构及人员配备）、维护响应计划（包括时间、方式等）、免费质保期后的服务项目及费用承诺情况，由评委进行评议：①提供维护响应计划、免费质保期满后的维护承诺和收费办法的得1分；②提供售后服务机构的得0.5分；③提供售后人员配备清单的得0.5分；本项评分可累加得分，最多得2分，提供的方案不符合本项目需求的或未提供的不得分。</w:t>
            </w:r>
          </w:p>
        </w:tc>
      </w:tr>
      <w:tr>
        <w:tc>
          <w:tcPr>
            <w:tcW w:type="dxa" w:w="3322"/>
          </w:tcPr>
          <w:p>
            <w:pPr>
              <w:pStyle w:val="null3"/>
              <w:jc w:val="both"/>
            </w:pPr>
            <w:r>
              <w:rPr/>
              <w:t>技术培训方案</w:t>
            </w:r>
          </w:p>
        </w:tc>
        <w:tc>
          <w:tcPr>
            <w:tcW w:type="dxa" w:w="831"/>
          </w:tcPr>
          <w:p>
            <w:pPr>
              <w:pStyle w:val="null3"/>
              <w:jc w:val="right"/>
            </w:pPr>
            <w:r>
              <w:rPr/>
              <w:t>1.6000</w:t>
            </w:r>
          </w:p>
        </w:tc>
        <w:tc>
          <w:tcPr>
            <w:tcW w:type="dxa" w:w="4153"/>
          </w:tcPr>
          <w:p>
            <w:pPr>
              <w:pStyle w:val="null3"/>
              <w:jc w:val="both"/>
            </w:pPr>
            <w:r>
              <w:rPr/>
              <w:t>根据各投标人提供的技术培训方案（包括①培训时间、②培训地点、③培训内容、④培训人员资质等方面）情况由评委进行评分：每提供一项得0.4分,满分1.6分，未提供或提供的内容与项目不相符的不得分。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4"/>
          <w:b/>
        </w:rPr>
        <w:t xml:space="preserve"> </w:t>
      </w:r>
      <w:r>
        <w:rPr>
          <w:rFonts w:ascii="宋体" w:hAnsi="宋体" w:cs="宋体" w:eastAsia="宋体"/>
          <w:sz w:val="24"/>
          <w:b/>
        </w:rPr>
        <w:t>致远楼海洋科技馆设施设备采购</w:t>
      </w:r>
      <w:r>
        <w:rPr>
          <w:rFonts w:ascii="宋体" w:hAnsi="宋体" w:cs="宋体" w:eastAsia="宋体"/>
          <w:sz w:val="24"/>
          <w:b/>
        </w:rPr>
        <w:t xml:space="preserve">  </w:t>
      </w:r>
    </w:p>
    <w:p>
      <w:pPr>
        <w:pStyle w:val="null3"/>
        <w:jc w:val="both"/>
        <w:outlineLvl w:val="2"/>
      </w:pPr>
      <w:r>
        <w:rPr>
          <w:sz w:val="28"/>
          <w:b/>
        </w:rPr>
        <w:t>二、技术和服务要求（以“★”标示的内容为不允许负偏离的实质性要求）</w:t>
      </w:r>
    </w:p>
    <w:p>
      <w:pPr>
        <w:pStyle w:val="null3"/>
        <w:ind w:firstLine="480"/>
        <w:jc w:val="both"/>
      </w:pPr>
      <w:r>
        <w:rPr>
          <w:rFonts w:ascii="宋体" w:hAnsi="宋体" w:cs="宋体" w:eastAsia="宋体"/>
          <w:sz w:val="24"/>
          <w:b/>
        </w:rPr>
        <w:t>项目预算：</w:t>
      </w:r>
      <w:r>
        <w:rPr>
          <w:rFonts w:ascii="宋体" w:hAnsi="宋体" w:cs="宋体" w:eastAsia="宋体"/>
          <w:sz w:val="24"/>
          <w:b/>
        </w:rPr>
        <w:t>1350000元</w:t>
      </w:r>
    </w:p>
    <w:p>
      <w:pPr>
        <w:pStyle w:val="null3"/>
        <w:spacing w:before="60" w:after="60"/>
        <w:jc w:val="left"/>
      </w:pPr>
      <w:r>
        <w:rPr>
          <w:rFonts w:ascii="宋体" w:hAnsi="宋体" w:cs="宋体" w:eastAsia="宋体"/>
          <w:sz w:val="24"/>
          <w:b/>
        </w:rPr>
        <w:t>注：除另有标注偏离范围外，以下技术要求涉及尺寸、长度、高度、重量等数值时，允许在规定的数值存在</w:t>
      </w:r>
      <w:r>
        <w:rPr>
          <w:rFonts w:ascii="宋体" w:hAnsi="宋体" w:cs="宋体" w:eastAsia="宋体"/>
          <w:sz w:val="24"/>
          <w:b/>
        </w:rPr>
        <w:t>±</w:t>
      </w:r>
      <w:r>
        <w:rPr>
          <w:rFonts w:ascii="宋体" w:hAnsi="宋体" w:cs="宋体" w:eastAsia="宋体"/>
          <w:sz w:val="24"/>
          <w:b/>
        </w:rPr>
        <w:t>2</w:t>
      </w:r>
      <w:r>
        <w:rPr>
          <w:rFonts w:ascii="宋体" w:hAnsi="宋体" w:cs="宋体" w:eastAsia="宋体"/>
          <w:sz w:val="24"/>
          <w:b/>
        </w:rPr>
        <w:t>%的偏离；</w:t>
      </w:r>
    </w:p>
    <w:p>
      <w:pPr>
        <w:pStyle w:val="null3"/>
        <w:spacing w:before="60" w:after="60"/>
        <w:jc w:val="left"/>
      </w:pPr>
      <w:r>
        <w:rPr>
          <w:rFonts w:ascii="宋体" w:hAnsi="宋体" w:cs="宋体" w:eastAsia="宋体"/>
          <w:sz w:val="24"/>
          <w:b/>
        </w:rPr>
        <w:t>本项目核心产品为：</w:t>
      </w:r>
      <w:r>
        <w:rPr>
          <w:rFonts w:ascii="宋体" w:hAnsi="宋体" w:cs="宋体" w:eastAsia="宋体"/>
          <w:sz w:val="24"/>
          <w:b/>
        </w:rPr>
        <w:t xml:space="preserve">  </w:t>
      </w:r>
      <w:r>
        <w:rPr>
          <w:rFonts w:ascii="宋体" w:hAnsi="宋体" w:cs="宋体" w:eastAsia="宋体"/>
          <w:sz w:val="24"/>
          <w:b/>
        </w:rPr>
        <w:t xml:space="preserve">“三、设备部分——序号10  连江地形沙盘”    </w:t>
      </w:r>
    </w:p>
    <w:tbl>
      <w:tblPr>
        <w:tblW w:w="0" w:type="auto"/>
        <w:tblBorders>
          <w:top w:val="none" w:color="000000" w:sz="4"/>
          <w:left w:val="none" w:color="000000" w:sz="4"/>
          <w:bottom w:val="none" w:color="000000" w:sz="4"/>
          <w:right w:val="none" w:color="000000" w:sz="4"/>
          <w:insideH w:val="none"/>
          <w:insideV w:val="none"/>
        </w:tblBorders>
      </w:tblPr>
      <w:tblGrid>
        <w:gridCol w:w="656"/>
        <w:gridCol w:w="1323"/>
        <w:gridCol w:w="4311"/>
        <w:gridCol w:w="656"/>
        <w:gridCol w:w="656"/>
        <w:gridCol w:w="656"/>
      </w:tblGrid>
      <w:tr>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rPr>
              <w:t>序号</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rPr>
              <w:t>名称</w:t>
            </w:r>
          </w:p>
        </w:tc>
        <w:tc>
          <w:tcPr>
            <w:tcW w:type="dxa" w:w="4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rPr>
              <w:t>规格和技术要求</w:t>
            </w:r>
          </w:p>
        </w:tc>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rPr>
              <w:t>单位</w:t>
            </w:r>
          </w:p>
        </w:tc>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rPr>
              <w:t>数量</w:t>
            </w:r>
          </w:p>
        </w:tc>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rPr>
              <w:t>评审项目</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b/>
                <w:color w:val="000000"/>
              </w:rPr>
              <w:t>一</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b/>
                <w:color w:val="000000"/>
              </w:rPr>
              <w:t>展陈部分</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顶部展示艺术造型吊顶成套</w:t>
            </w:r>
            <w:r>
              <w:rPr>
                <w:rFonts w:ascii="宋体" w:hAnsi="宋体" w:cs="宋体" w:eastAsia="宋体"/>
                <w:sz w:val="22"/>
                <w:color w:val="000000"/>
              </w:rPr>
              <w:t>A</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1、定制成套艺术造型吊顶，面积185㎡；</w:t>
            </w:r>
            <w:r>
              <w:br/>
            </w:r>
            <w:r>
              <w:rPr>
                <w:rFonts w:ascii="宋体" w:hAnsi="宋体" w:cs="宋体" w:eastAsia="宋体"/>
                <w:sz w:val="22"/>
                <w:color w:val="000000"/>
              </w:rPr>
              <w:t>2、产品材质：铝方通面层，规格：50×100×0.6(mm)，间距150(mm)，面层哑光合成树脂乳液涂料；</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项</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1</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顶部展示艺术造型吊顶成套</w:t>
            </w:r>
            <w:r>
              <w:rPr>
                <w:rFonts w:ascii="宋体" w:hAnsi="宋体" w:cs="宋体" w:eastAsia="宋体"/>
                <w:sz w:val="22"/>
                <w:color w:val="000000"/>
              </w:rPr>
              <w:t>B</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1、定制艺术造型吊顶，面积75㎡；</w:t>
            </w:r>
            <w:r>
              <w:br/>
            </w:r>
            <w:r>
              <w:rPr>
                <w:rFonts w:ascii="宋体" w:hAnsi="宋体" w:cs="宋体" w:eastAsia="宋体"/>
                <w:sz w:val="22"/>
                <w:color w:val="000000"/>
              </w:rPr>
              <w:t>2、产品材质：轻钢龙骨骨架；双层9.5(mm)石膏板基层，开槽、折边；面层哑光合成树脂乳液涂料；</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项</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2</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定制地面造型成套</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1、pvc地胶板，面积265㎡；</w:t>
            </w:r>
            <w:r>
              <w:br/>
            </w:r>
            <w:r>
              <w:rPr>
                <w:rFonts w:ascii="宋体" w:hAnsi="宋体" w:cs="宋体" w:eastAsia="宋体"/>
                <w:sz w:val="22"/>
                <w:color w:val="000000"/>
              </w:rPr>
              <w:t>2、产品描述：2.0(mm)厚耐磨PVC地胶板，耐磨等级不小于B1级；</w:t>
            </w:r>
            <w:r>
              <w:br/>
            </w:r>
            <w:r>
              <w:rPr>
                <w:rFonts w:ascii="宋体" w:hAnsi="宋体" w:cs="宋体" w:eastAsia="宋体"/>
                <w:sz w:val="22"/>
                <w:color w:val="000000"/>
              </w:rPr>
              <w:t>3、含原馆内墙面装饰拆除、物品搬运、垃圾清理，及原场地成品保护。</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项</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3</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定制墙体装饰造型</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1、定制墙面艺术展示成套120(mm)，面积149㎡；</w:t>
            </w:r>
            <w:r>
              <w:br/>
            </w:r>
            <w:r>
              <w:rPr>
                <w:rFonts w:ascii="宋体" w:hAnsi="宋体" w:cs="宋体" w:eastAsia="宋体"/>
                <w:sz w:val="22"/>
                <w:color w:val="000000"/>
              </w:rPr>
              <w:t>2、产品材质：轻钢龙骨骨架，双面单层9.5(mm)厚石膏板面层；</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项</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4</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定制水波纹板墙面</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1、定制水波纹板，面积27㎡；</w:t>
            </w:r>
            <w:r>
              <w:br/>
            </w:r>
            <w:r>
              <w:rPr>
                <w:rFonts w:ascii="宋体" w:hAnsi="宋体" w:cs="宋体" w:eastAsia="宋体"/>
                <w:sz w:val="22"/>
                <w:color w:val="000000"/>
              </w:rPr>
              <w:t>2、产品材质：碳晶板5-8(mm)；</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项</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5</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定制油画布墙面</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1、定制水波纹板，面积54</w:t>
            </w:r>
            <w:r>
              <w:rPr>
                <w:rFonts w:ascii="宋体" w:hAnsi="宋体" w:cs="宋体" w:eastAsia="宋体"/>
                <w:sz w:val="22"/>
                <w:color w:val="000000"/>
              </w:rPr>
              <w:t>㎡；</w:t>
            </w:r>
            <w:r>
              <w:br/>
            </w:r>
            <w:r>
              <w:rPr>
                <w:rFonts w:ascii="宋体" w:hAnsi="宋体" w:cs="宋体" w:eastAsia="宋体"/>
                <w:sz w:val="22"/>
                <w:color w:val="000000"/>
              </w:rPr>
              <w:t>2、产品材质：定制喷绘油画布</w:t>
            </w:r>
            <w:r>
              <w:rPr>
                <w:rFonts w:ascii="宋体" w:hAnsi="宋体" w:cs="宋体" w:eastAsia="宋体"/>
                <w:sz w:val="22"/>
                <w:color w:val="000000"/>
              </w:rPr>
              <w:t>；</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项</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6</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7</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定制墙面艺术展示</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1、定制墙面艺术展示，面积136㎡</w:t>
            </w:r>
            <w:r>
              <w:rPr>
                <w:rFonts w:ascii="宋体" w:hAnsi="宋体" w:cs="宋体" w:eastAsia="宋体"/>
                <w:sz w:val="22"/>
                <w:color w:val="000000"/>
              </w:rPr>
              <w:t>；</w:t>
            </w:r>
            <w:r>
              <w:br/>
            </w:r>
            <w:r>
              <w:rPr>
                <w:rFonts w:ascii="宋体" w:hAnsi="宋体" w:cs="宋体" w:eastAsia="宋体"/>
                <w:sz w:val="22"/>
                <w:color w:val="000000"/>
              </w:rPr>
              <w:t>2、产品材质：轻钢龙骨骨架，单面单层9.5(mm)厚石膏板，白色合成树脂乳液涂料</w:t>
            </w:r>
            <w:r>
              <w:rPr>
                <w:rFonts w:ascii="宋体" w:hAnsi="宋体" w:cs="宋体" w:eastAsia="宋体"/>
                <w:sz w:val="22"/>
                <w:color w:val="000000"/>
              </w:rPr>
              <w:t>；</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项</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7</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8</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展示柜</w:t>
            </w:r>
            <w:r>
              <w:rPr>
                <w:rFonts w:ascii="宋体" w:hAnsi="宋体" w:cs="宋体" w:eastAsia="宋体"/>
                <w:sz w:val="22"/>
                <w:color w:val="000000"/>
              </w:rPr>
              <w:t>A</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1、规格：3100×3000×335(mm)；</w:t>
            </w:r>
            <w:r>
              <w:br/>
            </w:r>
            <w:r>
              <w:rPr>
                <w:rFonts w:ascii="宋体" w:hAnsi="宋体" w:cs="宋体" w:eastAsia="宋体"/>
                <w:sz w:val="22"/>
                <w:color w:val="000000"/>
              </w:rPr>
              <w:t>2、材质：50×50×5(mm)方钢管骨架；15(mm)阻燃板基层；木饰面侧板；面层哑光合成树脂乳液涂料；</w:t>
            </w:r>
            <w:r>
              <w:br/>
            </w:r>
            <w:r>
              <w:rPr>
                <w:rFonts w:ascii="宋体" w:hAnsi="宋体" w:cs="宋体" w:eastAsia="宋体"/>
                <w:sz w:val="22"/>
                <w:color w:val="000000"/>
              </w:rPr>
              <w:t>3、顶部射灯灯槽；底部灯带槽；</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套</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8</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9</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展示柜</w:t>
            </w:r>
            <w:r>
              <w:rPr>
                <w:rFonts w:ascii="宋体" w:hAnsi="宋体" w:cs="宋体" w:eastAsia="宋体"/>
                <w:sz w:val="22"/>
                <w:color w:val="000000"/>
              </w:rPr>
              <w:t>B</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1、规格：2000×3000×335(mm)；</w:t>
            </w:r>
            <w:r>
              <w:br/>
            </w:r>
            <w:r>
              <w:rPr>
                <w:rFonts w:ascii="宋体" w:hAnsi="宋体" w:cs="宋体" w:eastAsia="宋体"/>
                <w:sz w:val="22"/>
                <w:color w:val="000000"/>
              </w:rPr>
              <w:t>2、材质：50×50×5(mm)方钢管骨架；15(mm)阻燃板基层；木饰面侧板；面层哑光合成树脂乳液涂料；</w:t>
            </w:r>
            <w:r>
              <w:br/>
            </w:r>
            <w:r>
              <w:rPr>
                <w:rFonts w:ascii="宋体" w:hAnsi="宋体" w:cs="宋体" w:eastAsia="宋体"/>
                <w:sz w:val="22"/>
                <w:color w:val="000000"/>
              </w:rPr>
              <w:t>3、顶部射灯灯槽；底部灯带槽；</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套</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9</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10</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海藻标本展柜</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1、规格：5000×3000×420(mm)；</w:t>
            </w:r>
            <w:r>
              <w:br/>
            </w:r>
            <w:r>
              <w:rPr>
                <w:rFonts w:ascii="宋体" w:hAnsi="宋体" w:cs="宋体" w:eastAsia="宋体"/>
                <w:sz w:val="22"/>
                <w:color w:val="000000"/>
              </w:rPr>
              <w:t>2、材质：50×50×5(mm)方钢管骨架；15(mm)阻燃板基层；木饰面侧板；面层哑光合成树脂乳液涂料；</w:t>
            </w:r>
            <w:r>
              <w:br/>
            </w:r>
            <w:r>
              <w:rPr>
                <w:rFonts w:ascii="宋体" w:hAnsi="宋体" w:cs="宋体" w:eastAsia="宋体"/>
                <w:sz w:val="22"/>
                <w:color w:val="000000"/>
              </w:rPr>
              <w:t>3、顶部射灯灯槽，底部灯带槽；</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套</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10</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干制标本展柜</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1、规格：8000×3000×400(mm)；</w:t>
            </w:r>
            <w:r>
              <w:br/>
            </w:r>
            <w:r>
              <w:rPr>
                <w:rFonts w:ascii="宋体" w:hAnsi="宋体" w:cs="宋体" w:eastAsia="宋体"/>
                <w:sz w:val="22"/>
                <w:color w:val="000000"/>
              </w:rPr>
              <w:t>2、材质：50×50×5(mm)方钢管骨架；15(mm)阻燃板基层；木饰面侧板；面层哑光合成树脂乳液涂料；</w:t>
            </w:r>
            <w:r>
              <w:br/>
            </w:r>
            <w:r>
              <w:rPr>
                <w:rFonts w:ascii="宋体" w:hAnsi="宋体" w:cs="宋体" w:eastAsia="宋体"/>
                <w:sz w:val="22"/>
                <w:color w:val="000000"/>
              </w:rPr>
              <w:t>3、四周设置LED灯带；明暗设计呈现；</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套</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11</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中小型鱼类标本展柜</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1、规格：4800×3000×500(mm)；</w:t>
            </w:r>
            <w:r>
              <w:br/>
            </w:r>
            <w:r>
              <w:rPr>
                <w:rFonts w:ascii="宋体" w:hAnsi="宋体" w:cs="宋体" w:eastAsia="宋体"/>
                <w:sz w:val="22"/>
                <w:color w:val="000000"/>
              </w:rPr>
              <w:t>2、材质：50×50×5(mm)方钢管骨架；15(mm)阻燃板基层；木饰面侧板；面层哑光合成树脂乳液涂料；</w:t>
            </w:r>
            <w:r>
              <w:br/>
            </w:r>
            <w:r>
              <w:rPr>
                <w:rFonts w:ascii="宋体" w:hAnsi="宋体" w:cs="宋体" w:eastAsia="宋体"/>
                <w:sz w:val="22"/>
                <w:color w:val="000000"/>
              </w:rPr>
              <w:t>3、四周设置LED灯带；明暗设计呈现；</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套</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12</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虾蟹标本展柜</w:t>
            </w:r>
            <w:r>
              <w:rPr>
                <w:rFonts w:ascii="宋体" w:hAnsi="宋体" w:cs="宋体" w:eastAsia="宋体"/>
                <w:sz w:val="22"/>
                <w:color w:val="000000"/>
              </w:rPr>
              <w:t>A</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1、规格：1650×3000×500(mm)；</w:t>
            </w:r>
            <w:r>
              <w:br/>
            </w:r>
            <w:r>
              <w:rPr>
                <w:rFonts w:ascii="宋体" w:hAnsi="宋体" w:cs="宋体" w:eastAsia="宋体"/>
                <w:sz w:val="22"/>
                <w:color w:val="000000"/>
              </w:rPr>
              <w:t>2、材质：50×50×5(mm)方钢管骨架；15(mm)阻燃板基层；木饰面侧板；面层哑光合成树脂乳液涂料；</w:t>
            </w:r>
            <w:r>
              <w:br/>
            </w:r>
            <w:r>
              <w:rPr>
                <w:rFonts w:ascii="宋体" w:hAnsi="宋体" w:cs="宋体" w:eastAsia="宋体"/>
                <w:sz w:val="22"/>
                <w:color w:val="000000"/>
              </w:rPr>
              <w:t>3、四周设置LED灯带；明暗设计呈现；</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套</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13</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虾蟹标本展柜</w:t>
            </w:r>
            <w:r>
              <w:rPr>
                <w:rFonts w:ascii="宋体" w:hAnsi="宋体" w:cs="宋体" w:eastAsia="宋体"/>
                <w:sz w:val="22"/>
                <w:color w:val="000000"/>
              </w:rPr>
              <w:t>B</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1、规格：4500×3000×500(mm)；</w:t>
            </w:r>
            <w:r>
              <w:br/>
            </w:r>
            <w:r>
              <w:rPr>
                <w:rFonts w:ascii="宋体" w:hAnsi="宋体" w:cs="宋体" w:eastAsia="宋体"/>
                <w:sz w:val="22"/>
                <w:color w:val="000000"/>
              </w:rPr>
              <w:t>2、材质：50×50×5(mm)方钢管骨架；15(mm)阻燃板基层；木饰面侧板；面层哑光合成树脂乳液涂料；</w:t>
            </w:r>
            <w:r>
              <w:br/>
            </w:r>
            <w:r>
              <w:rPr>
                <w:rFonts w:ascii="宋体" w:hAnsi="宋体" w:cs="宋体" w:eastAsia="宋体"/>
                <w:sz w:val="22"/>
                <w:color w:val="000000"/>
              </w:rPr>
              <w:t>3、四周设置LED灯带；明暗设计呈现；</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套</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14</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螺贝标本展柜</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1、规格：4000×3000×500(mm)；</w:t>
            </w:r>
            <w:r>
              <w:br/>
            </w:r>
            <w:r>
              <w:rPr>
                <w:rFonts w:ascii="宋体" w:hAnsi="宋体" w:cs="宋体" w:eastAsia="宋体"/>
                <w:sz w:val="22"/>
                <w:color w:val="000000"/>
              </w:rPr>
              <w:t>2、材质：50×50×5(mm)方钢管骨架；15(mm)阻燃板基层；木饰面侧板；面层哑光合成树脂乳液涂料；</w:t>
            </w:r>
            <w:r>
              <w:br/>
            </w:r>
            <w:r>
              <w:rPr>
                <w:rFonts w:ascii="宋体" w:hAnsi="宋体" w:cs="宋体" w:eastAsia="宋体"/>
                <w:sz w:val="22"/>
                <w:color w:val="000000"/>
              </w:rPr>
              <w:t>3、四周设置LED灯带；明暗设计呈现；</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套</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15</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边台造型展台</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1、边台定制造型展台，面积7㎡；</w:t>
            </w:r>
            <w:r>
              <w:br/>
            </w:r>
            <w:r>
              <w:rPr>
                <w:rFonts w:ascii="宋体" w:hAnsi="宋体" w:cs="宋体" w:eastAsia="宋体"/>
                <w:sz w:val="22"/>
                <w:color w:val="000000"/>
              </w:rPr>
              <w:t>2、材质：40×60×2(mm)方钢骨架；</w:t>
            </w:r>
            <w:r>
              <w:br/>
            </w:r>
            <w:r>
              <w:rPr>
                <w:rFonts w:ascii="宋体" w:hAnsi="宋体" w:cs="宋体" w:eastAsia="宋体"/>
                <w:sz w:val="22"/>
                <w:color w:val="000000"/>
              </w:rPr>
              <w:t>3、15(mm)阻燃板基层，石膏板面层，白色/蓝色合成树脂乳液涂料；</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项</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16</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17</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圆形展台</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1、定制成品圆形展台，直径400×1150(mm)；</w:t>
            </w:r>
            <w:r>
              <w:br/>
            </w:r>
            <w:r>
              <w:rPr>
                <w:rFonts w:ascii="宋体" w:hAnsi="宋体" w:cs="宋体" w:eastAsia="宋体"/>
                <w:sz w:val="22"/>
                <w:color w:val="000000"/>
              </w:rPr>
              <w:t>2、产品描述：钢骨架、实木复合板（15mm阻燃板基层，白色烤漆木饰面面层，顶部5mm厚透明亚克力，含底部及顶部灯带）；</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套</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17</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18</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图版灯箱</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1、定制图版灯箱；</w:t>
            </w:r>
            <w:r>
              <w:br/>
            </w:r>
            <w:r>
              <w:rPr>
                <w:rFonts w:ascii="宋体" w:hAnsi="宋体" w:cs="宋体" w:eastAsia="宋体"/>
                <w:sz w:val="22"/>
                <w:color w:val="000000"/>
              </w:rPr>
              <w:t>2</w:t>
            </w:r>
            <w:r>
              <w:rPr>
                <w:rFonts w:ascii="宋体" w:hAnsi="宋体" w:cs="宋体" w:eastAsia="宋体"/>
                <w:sz w:val="22"/>
                <w:color w:val="000000"/>
              </w:rPr>
              <w:t>、</w:t>
            </w:r>
            <w:r>
              <w:rPr>
                <w:rFonts w:ascii="宋体" w:hAnsi="宋体" w:cs="宋体" w:eastAsia="宋体"/>
                <w:sz w:val="22"/>
                <w:color w:val="000000"/>
              </w:rPr>
              <w:t>pvc材质，uv打印；</w:t>
            </w:r>
            <w:r>
              <w:br/>
            </w:r>
            <w:r>
              <w:rPr>
                <w:rFonts w:ascii="宋体" w:hAnsi="宋体" w:cs="宋体" w:eastAsia="宋体"/>
                <w:sz w:val="22"/>
                <w:color w:val="000000"/>
              </w:rPr>
              <w:t>3</w:t>
            </w:r>
            <w:r>
              <w:rPr>
                <w:rFonts w:ascii="宋体" w:hAnsi="宋体" w:cs="宋体" w:eastAsia="宋体"/>
                <w:sz w:val="22"/>
                <w:color w:val="000000"/>
              </w:rPr>
              <w:t>、四周设置</w:t>
            </w:r>
            <w:r>
              <w:rPr>
                <w:rFonts w:ascii="宋体" w:hAnsi="宋体" w:cs="宋体" w:eastAsia="宋体"/>
                <w:sz w:val="22"/>
                <w:color w:val="000000"/>
              </w:rPr>
              <w:t>LED灯带，明暗设计呈现；</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项</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18</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19</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定制广告图案背景</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1、定制广告背景图案面积45㎡；</w:t>
            </w:r>
            <w:r>
              <w:br/>
            </w:r>
            <w:r>
              <w:rPr>
                <w:rFonts w:ascii="宋体" w:hAnsi="宋体" w:cs="宋体" w:eastAsia="宋体"/>
                <w:sz w:val="22"/>
                <w:color w:val="000000"/>
              </w:rPr>
              <w:t>2、产品材质：15(mm)厚以内pvc板，uv打印；</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项</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19</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20</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背景墙墙字体</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1、定制立体字体，</w:t>
            </w:r>
            <w:r>
              <w:br/>
            </w:r>
            <w:r>
              <w:rPr>
                <w:rFonts w:ascii="宋体" w:hAnsi="宋体" w:cs="宋体" w:eastAsia="宋体"/>
                <w:sz w:val="22"/>
                <w:color w:val="000000"/>
              </w:rPr>
              <w:t>2、产品材质：15(mm)厚以内高密度板pvc板；</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项</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20</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双开玻璃门</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1、定制双开玻璃门，尺寸：1400×2600(mm)</w:t>
            </w:r>
            <w:r>
              <w:br/>
            </w:r>
            <w:r>
              <w:rPr>
                <w:rFonts w:ascii="宋体" w:hAnsi="宋体" w:cs="宋体" w:eastAsia="宋体"/>
                <w:sz w:val="22"/>
                <w:color w:val="000000"/>
              </w:rPr>
              <w:t>2、产品描述：12(mm)钢化玻璃，含五金件等所有配件；</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樘</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21</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定制筒灯</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1、定制艺术筒灯，个数90套；</w:t>
            </w:r>
            <w:r>
              <w:br/>
            </w:r>
            <w:r>
              <w:rPr>
                <w:rFonts w:ascii="宋体" w:hAnsi="宋体" w:cs="宋体" w:eastAsia="宋体"/>
                <w:sz w:val="22"/>
                <w:color w:val="000000"/>
              </w:rPr>
              <w:t>2、产品描述：点状分布，光源呈面光源，光照更加均匀、柔和、视效更舒适，含布线、管，开关插座等；</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项</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22</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定制轨道射灯</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1、轨道灯（含轨道），个数50套；</w:t>
            </w:r>
            <w:r>
              <w:br/>
            </w:r>
            <w:r>
              <w:rPr>
                <w:rFonts w:ascii="宋体" w:hAnsi="宋体" w:cs="宋体" w:eastAsia="宋体"/>
                <w:sz w:val="22"/>
                <w:color w:val="000000"/>
              </w:rPr>
              <w:t>2、产品描述:35W，三色可调光，状分布，光源呈面光源，光照更加均匀、柔和、视效更舒适，含布线、管，开关插座等；</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项</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23</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定制灯带</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1、定制艺术灯带，长度142m；</w:t>
            </w:r>
            <w:r>
              <w:br/>
            </w:r>
            <w:r>
              <w:rPr>
                <w:rFonts w:ascii="宋体" w:hAnsi="宋体" w:cs="宋体" w:eastAsia="宋体"/>
                <w:sz w:val="22"/>
                <w:color w:val="000000"/>
              </w:rPr>
              <w:t>2、产品描述：点状分布，光源呈面光源，光照更加均匀、柔和、视效更舒适，含布线、管，开关插座等；</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项</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24</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定制软膜灯箱</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1、定制软膜灯箱，面积14㎡；</w:t>
            </w:r>
            <w:r>
              <w:br/>
            </w:r>
            <w:r>
              <w:rPr>
                <w:rFonts w:ascii="宋体" w:hAnsi="宋体" w:cs="宋体" w:eastAsia="宋体"/>
                <w:sz w:val="22"/>
                <w:color w:val="000000"/>
              </w:rPr>
              <w:t>2、产品描述：点状分布，光源呈面光源，光照更加均匀、柔和、视效更舒适，含布线、管，开关插座等；</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项</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25</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b/>
                <w:color w:val="000000"/>
              </w:rPr>
              <w:t>二</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b/>
                <w:color w:val="000000"/>
              </w:rPr>
              <w:t>标本部分</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鲍鱼标本</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浸制标本，自然大，规格：</w:t>
            </w:r>
            <w:r>
              <w:rPr>
                <w:rFonts w:ascii="宋体" w:hAnsi="宋体" w:cs="宋体" w:eastAsia="宋体"/>
                <w:sz w:val="22"/>
                <w:color w:val="000000"/>
              </w:rPr>
              <w:t>60×120</w:t>
            </w:r>
            <w:r>
              <w:rPr>
                <w:rFonts w:ascii="宋体" w:hAnsi="宋体" w:cs="宋体" w:eastAsia="宋体"/>
                <w:sz w:val="22"/>
                <w:color w:val="000000"/>
              </w:rPr>
              <w:t>(mm)</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套</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26</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海带标本</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浸制标本，自然大，规格：</w:t>
            </w:r>
            <w:r>
              <w:rPr>
                <w:rFonts w:ascii="宋体" w:hAnsi="宋体" w:cs="宋体" w:eastAsia="宋体"/>
                <w:sz w:val="22"/>
                <w:color w:val="000000"/>
              </w:rPr>
              <w:t>60×120</w:t>
            </w:r>
            <w:r>
              <w:rPr>
                <w:rFonts w:ascii="宋体" w:hAnsi="宋体" w:cs="宋体" w:eastAsia="宋体"/>
                <w:sz w:val="22"/>
                <w:color w:val="000000"/>
              </w:rPr>
              <w:t>(mm)</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套</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27</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藻类标本</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30种各一件，自然大,</w:t>
            </w:r>
            <w:r>
              <w:rPr>
                <w:rFonts w:ascii="&quot;times new roman&quot;" w:hAnsi="&quot;times new roman&quot;" w:cs="&quot;times new roman&quot;" w:eastAsia="&quot;times new roman&quot;"/>
                <w:sz w:val="21"/>
              </w:rPr>
              <w:t xml:space="preserve"> </w:t>
            </w:r>
            <w:r>
              <w:rPr>
                <w:rFonts w:ascii="宋体" w:hAnsi="宋体" w:cs="宋体" w:eastAsia="宋体"/>
                <w:sz w:val="22"/>
                <w:color w:val="000000"/>
              </w:rPr>
              <w:t>185×260</w:t>
            </w:r>
            <w:r>
              <w:rPr>
                <w:rFonts w:ascii="宋体" w:hAnsi="宋体" w:cs="宋体" w:eastAsia="宋体"/>
                <w:sz w:val="22"/>
                <w:color w:val="000000"/>
              </w:rPr>
              <w:t>(mm)</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项</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28</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特色养殖标本</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鲍鱼标本</w:t>
            </w:r>
            <w:r>
              <w:rPr>
                <w:rFonts w:ascii="宋体" w:hAnsi="宋体" w:cs="宋体" w:eastAsia="宋体"/>
                <w:sz w:val="22"/>
                <w:color w:val="000000"/>
              </w:rPr>
              <w:t>30(mm)、海带标本50(mm)、大黄鱼标本120(mm)、对虾标本35(mm)、牡蛎标本10(mm)，各一件</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套</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29</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鱼类标本</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30种各一件，海洋鱼类标本，干制标本，规格120(mm)</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套</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30</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螺贝标本</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50种，成年自然大，体长≥</w:t>
            </w:r>
            <w:r>
              <w:rPr>
                <w:rFonts w:ascii="宋体" w:hAnsi="宋体" w:cs="宋体" w:eastAsia="宋体"/>
                <w:sz w:val="22"/>
                <w:color w:val="000000"/>
              </w:rPr>
              <w:t>25</w:t>
            </w:r>
            <w:r>
              <w:rPr>
                <w:rFonts w:ascii="宋体" w:hAnsi="宋体" w:cs="宋体" w:eastAsia="宋体"/>
                <w:sz w:val="22"/>
                <w:color w:val="000000"/>
              </w:rPr>
              <w:t>(mm)</w:t>
            </w:r>
          </w:p>
          <w:p>
            <w:pPr>
              <w:pStyle w:val="null3"/>
              <w:jc w:val="left"/>
            </w:pPr>
            <w:r>
              <w:rPr>
                <w:rFonts w:ascii="宋体" w:hAnsi="宋体" w:cs="宋体" w:eastAsia="宋体"/>
                <w:sz w:val="22"/>
                <w:color w:val="000000"/>
              </w:rPr>
              <w:t>★（1）大白蛙螺：成年自然大，体长≥180(mm)；底座规格：1.底座规格为118×118×130(mm);不锈钢材质。2.小底座下部直径49(mm)，中部最小处直径25(mm)。3.上部直径35(mm)，总高27(mm)。底座尺寸误差±5(mm)。（2）褐带鹑螺：成年自然大，体长≥80(mm)。底座规格:1.底座由十层亚克力板块组成，2.第一层规格为160×140(mm)，3.第二层规格为150×130(mm)，4.第三层规格为140×120(mm)，逐层递减10(mm)，5.第十层规格为70×50(mm)。底座尺寸误差±5(mm)。（</w:t>
            </w:r>
            <w:r>
              <w:rPr>
                <w:rFonts w:ascii="宋体" w:hAnsi="宋体" w:cs="宋体" w:eastAsia="宋体"/>
                <w:sz w:val="22"/>
                <w:color w:val="000000"/>
              </w:rPr>
              <w:t>3</w:t>
            </w:r>
            <w:r>
              <w:rPr>
                <w:rFonts w:ascii="宋体" w:hAnsi="宋体" w:cs="宋体" w:eastAsia="宋体"/>
                <w:sz w:val="22"/>
                <w:color w:val="000000"/>
              </w:rPr>
              <w:t>）提供大白蛙螺、褐带鹑螺样品各一件。</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套</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31，</w:t>
            </w:r>
            <w:r>
              <w:rPr>
                <w:rFonts w:ascii="宋体" w:hAnsi="宋体" w:cs="宋体" w:eastAsia="宋体"/>
                <w:sz w:val="22"/>
                <w:color w:val="000000"/>
              </w:rPr>
              <w:t>不含（</w:t>
            </w:r>
            <w:r>
              <w:rPr>
                <w:rFonts w:ascii="宋体" w:hAnsi="宋体" w:cs="宋体" w:eastAsia="宋体"/>
                <w:sz w:val="22"/>
                <w:color w:val="000000"/>
              </w:rPr>
              <w:t>1）、（2）、（</w:t>
            </w:r>
            <w:r>
              <w:rPr>
                <w:rFonts w:ascii="宋体" w:hAnsi="宋体" w:cs="宋体" w:eastAsia="宋体"/>
                <w:sz w:val="22"/>
                <w:color w:val="000000"/>
              </w:rPr>
              <w:t>3</w:t>
            </w:r>
            <w:r>
              <w:rPr>
                <w:rFonts w:ascii="宋体" w:hAnsi="宋体" w:cs="宋体" w:eastAsia="宋体"/>
                <w:sz w:val="22"/>
                <w:color w:val="000000"/>
              </w:rPr>
              <w:t>）</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7</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虾蟹标本</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50种，成年自然大，体长≥</w:t>
            </w:r>
            <w:r>
              <w:rPr>
                <w:rFonts w:ascii="宋体" w:hAnsi="宋体" w:cs="宋体" w:eastAsia="宋体"/>
                <w:sz w:val="22"/>
                <w:color w:val="000000"/>
              </w:rPr>
              <w:t>35</w:t>
            </w:r>
            <w:r>
              <w:rPr>
                <w:rFonts w:ascii="宋体" w:hAnsi="宋体" w:cs="宋体" w:eastAsia="宋体"/>
                <w:sz w:val="22"/>
                <w:color w:val="000000"/>
              </w:rPr>
              <w:t>(mm)</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套</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32</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b/>
                <w:color w:val="000000"/>
              </w:rPr>
              <w:t>三</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b/>
                <w:color w:val="000000"/>
              </w:rPr>
              <w:t>设备部分</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90寸液晶电视</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90寸，液晶</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台</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33</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操作桌</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规格：</w:t>
            </w:r>
            <w:r>
              <w:rPr>
                <w:rFonts w:ascii="宋体" w:hAnsi="宋体" w:cs="宋体" w:eastAsia="宋体"/>
                <w:sz w:val="22"/>
                <w:color w:val="000000"/>
              </w:rPr>
              <w:t>1800×1200×750(mm) (±10mm):</w:t>
            </w:r>
            <w:r>
              <w:br/>
            </w:r>
            <w:r>
              <w:rPr>
                <w:rFonts w:ascii="宋体" w:hAnsi="宋体" w:cs="宋体" w:eastAsia="宋体"/>
                <w:sz w:val="22"/>
                <w:color w:val="000000"/>
              </w:rPr>
              <w:t>1、台面：一体化台面，厚度为≥35(mm)实木台面，抗震抗压性强，牢固可靠。表面PU倒油，经精密加工，表面光滑平整，美观大方，耐腐蚀，无毒。</w:t>
            </w:r>
            <w:r>
              <w:br/>
            </w:r>
            <w:r>
              <w:rPr>
                <w:rFonts w:ascii="宋体" w:hAnsi="宋体" w:cs="宋体" w:eastAsia="宋体"/>
                <w:sz w:val="22"/>
                <w:color w:val="000000"/>
              </w:rPr>
              <w:t>2、收纳柜书斗基材采用≥18(mm)厚多层板，基材表面压贴三聚氰胺饰面，其截面用PVC封边条机械高温热熔胶封边。</w:t>
            </w:r>
            <w:r>
              <w:br/>
            </w:r>
            <w:r>
              <w:rPr>
                <w:rFonts w:ascii="宋体" w:hAnsi="宋体" w:cs="宋体" w:eastAsia="宋体"/>
                <w:sz w:val="22"/>
                <w:color w:val="000000"/>
              </w:rPr>
              <w:t>3、脚架：采用≥50×50×1.5(mm)方钢脚架，桌脚带地脚垫，高低可调。上横杆≥30×30×1.2(mm)方管，下横杆≥50×25×1.2(mm)方管。表面静电喷塑处理。</w:t>
            </w:r>
            <w:r>
              <w:br/>
            </w:r>
            <w:r>
              <w:rPr>
                <w:rFonts w:ascii="宋体" w:hAnsi="宋体" w:cs="宋体" w:eastAsia="宋体"/>
                <w:sz w:val="22"/>
                <w:color w:val="000000"/>
              </w:rPr>
              <w:t>4、收纳盒规格为380×300×100(mm)，防滑定位导轨长300(mm)。材质为PP注注塑一体成型。</w:t>
            </w:r>
            <w:r>
              <w:br/>
            </w:r>
            <w:r>
              <w:rPr>
                <w:rFonts w:ascii="宋体" w:hAnsi="宋体" w:cs="宋体" w:eastAsia="宋体"/>
                <w:sz w:val="22"/>
                <w:color w:val="000000"/>
              </w:rPr>
              <w:t>4、工具网架1600×450(mm)：采用钢管焊接制作而成，网架为国际标准通用孔距方孔钢板，可以挂放多种金工、木工的操作工具通标挂件，还可以保护对面的同学不被加工时产生的碎屑所伤。配标准工具钢板挂架。</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张</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2</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34</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学生安全电源</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规格：</w:t>
            </w:r>
            <w:r>
              <w:rPr>
                <w:rFonts w:ascii="宋体" w:hAnsi="宋体" w:cs="宋体" w:eastAsia="宋体"/>
                <w:sz w:val="22"/>
                <w:color w:val="000000"/>
              </w:rPr>
              <w:t>86×86×36</w:t>
            </w:r>
            <w:r>
              <w:rPr>
                <w:rFonts w:ascii="宋体" w:hAnsi="宋体" w:cs="宋体" w:eastAsia="宋体"/>
                <w:sz w:val="22"/>
                <w:color w:val="000000"/>
              </w:rPr>
              <w:t>(mm)</w:t>
            </w:r>
            <w:r>
              <w:rPr>
                <w:rFonts w:ascii="宋体" w:hAnsi="宋体" w:cs="宋体" w:eastAsia="宋体"/>
                <w:sz w:val="22"/>
                <w:color w:val="000000"/>
              </w:rPr>
              <w:t>(允许偏差范围±2%)；</w:t>
            </w:r>
            <w:r>
              <w:br/>
            </w:r>
            <w:r>
              <w:rPr>
                <w:rFonts w:ascii="宋体" w:hAnsi="宋体" w:cs="宋体" w:eastAsia="宋体"/>
                <w:sz w:val="22"/>
                <w:color w:val="000000"/>
              </w:rPr>
              <w:t>1、外壳耐高温PC阻燃材料制造，内框架为钢制结构，电源盒面板上设有5个插孔并带有安全防护门，内置水电隔离仓，防漏电底盒设 计，快速灭弧高温不软化，电流输出≥6A的五孔插座，额定电压250V-50HZ，插座符合新国标标准GB/T1002 GB/T2099。</w:t>
            </w:r>
            <w:r>
              <w:br/>
            </w:r>
            <w:r>
              <w:rPr>
                <w:rFonts w:ascii="宋体" w:hAnsi="宋体" w:cs="宋体" w:eastAsia="宋体"/>
                <w:sz w:val="22"/>
                <w:color w:val="000000"/>
              </w:rPr>
              <w:t>2、本插座为带保护门单相两极双用、两极带接地暗装插座，外防水溅，防触电，对非国标插头的金属导体插入插孔不会导电（如钥匙、镊子等可演示），能有效防止触电。</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个</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35</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学生凳</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规格：</w:t>
            </w:r>
            <w:r>
              <w:rPr>
                <w:rFonts w:ascii="宋体" w:hAnsi="宋体" w:cs="宋体" w:eastAsia="宋体"/>
                <w:sz w:val="22"/>
                <w:color w:val="000000"/>
              </w:rPr>
              <w:t>240×340×440(mm) (±10mm) 四脚方凳，有效防止凳子翻倒。</w:t>
            </w:r>
            <w:r>
              <w:br/>
            </w:r>
            <w:r>
              <w:rPr>
                <w:rFonts w:ascii="宋体" w:hAnsi="宋体" w:cs="宋体" w:eastAsia="宋体"/>
                <w:sz w:val="22"/>
                <w:color w:val="000000"/>
              </w:rPr>
              <w:t>1、凳面：240×340(mm) (±5mm)，采用≥18(mm)三聚氰胺多层板。</w:t>
            </w:r>
            <w:r>
              <w:br/>
            </w:r>
            <w:r>
              <w:rPr>
                <w:rFonts w:ascii="宋体" w:hAnsi="宋体" w:cs="宋体" w:eastAsia="宋体"/>
                <w:sz w:val="22"/>
                <w:color w:val="000000"/>
              </w:rPr>
              <w:t>2、凳身：≥25×25×1.3(mm)方管焊接成型，酸洗磷化后喷塑，颜色为铁灰色。</w:t>
            </w:r>
            <w:r>
              <w:br/>
            </w:r>
            <w:r>
              <w:rPr>
                <w:rFonts w:ascii="宋体" w:hAnsi="宋体" w:cs="宋体" w:eastAsia="宋体"/>
                <w:sz w:val="22"/>
                <w:color w:val="000000"/>
              </w:rPr>
              <w:t>3、脚垫：ABS工程塑料脚垫，有效减少噪音。</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张</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12</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36</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展示柜</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规格：</w:t>
            </w:r>
            <w:r>
              <w:rPr>
                <w:rFonts w:ascii="宋体" w:hAnsi="宋体" w:cs="宋体" w:eastAsia="宋体"/>
                <w:sz w:val="22"/>
                <w:color w:val="000000"/>
              </w:rPr>
              <w:t>1000×400×1800(mm)，依现场情况定。</w:t>
            </w:r>
            <w:r>
              <w:br/>
            </w:r>
            <w:r>
              <w:rPr>
                <w:rFonts w:ascii="宋体" w:hAnsi="宋体" w:cs="宋体" w:eastAsia="宋体"/>
                <w:sz w:val="22"/>
                <w:color w:val="000000"/>
              </w:rPr>
              <w:t>1、基材：层板采用≥25(mm)，其它≥18(mm)厚多层板，基材表面压贴三聚氰胺饰面，其截面用PVC封边条机械高温热熔胶封边。</w:t>
            </w:r>
            <w:r>
              <w:br/>
            </w:r>
            <w:r>
              <w:rPr>
                <w:rFonts w:ascii="宋体" w:hAnsi="宋体" w:cs="宋体" w:eastAsia="宋体"/>
                <w:sz w:val="22"/>
                <w:color w:val="000000"/>
              </w:rPr>
              <w:t>2、五金配件表面电镀处理。</w:t>
            </w:r>
            <w:r>
              <w:br/>
            </w:r>
            <w:r>
              <w:rPr>
                <w:rFonts w:ascii="宋体" w:hAnsi="宋体" w:cs="宋体" w:eastAsia="宋体"/>
                <w:sz w:val="22"/>
                <w:color w:val="000000"/>
              </w:rPr>
              <w:t>3、钢制边架：边框≥50×20×1.2(mm)扁管脚架，脚架配可调节脚座，黑砂表面静电喷塑处理。</w:t>
            </w:r>
            <w:r>
              <w:br/>
            </w:r>
            <w:r>
              <w:rPr>
                <w:rFonts w:ascii="宋体" w:hAnsi="宋体" w:cs="宋体" w:eastAsia="宋体"/>
                <w:sz w:val="22"/>
                <w:color w:val="000000"/>
              </w:rPr>
              <w:t>4、结构：上为三层层架，下为对开门底柜。门板四角倒≥R20(mm)圆角。</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个</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37</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工具挂板及配套工具</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规格：</w:t>
            </w:r>
            <w:r>
              <w:rPr>
                <w:rFonts w:ascii="宋体" w:hAnsi="宋体" w:cs="宋体" w:eastAsia="宋体"/>
                <w:sz w:val="22"/>
                <w:color w:val="000000"/>
              </w:rPr>
              <w:t>2400×9000mm(±10mm)可以按须定制</w:t>
            </w:r>
            <w:r>
              <w:br/>
            </w:r>
            <w:r>
              <w:rPr>
                <w:rFonts w:ascii="宋体" w:hAnsi="宋体" w:cs="宋体" w:eastAsia="宋体"/>
                <w:sz w:val="22"/>
                <w:color w:val="000000"/>
              </w:rPr>
              <w:t>1、基材采用≥18(mm)厚多层板，基材表面压贴三聚氰胺饰面，其截面用PVC封边条机械高温热熔胶封边。</w:t>
            </w:r>
            <w:r>
              <w:br/>
            </w:r>
            <w:r>
              <w:rPr>
                <w:rFonts w:ascii="宋体" w:hAnsi="宋体" w:cs="宋体" w:eastAsia="宋体"/>
                <w:sz w:val="22"/>
                <w:color w:val="000000"/>
              </w:rPr>
              <w:t>2、工具挂板，标准通用孔距，挂放多种金工、木工的操作工具通标挂件。</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个</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38</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7</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新风系统</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全热交换机</w:t>
            </w:r>
            <w:r>
              <w:rPr>
                <w:rFonts w:ascii="宋体" w:hAnsi="宋体" w:cs="宋体" w:eastAsia="宋体"/>
                <w:sz w:val="22"/>
                <w:color w:val="000000"/>
              </w:rPr>
              <w:t>1台，参数：风量≥1000m³/h；额定电压220V；PVC风管等安装辅材</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项</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39</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8</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制冷设备</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1、吸顶式空调5台、5p天花机，电压：380v，含空调铜管及制冷剂等；</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项</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40</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9</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装饰摆件</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w:t>
            </w:r>
            <w:r>
              <w:rPr>
                <w:rFonts w:ascii="宋体" w:hAnsi="宋体" w:cs="宋体" w:eastAsia="宋体"/>
                <w:sz w:val="22"/>
                <w:color w:val="000000"/>
              </w:rPr>
              <w:t>1）船锚2件，实木材质，直径</w:t>
            </w:r>
            <w:r>
              <w:rPr>
                <w:rFonts w:ascii="宋体" w:hAnsi="宋体" w:cs="宋体" w:eastAsia="宋体"/>
                <w:sz w:val="22"/>
                <w:color w:val="000000"/>
              </w:rPr>
              <w:t>70</w:t>
            </w:r>
            <w:r>
              <w:rPr>
                <w:rFonts w:ascii="宋体" w:hAnsi="宋体" w:cs="宋体" w:eastAsia="宋体"/>
                <w:sz w:val="22"/>
                <w:color w:val="000000"/>
              </w:rPr>
              <w:t>c</w:t>
            </w:r>
            <w:r>
              <w:rPr>
                <w:rFonts w:ascii="宋体" w:hAnsi="宋体" w:cs="宋体" w:eastAsia="宋体"/>
                <w:sz w:val="22"/>
                <w:color w:val="000000"/>
              </w:rPr>
              <w:t>m</w:t>
            </w:r>
            <w:r>
              <w:rPr>
                <w:rFonts w:ascii="宋体" w:hAnsi="宋体" w:cs="宋体" w:eastAsia="宋体"/>
                <w:sz w:val="22"/>
                <w:color w:val="000000"/>
              </w:rPr>
              <w:t>；</w:t>
            </w:r>
          </w:p>
          <w:p>
            <w:pPr>
              <w:pStyle w:val="null3"/>
              <w:jc w:val="left"/>
            </w:pPr>
            <w:r>
              <w:rPr>
                <w:rFonts w:ascii="宋体" w:hAnsi="宋体" w:cs="宋体" w:eastAsia="宋体"/>
                <w:sz w:val="22"/>
                <w:color w:val="000000"/>
              </w:rPr>
              <w:t>（</w:t>
            </w:r>
            <w:r>
              <w:rPr>
                <w:rFonts w:ascii="宋体" w:hAnsi="宋体" w:cs="宋体" w:eastAsia="宋体"/>
                <w:sz w:val="22"/>
                <w:color w:val="000000"/>
              </w:rPr>
              <w:t>2</w:t>
            </w:r>
            <w:r>
              <w:rPr>
                <w:rFonts w:ascii="宋体" w:hAnsi="宋体" w:cs="宋体" w:eastAsia="宋体"/>
                <w:sz w:val="22"/>
                <w:color w:val="000000"/>
              </w:rPr>
              <w:t>）船锚</w:t>
            </w:r>
            <w:r>
              <w:rPr>
                <w:rFonts w:ascii="宋体" w:hAnsi="宋体" w:cs="宋体" w:eastAsia="宋体"/>
                <w:sz w:val="22"/>
                <w:color w:val="000000"/>
              </w:rPr>
              <w:t>1件，实木材质，直径9</w:t>
            </w:r>
            <w:r>
              <w:rPr>
                <w:rFonts w:ascii="宋体" w:hAnsi="宋体" w:cs="宋体" w:eastAsia="宋体"/>
                <w:sz w:val="22"/>
                <w:color w:val="000000"/>
              </w:rPr>
              <w:t>0</w:t>
            </w:r>
            <w:r>
              <w:rPr>
                <w:rFonts w:ascii="宋体" w:hAnsi="宋体" w:cs="宋体" w:eastAsia="宋体"/>
                <w:sz w:val="22"/>
                <w:color w:val="000000"/>
              </w:rPr>
              <w:t>c</w:t>
            </w:r>
            <w:r>
              <w:rPr>
                <w:rFonts w:ascii="宋体" w:hAnsi="宋体" w:cs="宋体" w:eastAsia="宋体"/>
                <w:sz w:val="22"/>
                <w:color w:val="000000"/>
              </w:rPr>
              <w:t>m</w:t>
            </w:r>
            <w:r>
              <w:rPr>
                <w:rFonts w:ascii="宋体" w:hAnsi="宋体" w:cs="宋体" w:eastAsia="宋体"/>
                <w:sz w:val="22"/>
                <w:color w:val="000000"/>
              </w:rPr>
              <w:t>；</w:t>
            </w:r>
          </w:p>
          <w:p>
            <w:pPr>
              <w:pStyle w:val="null3"/>
              <w:jc w:val="left"/>
            </w:pPr>
            <w:r>
              <w:rPr>
                <w:rFonts w:ascii="宋体" w:hAnsi="宋体" w:cs="宋体" w:eastAsia="宋体"/>
                <w:sz w:val="22"/>
                <w:color w:val="000000"/>
              </w:rPr>
              <w:t>（</w:t>
            </w:r>
            <w:r>
              <w:rPr>
                <w:rFonts w:ascii="宋体" w:hAnsi="宋体" w:cs="宋体" w:eastAsia="宋体"/>
                <w:sz w:val="22"/>
                <w:color w:val="000000"/>
              </w:rPr>
              <w:t>3）帆船舵1件，实木材质，高度65</w:t>
            </w:r>
            <w:r>
              <w:rPr>
                <w:rFonts w:ascii="宋体" w:hAnsi="宋体" w:cs="宋体" w:eastAsia="宋体"/>
                <w:sz w:val="22"/>
                <w:color w:val="000000"/>
              </w:rPr>
              <w:t>cm</w:t>
            </w:r>
            <w:r>
              <w:rPr>
                <w:rFonts w:ascii="宋体" w:hAnsi="宋体" w:cs="宋体" w:eastAsia="宋体"/>
                <w:sz w:val="22"/>
                <w:color w:val="000000"/>
              </w:rPr>
              <w:t>；</w:t>
            </w:r>
          </w:p>
          <w:p>
            <w:pPr>
              <w:pStyle w:val="null3"/>
              <w:jc w:val="left"/>
            </w:pPr>
            <w:r>
              <w:rPr>
                <w:rFonts w:ascii="宋体" w:hAnsi="宋体" w:cs="宋体" w:eastAsia="宋体"/>
                <w:sz w:val="22"/>
                <w:color w:val="000000"/>
              </w:rPr>
              <w:t>（</w:t>
            </w:r>
            <w:r>
              <w:rPr>
                <w:rFonts w:ascii="宋体" w:hAnsi="宋体" w:cs="宋体" w:eastAsia="宋体"/>
                <w:sz w:val="22"/>
                <w:color w:val="000000"/>
              </w:rPr>
              <w:t>4）单桅帆船1件，实木材质船体，竹制桅杆，长度60</w:t>
            </w:r>
            <w:r>
              <w:rPr>
                <w:rFonts w:ascii="宋体" w:hAnsi="宋体" w:cs="宋体" w:eastAsia="宋体"/>
                <w:sz w:val="22"/>
                <w:color w:val="000000"/>
              </w:rPr>
              <w:t>cm</w:t>
            </w:r>
            <w:r>
              <w:rPr>
                <w:rFonts w:ascii="宋体" w:hAnsi="宋体" w:cs="宋体" w:eastAsia="宋体"/>
                <w:sz w:val="22"/>
                <w:color w:val="000000"/>
              </w:rPr>
              <w:t>；</w:t>
            </w:r>
          </w:p>
          <w:p>
            <w:pPr>
              <w:pStyle w:val="null3"/>
              <w:jc w:val="left"/>
            </w:pPr>
            <w:r>
              <w:rPr>
                <w:rFonts w:ascii="宋体" w:hAnsi="宋体" w:cs="宋体" w:eastAsia="宋体"/>
                <w:sz w:val="22"/>
                <w:color w:val="000000"/>
              </w:rPr>
              <w:t>（</w:t>
            </w:r>
            <w:r>
              <w:rPr>
                <w:rFonts w:ascii="宋体" w:hAnsi="宋体" w:cs="宋体" w:eastAsia="宋体"/>
                <w:sz w:val="22"/>
                <w:color w:val="000000"/>
              </w:rPr>
              <w:t>5</w:t>
            </w:r>
            <w:r>
              <w:rPr>
                <w:rFonts w:ascii="宋体" w:hAnsi="宋体" w:cs="宋体" w:eastAsia="宋体"/>
                <w:sz w:val="22"/>
                <w:color w:val="000000"/>
              </w:rPr>
              <w:t>）帆船</w:t>
            </w:r>
            <w:r>
              <w:rPr>
                <w:rFonts w:ascii="宋体" w:hAnsi="宋体" w:cs="宋体" w:eastAsia="宋体"/>
                <w:sz w:val="22"/>
                <w:color w:val="000000"/>
              </w:rPr>
              <w:t>1件，实木材质船体，竹制桅杆，长度33</w:t>
            </w:r>
            <w:r>
              <w:rPr>
                <w:rFonts w:ascii="宋体" w:hAnsi="宋体" w:cs="宋体" w:eastAsia="宋体"/>
                <w:sz w:val="22"/>
                <w:color w:val="000000"/>
              </w:rPr>
              <w:t>cm</w:t>
            </w:r>
            <w:r>
              <w:rPr>
                <w:rFonts w:ascii="宋体" w:hAnsi="宋体" w:cs="宋体" w:eastAsia="宋体"/>
                <w:sz w:val="22"/>
                <w:color w:val="000000"/>
              </w:rPr>
              <w:t>。</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套</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41</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10</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连江地形沙盘</w:t>
            </w:r>
          </w:p>
          <w:p>
            <w:pPr>
              <w:pStyle w:val="null3"/>
              <w:jc w:val="left"/>
            </w:pPr>
            <w:r>
              <w:rPr>
                <w:rFonts w:ascii="宋体" w:hAnsi="宋体" w:cs="宋体" w:eastAsia="宋体"/>
                <w:sz w:val="22"/>
                <w:color w:val="000000"/>
              </w:rPr>
              <w:t>(核心产品</w:t>
            </w:r>
            <w:r>
              <w:rPr>
                <w:rFonts w:ascii="宋体" w:hAnsi="宋体" w:cs="宋体" w:eastAsia="宋体"/>
                <w:sz w:val="22"/>
                <w:color w:val="000000"/>
              </w:rPr>
              <w:t>)</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尺寸：</w:t>
            </w:r>
            <w:r>
              <w:rPr>
                <w:rFonts w:ascii="宋体" w:hAnsi="宋体" w:cs="宋体" w:eastAsia="宋体"/>
                <w:sz w:val="22"/>
                <w:color w:val="000000"/>
              </w:rPr>
              <w:t>3000×2000(mm)，3D建模一体化设计，采用高分子聚合工程板、亚克力板、仿真草坪、草粉等材料按照比例制作而成。</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套</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42</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二维码查询</w:t>
            </w:r>
            <w:r>
              <w:rPr>
                <w:rFonts w:ascii="宋体" w:hAnsi="宋体" w:cs="宋体" w:eastAsia="宋体"/>
                <w:sz w:val="22"/>
                <w:color w:val="000000"/>
              </w:rPr>
              <w:t>(教育标本网站系统)</w:t>
            </w:r>
          </w:p>
        </w:tc>
        <w:tc>
          <w:tcPr>
            <w:tcW w:type="dxa" w:w="4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1、软件内容：</w:t>
            </w:r>
            <w:r>
              <w:br/>
            </w:r>
            <w:r>
              <w:rPr>
                <w:rFonts w:ascii="宋体" w:hAnsi="宋体" w:cs="宋体" w:eastAsia="宋体"/>
                <w:sz w:val="22"/>
                <w:color w:val="000000"/>
              </w:rPr>
              <w:t>（</w:t>
            </w:r>
            <w:r>
              <w:rPr>
                <w:rFonts w:ascii="宋体" w:hAnsi="宋体" w:cs="宋体" w:eastAsia="宋体"/>
                <w:sz w:val="22"/>
                <w:color w:val="000000"/>
              </w:rPr>
              <w:t>1）用户可以自定义设置展区区域的名称、图片；</w:t>
            </w:r>
            <w:r>
              <w:br/>
            </w:r>
            <w:r>
              <w:rPr>
                <w:rFonts w:ascii="宋体" w:hAnsi="宋体" w:cs="宋体" w:eastAsia="宋体"/>
                <w:sz w:val="22"/>
                <w:color w:val="000000"/>
              </w:rPr>
              <w:t>（</w:t>
            </w:r>
            <w:r>
              <w:rPr>
                <w:rFonts w:ascii="宋体" w:hAnsi="宋体" w:cs="宋体" w:eastAsia="宋体"/>
                <w:sz w:val="22"/>
                <w:color w:val="000000"/>
              </w:rPr>
              <w:t>2）可显示各区域内的物种清单。</w:t>
            </w:r>
            <w:r>
              <w:br/>
            </w:r>
            <w:r>
              <w:rPr>
                <w:rFonts w:ascii="宋体" w:hAnsi="宋体" w:cs="宋体" w:eastAsia="宋体"/>
                <w:sz w:val="22"/>
                <w:color w:val="000000"/>
              </w:rPr>
              <w:t>（</w:t>
            </w:r>
            <w:r>
              <w:rPr>
                <w:rFonts w:ascii="宋体" w:hAnsi="宋体" w:cs="宋体" w:eastAsia="宋体"/>
                <w:sz w:val="22"/>
                <w:color w:val="000000"/>
              </w:rPr>
              <w:t>3）支持图片轮播，包含介绍、形态特征、生态习性、分布范围、保护现状等文本信息；</w:t>
            </w:r>
            <w:r>
              <w:br/>
            </w:r>
            <w:r>
              <w:rPr>
                <w:rFonts w:ascii="宋体" w:hAnsi="宋体" w:cs="宋体" w:eastAsia="宋体"/>
                <w:sz w:val="22"/>
                <w:color w:val="000000"/>
              </w:rPr>
              <w:t>（</w:t>
            </w:r>
            <w:r>
              <w:rPr>
                <w:rFonts w:ascii="宋体" w:hAnsi="宋体" w:cs="宋体" w:eastAsia="宋体"/>
                <w:sz w:val="22"/>
                <w:color w:val="000000"/>
              </w:rPr>
              <w:t>4）可通过扫描二维码查询具体动物科普信息。</w:t>
            </w:r>
            <w:r>
              <w:br/>
            </w:r>
            <w:r>
              <w:rPr>
                <w:rFonts w:ascii="宋体" w:hAnsi="宋体" w:cs="宋体" w:eastAsia="宋体"/>
                <w:sz w:val="22"/>
                <w:color w:val="000000"/>
              </w:rPr>
              <w:t>（</w:t>
            </w:r>
            <w:r>
              <w:rPr>
                <w:rFonts w:ascii="宋体" w:hAnsi="宋体" w:cs="宋体" w:eastAsia="宋体"/>
                <w:sz w:val="22"/>
                <w:color w:val="000000"/>
              </w:rPr>
              <w:t>5）可以逐级查询所需物种及物种信息；</w:t>
            </w:r>
            <w:r>
              <w:br/>
            </w:r>
            <w:r>
              <w:rPr>
                <w:rFonts w:ascii="宋体" w:hAnsi="宋体" w:cs="宋体" w:eastAsia="宋体"/>
                <w:sz w:val="22"/>
                <w:color w:val="000000"/>
              </w:rPr>
              <w:t>2、藻类物种信息：≥30种</w:t>
            </w:r>
            <w:r>
              <w:br/>
            </w:r>
            <w:r>
              <w:rPr>
                <w:rFonts w:ascii="宋体" w:hAnsi="宋体" w:cs="宋体" w:eastAsia="宋体"/>
                <w:sz w:val="22"/>
                <w:color w:val="000000"/>
              </w:rPr>
              <w:t>3、动物物种信息：</w:t>
            </w:r>
            <w:r>
              <w:br/>
            </w:r>
            <w:r>
              <w:rPr>
                <w:rFonts w:ascii="宋体" w:hAnsi="宋体" w:cs="宋体" w:eastAsia="宋体"/>
                <w:sz w:val="22"/>
                <w:color w:val="000000"/>
              </w:rPr>
              <w:t>（</w:t>
            </w:r>
            <w:r>
              <w:rPr>
                <w:rFonts w:ascii="宋体" w:hAnsi="宋体" w:cs="宋体" w:eastAsia="宋体"/>
                <w:sz w:val="22"/>
                <w:color w:val="000000"/>
              </w:rPr>
              <w:t>1） 化石信息：≥9种</w:t>
            </w:r>
            <w:r>
              <w:br/>
            </w:r>
            <w:r>
              <w:rPr>
                <w:rFonts w:ascii="宋体" w:hAnsi="宋体" w:cs="宋体" w:eastAsia="宋体"/>
                <w:sz w:val="22"/>
                <w:color w:val="000000"/>
              </w:rPr>
              <w:t>（</w:t>
            </w:r>
            <w:r>
              <w:rPr>
                <w:rFonts w:ascii="宋体" w:hAnsi="宋体" w:cs="宋体" w:eastAsia="宋体"/>
                <w:sz w:val="22"/>
                <w:color w:val="000000"/>
              </w:rPr>
              <w:t>2） 结构标本信息：≥10种</w:t>
            </w:r>
            <w:r>
              <w:br/>
            </w:r>
            <w:r>
              <w:rPr>
                <w:rFonts w:ascii="宋体" w:hAnsi="宋体" w:cs="宋体" w:eastAsia="宋体"/>
                <w:sz w:val="22"/>
                <w:color w:val="000000"/>
              </w:rPr>
              <w:t>（</w:t>
            </w:r>
            <w:r>
              <w:rPr>
                <w:rFonts w:ascii="宋体" w:hAnsi="宋体" w:cs="宋体" w:eastAsia="宋体"/>
                <w:sz w:val="22"/>
                <w:color w:val="000000"/>
              </w:rPr>
              <w:t>3） 生命进化物种信息：≥8种</w:t>
            </w:r>
            <w:r>
              <w:br/>
            </w:r>
            <w:r>
              <w:rPr>
                <w:rFonts w:ascii="宋体" w:hAnsi="宋体" w:cs="宋体" w:eastAsia="宋体"/>
                <w:sz w:val="22"/>
                <w:color w:val="000000"/>
              </w:rPr>
              <w:t>（</w:t>
            </w:r>
            <w:r>
              <w:rPr>
                <w:rFonts w:ascii="宋体" w:hAnsi="宋体" w:cs="宋体" w:eastAsia="宋体"/>
                <w:sz w:val="22"/>
                <w:color w:val="000000"/>
              </w:rPr>
              <w:t>4） 螺贝物种信息≥60种</w:t>
            </w:r>
            <w:r>
              <w:br/>
            </w:r>
            <w:r>
              <w:rPr>
                <w:rFonts w:ascii="宋体" w:hAnsi="宋体" w:cs="宋体" w:eastAsia="宋体"/>
                <w:sz w:val="22"/>
                <w:color w:val="000000"/>
              </w:rPr>
              <w:t>（</w:t>
            </w:r>
            <w:r>
              <w:rPr>
                <w:rFonts w:ascii="宋体" w:hAnsi="宋体" w:cs="宋体" w:eastAsia="宋体"/>
                <w:sz w:val="22"/>
                <w:color w:val="000000"/>
              </w:rPr>
              <w:t>5） 浸制标本物种信息≥50种</w:t>
            </w:r>
            <w:r>
              <w:br/>
            </w:r>
            <w:r>
              <w:rPr>
                <w:rFonts w:ascii="宋体" w:hAnsi="宋体" w:cs="宋体" w:eastAsia="宋体"/>
                <w:sz w:val="22"/>
                <w:color w:val="000000"/>
              </w:rPr>
              <w:t>（</w:t>
            </w:r>
            <w:r>
              <w:rPr>
                <w:rFonts w:ascii="宋体" w:hAnsi="宋体" w:cs="宋体" w:eastAsia="宋体"/>
                <w:sz w:val="22"/>
                <w:color w:val="000000"/>
              </w:rPr>
              <w:t>6） 馆藏物种信息≥100种</w:t>
            </w:r>
            <w:r>
              <w:br/>
            </w:r>
            <w:r>
              <w:rPr>
                <w:rFonts w:ascii="宋体" w:hAnsi="宋体" w:cs="宋体" w:eastAsia="宋体"/>
                <w:sz w:val="22"/>
                <w:color w:val="000000"/>
              </w:rPr>
              <w:t>（</w:t>
            </w:r>
            <w:r>
              <w:rPr>
                <w:rFonts w:ascii="宋体" w:hAnsi="宋体" w:cs="宋体" w:eastAsia="宋体"/>
                <w:sz w:val="22"/>
                <w:color w:val="000000"/>
              </w:rPr>
              <w:t>7） 特色养殖标本信息≥5种</w:t>
            </w:r>
            <w:r>
              <w:br/>
            </w:r>
            <w:r>
              <w:rPr>
                <w:rFonts w:ascii="宋体" w:hAnsi="宋体" w:cs="宋体" w:eastAsia="宋体"/>
                <w:sz w:val="22"/>
                <w:color w:val="000000"/>
              </w:rPr>
              <w:t xml:space="preserve"> </w:t>
            </w:r>
            <w:r>
              <w:rPr>
                <w:rFonts w:ascii="宋体" w:hAnsi="宋体" w:cs="宋体" w:eastAsia="宋体"/>
                <w:sz w:val="22"/>
                <w:color w:val="000000"/>
              </w:rPr>
              <w:t>(8)  ★提供《教育标本网站系统》软件著作权证书复印件。</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套</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评审项目</w:t>
            </w:r>
            <w:r>
              <w:rPr>
                <w:rFonts w:ascii="宋体" w:hAnsi="宋体" w:cs="宋体" w:eastAsia="宋体"/>
                <w:sz w:val="21"/>
                <w:b/>
                <w:color w:val="000000"/>
              </w:rPr>
              <w:t>43，不含（</w:t>
            </w:r>
            <w:r>
              <w:rPr>
                <w:rFonts w:ascii="宋体" w:hAnsi="宋体" w:cs="宋体" w:eastAsia="宋体"/>
                <w:sz w:val="21"/>
                <w:b/>
                <w:color w:val="000000"/>
              </w:rPr>
              <w:t>8</w:t>
            </w:r>
            <w:r>
              <w:rPr>
                <w:rFonts w:ascii="宋体" w:hAnsi="宋体" w:cs="宋体" w:eastAsia="宋体"/>
                <w:sz w:val="21"/>
                <w:b/>
                <w:color w:val="000000"/>
              </w:rPr>
              <w:t>）</w:t>
            </w:r>
          </w:p>
        </w:tc>
      </w:tr>
    </w:tbl>
    <w:p>
      <w:pPr>
        <w:pStyle w:val="null3"/>
        <w:jc w:val="both"/>
        <w:outlineLvl w:val="2"/>
      </w:pPr>
      <w:r>
        <w:rPr>
          <w:sz w:val="28"/>
          <w:b/>
        </w:rPr>
        <w:t>三、商务要求（以“★”标示的内容为不允许负偏离的实质性要求）</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pPr>
              <w:pStyle w:val="null3"/>
              <w:jc w:val="both"/>
            </w:pPr>
            <w:r>
              <w:rPr/>
              <w:t>★</w:t>
            </w:r>
          </w:p>
        </w:tc>
        <w:tc>
          <w:tcPr>
            <w:tcW w:type="dxa" w:w="2076"/>
          </w:tcPr>
          <w:p>
            <w:pPr>
              <w:pStyle w:val="null3"/>
              <w:jc w:val="both"/>
            </w:pPr>
            <w:r>
              <w:rPr/>
              <w:t>交货时间</w:t>
            </w:r>
          </w:p>
        </w:tc>
        <w:tc>
          <w:tcPr>
            <w:tcW w:type="dxa" w:w="2076"/>
          </w:tcPr>
          <w:p>
            <w:pPr>
              <w:pStyle w:val="null3"/>
              <w:jc w:val="both"/>
            </w:pPr>
            <w:r>
              <w:rPr/>
              <w:t>自合同签订之日起60日</w:t>
            </w:r>
          </w:p>
        </w:tc>
      </w:tr>
      <w:tr>
        <w:tc>
          <w:tcPr>
            <w:tcW w:type="dxa" w:w="2076"/>
          </w:tcPr>
          <w:p>
            <w:pPr>
              <w:pStyle w:val="null3"/>
              <w:jc w:val="both"/>
            </w:pPr>
            <w:r>
              <w:rPr/>
              <w:t>2</w:t>
            </w:r>
          </w:p>
        </w:tc>
        <w:tc>
          <w:tcPr>
            <w:tcW w:type="dxa" w:w="2076"/>
          </w:tcPr>
          <w:p>
            <w:pPr>
              <w:pStyle w:val="null3"/>
              <w:jc w:val="both"/>
            </w:pPr>
            <w:r>
              <w:rPr/>
              <w:t>★</w:t>
            </w:r>
          </w:p>
        </w:tc>
        <w:tc>
          <w:tcPr>
            <w:tcW w:type="dxa" w:w="2076"/>
          </w:tcPr>
          <w:p>
            <w:pPr>
              <w:pStyle w:val="null3"/>
              <w:jc w:val="both"/>
            </w:pPr>
            <w:r>
              <w:rPr/>
              <w:t>交货地点</w:t>
            </w:r>
          </w:p>
        </w:tc>
        <w:tc>
          <w:tcPr>
            <w:tcW w:type="dxa" w:w="2076"/>
          </w:tcPr>
          <w:p>
            <w:pPr>
              <w:pStyle w:val="null3"/>
              <w:jc w:val="both"/>
            </w:pPr>
            <w:r>
              <w:rPr/>
              <w:t>采购人指定地点</w:t>
            </w:r>
          </w:p>
        </w:tc>
      </w:tr>
      <w:tr>
        <w:tc>
          <w:tcPr>
            <w:tcW w:type="dxa" w:w="2076"/>
          </w:tcPr>
          <w:p>
            <w:pPr>
              <w:pStyle w:val="null3"/>
              <w:jc w:val="both"/>
            </w:pPr>
            <w:r>
              <w:rPr/>
              <w:t>3</w:t>
            </w:r>
          </w:p>
        </w:tc>
        <w:tc>
          <w:tcPr>
            <w:tcW w:type="dxa" w:w="2076"/>
          </w:tcPr>
          <w:p>
            <w:pPr>
              <w:pStyle w:val="null3"/>
              <w:jc w:val="both"/>
            </w:pPr>
            <w:r>
              <w:rPr/>
              <w:t>★</w:t>
            </w:r>
          </w:p>
        </w:tc>
        <w:tc>
          <w:tcPr>
            <w:tcW w:type="dxa" w:w="2076"/>
          </w:tcPr>
          <w:p>
            <w:pPr>
              <w:pStyle w:val="null3"/>
              <w:jc w:val="both"/>
            </w:pPr>
            <w:r>
              <w:rPr/>
              <w:t>交货条件</w:t>
            </w:r>
          </w:p>
        </w:tc>
        <w:tc>
          <w:tcPr>
            <w:tcW w:type="dxa" w:w="2076"/>
          </w:tcPr>
          <w:p>
            <w:pPr>
              <w:pStyle w:val="null3"/>
              <w:jc w:val="both"/>
            </w:pPr>
            <w:r>
              <w:rPr/>
              <w:t>验收合格</w:t>
            </w:r>
          </w:p>
        </w:tc>
      </w:tr>
      <w:tr>
        <w:tc>
          <w:tcPr>
            <w:tcW w:type="dxa" w:w="2076"/>
          </w:tcPr>
          <w:p>
            <w:pPr>
              <w:pStyle w:val="null3"/>
              <w:jc w:val="both"/>
            </w:pPr>
            <w:r>
              <w:rPr/>
              <w:t>4</w:t>
            </w:r>
          </w:p>
        </w:tc>
        <w:tc>
          <w:tcPr>
            <w:tcW w:type="dxa" w:w="2076"/>
          </w:tcPr>
          <w:p>
            <w:pPr>
              <w:pStyle w:val="null3"/>
              <w:jc w:val="both"/>
            </w:pPr>
            <w:r>
              <w:rPr/>
              <w:t>★</w:t>
            </w: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pPr>
              <w:pStyle w:val="null3"/>
              <w:jc w:val="both"/>
            </w:pPr>
            <w:r>
              <w:rPr/>
              <w:t>★</w:t>
            </w:r>
          </w:p>
        </w:tc>
        <w:tc>
          <w:tcPr>
            <w:tcW w:type="dxa" w:w="2076"/>
          </w:tcPr>
          <w:p>
            <w:pPr>
              <w:pStyle w:val="null3"/>
              <w:jc w:val="both"/>
            </w:pPr>
            <w:r>
              <w:rPr/>
              <w:t>履约验收方式</w:t>
            </w:r>
          </w:p>
        </w:tc>
        <w:tc>
          <w:tcPr>
            <w:tcW w:type="dxa" w:w="2076"/>
          </w:tcPr>
          <w:p>
            <w:pPr>
              <w:pStyle w:val="null3"/>
              <w:jc w:val="both"/>
            </w:pPr>
            <w:r>
              <w:rPr/>
              <w:t>1、期次1，说明：根据采购文件、成交供应商响应文件及合同要求执行</w:t>
            </w:r>
          </w:p>
        </w:tc>
      </w:tr>
      <w:tr>
        <w:tc>
          <w:tcPr>
            <w:tcW w:type="dxa" w:w="2076"/>
          </w:tcPr>
          <w:p>
            <w:pPr>
              <w:pStyle w:val="null3"/>
              <w:jc w:val="both"/>
            </w:pPr>
            <w:r>
              <w:rPr/>
              <w:t>6</w:t>
            </w:r>
          </w:p>
        </w:tc>
        <w:tc>
          <w:tcPr>
            <w:tcW w:type="dxa" w:w="2076"/>
          </w:tcPr>
          <w:p>
            <w:pPr>
              <w:pStyle w:val="null3"/>
              <w:jc w:val="both"/>
            </w:pPr>
            <w:r>
              <w:rPr/>
              <w:t>★</w:t>
            </w:r>
          </w:p>
        </w:tc>
        <w:tc>
          <w:tcPr>
            <w:tcW w:type="dxa" w:w="2076"/>
          </w:tcPr>
          <w:p>
            <w:pPr>
              <w:pStyle w:val="null3"/>
              <w:jc w:val="both"/>
            </w:pPr>
            <w:r>
              <w:rPr/>
              <w:t>合同支付方式</w:t>
            </w:r>
          </w:p>
        </w:tc>
        <w:tc>
          <w:tcPr>
            <w:tcW w:type="dxa" w:w="2076"/>
          </w:tcPr>
          <w:p>
            <w:pPr>
              <w:pStyle w:val="null3"/>
              <w:jc w:val="both"/>
            </w:pPr>
            <w:r>
              <w:rPr/>
              <w:t>1、验收合格后，达到付款条件起7日内，支付合同总金额的100.00%</w:t>
            </w:r>
          </w:p>
        </w:tc>
      </w:tr>
      <w:tr>
        <w:tc>
          <w:tcPr>
            <w:tcW w:type="dxa" w:w="2076"/>
          </w:tcPr>
          <w:p>
            <w:pPr>
              <w:pStyle w:val="null3"/>
              <w:jc w:val="both"/>
            </w:pPr>
            <w:r>
              <w:rPr/>
              <w:t>7</w:t>
            </w:r>
          </w:p>
        </w:tc>
        <w:tc>
          <w:tcPr>
            <w:tcW w:type="dxa" w:w="2076"/>
          </w:tcPr>
          <w:p>
            <w:pPr>
              <w:pStyle w:val="null3"/>
              <w:jc w:val="both"/>
            </w:pPr>
            <w:r>
              <w:rPr/>
              <w:t>★</w:t>
            </w:r>
          </w:p>
        </w:tc>
        <w:tc>
          <w:tcPr>
            <w:tcW w:type="dxa" w:w="2076"/>
          </w:tcPr>
          <w:p>
            <w:pPr>
              <w:pStyle w:val="null3"/>
              <w:jc w:val="both"/>
            </w:pPr>
            <w:r>
              <w:rPr/>
              <w:t>履约保证金</w:t>
            </w:r>
          </w:p>
        </w:tc>
        <w:tc>
          <w:tcPr>
            <w:tcW w:type="dxa" w:w="2076"/>
          </w:tcPr>
          <w:p>
            <w:pPr>
              <w:pStyle w:val="null3"/>
              <w:jc w:val="both"/>
            </w:pPr>
            <w:r>
              <w:rPr/>
              <w:t>不缴纳</w:t>
            </w:r>
          </w:p>
        </w:tc>
      </w:tr>
    </w:tbl>
    <w:p>
      <w:pPr>
        <w:pStyle w:val="null3"/>
        <w:jc w:val="left"/>
      </w:pPr>
      <w:r>
        <w:rPr/>
        <w:t>其他商务要求</w:t>
      </w:r>
    </w:p>
    <w:p>
      <w:pPr>
        <w:pStyle w:val="null3"/>
        <w:ind w:firstLine="480"/>
        <w:jc w:val="left"/>
      </w:pPr>
      <w:r>
        <w:rPr>
          <w:rFonts w:ascii="宋体" w:hAnsi="宋体" w:cs="宋体" w:eastAsia="宋体"/>
          <w:sz w:val="21"/>
          <w:b/>
        </w:rPr>
        <w:t>8.安装和调试</w:t>
      </w:r>
    </w:p>
    <w:p>
      <w:pPr>
        <w:pStyle w:val="null3"/>
        <w:ind w:firstLine="384"/>
        <w:jc w:val="both"/>
      </w:pPr>
      <w:r>
        <w:rPr>
          <w:rFonts w:ascii="宋体" w:hAnsi="宋体" w:cs="宋体" w:eastAsia="宋体"/>
          <w:sz w:val="21"/>
        </w:rPr>
        <w:t>8.1.由中标人负责将货物按签订合同的具体数量、具体地点运送到最终目的地，中标人负责派技术人员到现场进行安装、调试，并负责调试至验收合格交付采购人使用。</w:t>
      </w:r>
    </w:p>
    <w:p>
      <w:pPr>
        <w:pStyle w:val="null3"/>
        <w:ind w:firstLine="384"/>
        <w:jc w:val="both"/>
      </w:pPr>
      <w:r>
        <w:rPr>
          <w:rFonts w:ascii="宋体" w:hAnsi="宋体" w:cs="宋体" w:eastAsia="宋体"/>
          <w:sz w:val="21"/>
        </w:rPr>
        <w:t>8.2货物包装必须与运输方式相适应，包装方式的确定及包装费用均由中标人负责；由于不适当的包装而造成货物在运输过程中有任何损坏由中标人负责。</w:t>
      </w:r>
    </w:p>
    <w:p>
      <w:pPr>
        <w:pStyle w:val="null3"/>
        <w:ind w:firstLine="384"/>
        <w:jc w:val="both"/>
      </w:pPr>
      <w:r>
        <w:rPr>
          <w:rFonts w:ascii="宋体" w:hAnsi="宋体" w:cs="宋体" w:eastAsia="宋体"/>
          <w:sz w:val="21"/>
        </w:rPr>
        <w:t>8.3货物包装应足以承受整个过程中的运输、转运、装卸、储存等，充分考虑到运输途中的各种情况（如暴露于恶劣气候等）和当地的气候特点，以及露天存放的需要。</w:t>
      </w:r>
    </w:p>
    <w:p>
      <w:pPr>
        <w:pStyle w:val="null3"/>
        <w:ind w:firstLine="384"/>
        <w:jc w:val="both"/>
      </w:pPr>
      <w:r>
        <w:rPr>
          <w:rFonts w:ascii="宋体" w:hAnsi="宋体" w:cs="宋体" w:eastAsia="宋体"/>
          <w:sz w:val="21"/>
        </w:rPr>
        <w:t>8.4中标人负责组织专业技术人员进行货物调试时，采购人应提供必须的基本条件和专人配合，保证各项安装工作顺利进行。</w:t>
      </w:r>
    </w:p>
    <w:p>
      <w:pPr>
        <w:pStyle w:val="null3"/>
        <w:ind w:firstLine="384"/>
        <w:jc w:val="both"/>
      </w:pPr>
      <w:r>
        <w:rPr>
          <w:rFonts w:ascii="宋体" w:hAnsi="宋体" w:cs="宋体" w:eastAsia="宋体"/>
          <w:sz w:val="21"/>
        </w:rPr>
        <w:t>8.5中标人应结合验收检验的不同阶段，免费对采购人使用人员的操作、维修、保养等方面进行现场培训，直至能独立操作；培训所需费用由中标人承担。</w:t>
      </w:r>
    </w:p>
    <w:p>
      <w:pPr>
        <w:pStyle w:val="null3"/>
        <w:ind w:firstLine="384"/>
        <w:jc w:val="both"/>
      </w:pPr>
      <w:r>
        <w:rPr>
          <w:rFonts w:ascii="宋体" w:hAnsi="宋体" w:cs="宋体" w:eastAsia="宋体"/>
          <w:sz w:val="21"/>
          <w:b/>
        </w:rPr>
        <w:t>9.质保期和售后服务要求</w:t>
      </w:r>
    </w:p>
    <w:p>
      <w:pPr>
        <w:pStyle w:val="null3"/>
        <w:ind w:firstLine="384"/>
        <w:jc w:val="both"/>
      </w:pPr>
      <w:r>
        <w:rPr>
          <w:rFonts w:ascii="宋体" w:hAnsi="宋体" w:cs="宋体" w:eastAsia="宋体"/>
          <w:sz w:val="21"/>
        </w:rPr>
        <w:t>9.1中标人须提供自最终验收合格之日起至少为一年的免费质保期及免费上门保修服务，终身维护服务。质保期内非因操作不当造成需要更换的零配件及设备由投标人负责包修、包换。</w:t>
      </w:r>
    </w:p>
    <w:p>
      <w:pPr>
        <w:pStyle w:val="null3"/>
        <w:ind w:firstLine="384"/>
        <w:jc w:val="both"/>
      </w:pPr>
      <w:r>
        <w:rPr>
          <w:rFonts w:ascii="宋体" w:hAnsi="宋体" w:cs="宋体" w:eastAsia="宋体"/>
          <w:sz w:val="21"/>
        </w:rPr>
        <w:t>9.2在质量保证期内货物运行发生故障时中标人在接到采购人故障电话通知后1小时内电话响应，4小时内到达用户现场进行货物故障的维修。如48小时内不能排除故障，中标人应负责提供相同型号的替代设备，其费用由中标人承担。</w:t>
      </w:r>
    </w:p>
    <w:p>
      <w:pPr>
        <w:pStyle w:val="null3"/>
        <w:ind w:firstLine="384"/>
        <w:jc w:val="both"/>
      </w:pPr>
      <w:r>
        <w:rPr>
          <w:rFonts w:ascii="宋体" w:hAnsi="宋体" w:cs="宋体" w:eastAsia="宋体"/>
          <w:sz w:val="21"/>
        </w:rPr>
        <w:t>9.3质保期后，中标人应提供或指定维护机构对货物进行定期维护和修理，能在采购人提出问题后一日内给予答复，并在一周内派人到现场进行货物故障的维修。</w:t>
      </w:r>
    </w:p>
    <w:p>
      <w:pPr>
        <w:pStyle w:val="null3"/>
        <w:ind w:firstLine="384"/>
        <w:jc w:val="both"/>
      </w:pPr>
      <w:r>
        <w:rPr>
          <w:rFonts w:ascii="宋体" w:hAnsi="宋体" w:cs="宋体" w:eastAsia="宋体"/>
          <w:sz w:val="21"/>
        </w:rPr>
        <w:t>9.4质保期后，中标人仍应负责提供终身维修服务，对货物在必要时进行定期维护和修理，更换配件时只能收取配件的成本费。</w:t>
      </w:r>
    </w:p>
    <w:p>
      <w:pPr>
        <w:pStyle w:val="null3"/>
        <w:ind w:firstLine="384"/>
        <w:jc w:val="both"/>
      </w:pPr>
      <w:r>
        <w:rPr>
          <w:rFonts w:ascii="宋体" w:hAnsi="宋体" w:cs="宋体" w:eastAsia="宋体"/>
          <w:sz w:val="21"/>
          <w:b/>
        </w:rPr>
        <w:t>10.货物的检验、验收</w:t>
      </w:r>
    </w:p>
    <w:p>
      <w:pPr>
        <w:pStyle w:val="null3"/>
        <w:ind w:firstLine="384"/>
        <w:jc w:val="both"/>
      </w:pPr>
      <w:r>
        <w:rPr>
          <w:rFonts w:ascii="宋体" w:hAnsi="宋体" w:cs="宋体" w:eastAsia="宋体"/>
          <w:sz w:val="21"/>
        </w:rPr>
        <w:t>10.1检验依据：货物的验收标准、制造标准、安装标准及技术规范等有关资料，应符合设备制造厂商的产品验收标准、相应的国家标准及设备出厂标准。中标人所供产品在噪音、废气排放等应符合国家有关环保标准。</w:t>
      </w:r>
    </w:p>
    <w:p>
      <w:pPr>
        <w:pStyle w:val="null3"/>
        <w:ind w:firstLine="384"/>
        <w:jc w:val="both"/>
      </w:pPr>
      <w:r>
        <w:rPr>
          <w:rFonts w:ascii="宋体" w:hAnsi="宋体" w:cs="宋体" w:eastAsia="宋体"/>
          <w:sz w:val="21"/>
        </w:rPr>
        <w:t>10.2检验程序：货物检验分出厂检验、安装调试检验与最终验收三个阶段。</w:t>
      </w:r>
    </w:p>
    <w:p>
      <w:pPr>
        <w:pStyle w:val="null3"/>
        <w:ind w:firstLine="384"/>
        <w:jc w:val="both"/>
      </w:pPr>
      <w:r>
        <w:rPr>
          <w:rFonts w:ascii="宋体" w:hAnsi="宋体" w:cs="宋体" w:eastAsia="宋体"/>
          <w:sz w:val="21"/>
        </w:rPr>
        <w:t>10.2.1出厂检验：</w:t>
      </w:r>
    </w:p>
    <w:p>
      <w:pPr>
        <w:pStyle w:val="null3"/>
        <w:ind w:firstLine="384"/>
        <w:jc w:val="both"/>
      </w:pPr>
      <w:r>
        <w:rPr>
          <w:rFonts w:ascii="宋体" w:hAnsi="宋体" w:cs="宋体" w:eastAsia="宋体"/>
          <w:sz w:val="21"/>
        </w:rPr>
        <w:t>中标人在本合同货物交付给合同签订单位后，必须向合同签订单位提交《产品质量合格证》。</w:t>
      </w:r>
    </w:p>
    <w:p>
      <w:pPr>
        <w:pStyle w:val="null3"/>
        <w:ind w:firstLine="384"/>
        <w:jc w:val="both"/>
      </w:pPr>
      <w:r>
        <w:rPr>
          <w:rFonts w:ascii="宋体" w:hAnsi="宋体" w:cs="宋体" w:eastAsia="宋体"/>
          <w:sz w:val="21"/>
        </w:rPr>
        <w:t>10.2.2验收标准和验收程序</w:t>
      </w:r>
    </w:p>
    <w:p>
      <w:pPr>
        <w:pStyle w:val="null3"/>
        <w:ind w:firstLine="384"/>
        <w:jc w:val="both"/>
      </w:pPr>
      <w:r>
        <w:rPr>
          <w:rFonts w:ascii="宋体" w:hAnsi="宋体" w:cs="宋体" w:eastAsia="宋体"/>
          <w:sz w:val="21"/>
        </w:rPr>
        <w:t>(1)验收标准</w:t>
      </w:r>
    </w:p>
    <w:p>
      <w:pPr>
        <w:pStyle w:val="null3"/>
        <w:ind w:firstLine="384"/>
        <w:jc w:val="both"/>
      </w:pPr>
      <w:r>
        <w:rPr>
          <w:rFonts w:ascii="宋体" w:hAnsi="宋体" w:cs="宋体" w:eastAsia="宋体"/>
          <w:sz w:val="21"/>
        </w:rPr>
        <w:t>设备按厂家产品验收标准、询价文件要求以及合同中的相关条款进行验收，如有矛盾，以其中最高要求为准。产品质量达到设计要求，安装调试各项指标符合技术参数。</w:t>
      </w:r>
    </w:p>
    <w:p>
      <w:pPr>
        <w:pStyle w:val="null3"/>
        <w:ind w:firstLine="384"/>
        <w:jc w:val="both"/>
      </w:pPr>
      <w:r>
        <w:rPr>
          <w:rFonts w:ascii="宋体" w:hAnsi="宋体" w:cs="宋体" w:eastAsia="宋体"/>
          <w:sz w:val="21"/>
        </w:rPr>
        <w:t>(2)验收程序：货物验收分中标人出厂检验及最终验收二个阶段。</w:t>
      </w:r>
    </w:p>
    <w:p>
      <w:pPr>
        <w:pStyle w:val="null3"/>
        <w:ind w:firstLine="384"/>
        <w:jc w:val="both"/>
      </w:pPr>
      <w:r>
        <w:rPr>
          <w:rFonts w:ascii="宋体" w:hAnsi="宋体" w:cs="宋体" w:eastAsia="宋体"/>
          <w:sz w:val="21"/>
        </w:rPr>
        <w:t>a.出厂检验</w:t>
      </w:r>
    </w:p>
    <w:p>
      <w:pPr>
        <w:pStyle w:val="null3"/>
        <w:ind w:firstLine="384"/>
        <w:jc w:val="both"/>
      </w:pPr>
      <w:r>
        <w:rPr>
          <w:rFonts w:ascii="宋体" w:hAnsi="宋体" w:cs="宋体" w:eastAsia="宋体"/>
          <w:sz w:val="21"/>
        </w:rPr>
        <w:t>中标人在货物出厂前，应按产品技术标准规定的检验项目和试验方法进行全面检验，中标人应随同货物提供出厂检验报告、产品质量合格证。</w:t>
      </w:r>
    </w:p>
    <w:p>
      <w:pPr>
        <w:pStyle w:val="null3"/>
        <w:ind w:firstLine="384"/>
        <w:jc w:val="both"/>
      </w:pPr>
      <w:r>
        <w:rPr>
          <w:rFonts w:ascii="宋体" w:hAnsi="宋体" w:cs="宋体" w:eastAsia="宋体"/>
          <w:sz w:val="21"/>
        </w:rPr>
        <w:t>b.最终验收：设备安装、调试结束后，由中标人负责并会同采购人及有关部门或专家按本项第(1)款规定的验收标准要求进行最终验收。</w:t>
      </w:r>
    </w:p>
    <w:p>
      <w:pPr>
        <w:pStyle w:val="null3"/>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（1）采购包1样品规定 样品一：大白蛙螺。 样品二：褐带鹑螺。1.1投标人提供的样品将作为本次评审小组的评审依据。要求投标人所提供的样品符合本次招标文件的技术参数要求，若投标人未提供样品或样品提供不齐全或提供的样品不符合招标文件要求，均按无效投标处理。 1.2样品递交时间：投标人的样品应在递交投标文件截止时间（开标）前一个工作日下午15:00前送达招标代理机构，逾期未送达的样品不予接受。 1.3样品和包装均不得标明投标人名称等一切可以明确投标人身份的标记标识，样品在评审阶段提供给评审小组作为样品评审依据。评审小组有权对样品进行物理破坏性审查，以便评定样品是否符合规定，由此可能造成的损坏由投标人自行承担。 1.4样品退还安排：中标人样品须交由采购人封存保留作为验收样本，未中标投标人提供的样品在开标结束后由代理机构电话通知自行领取，逾期未领取所造成的损失由投标人自行负责。 （2）★投标人所投产品应完全满足用户采购需求内容各项指标，为保证项目的顺利推进，结果公示三个日历日内，中标供应商需提供技术参数中要求提供的检测报告原件及采购人随机抽取的产品进行核实，未能提供检测报告原件和产品，或与招标文件技术要求参数不一致的将上报监督管理部门，取消其中标资格。投标人在投标文件中需提供承诺函，格式自拟。 （3）投标人所投货物若在中国国家认证认可监督管理委员会(http://www.cnca.gov.cn)的《强制性产品认证目录描述与界定表》范畴内(包括3C、节能、信息安全产品等)，必须在投标文件中提供有效证书复印件或提供所投产品满足国家强制性要求(或认证)的承诺函，并对其真实性负责，承诺函格式自拟，否则投标无效。</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outlineLvl w:val="0"/>
      </w:pPr>
      <w:r>
        <w:rPr>
          <w:sz w:val="48"/>
          <w:b/>
        </w:rPr>
        <w:t xml:space="preserve"> 政府采购货物买卖合同</w:t>
      </w:r>
    </w:p>
    <w:p>
      <w:pPr>
        <w:pStyle w:val="null3"/>
        <w:jc w:val="center"/>
        <w:outlineLvl w:val="0"/>
      </w:pPr>
      <w:r>
        <w:rPr>
          <w:sz w:val="48"/>
          <w:b/>
        </w:rPr>
        <w:t>（试行）</w:t>
      </w:r>
    </w:p>
    <w:p>
      <w:pPr>
        <w:pStyle w:val="null3"/>
        <w:jc w:val="left"/>
      </w:pPr>
      <w:r>
        <w:rPr>
          <w:sz w:val="31"/>
          <w:b/>
        </w:rPr>
        <w:t xml:space="preserve">项目名称： </w:t>
      </w:r>
      <w:r>
        <w:rPr>
          <w:sz w:val="31"/>
          <w:b/>
        </w:rPr>
        <w:t>__________________________</w:t>
      </w:r>
    </w:p>
    <w:p>
      <w:pPr>
        <w:pStyle w:val="null3"/>
        <w:jc w:val="left"/>
      </w:pPr>
      <w:r>
        <w:rPr>
          <w:sz w:val="31"/>
          <w:b/>
        </w:rPr>
        <w:t>合同编号：</w:t>
      </w:r>
      <w:r>
        <w:rPr>
          <w:sz w:val="31"/>
          <w:b/>
        </w:rPr>
        <w:t xml:space="preserve"> __________________________</w:t>
      </w:r>
    </w:p>
    <w:p>
      <w:pPr>
        <w:pStyle w:val="null3"/>
        <w:jc w:val="left"/>
      </w:pPr>
      <w:r>
        <w:rPr>
          <w:sz w:val="31"/>
          <w:b/>
        </w:rPr>
        <w:t xml:space="preserve">甲   方： </w:t>
      </w:r>
      <w:r>
        <w:rPr>
          <w:sz w:val="31"/>
          <w:b/>
        </w:rPr>
        <w:t>__________________________</w:t>
      </w:r>
    </w:p>
    <w:p>
      <w:pPr>
        <w:pStyle w:val="null3"/>
        <w:jc w:val="left"/>
      </w:pPr>
      <w:r>
        <w:rPr>
          <w:sz w:val="31"/>
          <w:b/>
        </w:rPr>
        <w:t>乙   方：</w:t>
      </w:r>
      <w:r>
        <w:rPr>
          <w:sz w:val="31"/>
          <w:b/>
        </w:rPr>
        <w:t>__________________________</w:t>
      </w:r>
    </w:p>
    <w:p>
      <w:pPr>
        <w:pStyle w:val="null3"/>
        <w:jc w:val="left"/>
      </w:pPr>
      <w:r>
        <w:rPr>
          <w:sz w:val="31"/>
          <w:b/>
        </w:rPr>
        <w:t>签订时间：</w:t>
      </w:r>
      <w:r>
        <w:rPr>
          <w:sz w:val="31"/>
          <w:b/>
        </w:rPr>
        <w:t xml:space="preserve"> __________________________</w:t>
      </w:r>
    </w:p>
    <w:p>
      <w:pPr>
        <w:pStyle w:val="null3"/>
        <w:jc w:val="left"/>
      </w:pPr>
      <w:r>
        <w:rPr/>
        <w:t xml:space="preserve"> </w:t>
      </w:r>
    </w:p>
    <w:p>
      <w:pPr>
        <w:pStyle w:val="null3"/>
        <w:jc w:val="center"/>
        <w:outlineLvl w:val="1"/>
      </w:pPr>
      <w:r>
        <w:rPr>
          <w:sz w:val="36"/>
          <w:b/>
        </w:rPr>
        <w:t>使用说明</w:t>
      </w:r>
    </w:p>
    <w:p>
      <w:pPr>
        <w:pStyle w:val="null3"/>
        <w:jc w:val="left"/>
        <w:outlineLvl w:val="3"/>
      </w:pPr>
      <w:r>
        <w:rPr>
          <w:sz w:val="24"/>
          <w:b/>
        </w:rPr>
        <w:t>1.本合同标准文本适用于购买现成货物的采购项目，不包括需要供应商定制开发、创新研发的货物采购项目。</w:t>
      </w:r>
    </w:p>
    <w:p>
      <w:pPr>
        <w:pStyle w:val="null3"/>
        <w:jc w:val="left"/>
        <w:outlineLvl w:val="3"/>
      </w:pPr>
      <w:r>
        <w:rPr>
          <w:sz w:val="24"/>
          <w:b/>
        </w:rPr>
        <w:t>2.本合同标准文本为政府采购货物买卖合同编制提供参考，可以结合采购项目具体情况，对文本作必要的调整修订后使用。</w:t>
      </w:r>
    </w:p>
    <w:p>
      <w:pPr>
        <w:pStyle w:val="null3"/>
        <w:jc w:val="left"/>
        <w:outlineLvl w:val="3"/>
      </w:pPr>
      <w:r>
        <w:rPr>
          <w:sz w:val="24"/>
          <w:b/>
        </w:rPr>
        <w:t>3.本合同标准文本各条款中，如涉及填写多家供应商、制造商，多种采购标的、分包主要内容等信息的，可根据采购项目具体情况添加信息项。</w:t>
      </w:r>
    </w:p>
    <w:p>
      <w:pPr>
        <w:pStyle w:val="null3"/>
        <w:jc w:val="center"/>
        <w:outlineLvl w:val="1"/>
      </w:pPr>
      <w:r>
        <w:rPr>
          <w:sz w:val="36"/>
          <w:b/>
        </w:rPr>
        <w:t>第一节 政府采购合同协议书</w:t>
      </w:r>
    </w:p>
    <w:p>
      <w:pPr>
        <w:pStyle w:val="null3"/>
        <w:jc w:val="left"/>
      </w:pPr>
      <w:r>
        <w:rPr/>
        <w:t>甲方（全称）：</w:t>
      </w:r>
      <w:r>
        <w:rPr/>
        <w:t>___________________________（采购人、受采购人委托签订合同的单位或采购文件约定的合同甲方）</w:t>
      </w:r>
    </w:p>
    <w:p>
      <w:pPr>
        <w:pStyle w:val="null3"/>
        <w:jc w:val="left"/>
      </w:pPr>
      <w:r>
        <w:rPr/>
        <w:t>乙方1（全称）：</w:t>
      </w:r>
      <w:r>
        <w:rPr/>
        <w:t>___________________________</w:t>
      </w:r>
      <w:r>
        <w:rPr/>
        <w:t>（供应商）</w:t>
      </w:r>
    </w:p>
    <w:p>
      <w:pPr>
        <w:pStyle w:val="null3"/>
        <w:jc w:val="left"/>
      </w:pPr>
      <w:r>
        <w:rPr/>
        <w:t>乙方2（全称）：</w:t>
      </w:r>
      <w:r>
        <w:rPr/>
        <w:t>___________________________</w:t>
      </w:r>
      <w:r>
        <w:rPr/>
        <w:t>（联合体成员供应商或其他合同主体）（如有）</w:t>
      </w:r>
    </w:p>
    <w:p>
      <w:pPr>
        <w:pStyle w:val="null3"/>
        <w:jc w:val="left"/>
      </w:pPr>
      <w:r>
        <w:rPr/>
        <w:t>乙方3（全称）：</w:t>
      </w:r>
      <w:r>
        <w:rPr/>
        <w:t>___________________________</w:t>
      </w:r>
      <w:r>
        <w:rPr/>
        <w:t>（联合体成员供应商或其他合同主体）（如有）</w:t>
      </w:r>
    </w:p>
    <w:p>
      <w:pPr>
        <w:pStyle w:val="null3"/>
        <w:jc w:val="left"/>
      </w:pPr>
      <w:r>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sz w:val="28"/>
          <w:b/>
        </w:rPr>
        <w:t>1.项目信息</w:t>
      </w:r>
    </w:p>
    <w:p>
      <w:pPr>
        <w:pStyle w:val="null3"/>
        <w:jc w:val="left"/>
      </w:pPr>
      <w:r>
        <w:rPr/>
        <w:t>(1)采购项目名称：</w:t>
      </w:r>
      <w:r>
        <w:rPr/>
        <w:t>___________________________</w:t>
      </w:r>
    </w:p>
    <w:p>
      <w:pPr>
        <w:pStyle w:val="null3"/>
        <w:jc w:val="left"/>
      </w:pPr>
      <w:r>
        <w:rPr/>
        <w:t xml:space="preserve"> 采购项目编号：</w:t>
      </w:r>
      <w:r>
        <w:rPr/>
        <w:t>____________________________</w:t>
      </w:r>
    </w:p>
    <w:p>
      <w:pPr>
        <w:pStyle w:val="null3"/>
        <w:jc w:val="left"/>
      </w:pPr>
      <w:r>
        <w:rPr/>
        <w:t>(2)采购计划编号：</w:t>
      </w:r>
      <w:r>
        <w:rPr/>
        <w:t>___________________________</w:t>
      </w:r>
    </w:p>
    <w:p>
      <w:pPr>
        <w:pStyle w:val="null3"/>
        <w:jc w:val="left"/>
      </w:pPr>
      <w:r>
        <w:rPr/>
        <w:t>(3)项目内容：</w:t>
      </w:r>
    </w:p>
    <w:p>
      <w:pPr>
        <w:pStyle w:val="null3"/>
        <w:jc w:val="left"/>
      </w:pPr>
      <w:r>
        <w:rPr/>
        <w:t>采购标的及数量（台/套/个/架/组等）：</w:t>
      </w:r>
      <w:r>
        <w:rPr/>
        <w:t>___________________</w:t>
      </w:r>
    </w:p>
    <w:p>
      <w:pPr>
        <w:pStyle w:val="null3"/>
        <w:jc w:val="left"/>
      </w:pPr>
      <w:r>
        <w:rPr/>
        <w:t xml:space="preserve"> 品牌： </w:t>
      </w:r>
      <w:r>
        <w:rPr/>
        <w:t>___________________</w:t>
      </w:r>
      <w:r>
        <w:rPr/>
        <w:t xml:space="preserve"> 规格型号：</w:t>
      </w:r>
      <w:r>
        <w:rPr/>
        <w:t>___________________</w:t>
      </w:r>
    </w:p>
    <w:p>
      <w:pPr>
        <w:pStyle w:val="null3"/>
        <w:jc w:val="left"/>
      </w:pPr>
      <w:r>
        <w:rPr/>
        <w:t>采购标的的技术要求、商务要求具体见附件。</w:t>
      </w:r>
    </w:p>
    <w:p>
      <w:pPr>
        <w:pStyle w:val="null3"/>
        <w:jc w:val="left"/>
      </w:pPr>
      <w:r>
        <w:rPr/>
        <w:t>①涉及信息类产品，请填写该产品关键部件的品牌、型号：</w:t>
      </w:r>
    </w:p>
    <w:p>
      <w:pPr>
        <w:pStyle w:val="null3"/>
        <w:jc w:val="left"/>
      </w:pPr>
      <w:r>
        <w:rPr/>
        <w:t xml:space="preserve">标的名称：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t>②涉及车辆采购，请填写是否属于新能源汽车：</w:t>
      </w:r>
    </w:p>
    <w:p>
      <w:pPr>
        <w:pStyle w:val="null3"/>
        <w:jc w:val="left"/>
      </w:pPr>
      <w:r>
        <w:rPr/>
        <w:t xml:space="preserve"> 是，《政府采购品目分类目录》底级品目名称：</w:t>
      </w:r>
      <w:r>
        <w:rPr/>
        <w:t>__________</w:t>
      </w:r>
      <w:r>
        <w:rPr/>
        <w:t xml:space="preserve">  数量：</w:t>
      </w:r>
      <w:r>
        <w:rPr/>
        <w:t>__________</w:t>
      </w:r>
      <w:r>
        <w:rPr/>
        <w:t xml:space="preserve">  金额：</w:t>
      </w:r>
      <w:r>
        <w:rPr/>
        <w:t>__________</w:t>
      </w:r>
    </w:p>
    <w:p>
      <w:pPr>
        <w:pStyle w:val="null3"/>
        <w:spacing w:lineRule="auto" w:line="300"/>
        <w:jc w:val="left"/>
      </w:pPr>
      <w:r>
        <w:rPr/>
        <w:t xml:space="preserve"> 否</w:t>
      </w:r>
    </w:p>
    <w:p>
      <w:pPr>
        <w:pStyle w:val="null3"/>
        <w:jc w:val="left"/>
      </w:pPr>
      <w:r>
        <w:rPr/>
        <w:t>(4)政府采购组织形式：</w:t>
      </w:r>
      <w:r>
        <w:rPr/>
        <w:t xml:space="preserve">政府集中采购 </w:t>
      </w:r>
      <w:r>
        <w:rPr/>
        <w:t xml:space="preserve">部门集中采购 </w:t>
      </w:r>
      <w:r>
        <w:rPr/>
        <w:t>分散采购</w:t>
      </w:r>
    </w:p>
    <w:p>
      <w:pPr>
        <w:pStyle w:val="null3"/>
        <w:jc w:val="left"/>
      </w:pPr>
      <w:r>
        <w:rPr/>
        <w:t>(5)政府采购方式：</w:t>
      </w:r>
      <w:r>
        <w:rPr/>
        <w:t xml:space="preserve">公开招标 </w:t>
      </w:r>
      <w:r>
        <w:rPr/>
        <w:t xml:space="preserve">邀请招标 </w:t>
      </w:r>
      <w:r>
        <w:rPr/>
        <w:t xml:space="preserve">竞争性谈判 </w:t>
      </w:r>
      <w:r>
        <w:rPr/>
        <w:t>竞争性磋商</w:t>
      </w:r>
      <w:r>
        <w:rPr/>
        <w:t xml:space="preserve">询价 </w:t>
      </w:r>
      <w:r>
        <w:rPr/>
        <w:t xml:space="preserve">单一来源 </w:t>
      </w:r>
      <w:r>
        <w:rPr/>
        <w:t xml:space="preserve">框架协议 </w:t>
      </w:r>
      <w:r>
        <w:rPr/>
        <w:t>其他：</w:t>
      </w:r>
      <w:r>
        <w:rPr/>
        <w:t>____________________</w:t>
      </w:r>
    </w:p>
    <w:p>
      <w:pPr>
        <w:pStyle w:val="null3"/>
        <w:jc w:val="left"/>
      </w:pPr>
      <w:r>
        <w:rPr/>
        <w:t>(6)中标（成交）采购标的制造商是否为中小企业：</w:t>
      </w:r>
      <w:r>
        <w:rPr/>
        <w:t>是</w:t>
      </w:r>
      <w:r>
        <w:rPr/>
        <w:t>否</w:t>
      </w:r>
    </w:p>
    <w:p>
      <w:pPr>
        <w:pStyle w:val="null3"/>
        <w:jc w:val="left"/>
      </w:pPr>
      <w:r>
        <w:rPr/>
        <w:t>本合同是否为专门面向中小企业的采购合同（中小企业预留合同）：</w:t>
      </w:r>
      <w:r>
        <w:rPr/>
        <w:t>是</w:t>
      </w:r>
      <w:r>
        <w:rPr/>
        <w:t>否</w:t>
      </w:r>
    </w:p>
    <w:p>
      <w:pPr>
        <w:pStyle w:val="null3"/>
        <w:jc w:val="left"/>
      </w:pPr>
      <w:r>
        <w:rPr/>
        <w:t>若本项目不专门面向中小企业采购，是否给予小微企业评审优惠：</w:t>
      </w:r>
      <w:r>
        <w:rPr/>
        <w:t>是</w:t>
      </w:r>
      <w:r>
        <w:rPr/>
        <w:t>否</w:t>
      </w:r>
    </w:p>
    <w:p>
      <w:pPr>
        <w:pStyle w:val="null3"/>
        <w:jc w:val="left"/>
      </w:pPr>
      <w:r>
        <w:rPr/>
        <w:t>中标（成交）采购标的制造商是否为残疾人福利性单位：</w:t>
      </w:r>
      <w:r>
        <w:rPr/>
        <w:t>是</w:t>
      </w:r>
      <w:r>
        <w:rPr/>
        <w:t>否</w:t>
      </w:r>
    </w:p>
    <w:p>
      <w:pPr>
        <w:pStyle w:val="null3"/>
        <w:jc w:val="left"/>
      </w:pPr>
      <w:r>
        <w:rPr/>
        <w:t>中标（成交）采购标的制造商是否为监狱企业：</w:t>
      </w:r>
      <w:r>
        <w:rPr/>
        <w:t>是</w:t>
      </w:r>
      <w:r>
        <w:rPr/>
        <w:t>否</w:t>
      </w:r>
    </w:p>
    <w:p>
      <w:pPr>
        <w:pStyle w:val="null3"/>
        <w:jc w:val="left"/>
      </w:pPr>
      <w:r>
        <w:rPr/>
        <w:t>(7)合同是否分包：</w:t>
      </w:r>
      <w:r>
        <w:rPr/>
        <w:t>是</w:t>
      </w:r>
      <w:r>
        <w:rPr/>
        <w:t>否</w:t>
      </w:r>
    </w:p>
    <w:p>
      <w:pPr>
        <w:pStyle w:val="null3"/>
        <w:jc w:val="left"/>
      </w:pPr>
      <w:r>
        <w:rPr/>
        <w:t>分包主要内容：</w:t>
      </w:r>
      <w:r>
        <w:rPr/>
        <w:t>________________________________________</w:t>
      </w:r>
    </w:p>
    <w:p>
      <w:pPr>
        <w:pStyle w:val="null3"/>
        <w:jc w:val="left"/>
      </w:pPr>
      <w:r>
        <w:rPr/>
        <w:t>分包供应商/制造商名称（如供应商和制造商不同，请分别填写）：</w:t>
      </w:r>
    </w:p>
    <w:p>
      <w:pPr>
        <w:pStyle w:val="null3"/>
        <w:jc w:val="left"/>
      </w:pPr>
      <w:r>
        <w:rPr/>
        <w:t>________________________________________</w:t>
      </w:r>
    </w:p>
    <w:p>
      <w:pPr>
        <w:pStyle w:val="null3"/>
        <w:jc w:val="left"/>
      </w:pPr>
      <w:r>
        <w:rPr/>
        <w:t>分包供应商/制造商类型（如果供应商和制造商不同，只填写制造商类型）：</w:t>
      </w:r>
    </w:p>
    <w:p>
      <w:pPr>
        <w:pStyle w:val="null3"/>
        <w:jc w:val="left"/>
      </w:pPr>
      <w:r>
        <w:rPr/>
        <w:t>大型企业</w:t>
      </w:r>
      <w:r>
        <w:rPr/>
        <w:t>中型企业</w:t>
      </w:r>
      <w:r>
        <w:rPr/>
        <w:t>小微型企业</w:t>
      </w:r>
    </w:p>
    <w:p>
      <w:pPr>
        <w:pStyle w:val="null3"/>
        <w:jc w:val="left"/>
      </w:pPr>
      <w:r>
        <w:rPr/>
        <w:t>残疾人福利性单位</w:t>
      </w:r>
      <w:r>
        <w:rPr/>
        <w:t>监狱企业</w:t>
      </w:r>
      <w:r>
        <w:rPr/>
        <w:t>其他</w:t>
      </w:r>
    </w:p>
    <w:p>
      <w:pPr>
        <w:pStyle w:val="null3"/>
        <w:jc w:val="left"/>
      </w:pPr>
      <w:r>
        <w:rPr/>
        <w:t>(8)中标（成交）供应商是否为外商投资企业：</w:t>
      </w:r>
      <w:r>
        <w:rPr/>
        <w:t>是</w:t>
      </w:r>
      <w:r>
        <w:rPr/>
        <w:t>否</w:t>
      </w:r>
    </w:p>
    <w:p>
      <w:pPr>
        <w:pStyle w:val="null3"/>
        <w:spacing w:lineRule="auto" w:line="300"/>
        <w:ind w:firstLine="840"/>
        <w:jc w:val="left"/>
      </w:pPr>
      <w:r>
        <w:rPr/>
        <w:t>外商投资企业类型：</w:t>
      </w:r>
      <w:r>
        <w:rPr/>
        <w:t>全部由外国投资者投资</w:t>
      </w:r>
      <w:r>
        <w:rPr/>
        <w:t>部分由外国投资者投资</w:t>
      </w:r>
    </w:p>
    <w:p>
      <w:pPr>
        <w:pStyle w:val="null3"/>
        <w:jc w:val="left"/>
      </w:pPr>
      <w:r>
        <w:rPr/>
        <w:t>（9）是否涉及进口产品：</w:t>
      </w:r>
    </w:p>
    <w:p>
      <w:pPr>
        <w:pStyle w:val="null3"/>
        <w:jc w:val="left"/>
      </w:pPr>
      <w:r>
        <w:rPr/>
        <w:t xml:space="preserve"> 是，《政府采购品目分类目录》底级品目名称：</w:t>
      </w:r>
      <w:r>
        <w:rPr/>
        <w:t>__________</w:t>
      </w:r>
      <w:r>
        <w:rPr/>
        <w:t xml:space="preserve">  金额：</w:t>
      </w:r>
      <w:r>
        <w:rPr/>
        <w:t>__________</w:t>
      </w:r>
    </w:p>
    <w:p>
      <w:pPr>
        <w:pStyle w:val="null3"/>
        <w:spacing w:lineRule="auto" w:line="300"/>
        <w:ind w:firstLine="1260"/>
        <w:jc w:val="left"/>
      </w:pPr>
      <w:r>
        <w:rPr/>
        <w:t>国别：</w:t>
      </w:r>
      <w:r>
        <w:rPr/>
        <w:t>__________</w:t>
      </w:r>
      <w:r>
        <w:rPr/>
        <w:t xml:space="preserve">  品牌：</w:t>
      </w:r>
      <w:r>
        <w:rPr/>
        <w:t>__________</w:t>
      </w:r>
      <w:r>
        <w:rPr/>
        <w:t xml:space="preserve">  规格型号</w:t>
      </w:r>
      <w:r>
        <w:rPr/>
        <w:t>__________</w:t>
      </w:r>
    </w:p>
    <w:p>
      <w:pPr>
        <w:pStyle w:val="null3"/>
        <w:spacing w:lineRule="auto" w:line="300"/>
        <w:ind w:firstLine="840"/>
        <w:jc w:val="left"/>
      </w:pPr>
      <w:r>
        <w:rPr/>
        <w:t xml:space="preserve"> 否</w:t>
      </w:r>
    </w:p>
    <w:p>
      <w:pPr>
        <w:pStyle w:val="null3"/>
        <w:jc w:val="left"/>
      </w:pPr>
      <w:r>
        <w:rPr/>
        <w:t>（10）是否涉及节能产品：</w:t>
      </w:r>
    </w:p>
    <w:p>
      <w:pPr>
        <w:pStyle w:val="null3"/>
        <w:jc w:val="left"/>
      </w:pPr>
      <w:r>
        <w:rPr/>
        <w:t xml:space="preserve"> 是，《节能产品政府采购品目清单》的底级品目名称：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是否涉及环境标志产品：</w:t>
      </w:r>
    </w:p>
    <w:p>
      <w:pPr>
        <w:pStyle w:val="null3"/>
        <w:jc w:val="left"/>
      </w:pPr>
      <w:r>
        <w:rPr/>
        <w:t xml:space="preserve"> 是，《环境标志产品政府采购品目清单》的底级品目名称：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是否涉及绿色产品：</w:t>
      </w:r>
    </w:p>
    <w:p>
      <w:pPr>
        <w:pStyle w:val="null3"/>
        <w:jc w:val="left"/>
      </w:pPr>
      <w:r>
        <w:rPr/>
        <w:t xml:space="preserve"> 是，绿色产品政府采购相关政策确定的底级品目名称：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jc w:val="left"/>
      </w:pPr>
      <w:r>
        <w:rPr/>
        <w:t xml:space="preserve"> (11)涉及商品包装和快递包装的，是否参考《商品包装政府采购需求标准（试行）》、《快递包装政府采购需求标准（试行）》明确产品及相关快递服务的具体包装要求：</w:t>
      </w:r>
    </w:p>
    <w:p>
      <w:pPr>
        <w:pStyle w:val="null3"/>
        <w:jc w:val="left"/>
      </w:pPr>
      <w:r>
        <w:rPr/>
        <w:t>是</w:t>
      </w:r>
      <w:r>
        <w:rPr/>
        <w:t xml:space="preserve">         </w:t>
      </w:r>
      <w:r>
        <w:rPr/>
        <w:t>否</w:t>
      </w:r>
      <w:r>
        <w:rPr/>
        <w:t xml:space="preserve">        </w:t>
      </w:r>
      <w:r>
        <w:rPr/>
        <w:t>不涉及</w:t>
      </w:r>
    </w:p>
    <w:p>
      <w:pPr>
        <w:pStyle w:val="null3"/>
        <w:jc w:val="left"/>
        <w:outlineLvl w:val="2"/>
      </w:pPr>
      <w:r>
        <w:rPr>
          <w:sz w:val="28"/>
          <w:b/>
        </w:rPr>
        <w:t>2.合同金额</w:t>
      </w:r>
    </w:p>
    <w:p>
      <w:pPr>
        <w:pStyle w:val="null3"/>
        <w:jc w:val="left"/>
      </w:pPr>
      <w:r>
        <w:rPr/>
        <w:t>（1）合同金额小写：</w:t>
      </w:r>
      <w:r>
        <w:rPr/>
        <w:t>____________________</w:t>
      </w:r>
    </w:p>
    <w:p>
      <w:pPr>
        <w:pStyle w:val="null3"/>
        <w:ind w:firstLine="1980"/>
        <w:jc w:val="left"/>
      </w:pPr>
      <w:r>
        <w:rPr/>
        <w:t>大写：</w:t>
      </w:r>
      <w:r>
        <w:rPr/>
        <w:t>____________________</w:t>
      </w:r>
    </w:p>
    <w:p>
      <w:pPr>
        <w:pStyle w:val="null3"/>
        <w:jc w:val="left"/>
      </w:pPr>
      <w:r>
        <w:rPr/>
        <w:t xml:space="preserve">  分包金额（如有）小写：</w:t>
      </w:r>
      <w:r>
        <w:rPr/>
        <w:t>____________________</w:t>
      </w:r>
    </w:p>
    <w:p>
      <w:pPr>
        <w:pStyle w:val="null3"/>
        <w:ind w:firstLine="2820"/>
        <w:jc w:val="left"/>
      </w:pPr>
      <w:r>
        <w:rPr/>
        <w:t>大写：</w:t>
      </w:r>
      <w:r>
        <w:rPr/>
        <w:t>____________________</w:t>
      </w:r>
    </w:p>
    <w:p>
      <w:pPr>
        <w:pStyle w:val="null3"/>
        <w:jc w:val="left"/>
      </w:pPr>
      <w:r>
        <w:rPr/>
        <w:t xml:space="preserve"> （注：固定单价合同应填写单价和最高限价）</w:t>
      </w:r>
    </w:p>
    <w:p>
      <w:pPr>
        <w:pStyle w:val="null3"/>
        <w:jc w:val="left"/>
      </w:pPr>
      <w:r>
        <w:rPr/>
        <w:t>（2）合同定价方式（采用组合定价方式的，可以勾选多项）：</w:t>
      </w:r>
    </w:p>
    <w:p>
      <w:pPr>
        <w:pStyle w:val="null3"/>
        <w:jc w:val="left"/>
      </w:pPr>
      <w:r>
        <w:rPr/>
        <w:t>固定总价</w:t>
      </w:r>
      <w:r>
        <w:rPr/>
        <w:t>固定单价</w:t>
      </w:r>
      <w:r>
        <w:rPr/>
        <w:t>成本补偿</w:t>
      </w:r>
      <w:r>
        <w:rPr/>
        <w:t>绩效激励</w:t>
      </w:r>
      <w:r>
        <w:rPr/>
        <w:t>其他</w:t>
      </w:r>
      <w:r>
        <w:rPr/>
        <w:t>__________</w:t>
      </w:r>
    </w:p>
    <w:p>
      <w:pPr>
        <w:pStyle w:val="null3"/>
        <w:jc w:val="left"/>
      </w:pPr>
      <w:r>
        <w:rPr/>
        <w:t>（3）付款方式（按项目实际勾选填写）：</w:t>
      </w:r>
    </w:p>
    <w:p>
      <w:pPr>
        <w:pStyle w:val="null3"/>
        <w:jc w:val="left"/>
      </w:pPr>
      <w:r>
        <w:rPr/>
        <w:t>全额付款：</w:t>
      </w:r>
      <w:r>
        <w:rPr/>
        <w:t>_______（应明确一次性支付合同款项的条件）_____________</w:t>
      </w:r>
    </w:p>
    <w:p>
      <w:pPr>
        <w:pStyle w:val="null3"/>
        <w:jc w:val="left"/>
      </w:pPr>
      <w:r>
        <w:rPr/>
        <w:t>分期付款：</w:t>
      </w:r>
      <w:r>
        <w:rPr/>
        <w:t>_______（应明确分期支付合同款项的各期比例和支付条件，各期支付条件应与分期履约验收情况挂钩）_____________</w:t>
      </w:r>
      <w:r>
        <w:rPr/>
        <w:t>，其中涉及预付款的：</w:t>
      </w:r>
      <w:r>
        <w:rPr/>
        <w:t>_______ （应明确预付款的支付比例和支付条件）</w:t>
      </w:r>
    </w:p>
    <w:p>
      <w:pPr>
        <w:pStyle w:val="null3"/>
        <w:jc w:val="left"/>
      </w:pPr>
      <w:r>
        <w:rPr/>
        <w:t>成本补偿：</w:t>
      </w:r>
      <w:r>
        <w:rPr/>
        <w:t>_______（应明确按照成本补偿方式的支付方式和支付条件）___________</w:t>
      </w:r>
    </w:p>
    <w:p>
      <w:pPr>
        <w:pStyle w:val="null3"/>
        <w:jc w:val="left"/>
      </w:pPr>
      <w:r>
        <w:rPr/>
        <w:t>绩效激励：</w:t>
      </w:r>
      <w:r>
        <w:rPr/>
        <w:t>_______（应明确按照绩效激励方式的支付方式和支付条件）_________</w:t>
      </w:r>
    </w:p>
    <w:p>
      <w:pPr>
        <w:pStyle w:val="null3"/>
        <w:jc w:val="left"/>
        <w:outlineLvl w:val="2"/>
      </w:pPr>
      <w:r>
        <w:rPr>
          <w:sz w:val="28"/>
          <w:b/>
        </w:rPr>
        <w:t>3.合同履行</w:t>
      </w:r>
    </w:p>
    <w:p>
      <w:pPr>
        <w:pStyle w:val="null3"/>
        <w:jc w:val="left"/>
      </w:pPr>
      <w:r>
        <w:rPr/>
        <w:t>（1）起始日期：</w:t>
      </w:r>
      <w:r>
        <w:rPr/>
        <w:t>____________________年____________________月 ____________________日</w:t>
      </w:r>
      <w:r>
        <w:rPr/>
        <w:t xml:space="preserve"> ，完成日期：</w:t>
      </w:r>
      <w:r>
        <w:rPr/>
        <w:t>____________________年____________________月____________________日</w:t>
      </w:r>
      <w:r>
        <w:rPr/>
        <w:t>。</w:t>
      </w:r>
    </w:p>
    <w:p>
      <w:pPr>
        <w:pStyle w:val="null3"/>
        <w:jc w:val="left"/>
      </w:pPr>
      <w:r>
        <w:rPr/>
        <w:t>（2）履约地点：</w:t>
      </w:r>
      <w:r>
        <w:rPr/>
        <w:t>____________________</w:t>
      </w:r>
    </w:p>
    <w:p>
      <w:pPr>
        <w:pStyle w:val="null3"/>
        <w:jc w:val="left"/>
      </w:pPr>
      <w:r>
        <w:rPr/>
        <w:t>（3）履约担保：</w:t>
      </w:r>
    </w:p>
    <w:p>
      <w:pPr>
        <w:pStyle w:val="null3"/>
        <w:jc w:val="left"/>
      </w:pPr>
      <w:r>
        <w:rPr/>
        <w:t>是否收取履约保证金：</w:t>
      </w:r>
      <w:r>
        <w:rPr/>
        <w:t>是</w:t>
      </w:r>
      <w:r>
        <w:rPr/>
        <w:t xml:space="preserve"> 否</w:t>
      </w:r>
    </w:p>
    <w:p>
      <w:pPr>
        <w:pStyle w:val="null3"/>
        <w:jc w:val="left"/>
      </w:pPr>
      <w:r>
        <w:rPr/>
        <w:t>收取履约保证金形式：</w:t>
      </w:r>
      <w:r>
        <w:rPr/>
        <w:t>____________________</w:t>
      </w:r>
    </w:p>
    <w:p>
      <w:pPr>
        <w:pStyle w:val="null3"/>
        <w:jc w:val="left"/>
      </w:pPr>
      <w:r>
        <w:rPr/>
        <w:t>收取履约保证金金额：</w:t>
      </w:r>
      <w:r>
        <w:rPr/>
        <w:t>____________________</w:t>
      </w:r>
    </w:p>
    <w:p>
      <w:pPr>
        <w:pStyle w:val="null3"/>
        <w:jc w:val="left"/>
      </w:pPr>
      <w:r>
        <w:rPr/>
        <w:t>履约担保期限：</w:t>
      </w:r>
      <w:r>
        <w:rPr/>
        <w:t>____________________</w:t>
      </w:r>
    </w:p>
    <w:p>
      <w:pPr>
        <w:pStyle w:val="null3"/>
        <w:ind w:firstLine="510"/>
        <w:jc w:val="left"/>
      </w:pPr>
      <w:r>
        <w:rPr/>
        <w:t>履约担保期限：</w:t>
      </w:r>
      <w:r>
        <w:rPr/>
        <w:t>____________________</w:t>
      </w:r>
    </w:p>
    <w:p>
      <w:pPr>
        <w:pStyle w:val="null3"/>
        <w:jc w:val="left"/>
      </w:pPr>
      <w:r>
        <w:rPr/>
        <w:t>（4）分期履行要求：</w:t>
      </w:r>
      <w:r>
        <w:rPr/>
        <w:t>____________________</w:t>
      </w:r>
    </w:p>
    <w:p>
      <w:pPr>
        <w:pStyle w:val="null3"/>
        <w:jc w:val="left"/>
      </w:pPr>
      <w:r>
        <w:rPr/>
        <w:t>（5）风险处置措施和替代方案：</w:t>
      </w:r>
      <w:r>
        <w:rPr/>
        <w:t>____________________</w:t>
      </w:r>
    </w:p>
    <w:p>
      <w:pPr>
        <w:pStyle w:val="null3"/>
        <w:jc w:val="left"/>
        <w:outlineLvl w:val="2"/>
      </w:pPr>
      <w:r>
        <w:rPr>
          <w:sz w:val="28"/>
          <w:b/>
        </w:rPr>
        <w:t>4.合同验收</w:t>
      </w:r>
    </w:p>
    <w:p>
      <w:pPr>
        <w:pStyle w:val="null3"/>
        <w:jc w:val="left"/>
      </w:pPr>
      <w:r>
        <w:rPr/>
        <w:t>（1）验收组织方式：</w:t>
      </w:r>
      <w:r>
        <w:rPr/>
        <w:t>自行验收</w:t>
      </w:r>
      <w:r>
        <w:rPr/>
        <w:t>委托第三方验收</w:t>
      </w:r>
    </w:p>
    <w:p>
      <w:pPr>
        <w:pStyle w:val="null3"/>
        <w:jc w:val="left"/>
      </w:pPr>
      <w:r>
        <w:rPr/>
        <w:t>验收主体：</w:t>
      </w:r>
      <w:r>
        <w:rPr/>
        <w:t>____________________</w:t>
      </w:r>
    </w:p>
    <w:p>
      <w:pPr>
        <w:pStyle w:val="null3"/>
        <w:jc w:val="left"/>
      </w:pPr>
      <w:r>
        <w:rPr/>
        <w:t>是否邀请本项目的其他供应商参加验收：</w:t>
      </w:r>
      <w:r>
        <w:rPr/>
        <w:t>是</w:t>
      </w:r>
      <w:r>
        <w:rPr/>
        <w:t>否</w:t>
      </w:r>
    </w:p>
    <w:p>
      <w:pPr>
        <w:pStyle w:val="null3"/>
        <w:jc w:val="left"/>
      </w:pPr>
      <w:r>
        <w:rPr/>
        <w:t>是否邀请专家参加验收：</w:t>
      </w:r>
      <w:r>
        <w:rPr/>
        <w:t>是</w:t>
      </w:r>
      <w:r>
        <w:rPr/>
        <w:t>否</w:t>
      </w:r>
    </w:p>
    <w:p>
      <w:pPr>
        <w:pStyle w:val="null3"/>
        <w:jc w:val="left"/>
      </w:pPr>
      <w:r>
        <w:rPr/>
        <w:t>是否邀请服务对象参加验收：</w:t>
      </w:r>
      <w:r>
        <w:rPr/>
        <w:t>是</w:t>
      </w:r>
      <w:r>
        <w:rPr/>
        <w:t>否</w:t>
      </w:r>
    </w:p>
    <w:p>
      <w:pPr>
        <w:pStyle w:val="null3"/>
        <w:jc w:val="left"/>
      </w:pPr>
      <w:r>
        <w:rPr/>
        <w:t>是否邀请第三方检测机构参加验收：</w:t>
      </w:r>
      <w:r>
        <w:rPr/>
        <w:t>是</w:t>
      </w:r>
      <w:r>
        <w:rPr/>
        <w:t>否</w:t>
      </w:r>
    </w:p>
    <w:p>
      <w:pPr>
        <w:pStyle w:val="null3"/>
        <w:jc w:val="left"/>
      </w:pPr>
      <w:r>
        <w:rPr/>
        <w:t>是否进行抽查检测：</w:t>
      </w:r>
      <w:r>
        <w:rPr/>
        <w:t xml:space="preserve"> 是，抽查比例：</w:t>
      </w:r>
      <w:r>
        <w:rPr/>
        <w:t>__________</w:t>
      </w:r>
      <w:r>
        <w:rPr/>
        <w:t>%</w:t>
      </w:r>
      <w:r>
        <w:rPr/>
        <w:t>否</w:t>
      </w:r>
    </w:p>
    <w:p>
      <w:pPr>
        <w:pStyle w:val="null3"/>
        <w:jc w:val="left"/>
      </w:pPr>
      <w:r>
        <w:rPr/>
        <w:t>是否存在破坏性检测：</w:t>
      </w:r>
      <w:r>
        <w:rPr/>
        <w:t xml:space="preserve"> 是，</w:t>
      </w:r>
      <w:r>
        <w:rPr/>
        <w:t>__________</w:t>
      </w:r>
      <w:r>
        <w:rPr/>
        <w:t>否</w:t>
      </w:r>
    </w:p>
    <w:p>
      <w:pPr>
        <w:pStyle w:val="null3"/>
        <w:jc w:val="left"/>
      </w:pPr>
      <w:r>
        <w:rPr/>
        <w:t>验收组织的其他事项：</w:t>
      </w:r>
      <w:r>
        <w:rPr/>
        <w:t>____________________</w:t>
      </w:r>
    </w:p>
    <w:p>
      <w:pPr>
        <w:pStyle w:val="null3"/>
        <w:jc w:val="left"/>
      </w:pPr>
      <w:r>
        <w:rPr/>
        <w:t>（2）履约验收时间：</w:t>
      </w:r>
      <w:r>
        <w:rPr/>
        <w:t>计划于何时验收/供应商提出验收申请之日起</w:t>
      </w:r>
      <w:r>
        <w:rPr/>
        <w:t>_______</w:t>
      </w:r>
      <w:r>
        <w:rPr/>
        <w:t>日内组织验收</w:t>
      </w:r>
    </w:p>
    <w:p>
      <w:pPr>
        <w:pStyle w:val="null3"/>
        <w:jc w:val="left"/>
      </w:pPr>
      <w:r>
        <w:rPr/>
        <w:t>（3）履约验收方式：</w:t>
      </w:r>
      <w:r>
        <w:rPr/>
        <w:t>一次性验收</w:t>
      </w:r>
      <w:r>
        <w:rPr/>
        <w:t>分期/分项验收：</w:t>
      </w:r>
      <w:r>
        <w:rPr/>
        <w:t>__________</w:t>
      </w:r>
    </w:p>
    <w:p>
      <w:pPr>
        <w:pStyle w:val="null3"/>
        <w:jc w:val="left"/>
      </w:pPr>
      <w:r>
        <w:rPr/>
        <w:t>（4）履约验收程序：</w:t>
      </w:r>
      <w:r>
        <w:rPr/>
        <w:t>____________________</w:t>
      </w:r>
    </w:p>
    <w:p>
      <w:pPr>
        <w:pStyle w:val="null3"/>
        <w:jc w:val="left"/>
      </w:pPr>
      <w:r>
        <w:rPr/>
        <w:t>（5）履约验收的内容：</w:t>
      </w:r>
      <w:r>
        <w:rPr/>
        <w:t>_________（应当包括每一项技术和商务要求的履约情况，特别是落实政府采购扶持中小企业，支持绿色发展和乡村振兴等政策情况）___________</w:t>
      </w:r>
    </w:p>
    <w:p>
      <w:pPr>
        <w:pStyle w:val="null3"/>
        <w:jc w:val="left"/>
      </w:pPr>
      <w:r>
        <w:rPr/>
        <w:t>（6）履约验收标准：</w:t>
      </w:r>
      <w:r>
        <w:rPr/>
        <w:t>_____________________________</w:t>
      </w:r>
    </w:p>
    <w:p>
      <w:pPr>
        <w:pStyle w:val="null3"/>
        <w:jc w:val="left"/>
      </w:pPr>
      <w:r>
        <w:rPr/>
        <w:t>（7）是否以采购活动中供应商提供的样品作为参考：</w:t>
      </w:r>
      <w:r>
        <w:rPr/>
        <w:t>是</w:t>
      </w:r>
      <w:r>
        <w:rPr/>
        <w:t>否</w:t>
      </w:r>
    </w:p>
    <w:p>
      <w:pPr>
        <w:pStyle w:val="null3"/>
        <w:jc w:val="left"/>
      </w:pPr>
      <w:r>
        <w:rPr/>
        <w:t>（8）履约验收其他事项：</w:t>
      </w:r>
      <w:r>
        <w:rPr/>
        <w:t>_______________</w:t>
      </w:r>
    </w:p>
    <w:p>
      <w:pPr>
        <w:pStyle w:val="null3"/>
        <w:jc w:val="left"/>
        <w:outlineLvl w:val="2"/>
      </w:pPr>
      <w:r>
        <w:rPr>
          <w:sz w:val="28"/>
          <w:b/>
        </w:rPr>
        <w:t>5.组成合同的文件</w:t>
      </w:r>
    </w:p>
    <w:p>
      <w:pPr>
        <w:pStyle w:val="null3"/>
        <w:jc w:val="left"/>
      </w:pPr>
      <w:r>
        <w:rPr/>
        <w:t>本协议书与下列文件一起构成合同文件，如下述文件之间有任何抵触、矛盾或歧义，应按以下顺序解释：</w:t>
      </w:r>
    </w:p>
    <w:p>
      <w:pPr>
        <w:pStyle w:val="null3"/>
        <w:jc w:val="left"/>
      </w:pPr>
      <w:r>
        <w:rPr/>
        <w:t>（1）政府采购合同协议书及其变更、补充协议</w:t>
      </w:r>
    </w:p>
    <w:p>
      <w:pPr>
        <w:pStyle w:val="null3"/>
        <w:jc w:val="left"/>
      </w:pPr>
      <w:r>
        <w:rPr/>
        <w:t>（2）政府采购合同专用条款</w:t>
      </w:r>
    </w:p>
    <w:p>
      <w:pPr>
        <w:pStyle w:val="null3"/>
        <w:jc w:val="left"/>
      </w:pPr>
      <w:r>
        <w:rPr/>
        <w:t>（3）政府采购合同通用条款</w:t>
      </w:r>
    </w:p>
    <w:p>
      <w:pPr>
        <w:pStyle w:val="null3"/>
        <w:jc w:val="left"/>
      </w:pPr>
      <w:r>
        <w:rPr/>
        <w:t>（4）中标（成交）通知书</w:t>
      </w:r>
    </w:p>
    <w:p>
      <w:pPr>
        <w:pStyle w:val="null3"/>
        <w:jc w:val="left"/>
      </w:pPr>
      <w:r>
        <w:rPr/>
        <w:t>（5）投标（响应）文件</w:t>
      </w:r>
    </w:p>
    <w:p>
      <w:pPr>
        <w:pStyle w:val="null3"/>
        <w:jc w:val="left"/>
      </w:pPr>
      <w:r>
        <w:rPr/>
        <w:t>（6）采购文件</w:t>
      </w:r>
    </w:p>
    <w:p>
      <w:pPr>
        <w:pStyle w:val="null3"/>
        <w:jc w:val="left"/>
      </w:pPr>
      <w:r>
        <w:rPr/>
        <w:t>（7）有关技术文件，图纸</w:t>
      </w:r>
    </w:p>
    <w:p>
      <w:pPr>
        <w:pStyle w:val="null3"/>
        <w:jc w:val="left"/>
      </w:pPr>
      <w:r>
        <w:rPr/>
        <w:t>（8）国家法律、行政法规和规章制度规定或合同约定的作为合同组成部分的其他文件</w:t>
      </w:r>
    </w:p>
    <w:p>
      <w:pPr>
        <w:pStyle w:val="null3"/>
        <w:jc w:val="left"/>
        <w:outlineLvl w:val="2"/>
      </w:pPr>
      <w:r>
        <w:rPr>
          <w:sz w:val="28"/>
          <w:b/>
        </w:rPr>
        <w:t>6.合同生效</w:t>
      </w:r>
    </w:p>
    <w:p>
      <w:pPr>
        <w:pStyle w:val="null3"/>
        <w:jc w:val="left"/>
      </w:pPr>
      <w:r>
        <w:rPr/>
        <w:t>本合同自</w:t>
      </w:r>
      <w:r>
        <w:rPr/>
        <w:t>____________________</w:t>
      </w:r>
      <w:r>
        <w:rPr/>
        <w:t>生效。</w:t>
      </w:r>
    </w:p>
    <w:p>
      <w:pPr>
        <w:pStyle w:val="null3"/>
        <w:jc w:val="left"/>
        <w:outlineLvl w:val="2"/>
      </w:pPr>
      <w:r>
        <w:rPr>
          <w:sz w:val="28"/>
          <w:b/>
        </w:rPr>
        <w:t>7.合同份数</w:t>
      </w:r>
    </w:p>
    <w:p>
      <w:pPr>
        <w:pStyle w:val="null3"/>
        <w:jc w:val="left"/>
      </w:pPr>
      <w:r>
        <w:rPr/>
        <w:t xml:space="preserve">本合同一式 </w:t>
      </w:r>
      <w:r>
        <w:rPr/>
        <w:t>_______</w:t>
      </w:r>
      <w:r>
        <w:rPr/>
        <w:t xml:space="preserve"> 份，甲方执 </w:t>
      </w:r>
      <w:r>
        <w:rPr/>
        <w:t>_______</w:t>
      </w:r>
      <w:r>
        <w:rPr/>
        <w:t xml:space="preserve"> 份，乙方执 </w:t>
      </w:r>
      <w:r>
        <w:rPr/>
        <w:t>_______</w:t>
      </w:r>
      <w:r>
        <w:rPr/>
        <w:t xml:space="preserve"> 份，均具有同等法律效力。</w:t>
      </w:r>
    </w:p>
    <w:p>
      <w:pPr>
        <w:pStyle w:val="null3"/>
        <w:jc w:val="left"/>
      </w:pPr>
      <w:r>
        <w:rPr/>
        <w:t>合同订立时间：详见本合同封面的签订时间。</w:t>
      </w:r>
    </w:p>
    <w:p>
      <w:pPr>
        <w:pStyle w:val="null3"/>
        <w:jc w:val="left"/>
      </w:pPr>
      <w:r>
        <w:rPr/>
        <w:t>合同订立地点：</w:t>
      </w:r>
      <w:r>
        <w:rPr/>
        <w:t xml:space="preserve"> ____________________________</w:t>
      </w:r>
    </w:p>
    <w:p>
      <w:pPr>
        <w:pStyle w:val="null3"/>
        <w:jc w:val="left"/>
      </w:pPr>
      <w:r>
        <w:rPr/>
        <w:t>附件：具体标的及其技术要求和商务要求、联合协议、分包意向协议等。</w:t>
      </w:r>
      <w:r>
        <w:br/>
      </w:r>
      <w:r>
        <w:br/>
      </w:r>
      <w:r>
        <w:br/>
      </w:r>
    </w:p>
    <w:p>
      <w:pPr>
        <w:pStyle w:val="null3"/>
        <w:jc w:val="left"/>
      </w:pPr>
      <w:r>
        <w:rPr/>
        <w:t>甲方（采购人、受采购人委托签订合同的单位或采购文件约定的合同甲方）</w:t>
      </w:r>
    </w:p>
    <w:p>
      <w:pPr>
        <w:pStyle w:val="null3"/>
        <w:jc w:val="left"/>
      </w:pPr>
      <w:r>
        <w:rPr/>
        <w:t xml:space="preserve"> 单位名称（公章或合同章）： </w:t>
      </w:r>
      <w:r>
        <w:rPr/>
        <w:t>{{未填写}}</w:t>
      </w:r>
      <w:r>
        <w:rPr/>
        <w:t>（盖章）</w:t>
      </w:r>
    </w:p>
    <w:p>
      <w:pPr>
        <w:pStyle w:val="null3"/>
        <w:jc w:val="left"/>
      </w:pPr>
      <w:r>
        <w:rPr/>
        <w:t xml:space="preserve"> 法定代表人或其委托代理人（签章）：</w:t>
      </w:r>
      <w:r>
        <w:rPr/>
        <w:t>{{未填写}}</w:t>
      </w:r>
    </w:p>
    <w:p>
      <w:pPr>
        <w:pStyle w:val="null3"/>
        <w:jc w:val="left"/>
      </w:pPr>
      <w:r>
        <w:rPr/>
        <w:t xml:space="preserve"> 住 所：</w:t>
      </w:r>
      <w:r>
        <w:rPr/>
        <w:t>{{未填写}}</w:t>
      </w:r>
    </w:p>
    <w:p>
      <w:pPr>
        <w:pStyle w:val="null3"/>
        <w:jc w:val="left"/>
      </w:pPr>
      <w:r>
        <w:rPr/>
        <w:t xml:space="preserve"> 联 系 人：</w:t>
      </w:r>
      <w:r>
        <w:rPr/>
        <w:t>{{未填写}}</w:t>
      </w:r>
    </w:p>
    <w:p>
      <w:pPr>
        <w:pStyle w:val="null3"/>
        <w:jc w:val="left"/>
      </w:pPr>
      <w:r>
        <w:rPr/>
        <w:t xml:space="preserve"> 联系电话：</w:t>
      </w:r>
      <w:r>
        <w:rPr/>
        <w:t>{{未填写}}</w:t>
      </w:r>
    </w:p>
    <w:p>
      <w:pPr>
        <w:pStyle w:val="null3"/>
        <w:jc w:val="left"/>
      </w:pPr>
      <w:r>
        <w:rPr/>
        <w:t xml:space="preserve"> 通信地址：</w:t>
      </w:r>
      <w:r>
        <w:rPr/>
        <w:t>{{未填写}}</w:t>
      </w:r>
    </w:p>
    <w:p>
      <w:pPr>
        <w:pStyle w:val="null3"/>
        <w:jc w:val="left"/>
      </w:pPr>
      <w:r>
        <w:rPr/>
        <w:t xml:space="preserve"> 邮政编码：</w:t>
      </w:r>
      <w:r>
        <w:rPr/>
        <w:t>{{未填写}}</w:t>
      </w:r>
    </w:p>
    <w:p>
      <w:pPr>
        <w:pStyle w:val="null3"/>
        <w:jc w:val="left"/>
      </w:pPr>
      <w:r>
        <w:rPr/>
        <w:t xml:space="preserve"> 电子邮箱：</w:t>
      </w:r>
      <w:r>
        <w:rPr/>
        <w:t>{{未填写}}</w:t>
      </w:r>
    </w:p>
    <w:p>
      <w:pPr>
        <w:pStyle w:val="null3"/>
        <w:jc w:val="left"/>
      </w:pPr>
      <w:r>
        <w:rPr/>
        <w:t xml:space="preserve"> 统一社会信用代码：</w:t>
      </w:r>
      <w:r>
        <w:rPr/>
        <w:t>{{未填写}}</w:t>
      </w:r>
    </w:p>
    <w:p>
      <w:pPr>
        <w:pStyle w:val="null3"/>
        <w:jc w:val="left"/>
      </w:pPr>
      <w:r>
        <w:rPr/>
        <w:t xml:space="preserve"> </w:t>
      </w:r>
    </w:p>
    <w:p>
      <w:pPr>
        <w:pStyle w:val="null3"/>
        <w:jc w:val="center"/>
        <w:outlineLvl w:val="1"/>
      </w:pPr>
      <w:r>
        <w:rPr>
          <w:sz w:val="36"/>
          <w:b/>
        </w:rPr>
        <w:t>第二节 政府采购合同通用条款</w:t>
      </w:r>
    </w:p>
    <w:p>
      <w:pPr>
        <w:pStyle w:val="null3"/>
        <w:jc w:val="left"/>
        <w:outlineLvl w:val="2"/>
      </w:pPr>
      <w:r>
        <w:rPr>
          <w:sz w:val="28"/>
          <w:b/>
        </w:rPr>
        <w:t>1. 定义</w:t>
      </w:r>
    </w:p>
    <w:p>
      <w:pPr>
        <w:pStyle w:val="null3"/>
        <w:jc w:val="left"/>
      </w:pPr>
      <w:r>
        <w:rPr/>
        <w:t>1.1合同当事人</w:t>
      </w:r>
    </w:p>
    <w:p>
      <w:pPr>
        <w:pStyle w:val="null3"/>
        <w:jc w:val="left"/>
      </w:pPr>
      <w:r>
        <w:rPr/>
        <w:t>（1）采购人（以下称甲方）是指使用财政性资金，通过政府采购方式向供应商购买货物及其相关服务的国家机关、事业单位、团体组织。</w:t>
      </w:r>
    </w:p>
    <w:p>
      <w:pPr>
        <w:pStyle w:val="null3"/>
        <w:jc w:val="left"/>
      </w:pPr>
      <w:r>
        <w:rPr/>
        <w:t>（2）供应商（以下称乙方）是指参加政府采购活动并且中标（成交），向采购人提供合同约定的货物及其相关服务的法人、非法人组织或者自然人。</w:t>
      </w:r>
    </w:p>
    <w:p>
      <w:pPr>
        <w:pStyle w:val="null3"/>
        <w:jc w:val="left"/>
      </w:pPr>
      <w:r>
        <w:rPr/>
        <w:t>（3）其他合同主体是指除采购人和供应商以外，依法参与合同缔结或履行，享有权利、承担义务的合同当事人。</w:t>
      </w:r>
    </w:p>
    <w:p>
      <w:pPr>
        <w:pStyle w:val="null3"/>
        <w:jc w:val="left"/>
      </w:pPr>
      <w:r>
        <w:rPr/>
        <w:t>1.2本合同下列术语应解释为：</w:t>
      </w:r>
    </w:p>
    <w:p>
      <w:pPr>
        <w:pStyle w:val="null3"/>
        <w:jc w:val="left"/>
      </w:pPr>
      <w:r>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t>（2）“合同价款”系指根据本合同规定乙方在全面履行合同义务后甲方应支付给乙方的价款。</w:t>
      </w:r>
    </w:p>
    <w:p>
      <w:pPr>
        <w:pStyle w:val="null3"/>
        <w:jc w:val="left"/>
      </w:pPr>
      <w:r>
        <w:rPr/>
        <w:t>（3）“货物”系指乙方根据本合同规定须向甲方提供的各种形态和种类的物品，包括原材料、设备、产品（包括软件）及相关的其备品备件、工具、手册及其他技术资料和材料等。</w:t>
      </w:r>
    </w:p>
    <w:p>
      <w:pPr>
        <w:pStyle w:val="null3"/>
        <w:jc w:val="left"/>
      </w:pPr>
      <w:r>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t>（5）“分包”系指中标（成交）供应商按采购文件、投标（响应）文件的规定，根据分包意向协议，将中标（成交）项目中的部分履约内容，分给具有相应资质条件的供应商履行合同的行为。</w:t>
      </w:r>
    </w:p>
    <w:p>
      <w:pPr>
        <w:pStyle w:val="null3"/>
        <w:jc w:val="left"/>
      </w:pPr>
      <w:r>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rPr>
        <w:t>【政府采购合同专用条款】</w:t>
      </w:r>
      <w:r>
        <w:rPr/>
        <w:t>。</w:t>
      </w:r>
    </w:p>
    <w:p>
      <w:pPr>
        <w:pStyle w:val="null3"/>
        <w:jc w:val="left"/>
      </w:pPr>
      <w:r>
        <w:rPr/>
        <w:t>（7）其他术语解释，见</w:t>
      </w:r>
      <w:r>
        <w:rPr>
          <w:b/>
        </w:rPr>
        <w:t>【政府采购合同专用条款】</w:t>
      </w:r>
      <w:r>
        <w:rPr/>
        <w:t>。</w:t>
      </w:r>
    </w:p>
    <w:p>
      <w:pPr>
        <w:pStyle w:val="null3"/>
        <w:jc w:val="left"/>
        <w:outlineLvl w:val="2"/>
      </w:pPr>
      <w:r>
        <w:rPr>
          <w:sz w:val="28"/>
          <w:b/>
        </w:rPr>
        <w:t>2.合同标的及金额</w:t>
      </w:r>
    </w:p>
    <w:p>
      <w:pPr>
        <w:pStyle w:val="null3"/>
        <w:jc w:val="left"/>
      </w:pPr>
      <w:r>
        <w:rPr/>
        <w:t>2.1 合同标的及金额应与中标（成交）结果一致。乙方为履行本合同而发生的所有费用均应包含在合同价款中，甲方不再另行支付其他任何费用。</w:t>
      </w:r>
    </w:p>
    <w:p>
      <w:pPr>
        <w:pStyle w:val="null3"/>
        <w:jc w:val="left"/>
        <w:outlineLvl w:val="2"/>
      </w:pPr>
      <w:r>
        <w:rPr>
          <w:sz w:val="28"/>
          <w:b/>
        </w:rPr>
        <w:t>3. 履行合同的时间、地点和方式</w:t>
      </w:r>
    </w:p>
    <w:p>
      <w:pPr>
        <w:pStyle w:val="null3"/>
        <w:jc w:val="left"/>
      </w:pPr>
      <w:r>
        <w:rPr/>
        <w:t>3.1 乙方应当在约定的时间、地点，按照约定方式履行合同。</w:t>
      </w:r>
    </w:p>
    <w:p>
      <w:pPr>
        <w:pStyle w:val="null3"/>
        <w:jc w:val="left"/>
        <w:outlineLvl w:val="2"/>
      </w:pPr>
      <w:r>
        <w:rPr>
          <w:sz w:val="28"/>
          <w:b/>
        </w:rPr>
        <w:t>4. 甲方的权利和义务</w:t>
      </w:r>
    </w:p>
    <w:p>
      <w:pPr>
        <w:pStyle w:val="null3"/>
        <w:jc w:val="left"/>
      </w:pPr>
      <w:r>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t>4.2 甲方有权要求乙方按时提交各阶段有关安排计划，并有权定期核对乙方提供货物数量、规格、质量等内容。甲方有权督促乙方工作并要求乙方更换不符合要求的货物。</w:t>
      </w:r>
    </w:p>
    <w:p>
      <w:pPr>
        <w:pStyle w:val="null3"/>
        <w:jc w:val="left"/>
      </w:pPr>
      <w:r>
        <w:rPr/>
        <w:t>4.3 甲方有权要求乙方对缺陷部分予以修复，并按合同约定享有货物保修及其他合同约定的权利。</w:t>
      </w:r>
    </w:p>
    <w:p>
      <w:pPr>
        <w:pStyle w:val="null3"/>
        <w:jc w:val="left"/>
      </w:pPr>
      <w:r>
        <w:rPr/>
        <w:t>4.4 甲方应当按照合同约定及时对交付的货物进行验收，未在</w:t>
      </w:r>
      <w:r>
        <w:rPr>
          <w:b/>
        </w:rPr>
        <w:t>【政府采购合同专用条款】</w:t>
      </w:r>
      <w:r>
        <w:rPr/>
        <w:t>约定的期限内对乙方履约提出任何异议或者向乙方作出任何说明的，视为验收通过。</w:t>
      </w:r>
    </w:p>
    <w:p>
      <w:pPr>
        <w:pStyle w:val="null3"/>
        <w:jc w:val="left"/>
      </w:pPr>
      <w:r>
        <w:rPr/>
        <w:t>4.5 甲方应当根据合同约定及时向乙方支付合同价款，不得以内部人员变更、履行内部付款流程等为由，拒绝或迟延支付。</w:t>
      </w:r>
    </w:p>
    <w:p>
      <w:pPr>
        <w:pStyle w:val="null3"/>
        <w:jc w:val="left"/>
      </w:pPr>
      <w:r>
        <w:rPr/>
        <w:t>4.6 国家法律法规规定及</w:t>
      </w:r>
      <w:r>
        <w:rPr>
          <w:b/>
        </w:rPr>
        <w:t>【政府采购合同专用条款】</w:t>
      </w:r>
      <w:r>
        <w:rPr/>
        <w:t>约定应由甲方承担的其他义务和责任。</w:t>
      </w:r>
    </w:p>
    <w:p>
      <w:pPr>
        <w:pStyle w:val="null3"/>
        <w:jc w:val="left"/>
        <w:outlineLvl w:val="2"/>
      </w:pPr>
      <w:r>
        <w:rPr>
          <w:sz w:val="28"/>
          <w:b/>
        </w:rPr>
        <w:t>5. 乙方的权利和义务</w:t>
      </w:r>
    </w:p>
    <w:p>
      <w:pPr>
        <w:pStyle w:val="null3"/>
        <w:jc w:val="left"/>
      </w:pPr>
      <w:r>
        <w:rPr/>
        <w:t>5.1 签署合同后，乙方应确定项目负责人（或项目联系人），负责与本合同有关的事务。</w:t>
      </w:r>
    </w:p>
    <w:p>
      <w:pPr>
        <w:pStyle w:val="null3"/>
        <w:jc w:val="left"/>
      </w:pPr>
      <w:r>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t>5.3乙方有权根据合同约定向甲方收取合同价款。</w:t>
      </w:r>
    </w:p>
    <w:p>
      <w:pPr>
        <w:pStyle w:val="null3"/>
        <w:jc w:val="left"/>
      </w:pPr>
      <w:r>
        <w:rPr/>
        <w:t>5.4国家法律法规规定及</w:t>
      </w:r>
      <w:r>
        <w:rPr>
          <w:b/>
        </w:rPr>
        <w:t>【政府采购合同专用条款】</w:t>
      </w:r>
      <w:r>
        <w:rPr/>
        <w:t>约定应由乙方承担的其他义务和责任。</w:t>
      </w:r>
    </w:p>
    <w:p>
      <w:pPr>
        <w:pStyle w:val="null3"/>
        <w:jc w:val="left"/>
        <w:outlineLvl w:val="2"/>
      </w:pPr>
      <w:r>
        <w:rPr>
          <w:sz w:val="28"/>
          <w:b/>
        </w:rPr>
        <w:t>6.合同履行</w:t>
      </w:r>
    </w:p>
    <w:p>
      <w:pPr>
        <w:pStyle w:val="null3"/>
        <w:jc w:val="left"/>
      </w:pPr>
      <w:r>
        <w:rPr/>
        <w:t>6.1 甲乙双方应当按照</w:t>
      </w:r>
      <w:r>
        <w:rPr>
          <w:b/>
        </w:rPr>
        <w:t>【政府采购合同专用条款】</w:t>
      </w:r>
      <w:r>
        <w:rPr/>
        <w:t>约定顺序履行合同义务；如果没有先后顺序的，应当同时履行。</w:t>
      </w:r>
    </w:p>
    <w:p>
      <w:pPr>
        <w:pStyle w:val="null3"/>
        <w:jc w:val="left"/>
      </w:pPr>
      <w:r>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sz w:val="28"/>
          <w:b/>
        </w:rPr>
        <w:t>7. 货物包装、运输、保险和交付要求</w:t>
      </w:r>
    </w:p>
    <w:p>
      <w:pPr>
        <w:pStyle w:val="null3"/>
        <w:jc w:val="left"/>
      </w:pPr>
      <w:r>
        <w:rPr/>
        <w:t>7.1 本合同涉及商品包装、快递包装的，除</w:t>
      </w:r>
      <w:r>
        <w:rPr>
          <w:b/>
        </w:rPr>
        <w:t>【政府采购合同专用条款】</w:t>
      </w:r>
      <w:r>
        <w:rPr/>
        <w:t>另有约定外，包装应适应远距离运输、防潮、防震、防锈和防野蛮装卸等要求，确保货物安全无损地运抵</w:t>
      </w:r>
      <w:r>
        <w:rPr>
          <w:b/>
        </w:rPr>
        <w:t>【政府采购合同专用条款】</w:t>
      </w:r>
      <w:r>
        <w:rPr/>
        <w:t>约定的指定现场。</w:t>
      </w:r>
    </w:p>
    <w:p>
      <w:pPr>
        <w:pStyle w:val="null3"/>
        <w:jc w:val="left"/>
      </w:pPr>
      <w:r>
        <w:rPr/>
        <w:t>7.2 除</w:t>
      </w:r>
      <w:r>
        <w:rPr>
          <w:b/>
        </w:rPr>
        <w:t>【政府采购合同专用条款】</w:t>
      </w:r>
      <w:r>
        <w:rPr/>
        <w:t>另有约定外，乙方负责办理将货物运抵本合同规定的交货地点，并装卸、交付至甲方的一切运输事项，相关费用应包含在合同价款中。</w:t>
      </w:r>
    </w:p>
    <w:p>
      <w:pPr>
        <w:pStyle w:val="null3"/>
        <w:jc w:val="left"/>
      </w:pPr>
      <w:r>
        <w:rPr/>
        <w:t>7.3 货物保险要求按</w:t>
      </w:r>
      <w:r>
        <w:rPr>
          <w:b/>
        </w:rPr>
        <w:t>【政府采购合同专用条款】</w:t>
      </w:r>
      <w:r>
        <w:rPr/>
        <w:t>规定执行。</w:t>
      </w:r>
    </w:p>
    <w:p>
      <w:pPr>
        <w:pStyle w:val="null3"/>
        <w:jc w:val="left"/>
      </w:pPr>
      <w:r>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t>7.5 乙方在运输到达之前应提前通知甲方，并提示货物运输装卸的注意事项，甲方配合乙方做好货物的接收工作。</w:t>
      </w:r>
    </w:p>
    <w:p>
      <w:pPr>
        <w:pStyle w:val="null3"/>
        <w:jc w:val="left"/>
      </w:pPr>
      <w:r>
        <w:rPr/>
        <w:t>7.6 如因包装、运输问题导致货物损毁、丢失或者品质下降，甲方有权要求降价、换货、拒收部分或整批货物，由此产生的费用和损失，均由乙方承担。</w:t>
      </w:r>
    </w:p>
    <w:p>
      <w:pPr>
        <w:pStyle w:val="null3"/>
        <w:jc w:val="left"/>
        <w:outlineLvl w:val="2"/>
      </w:pPr>
      <w:r>
        <w:rPr>
          <w:sz w:val="28"/>
          <w:b/>
        </w:rPr>
        <w:t>8. 质量标准和保证</w:t>
      </w:r>
    </w:p>
    <w:p>
      <w:pPr>
        <w:pStyle w:val="null3"/>
        <w:jc w:val="left"/>
      </w:pPr>
      <w:r>
        <w:rPr/>
        <w:t>8.1 质量标准</w:t>
      </w:r>
    </w:p>
    <w:p>
      <w:pPr>
        <w:pStyle w:val="null3"/>
        <w:jc w:val="left"/>
      </w:pPr>
      <w:r>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t>（2）采用中华人民共和国法定计量单位。</w:t>
      </w:r>
    </w:p>
    <w:p>
      <w:pPr>
        <w:pStyle w:val="null3"/>
        <w:jc w:val="left"/>
      </w:pPr>
      <w:r>
        <w:rPr/>
        <w:t>（3）乙方所提供的货物应符合国家有关安全、环保、卫生的规定。</w:t>
      </w:r>
    </w:p>
    <w:p>
      <w:pPr>
        <w:pStyle w:val="null3"/>
        <w:jc w:val="left"/>
      </w:pPr>
      <w:r>
        <w:rPr/>
        <w:t>（4）乙方应向甲方提交所提供货物的技术文件，包括相应的中文技术文件，如：产品目录、图纸、操作手册、使用说明、维护手册或服务指南等。上述文件应包装好随货物一同发运。</w:t>
      </w:r>
    </w:p>
    <w:p>
      <w:pPr>
        <w:pStyle w:val="null3"/>
        <w:jc w:val="left"/>
      </w:pPr>
      <w:r>
        <w:rPr/>
        <w:t>8.2 保证</w:t>
      </w:r>
    </w:p>
    <w:p>
      <w:pPr>
        <w:pStyle w:val="null3"/>
        <w:jc w:val="left"/>
      </w:pPr>
      <w:r>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t>（2）在质量保证期内所发现的缺陷，甲方应尽快以书面形式通知乙方。</w:t>
      </w:r>
    </w:p>
    <w:p>
      <w:pPr>
        <w:pStyle w:val="null3"/>
        <w:jc w:val="left"/>
      </w:pPr>
      <w:r>
        <w:rPr/>
        <w:t>（3）乙方收到通知后，应在【政府采购合同专用条款】规定的响应时间内以合理的速度免费维修或更换有缺陷的货物或部件。</w:t>
      </w:r>
    </w:p>
    <w:p>
      <w:pPr>
        <w:pStyle w:val="null3"/>
        <w:jc w:val="left"/>
      </w:pPr>
      <w:r>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t>（5）乙方在约定的时间内未能弥补缺陷，甲方可采取必要的补救措施，但其风险和费用将由乙方承担，甲方根据合同约定对乙方行使的其他权利不受影响。</w:t>
      </w:r>
    </w:p>
    <w:p>
      <w:pPr>
        <w:pStyle w:val="null3"/>
        <w:jc w:val="left"/>
        <w:outlineLvl w:val="2"/>
      </w:pPr>
      <w:r>
        <w:rPr>
          <w:sz w:val="28"/>
          <w:b/>
        </w:rPr>
        <w:t>9. 权利瑕疵担保</w:t>
      </w:r>
    </w:p>
    <w:p>
      <w:pPr>
        <w:pStyle w:val="null3"/>
        <w:jc w:val="left"/>
      </w:pPr>
      <w:r>
        <w:rPr/>
        <w:t>9.1 乙方保证对其出售的货物享有合法的权利。</w:t>
      </w:r>
    </w:p>
    <w:p>
      <w:pPr>
        <w:pStyle w:val="null3"/>
        <w:jc w:val="left"/>
      </w:pPr>
      <w:r>
        <w:rPr/>
        <w:t>9.2 乙方保证在交付的货物上不存在抵押权等担保物权。</w:t>
      </w:r>
    </w:p>
    <w:p>
      <w:pPr>
        <w:pStyle w:val="null3"/>
        <w:jc w:val="left"/>
      </w:pPr>
      <w:r>
        <w:rPr/>
        <w:t>9.3 如甲方使用上述货物构成对第三人侵权的，则由乙方承担全部责任。</w:t>
      </w:r>
    </w:p>
    <w:p>
      <w:pPr>
        <w:pStyle w:val="null3"/>
        <w:jc w:val="left"/>
        <w:outlineLvl w:val="2"/>
      </w:pPr>
      <w:r>
        <w:rPr>
          <w:sz w:val="28"/>
          <w:b/>
        </w:rPr>
        <w:t>10. 知识产权保护</w:t>
      </w:r>
    </w:p>
    <w:p>
      <w:pPr>
        <w:pStyle w:val="null3"/>
        <w:jc w:val="left"/>
      </w:pPr>
      <w:r>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sz w:val="28"/>
          <w:b/>
        </w:rPr>
        <w:t>11. 保密义务</w:t>
      </w:r>
    </w:p>
    <w:p>
      <w:pPr>
        <w:pStyle w:val="null3"/>
        <w:jc w:val="left"/>
      </w:pPr>
      <w:r>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rPr>
        <w:t>【政府采购合同专用条款】</w:t>
      </w:r>
      <w:r>
        <w:rPr/>
        <w:t>中约定。</w:t>
      </w:r>
    </w:p>
    <w:p>
      <w:pPr>
        <w:pStyle w:val="null3"/>
        <w:jc w:val="left"/>
        <w:outlineLvl w:val="2"/>
      </w:pPr>
      <w:r>
        <w:rPr>
          <w:sz w:val="28"/>
          <w:b/>
        </w:rPr>
        <w:t>12. 合同价款支付</w:t>
      </w:r>
    </w:p>
    <w:p>
      <w:pPr>
        <w:pStyle w:val="null3"/>
        <w:jc w:val="left"/>
      </w:pPr>
      <w:r>
        <w:rPr/>
        <w:t>12.1 合同价款支付按照国库集中支付制度及财政管理相关规定执行。</w:t>
      </w:r>
    </w:p>
    <w:p>
      <w:pPr>
        <w:pStyle w:val="null3"/>
        <w:jc w:val="left"/>
      </w:pPr>
      <w:r>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b/>
        </w:rPr>
        <w:t>【政府采购合同专用条款】</w:t>
      </w:r>
      <w:r>
        <w:rPr/>
        <w:t>中约定。</w:t>
      </w:r>
    </w:p>
    <w:p>
      <w:pPr>
        <w:pStyle w:val="null3"/>
        <w:jc w:val="left"/>
        <w:outlineLvl w:val="2"/>
      </w:pPr>
      <w:r>
        <w:rPr>
          <w:sz w:val="28"/>
          <w:b/>
        </w:rPr>
        <w:t>13. 履约保证金</w:t>
      </w:r>
    </w:p>
    <w:p>
      <w:pPr>
        <w:pStyle w:val="null3"/>
        <w:jc w:val="left"/>
      </w:pPr>
      <w:r>
        <w:rPr/>
        <w:t>13.1 乙方应当以支票、汇票、本票或者金融机构、担保机构出具的保函等非现金形式提交。</w:t>
      </w:r>
    </w:p>
    <w:p>
      <w:pPr>
        <w:pStyle w:val="null3"/>
        <w:jc w:val="left"/>
      </w:pPr>
      <w:r>
        <w:rPr/>
        <w:t>13.2 如果乙方出现</w:t>
      </w:r>
      <w:r>
        <w:rPr>
          <w:b/>
        </w:rPr>
        <w:t>【政府采购合同专用条款】</w:t>
      </w:r>
      <w:r>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t>13.3 甲方在项目通过验收后按照</w:t>
      </w:r>
      <w:r>
        <w:rPr>
          <w:b/>
        </w:rPr>
        <w:t>【政府采购合同专用条款】</w:t>
      </w:r>
      <w:r>
        <w:rPr/>
        <w:t>规定的时间内将履约保证金退还乙方；逾期退还的，乙方可要求甲方支付违约金，违约金按照</w:t>
      </w:r>
      <w:r>
        <w:rPr>
          <w:b/>
        </w:rPr>
        <w:t>【政府采购合同专用条款】</w:t>
      </w:r>
      <w:r>
        <w:rPr/>
        <w:t>规定支付。</w:t>
      </w:r>
    </w:p>
    <w:p>
      <w:pPr>
        <w:pStyle w:val="null3"/>
        <w:jc w:val="left"/>
        <w:outlineLvl w:val="2"/>
      </w:pPr>
      <w:r>
        <w:rPr>
          <w:sz w:val="28"/>
          <w:b/>
        </w:rPr>
        <w:t>14. 售后服务</w:t>
      </w:r>
    </w:p>
    <w:p>
      <w:pPr>
        <w:pStyle w:val="null3"/>
        <w:jc w:val="left"/>
      </w:pPr>
      <w:r>
        <w:rPr/>
        <w:t>14.1 除项目不涉及或采购活动中明确约定无须承担外，乙方还应提供下列服务：</w:t>
      </w:r>
    </w:p>
    <w:p>
      <w:pPr>
        <w:pStyle w:val="null3"/>
        <w:jc w:val="left"/>
      </w:pPr>
      <w:r>
        <w:rPr/>
        <w:t>（1）货物的现场移动、安装、调试、启动监督及技术支持；</w:t>
      </w:r>
    </w:p>
    <w:p>
      <w:pPr>
        <w:pStyle w:val="null3"/>
        <w:jc w:val="left"/>
      </w:pPr>
      <w:r>
        <w:rPr/>
        <w:t>（2）提供货物组装和维修所需的专用工具和辅助材料；</w:t>
      </w:r>
    </w:p>
    <w:p>
      <w:pPr>
        <w:pStyle w:val="null3"/>
        <w:jc w:val="left"/>
      </w:pPr>
      <w:r>
        <w:rPr/>
        <w:t>（3）在</w:t>
      </w:r>
      <w:r>
        <w:rPr>
          <w:b/>
        </w:rPr>
        <w:t>【政府采购合同专用条款】</w:t>
      </w:r>
      <w:r>
        <w:rPr/>
        <w:t>约定的期限内对所有的货物实施运行监督、维修，但前提条件是该服务并不能免除乙方在质量保证期内所承担的义务；</w:t>
      </w:r>
    </w:p>
    <w:p>
      <w:pPr>
        <w:pStyle w:val="null3"/>
        <w:jc w:val="left"/>
      </w:pPr>
      <w:r>
        <w:rPr/>
        <w:t>（4）在制造商所在地或指定现场就货物的安装、启动、运营、维护、废弃处置等对甲方操作人员进行培训；</w:t>
      </w:r>
    </w:p>
    <w:p>
      <w:pPr>
        <w:pStyle w:val="null3"/>
        <w:jc w:val="left"/>
      </w:pPr>
      <w:r>
        <w:rPr/>
        <w:t>（5）依照法律、行政法规的规定或者按照</w:t>
      </w:r>
      <w:r>
        <w:rPr>
          <w:b/>
        </w:rPr>
        <w:t>【政府采购合同专用条款】</w:t>
      </w:r>
      <w:r>
        <w:rPr/>
        <w:t>约定，货物在有效使用年限届满后应予回收的，乙方负有自行或者委托第三人对货物予以回收的义务；</w:t>
      </w:r>
    </w:p>
    <w:p>
      <w:pPr>
        <w:pStyle w:val="null3"/>
        <w:jc w:val="left"/>
      </w:pPr>
      <w:r>
        <w:rPr/>
        <w:t>（6）</w:t>
      </w:r>
      <w:r>
        <w:rPr>
          <w:b/>
        </w:rPr>
        <w:t>【政府采购合同专用条款】</w:t>
      </w:r>
      <w:r>
        <w:rPr/>
        <w:t>规定由乙方提供的其他服务。</w:t>
      </w:r>
    </w:p>
    <w:p>
      <w:pPr>
        <w:pStyle w:val="null3"/>
        <w:jc w:val="left"/>
      </w:pPr>
      <w:r>
        <w:rPr/>
        <w:t>14.2 乙方提供的售后服务的费用已包含在合同价款中，甲方不再另行支付。</w:t>
      </w:r>
    </w:p>
    <w:p>
      <w:pPr>
        <w:pStyle w:val="null3"/>
        <w:jc w:val="left"/>
        <w:outlineLvl w:val="2"/>
      </w:pPr>
      <w:r>
        <w:rPr>
          <w:sz w:val="28"/>
          <w:b/>
        </w:rPr>
        <w:t>15. 违约责任</w:t>
      </w:r>
    </w:p>
    <w:p>
      <w:pPr>
        <w:pStyle w:val="null3"/>
        <w:jc w:val="left"/>
      </w:pPr>
      <w:r>
        <w:rPr/>
        <w:t>15.1质量瑕疵的违约责任</w:t>
      </w:r>
    </w:p>
    <w:p>
      <w:pPr>
        <w:pStyle w:val="null3"/>
        <w:jc w:val="left"/>
      </w:pPr>
      <w:r>
        <w:rPr/>
        <w:t>乙方提供的产品不符合合同约定的质量标准或存在产品质量缺陷，甲方有权要求乙方根据</w:t>
      </w:r>
      <w:r>
        <w:rPr>
          <w:b/>
        </w:rPr>
        <w:t>【政府采购合同专用条款】</w:t>
      </w:r>
      <w:r>
        <w:rPr/>
        <w:t>要求及时修理、重作、更换，并承担由此给甲方造成的损失。</w:t>
      </w:r>
    </w:p>
    <w:p>
      <w:pPr>
        <w:pStyle w:val="null3"/>
        <w:jc w:val="left"/>
      </w:pPr>
      <w:r>
        <w:rPr/>
        <w:t>15.2 迟延交货的违约责任</w:t>
      </w:r>
    </w:p>
    <w:p>
      <w:pPr>
        <w:pStyle w:val="null3"/>
        <w:jc w:val="left"/>
      </w:pPr>
      <w:r>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t>（2）如果乙方没有按照合同规定的时间交货和提供相关服务，甲方有权从货款中扣除误期赔偿费而不影响合同项下的其他补救方法，赔偿费按</w:t>
      </w:r>
      <w:r>
        <w:rPr>
          <w:b/>
        </w:rPr>
        <w:t>【政府采购合同专用条款】</w:t>
      </w:r>
      <w:r>
        <w:rPr/>
        <w:t>规定执行。如果涉及公共利益，且赔偿金额无法弥补公共利益损失，甲方可要求继续履行或者采取其他补救措施。</w:t>
      </w:r>
    </w:p>
    <w:p>
      <w:pPr>
        <w:pStyle w:val="null3"/>
        <w:jc w:val="left"/>
      </w:pPr>
      <w:r>
        <w:rPr/>
        <w:t>15.3 迟延支付的违约责任</w:t>
      </w:r>
    </w:p>
    <w:p>
      <w:pPr>
        <w:pStyle w:val="null3"/>
        <w:jc w:val="left"/>
      </w:pPr>
      <w:r>
        <w:rPr/>
        <w:t>甲方存在迟延支付乙方合同款项的，应当承担</w:t>
      </w:r>
      <w:r>
        <w:rPr>
          <w:b/>
        </w:rPr>
        <w:t>【政府采购合同专用条款】</w:t>
      </w:r>
      <w:r>
        <w:rPr/>
        <w:t>规定的逾期付款利息。</w:t>
      </w:r>
    </w:p>
    <w:p>
      <w:pPr>
        <w:pStyle w:val="null3"/>
        <w:jc w:val="left"/>
      </w:pPr>
      <w:r>
        <w:rPr/>
        <w:t>15.4其他违约责任根据项目实际需要按</w:t>
      </w:r>
      <w:r>
        <w:rPr>
          <w:b/>
        </w:rPr>
        <w:t>【政府采购合同专用条款】</w:t>
      </w:r>
      <w:r>
        <w:rPr/>
        <w:t>规定执行。</w:t>
      </w:r>
    </w:p>
    <w:p>
      <w:pPr>
        <w:pStyle w:val="null3"/>
        <w:jc w:val="left"/>
        <w:outlineLvl w:val="2"/>
      </w:pPr>
      <w:r>
        <w:rPr>
          <w:sz w:val="28"/>
          <w:b/>
        </w:rPr>
        <w:t>16.合同变更、中止与终止</w:t>
      </w:r>
    </w:p>
    <w:p>
      <w:pPr>
        <w:pStyle w:val="null3"/>
        <w:jc w:val="left"/>
      </w:pPr>
      <w:r>
        <w:rPr/>
        <w:t xml:space="preserve"> 16.1合同的变更</w:t>
      </w:r>
    </w:p>
    <w:p>
      <w:pPr>
        <w:pStyle w:val="null3"/>
        <w:jc w:val="left"/>
      </w:pPr>
      <w:r>
        <w:rPr/>
        <w:t>政府采购合同履行中，在不改变合同其他条款的前提下，甲方可以在合同价款10%的范围内追加与合同标的相同的货物，并就此与乙方协商一致后签订补充协议。</w:t>
      </w:r>
    </w:p>
    <w:p>
      <w:pPr>
        <w:pStyle w:val="null3"/>
        <w:jc w:val="left"/>
      </w:pPr>
      <w:r>
        <w:rPr/>
        <w:t>16.2合同的中止</w:t>
      </w:r>
    </w:p>
    <w:p>
      <w:pPr>
        <w:pStyle w:val="null3"/>
        <w:jc w:val="left"/>
      </w:pPr>
      <w:r>
        <w:rPr/>
        <w:t>（1）合同履行过程中因供应商就采购文件、采购过程或结果提起投诉的，甲方认为有必要的，可以中止合同的履行。</w:t>
      </w:r>
    </w:p>
    <w:p>
      <w:pPr>
        <w:pStyle w:val="null3"/>
        <w:jc w:val="left"/>
      </w:pPr>
      <w:r>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t>（4）甲方不得以行政区划调整、政府换届、机构或者职能调整以及相关责任人更替为由中止合同。</w:t>
      </w:r>
    </w:p>
    <w:p>
      <w:pPr>
        <w:pStyle w:val="null3"/>
        <w:jc w:val="left"/>
      </w:pPr>
      <w:r>
        <w:rPr/>
        <w:t>16.3合同的终止</w:t>
      </w:r>
    </w:p>
    <w:p>
      <w:pPr>
        <w:pStyle w:val="null3"/>
        <w:jc w:val="left"/>
      </w:pPr>
      <w:r>
        <w:rPr/>
        <w:t>（1）合同因有效期限届满而终止；</w:t>
      </w:r>
    </w:p>
    <w:p>
      <w:pPr>
        <w:pStyle w:val="null3"/>
        <w:jc w:val="left"/>
      </w:pPr>
      <w:r>
        <w:rPr/>
        <w:t>（2）乙方未按合同约定履行，构成根本性违约的，甲方有权终止合同，并追究乙方的违约责任。</w:t>
      </w:r>
    </w:p>
    <w:p>
      <w:pPr>
        <w:pStyle w:val="null3"/>
        <w:jc w:val="left"/>
      </w:pPr>
      <w:r>
        <w:rPr/>
        <w:t>16.4 涉及国家利益、社会公共利益的情形</w:t>
      </w:r>
    </w:p>
    <w:p>
      <w:pPr>
        <w:pStyle w:val="null3"/>
        <w:jc w:val="left"/>
      </w:pPr>
      <w:r>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17. 合同分包</w:t>
      </w:r>
    </w:p>
    <w:p>
      <w:pPr>
        <w:pStyle w:val="null3"/>
        <w:jc w:val="left"/>
      </w:pPr>
      <w:r>
        <w:rPr/>
        <w:t>17.1 乙方不得将合同转包给其他供应商。涉及合同分包的，乙方应根据采购文件和投标（响应）文件规定进行合同分包。</w:t>
      </w:r>
    </w:p>
    <w:p>
      <w:pPr>
        <w:pStyle w:val="null3"/>
        <w:jc w:val="left"/>
      </w:pPr>
      <w:r>
        <w:rPr/>
        <w:t>17.2 乙方执行政府采购政策向中小企业依法分包的，乙方应当按采购文件和投标（响应）文件签订分包意向协议，分包意向协议属于本合同组成部分。</w:t>
      </w:r>
    </w:p>
    <w:p>
      <w:pPr>
        <w:pStyle w:val="null3"/>
        <w:jc w:val="left"/>
        <w:outlineLvl w:val="2"/>
      </w:pPr>
      <w:r>
        <w:rPr>
          <w:sz w:val="28"/>
          <w:b/>
        </w:rPr>
        <w:t>18. 不可抗力</w:t>
      </w:r>
    </w:p>
    <w:p>
      <w:pPr>
        <w:pStyle w:val="null3"/>
        <w:jc w:val="left"/>
      </w:pPr>
      <w:r>
        <w:rPr/>
        <w:t>18.1 不可抗力是指合同双方不能预见、不能避免且不能克服的客观情况。</w:t>
      </w:r>
    </w:p>
    <w:p>
      <w:pPr>
        <w:pStyle w:val="null3"/>
        <w:jc w:val="left"/>
      </w:pPr>
      <w:r>
        <w:rPr/>
        <w:t>18.2 任何一方对由于不可抗力造成的部分或全部不能履行合同不承担违约责任。但迟延履行后发生不可抗力的，不能免除责任。</w:t>
      </w:r>
    </w:p>
    <w:p>
      <w:pPr>
        <w:pStyle w:val="null3"/>
        <w:jc w:val="left"/>
      </w:pPr>
      <w:r>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sz w:val="28"/>
          <w:b/>
        </w:rPr>
        <w:t>19. 解决争议的方法</w:t>
      </w:r>
    </w:p>
    <w:p>
      <w:pPr>
        <w:pStyle w:val="null3"/>
        <w:jc w:val="left"/>
      </w:pPr>
      <w:r>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t>19.2 选择仲裁的，应在</w:t>
      </w:r>
      <w:r>
        <w:rPr>
          <w:b/>
        </w:rPr>
        <w:t>【政府采购合同专用条款】</w:t>
      </w:r>
      <w:r>
        <w:rPr/>
        <w:t>中明确仲裁机构及仲裁地；通过诉讼方式解决的，可以在</w:t>
      </w:r>
      <w:r>
        <w:rPr>
          <w:b/>
        </w:rPr>
        <w:t>【政府采购合同专用条款】</w:t>
      </w:r>
      <w:r>
        <w:rPr/>
        <w:t>中进一步约定选择与争议有实际联系的地点的人民法院管辖，但管辖法院的约定不得违反级别管辖和专属管辖的规定。</w:t>
      </w:r>
    </w:p>
    <w:p>
      <w:pPr>
        <w:pStyle w:val="null3"/>
        <w:jc w:val="left"/>
      </w:pPr>
      <w:r>
        <w:rPr/>
        <w:t>19.3 如甲乙双方有争议的事项不影响合同其他部分的履行，在争议解决期间，合同其他部分应当继续履行。</w:t>
      </w:r>
    </w:p>
    <w:p>
      <w:pPr>
        <w:pStyle w:val="null3"/>
        <w:jc w:val="left"/>
        <w:outlineLvl w:val="2"/>
      </w:pPr>
      <w:r>
        <w:rPr>
          <w:sz w:val="28"/>
          <w:b/>
        </w:rPr>
        <w:t>20. 政府采购政策</w:t>
      </w:r>
    </w:p>
    <w:p>
      <w:pPr>
        <w:pStyle w:val="null3"/>
        <w:jc w:val="left"/>
      </w:pPr>
      <w:r>
        <w:rPr/>
        <w:t>20.1 本合同应当按照规定执行政府采购政策。</w:t>
      </w:r>
    </w:p>
    <w:p>
      <w:pPr>
        <w:pStyle w:val="null3"/>
        <w:jc w:val="left"/>
      </w:pPr>
      <w:r>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sz w:val="28"/>
          <w:b/>
        </w:rPr>
        <w:t>21. 法律适用</w:t>
      </w:r>
    </w:p>
    <w:p>
      <w:pPr>
        <w:pStyle w:val="null3"/>
        <w:jc w:val="left"/>
      </w:pPr>
      <w:r>
        <w:rPr/>
        <w:t>21.1 本合同的订立、生效、解释、履行及与本合同有关的争议解决，均适用法律、行政法规。</w:t>
      </w:r>
    </w:p>
    <w:p>
      <w:pPr>
        <w:pStyle w:val="null3"/>
        <w:jc w:val="left"/>
      </w:pPr>
      <w:r>
        <w:rPr/>
        <w:t>21.2 本合同条款与法律、行政法规的强制性规定不一致的，双方当事人应按照法律、行政法规的强制性规定修改本合同的相关条款。</w:t>
      </w:r>
    </w:p>
    <w:p>
      <w:pPr>
        <w:pStyle w:val="null3"/>
        <w:jc w:val="left"/>
        <w:outlineLvl w:val="2"/>
      </w:pPr>
      <w:r>
        <w:rPr>
          <w:sz w:val="28"/>
          <w:b/>
        </w:rPr>
        <w:t>22. 通知</w:t>
      </w:r>
    </w:p>
    <w:p>
      <w:pPr>
        <w:pStyle w:val="null3"/>
        <w:jc w:val="left"/>
      </w:pPr>
      <w:r>
        <w:rPr/>
        <w:t>22.1 本合同任何一方向对方发出的通知、信件、数据电文等，应当发送至本合同第一部分《政府采购合同协议书》所约定的通讯地址、联系人、联系电话或电子邮箱。</w:t>
      </w:r>
    </w:p>
    <w:p>
      <w:pPr>
        <w:pStyle w:val="null3"/>
        <w:jc w:val="left"/>
      </w:pPr>
      <w:r>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t>22.3本合同一方给另一方的通知均应采用书面形式，传真或快递送到本合同中规定的对方的地址和办理签收手续。</w:t>
      </w:r>
    </w:p>
    <w:p>
      <w:pPr>
        <w:pStyle w:val="null3"/>
        <w:jc w:val="left"/>
      </w:pPr>
      <w:r>
        <w:rPr/>
        <w:t>22.4通知以送达之日或通知书中规定的生效之日起生效，两者中以较迟之日为准。</w:t>
      </w:r>
    </w:p>
    <w:p>
      <w:pPr>
        <w:pStyle w:val="null3"/>
        <w:jc w:val="left"/>
        <w:outlineLvl w:val="2"/>
      </w:pPr>
      <w:r>
        <w:rPr>
          <w:sz w:val="28"/>
          <w:b/>
        </w:rPr>
        <w:t>23.合同未尽事项</w:t>
      </w:r>
    </w:p>
    <w:p>
      <w:pPr>
        <w:pStyle w:val="null3"/>
        <w:jc w:val="left"/>
      </w:pPr>
      <w:r>
        <w:rPr/>
        <w:t>23.1合同未尽事项见</w:t>
      </w:r>
      <w:r>
        <w:rPr>
          <w:b/>
        </w:rPr>
        <w:t>【政府采购合同专用条款】</w:t>
      </w:r>
      <w:r>
        <w:rPr/>
        <w:t>。</w:t>
      </w:r>
    </w:p>
    <w:p>
      <w:pPr>
        <w:pStyle w:val="null3"/>
        <w:jc w:val="left"/>
      </w:pPr>
      <w:r>
        <w:rPr/>
        <w:t xml:space="preserve"> 23.2 合同附件与合同正文具有同等的法律效力。</w:t>
      </w:r>
    </w:p>
    <w:p>
      <w:pPr>
        <w:pStyle w:val="null3"/>
        <w:jc w:val="center"/>
        <w:outlineLvl w:val="2"/>
      </w:pPr>
      <w:r>
        <w:rPr>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第二节 第1.2（6）项</w:t>
            </w:r>
          </w:p>
        </w:tc>
        <w:tc>
          <w:tcPr>
            <w:tcW w:type="dxa" w:w="2769"/>
          </w:tcPr>
          <w:p>
            <w:pPr>
              <w:pStyle w:val="null3"/>
              <w:jc w:val="left"/>
            </w:pPr>
            <w:r>
              <w:rPr/>
              <w:t>联合体具体要求</w:t>
            </w:r>
          </w:p>
        </w:tc>
        <w:tc>
          <w:tcPr>
            <w:tcW w:type="dxa" w:w="2769"/>
          </w:tcPr>
          <w:p>
            <w:pPr>
              <w:pStyle w:val="null3"/>
              <w:jc w:val="left"/>
            </w:pPr>
          </w:p>
        </w:tc>
      </w:tr>
      <w:tr>
        <w:tc>
          <w:tcPr>
            <w:tcW w:type="dxa" w:w="2769"/>
          </w:tcPr>
          <w:p>
            <w:pPr>
              <w:pStyle w:val="null3"/>
              <w:jc w:val="left"/>
            </w:pPr>
            <w:r>
              <w:rPr/>
              <w:t>第二节 第1.2（7）项</w:t>
            </w:r>
          </w:p>
        </w:tc>
        <w:tc>
          <w:tcPr>
            <w:tcW w:type="dxa" w:w="2769"/>
          </w:tcPr>
          <w:p>
            <w:pPr>
              <w:pStyle w:val="null3"/>
              <w:jc w:val="left"/>
            </w:pPr>
            <w:r>
              <w:rPr/>
              <w:t>其他术语解释</w:t>
            </w:r>
          </w:p>
        </w:tc>
        <w:tc>
          <w:tcPr>
            <w:tcW w:type="dxa" w:w="2769"/>
          </w:tcPr>
          <w:p>
            <w:pPr>
              <w:pStyle w:val="null3"/>
              <w:jc w:val="left"/>
            </w:pPr>
          </w:p>
        </w:tc>
      </w:tr>
      <w:tr>
        <w:tc>
          <w:tcPr>
            <w:tcW w:type="dxa" w:w="2769"/>
          </w:tcPr>
          <w:p>
            <w:pPr>
              <w:pStyle w:val="null3"/>
              <w:jc w:val="left"/>
            </w:pPr>
            <w:r>
              <w:rPr/>
              <w:t>第二节 第4.4款</w:t>
            </w:r>
          </w:p>
        </w:tc>
        <w:tc>
          <w:tcPr>
            <w:tcW w:type="dxa" w:w="2769"/>
          </w:tcPr>
          <w:p>
            <w:pPr>
              <w:pStyle w:val="null3"/>
              <w:jc w:val="left"/>
            </w:pPr>
            <w:r>
              <w:rPr/>
              <w:t>履约验收中甲方提出异议或作出说明的期限</w:t>
            </w:r>
          </w:p>
        </w:tc>
        <w:tc>
          <w:tcPr>
            <w:tcW w:type="dxa" w:w="2769"/>
          </w:tcPr>
          <w:p>
            <w:pPr>
              <w:pStyle w:val="null3"/>
              <w:jc w:val="left"/>
            </w:pPr>
          </w:p>
        </w:tc>
      </w:tr>
      <w:tr>
        <w:tc>
          <w:tcPr>
            <w:tcW w:type="dxa" w:w="2769"/>
          </w:tcPr>
          <w:p>
            <w:pPr>
              <w:pStyle w:val="null3"/>
              <w:jc w:val="left"/>
            </w:pPr>
            <w:r>
              <w:rPr/>
              <w:t>第二节 第4.6款</w:t>
            </w:r>
          </w:p>
        </w:tc>
        <w:tc>
          <w:tcPr>
            <w:tcW w:type="dxa" w:w="2769"/>
          </w:tcPr>
          <w:p>
            <w:pPr>
              <w:pStyle w:val="null3"/>
              <w:jc w:val="left"/>
            </w:pPr>
            <w:r>
              <w:rPr/>
              <w:t>约定甲方承担的其他义务和责任</w:t>
            </w:r>
          </w:p>
        </w:tc>
        <w:tc>
          <w:tcPr>
            <w:tcW w:type="dxa" w:w="2769"/>
          </w:tcPr>
          <w:p>
            <w:pPr>
              <w:pStyle w:val="null3"/>
              <w:jc w:val="left"/>
            </w:pPr>
          </w:p>
        </w:tc>
      </w:tr>
      <w:tr>
        <w:tc>
          <w:tcPr>
            <w:tcW w:type="dxa" w:w="2769"/>
          </w:tcPr>
          <w:p>
            <w:pPr>
              <w:pStyle w:val="null3"/>
              <w:jc w:val="left"/>
            </w:pPr>
            <w:r>
              <w:rPr/>
              <w:t>第二节 第5.4款</w:t>
            </w:r>
          </w:p>
        </w:tc>
        <w:tc>
          <w:tcPr>
            <w:tcW w:type="dxa" w:w="2769"/>
          </w:tcPr>
          <w:p>
            <w:pPr>
              <w:pStyle w:val="null3"/>
              <w:jc w:val="left"/>
            </w:pPr>
            <w:r>
              <w:rPr/>
              <w:t>约定乙方承担的其他义务和责任</w:t>
            </w:r>
          </w:p>
        </w:tc>
        <w:tc>
          <w:tcPr>
            <w:tcW w:type="dxa" w:w="2769"/>
          </w:tcPr>
          <w:p>
            <w:pPr>
              <w:pStyle w:val="null3"/>
              <w:jc w:val="left"/>
            </w:pPr>
          </w:p>
        </w:tc>
      </w:tr>
      <w:tr>
        <w:tc>
          <w:tcPr>
            <w:tcW w:type="dxa" w:w="2769"/>
          </w:tcPr>
          <w:p>
            <w:pPr>
              <w:pStyle w:val="null3"/>
              <w:jc w:val="left"/>
            </w:pPr>
            <w:r>
              <w:rPr/>
              <w:t>第二节 第6.1款</w:t>
            </w:r>
          </w:p>
        </w:tc>
        <w:tc>
          <w:tcPr>
            <w:tcW w:type="dxa" w:w="2769"/>
          </w:tcPr>
          <w:p>
            <w:pPr>
              <w:pStyle w:val="null3"/>
              <w:jc w:val="left"/>
            </w:pPr>
            <w:r>
              <w:rPr/>
              <w:t>履行合同义务的顺序</w:t>
            </w:r>
          </w:p>
        </w:tc>
        <w:tc>
          <w:tcPr>
            <w:tcW w:type="dxa" w:w="2769"/>
          </w:tcPr>
          <w:p>
            <w:pPr>
              <w:pStyle w:val="null3"/>
              <w:jc w:val="left"/>
            </w:pPr>
          </w:p>
        </w:tc>
      </w:tr>
      <w:tr>
        <w:tc>
          <w:tcPr>
            <w:tcW w:type="dxa" w:w="2769"/>
            <w:vMerge w:val="restart"/>
          </w:tcPr>
          <w:p>
            <w:pPr>
              <w:pStyle w:val="null3"/>
              <w:jc w:val="left"/>
            </w:pPr>
            <w:r>
              <w:rPr/>
              <w:t>第二节 第7.1款</w:t>
            </w:r>
          </w:p>
        </w:tc>
        <w:tc>
          <w:tcPr>
            <w:tcW w:type="dxa" w:w="2769"/>
          </w:tcPr>
          <w:p>
            <w:pPr>
              <w:pStyle w:val="null3"/>
              <w:jc w:val="left"/>
            </w:pPr>
            <w:r>
              <w:rPr/>
              <w:t>包装特殊要求</w:t>
            </w:r>
          </w:p>
        </w:tc>
        <w:tc>
          <w:tcPr>
            <w:tcW w:type="dxa" w:w="2769"/>
          </w:tcPr>
          <w:p>
            <w:pPr>
              <w:pStyle w:val="null3"/>
              <w:jc w:val="left"/>
            </w:pPr>
          </w:p>
        </w:tc>
      </w:tr>
      <w:tr>
        <w:tc>
          <w:tcPr>
            <w:tcW w:type="dxa" w:w="2769"/>
            <w:vMerge/>
          </w:tcPr>
          <w:p/>
        </w:tc>
        <w:tc>
          <w:tcPr>
            <w:tcW w:type="dxa" w:w="2769"/>
          </w:tcPr>
          <w:p>
            <w:pPr>
              <w:pStyle w:val="null3"/>
              <w:jc w:val="left"/>
            </w:pPr>
            <w:r>
              <w:rPr/>
              <w:t>指定现场</w:t>
            </w:r>
          </w:p>
        </w:tc>
        <w:tc>
          <w:tcPr>
            <w:tcW w:type="dxa" w:w="2769"/>
          </w:tcPr>
          <w:p>
            <w:pPr>
              <w:pStyle w:val="null3"/>
              <w:jc w:val="left"/>
            </w:pPr>
          </w:p>
        </w:tc>
      </w:tr>
      <w:tr>
        <w:tc>
          <w:tcPr>
            <w:tcW w:type="dxa" w:w="2769"/>
          </w:tcPr>
          <w:p>
            <w:pPr>
              <w:pStyle w:val="null3"/>
              <w:jc w:val="left"/>
            </w:pPr>
            <w:r>
              <w:rPr/>
              <w:t>第二节 第7.2款</w:t>
            </w:r>
          </w:p>
        </w:tc>
        <w:tc>
          <w:tcPr>
            <w:tcW w:type="dxa" w:w="2769"/>
          </w:tcPr>
          <w:p>
            <w:pPr>
              <w:pStyle w:val="null3"/>
              <w:jc w:val="left"/>
            </w:pPr>
            <w:r>
              <w:rPr/>
              <w:t>运输特殊要求</w:t>
            </w:r>
          </w:p>
        </w:tc>
        <w:tc>
          <w:tcPr>
            <w:tcW w:type="dxa" w:w="2769"/>
          </w:tcPr>
          <w:p>
            <w:pPr>
              <w:pStyle w:val="null3"/>
              <w:jc w:val="left"/>
            </w:pPr>
          </w:p>
        </w:tc>
      </w:tr>
      <w:tr>
        <w:tc>
          <w:tcPr>
            <w:tcW w:type="dxa" w:w="2769"/>
          </w:tcPr>
          <w:p>
            <w:pPr>
              <w:pStyle w:val="null3"/>
              <w:jc w:val="left"/>
            </w:pPr>
            <w:r>
              <w:rPr/>
              <w:t>第二节 第7.3款</w:t>
            </w:r>
          </w:p>
        </w:tc>
        <w:tc>
          <w:tcPr>
            <w:tcW w:type="dxa" w:w="2769"/>
          </w:tcPr>
          <w:p>
            <w:pPr>
              <w:pStyle w:val="null3"/>
              <w:jc w:val="left"/>
            </w:pPr>
            <w:r>
              <w:rPr/>
              <w:t>保险要求</w:t>
            </w:r>
          </w:p>
        </w:tc>
        <w:tc>
          <w:tcPr>
            <w:tcW w:type="dxa" w:w="2769"/>
          </w:tcPr>
          <w:p>
            <w:pPr>
              <w:pStyle w:val="null3"/>
              <w:jc w:val="left"/>
            </w:pPr>
          </w:p>
        </w:tc>
      </w:tr>
      <w:tr>
        <w:tc>
          <w:tcPr>
            <w:tcW w:type="dxa" w:w="2769"/>
          </w:tcPr>
          <w:p>
            <w:pPr>
              <w:pStyle w:val="null3"/>
              <w:jc w:val="left"/>
            </w:pPr>
            <w:r>
              <w:rPr/>
              <w:t>第二节 第8.2（1）项</w:t>
            </w:r>
          </w:p>
        </w:tc>
        <w:tc>
          <w:tcPr>
            <w:tcW w:type="dxa" w:w="2769"/>
          </w:tcPr>
          <w:p>
            <w:pPr>
              <w:pStyle w:val="null3"/>
              <w:jc w:val="left"/>
            </w:pPr>
            <w:r>
              <w:rPr/>
              <w:t>质量保证期</w:t>
            </w:r>
          </w:p>
        </w:tc>
        <w:tc>
          <w:tcPr>
            <w:tcW w:type="dxa" w:w="2769"/>
          </w:tcPr>
          <w:p/>
        </w:tc>
      </w:tr>
      <w:tr>
        <w:tc>
          <w:tcPr>
            <w:tcW w:type="dxa" w:w="2769"/>
          </w:tcPr>
          <w:p>
            <w:pPr>
              <w:pStyle w:val="null3"/>
              <w:jc w:val="left"/>
            </w:pPr>
            <w:r>
              <w:rPr/>
              <w:t>第二节 第8.2（3）项</w:t>
            </w:r>
          </w:p>
        </w:tc>
        <w:tc>
          <w:tcPr>
            <w:tcW w:type="dxa" w:w="2769"/>
          </w:tcPr>
          <w:p>
            <w:pPr>
              <w:pStyle w:val="null3"/>
              <w:jc w:val="left"/>
            </w:pPr>
            <w:r>
              <w:rPr/>
              <w:t>货物质量缺陷响应时间</w:t>
            </w:r>
          </w:p>
        </w:tc>
        <w:tc>
          <w:tcPr>
            <w:tcW w:type="dxa" w:w="2769"/>
          </w:tcPr>
          <w:p/>
        </w:tc>
      </w:tr>
      <w:tr>
        <w:tc>
          <w:tcPr>
            <w:tcW w:type="dxa" w:w="2769"/>
          </w:tcPr>
          <w:p>
            <w:pPr>
              <w:pStyle w:val="null3"/>
              <w:jc w:val="left"/>
            </w:pPr>
            <w:r>
              <w:rPr/>
              <w:t>第二节 第11.1款</w:t>
            </w:r>
          </w:p>
        </w:tc>
        <w:tc>
          <w:tcPr>
            <w:tcW w:type="dxa" w:w="2769"/>
          </w:tcPr>
          <w:p>
            <w:pPr>
              <w:pStyle w:val="null3"/>
              <w:jc w:val="left"/>
            </w:pPr>
            <w:r>
              <w:rPr/>
              <w:t>其他应当保密的信息</w:t>
            </w:r>
          </w:p>
        </w:tc>
        <w:tc>
          <w:tcPr>
            <w:tcW w:type="dxa" w:w="2769"/>
          </w:tcPr>
          <w:p/>
        </w:tc>
      </w:tr>
      <w:tr>
        <w:tc>
          <w:tcPr>
            <w:tcW w:type="dxa" w:w="2769"/>
          </w:tcPr>
          <w:p>
            <w:pPr>
              <w:pStyle w:val="null3"/>
              <w:jc w:val="left"/>
            </w:pPr>
            <w:r>
              <w:rPr/>
              <w:t>第二节 第12.2款</w:t>
            </w:r>
          </w:p>
        </w:tc>
        <w:tc>
          <w:tcPr>
            <w:tcW w:type="dxa" w:w="2769"/>
          </w:tcPr>
          <w:p>
            <w:pPr>
              <w:pStyle w:val="null3"/>
              <w:jc w:val="left"/>
            </w:pPr>
            <w:r>
              <w:rPr/>
              <w:t>合同价款支付时间</w:t>
            </w:r>
          </w:p>
        </w:tc>
        <w:tc>
          <w:tcPr>
            <w:tcW w:type="dxa" w:w="2769"/>
          </w:tcPr>
          <w:p/>
        </w:tc>
      </w:tr>
      <w:tr>
        <w:tc>
          <w:tcPr>
            <w:tcW w:type="dxa" w:w="2769"/>
          </w:tcPr>
          <w:p>
            <w:pPr>
              <w:pStyle w:val="null3"/>
              <w:jc w:val="left"/>
            </w:pPr>
            <w:r>
              <w:rPr/>
              <w:t>第二节 第13.2款</w:t>
            </w:r>
          </w:p>
        </w:tc>
        <w:tc>
          <w:tcPr>
            <w:tcW w:type="dxa" w:w="2769"/>
          </w:tcPr>
          <w:p>
            <w:pPr>
              <w:pStyle w:val="null3"/>
              <w:jc w:val="left"/>
            </w:pPr>
            <w:r>
              <w:rPr/>
              <w:t>履约保证金不予退还的情形</w:t>
            </w:r>
          </w:p>
        </w:tc>
        <w:tc>
          <w:tcPr>
            <w:tcW w:type="dxa" w:w="2769"/>
          </w:tcPr>
          <w:p/>
        </w:tc>
      </w:tr>
      <w:tr>
        <w:tc>
          <w:tcPr>
            <w:tcW w:type="dxa" w:w="2769"/>
          </w:tcPr>
          <w:p>
            <w:pPr>
              <w:pStyle w:val="null3"/>
              <w:jc w:val="left"/>
            </w:pPr>
            <w:r>
              <w:rPr/>
              <w:t>第二节 第13.3款</w:t>
            </w:r>
          </w:p>
        </w:tc>
        <w:tc>
          <w:tcPr>
            <w:tcW w:type="dxa" w:w="2769"/>
          </w:tcPr>
          <w:p>
            <w:pPr>
              <w:pStyle w:val="null3"/>
              <w:jc w:val="left"/>
            </w:pPr>
            <w:r>
              <w:rPr/>
              <w:t>履约保证金退还时间及逾期退还的违约金</w:t>
            </w:r>
          </w:p>
        </w:tc>
        <w:tc>
          <w:tcPr>
            <w:tcW w:type="dxa" w:w="2769"/>
          </w:tcPr>
          <w:p/>
        </w:tc>
      </w:tr>
      <w:tr>
        <w:tc>
          <w:tcPr>
            <w:tcW w:type="dxa" w:w="2769"/>
          </w:tcPr>
          <w:p>
            <w:pPr>
              <w:pStyle w:val="null3"/>
              <w:jc w:val="left"/>
            </w:pPr>
            <w:r>
              <w:rPr/>
              <w:t>第二节 第14.1（3）项</w:t>
            </w:r>
          </w:p>
        </w:tc>
        <w:tc>
          <w:tcPr>
            <w:tcW w:type="dxa" w:w="2769"/>
          </w:tcPr>
          <w:p>
            <w:pPr>
              <w:pStyle w:val="null3"/>
              <w:jc w:val="left"/>
            </w:pPr>
            <w:r>
              <w:rPr/>
              <w:t>运行监督、维修期限</w:t>
            </w:r>
          </w:p>
        </w:tc>
        <w:tc>
          <w:tcPr>
            <w:tcW w:type="dxa" w:w="2769"/>
          </w:tcPr>
          <w:p/>
        </w:tc>
      </w:tr>
      <w:tr>
        <w:tc>
          <w:tcPr>
            <w:tcW w:type="dxa" w:w="2769"/>
          </w:tcPr>
          <w:p>
            <w:pPr>
              <w:pStyle w:val="null3"/>
              <w:jc w:val="left"/>
            </w:pPr>
            <w:r>
              <w:rPr/>
              <w:t>第二节 第14.1（5）项</w:t>
            </w:r>
          </w:p>
        </w:tc>
        <w:tc>
          <w:tcPr>
            <w:tcW w:type="dxa" w:w="2769"/>
          </w:tcPr>
          <w:p>
            <w:pPr>
              <w:pStyle w:val="null3"/>
              <w:jc w:val="left"/>
            </w:pPr>
            <w:r>
              <w:rPr/>
              <w:t>货物回收的约定</w:t>
            </w:r>
          </w:p>
        </w:tc>
        <w:tc>
          <w:tcPr>
            <w:tcW w:type="dxa" w:w="2769"/>
          </w:tcPr>
          <w:p/>
        </w:tc>
      </w:tr>
      <w:tr>
        <w:tc>
          <w:tcPr>
            <w:tcW w:type="dxa" w:w="2769"/>
          </w:tcPr>
          <w:p>
            <w:pPr>
              <w:pStyle w:val="null3"/>
              <w:jc w:val="left"/>
            </w:pPr>
            <w:r>
              <w:rPr/>
              <w:t>第二节 第14.1（6）项</w:t>
            </w:r>
          </w:p>
        </w:tc>
        <w:tc>
          <w:tcPr>
            <w:tcW w:type="dxa" w:w="2769"/>
          </w:tcPr>
          <w:p>
            <w:pPr>
              <w:pStyle w:val="null3"/>
              <w:jc w:val="left"/>
            </w:pPr>
            <w:r>
              <w:rPr/>
              <w:t>乙方提供的其他服务</w:t>
            </w:r>
          </w:p>
        </w:tc>
        <w:tc>
          <w:tcPr>
            <w:tcW w:type="dxa" w:w="2769"/>
          </w:tcPr>
          <w:p/>
        </w:tc>
      </w:tr>
      <w:tr>
        <w:tc>
          <w:tcPr>
            <w:tcW w:type="dxa" w:w="2769"/>
          </w:tcPr>
          <w:p>
            <w:pPr>
              <w:pStyle w:val="null3"/>
              <w:jc w:val="left"/>
            </w:pPr>
            <w:r>
              <w:rPr/>
              <w:t>第二节 第15.1款</w:t>
            </w:r>
          </w:p>
        </w:tc>
        <w:tc>
          <w:tcPr>
            <w:tcW w:type="dxa" w:w="2769"/>
          </w:tcPr>
          <w:p>
            <w:pPr>
              <w:pStyle w:val="null3"/>
              <w:jc w:val="left"/>
            </w:pPr>
            <w:r>
              <w:rPr/>
              <w:t>修理、重作、更换相关具体规定</w:t>
            </w:r>
          </w:p>
        </w:tc>
        <w:tc>
          <w:tcPr>
            <w:tcW w:type="dxa" w:w="2769"/>
          </w:tcPr>
          <w:p/>
        </w:tc>
      </w:tr>
      <w:tr>
        <w:tc>
          <w:tcPr>
            <w:tcW w:type="dxa" w:w="2769"/>
          </w:tcPr>
          <w:p>
            <w:pPr>
              <w:pStyle w:val="null3"/>
              <w:jc w:val="left"/>
            </w:pPr>
            <w:r>
              <w:rPr/>
              <w:t>第二节 第15.2（2）项</w:t>
            </w:r>
          </w:p>
        </w:tc>
        <w:tc>
          <w:tcPr>
            <w:tcW w:type="dxa" w:w="2769"/>
          </w:tcPr>
          <w:p>
            <w:pPr>
              <w:pStyle w:val="null3"/>
              <w:jc w:val="left"/>
            </w:pPr>
            <w:r>
              <w:rPr/>
              <w:t>迟延交货赔偿费</w:t>
            </w:r>
          </w:p>
        </w:tc>
        <w:tc>
          <w:tcPr>
            <w:tcW w:type="dxa" w:w="2769"/>
          </w:tcPr>
          <w:p/>
        </w:tc>
      </w:tr>
      <w:tr>
        <w:tc>
          <w:tcPr>
            <w:tcW w:type="dxa" w:w="2769"/>
          </w:tcPr>
          <w:p>
            <w:pPr>
              <w:pStyle w:val="null3"/>
              <w:jc w:val="left"/>
            </w:pPr>
            <w:r>
              <w:rPr/>
              <w:t>第二节 第15.3款</w:t>
            </w:r>
          </w:p>
        </w:tc>
        <w:tc>
          <w:tcPr>
            <w:tcW w:type="dxa" w:w="2769"/>
          </w:tcPr>
          <w:p>
            <w:pPr>
              <w:pStyle w:val="null3"/>
              <w:jc w:val="left"/>
            </w:pPr>
            <w:r>
              <w:rPr/>
              <w:t>逾期付款利息</w:t>
            </w:r>
          </w:p>
        </w:tc>
        <w:tc>
          <w:tcPr>
            <w:tcW w:type="dxa" w:w="2769"/>
          </w:tcPr>
          <w:p/>
        </w:tc>
      </w:tr>
      <w:tr>
        <w:tc>
          <w:tcPr>
            <w:tcW w:type="dxa" w:w="2769"/>
          </w:tcPr>
          <w:p>
            <w:pPr>
              <w:pStyle w:val="null3"/>
              <w:jc w:val="left"/>
            </w:pPr>
            <w:r>
              <w:rPr/>
              <w:t>第二节 第15.4款</w:t>
            </w:r>
          </w:p>
        </w:tc>
        <w:tc>
          <w:tcPr>
            <w:tcW w:type="dxa" w:w="2769"/>
          </w:tcPr>
          <w:p>
            <w:pPr>
              <w:pStyle w:val="null3"/>
              <w:jc w:val="left"/>
            </w:pPr>
            <w:r>
              <w:rPr/>
              <w:t>其他违约责任</w:t>
            </w:r>
          </w:p>
        </w:tc>
        <w:tc>
          <w:tcPr>
            <w:tcW w:type="dxa" w:w="2769"/>
          </w:tcPr>
          <w:p/>
        </w:tc>
      </w:tr>
      <w:tr>
        <w:tc>
          <w:tcPr>
            <w:tcW w:type="dxa" w:w="2769"/>
          </w:tcPr>
          <w:p>
            <w:pPr>
              <w:pStyle w:val="null3"/>
              <w:jc w:val="left"/>
            </w:pPr>
            <w:r>
              <w:rPr/>
              <w:t>第二节 第19.2款</w:t>
            </w:r>
          </w:p>
        </w:tc>
        <w:tc>
          <w:tcPr>
            <w:tcW w:type="dxa" w:w="2769"/>
          </w:tcPr>
          <w:p>
            <w:pPr>
              <w:pStyle w:val="null3"/>
              <w:jc w:val="left"/>
            </w:pPr>
            <w:r>
              <w:rPr/>
              <w:t>解决争议的方法</w:t>
            </w:r>
          </w:p>
        </w:tc>
        <w:tc>
          <w:tcPr>
            <w:tcW w:type="dxa" w:w="2769"/>
          </w:tcPr>
          <w:p>
            <w:pPr>
              <w:pStyle w:val="null3"/>
              <w:jc w:val="left"/>
            </w:pPr>
            <w:r>
              <w:rPr/>
              <w:t xml:space="preserve"> 因本合同及合同有关事项发生的争议，按下列第</w:t>
            </w:r>
            <w:r>
              <w:rPr/>
              <w:t>____</w:t>
            </w:r>
            <w:r>
              <w:rPr/>
              <w:t xml:space="preserve"> 种方式解决：</w:t>
            </w:r>
          </w:p>
          <w:p>
            <w:pPr>
              <w:pStyle w:val="null3"/>
              <w:jc w:val="left"/>
            </w:pPr>
            <w:r>
              <w:rPr/>
              <w:t xml:space="preserve"> （1）向 </w:t>
            </w:r>
            <w:r>
              <w:rPr/>
              <w:t>__________________</w:t>
            </w:r>
            <w:r>
              <w:rPr/>
              <w:t xml:space="preserve">仲裁委员会申请仲裁，仲裁地点为 </w:t>
            </w:r>
            <w:r>
              <w:rPr/>
              <w:t>____________</w:t>
            </w:r>
            <w:r>
              <w:rPr/>
              <w:t xml:space="preserve"> ；</w:t>
            </w:r>
          </w:p>
          <w:p>
            <w:pPr>
              <w:pStyle w:val="null3"/>
              <w:jc w:val="left"/>
            </w:pPr>
            <w:r>
              <w:rPr/>
              <w:t xml:space="preserve"> （2）向</w:t>
            </w:r>
            <w:r>
              <w:rPr/>
              <w:t>__________________</w:t>
            </w:r>
            <w:r>
              <w:rPr/>
              <w:t>人民法院起诉。</w:t>
            </w:r>
          </w:p>
        </w:tc>
      </w:tr>
      <w:tr>
        <w:tc>
          <w:tcPr>
            <w:tcW w:type="dxa" w:w="2769"/>
          </w:tcPr>
          <w:p>
            <w:pPr>
              <w:pStyle w:val="null3"/>
              <w:jc w:val="left"/>
            </w:pPr>
            <w:r>
              <w:rPr/>
              <w:t>第二节 第23.1款</w:t>
            </w:r>
          </w:p>
        </w:tc>
        <w:tc>
          <w:tcPr>
            <w:tcW w:type="dxa" w:w="2769"/>
          </w:tcPr>
          <w:p>
            <w:pPr>
              <w:pStyle w:val="null3"/>
              <w:jc w:val="left"/>
            </w:pPr>
            <w:r>
              <w:rPr/>
              <w:t>其他专用条款</w:t>
            </w:r>
          </w:p>
        </w:tc>
        <w:tc>
          <w:tcPr>
            <w:tcW w:type="dxa" w:w="2769"/>
          </w:tcPr>
          <w:p/>
        </w:tc>
      </w:tr>
    </w:tbl>
    <w:p>
      <w:pPr>
        <w:pStyle w:val="null3"/>
        <w:jc w:val="left"/>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①开标（报价）一览表</w:t>
      </w:r>
    </w:p>
    <w:p>
      <w:pPr>
        <w:pStyle w:val="null3"/>
        <w:ind w:firstLine="480"/>
        <w:jc w:val="left"/>
      </w:pPr>
      <w:r>
        <w:rPr/>
        <w:t>②投标（响应）报价明细表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1.1所投采购包的投标报价详见“开标（报价）一览表”及“投标（响应）报价明细表”。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通信地址：</w:t>
      </w:r>
    </w:p>
    <w:p>
      <w:pPr>
        <w:pStyle w:val="null3"/>
        <w:ind w:firstLine="480"/>
        <w:jc w:val="left"/>
      </w:pPr>
      <w:r>
        <w:rPr/>
        <w:t>邮编：</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jc w:val="left"/>
      </w:pPr>
      <w:r>
        <w:rPr/>
        <w:t xml:space="preserve"> </w:t>
        <w:br/>
        <w:br w:type="page"/>
      </w:r>
    </w:p>
    <w:p>
      <w:pPr>
        <w:pStyle w:val="null3"/>
        <w:jc w:val="center"/>
        <w:outlineLvl w:val="3"/>
      </w:pPr>
      <w:r>
        <w:rPr>
          <w:sz w:val="24"/>
          <w:b/>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二-9中小企业声明函</w:t>
      </w:r>
    </w:p>
    <w:p>
      <w:pPr>
        <w:pStyle w:val="null3"/>
        <w:jc w:val="center"/>
        <w:outlineLvl w:val="3"/>
      </w:pPr>
      <w:r>
        <w:rPr>
          <w:sz w:val="24"/>
          <w:b/>
        </w:rPr>
        <w:t>（以资格条件落实中小企业扶持政策时适用，若有）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残疾人福利性单位声明函</w:t>
      </w:r>
    </w:p>
    <w:p>
      <w:pPr>
        <w:pStyle w:val="null3"/>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二-12其他资格证明文件（若有）</w:t>
      </w:r>
    </w:p>
    <w:p>
      <w:pPr>
        <w:pStyle w:val="null3"/>
        <w:jc w:val="center"/>
        <w:outlineLvl w:val="3"/>
      </w:pPr>
      <w:r>
        <w:rPr>
          <w:sz w:val="24"/>
          <w:b/>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一、开标（报价）一览表</w:t>
      </w:r>
    </w:p>
    <w:p>
      <w:pPr>
        <w:pStyle w:val="null3"/>
        <w:ind w:firstLine="480"/>
        <w:jc w:val="left"/>
      </w:pPr>
      <w:r>
        <w:rPr/>
        <w:t>二、投标（响应）报价明细表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[350122]FJDB[GK]2024001</w:t>
      </w:r>
    </w:p>
    <w:p>
      <w:pPr>
        <w:pStyle w:val="null3"/>
        <w:jc w:val="left"/>
      </w:pPr>
      <w:r>
        <w:rPr/>
        <w:t>项目名称：</w:t>
      </w:r>
      <w:r>
        <w:rPr/>
        <w:t>海洋科技馆设施设备采购</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福建省连江第一中学关于海洋科技馆设施设备采购的采购项目</w:t>
            </w:r>
          </w:p>
        </w:tc>
        <w:tc>
          <w:tcPr>
            <w:tcW w:type="dxa" w:w="1661"/>
          </w:tcPr>
          <w:p>
            <w:pPr>
              <w:pStyle w:val="null3"/>
              <w:jc w:val="left"/>
            </w:pPr>
            <w:r>
              <w:rPr/>
              <w:t xml:space="preserve"> 1350000.0000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[350122]FJDB[GK]2024001</w:t>
      </w:r>
    </w:p>
    <w:p>
      <w:pPr>
        <w:pStyle w:val="null3"/>
        <w:jc w:val="left"/>
      </w:pPr>
      <w:r>
        <w:rPr/>
        <w:t>项目名称：</w:t>
      </w:r>
      <w:r>
        <w:rPr/>
        <w:t>海洋科技馆设施设备采购</w:t>
      </w:r>
    </w:p>
    <w:p>
      <w:pPr>
        <w:pStyle w:val="null3"/>
        <w:jc w:val="left"/>
      </w:pPr>
      <w:r>
        <w:rPr/>
        <w:t xml:space="preserve"> 致远楼海洋科技馆设施设备采购</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货物名称</w:t>
            </w:r>
          </w:p>
        </w:tc>
        <w:tc>
          <w:tcPr>
            <w:tcW w:type="dxa" w:w="755"/>
          </w:tcPr>
          <w:p>
            <w:pPr>
              <w:pStyle w:val="null3"/>
              <w:jc w:val="left"/>
            </w:pPr>
            <w:r>
              <w:rPr/>
              <w:t xml:space="preserve"> 规格型号</w:t>
            </w:r>
          </w:p>
        </w:tc>
        <w:tc>
          <w:tcPr>
            <w:tcW w:type="dxa" w:w="755"/>
          </w:tcPr>
          <w:p>
            <w:pPr>
              <w:pStyle w:val="null3"/>
              <w:jc w:val="left"/>
            </w:pPr>
            <w:r>
              <w:rPr/>
              <w:t xml:space="preserve"> 品牌</w:t>
            </w:r>
          </w:p>
        </w:tc>
        <w:tc>
          <w:tcPr>
            <w:tcW w:type="dxa" w:w="755"/>
          </w:tcPr>
          <w:p>
            <w:pPr>
              <w:pStyle w:val="null3"/>
              <w:jc w:val="left"/>
            </w:pPr>
            <w:r>
              <w:rPr/>
              <w:t xml:space="preserve"> 制造商名称</w:t>
            </w:r>
          </w:p>
        </w:tc>
        <w:tc>
          <w:tcPr>
            <w:tcW w:type="dxa" w:w="755"/>
          </w:tcPr>
          <w:p>
            <w:pPr>
              <w:pStyle w:val="null3"/>
              <w:jc w:val="left"/>
            </w:pPr>
            <w:r>
              <w:rPr/>
              <w:t xml:space="preserve"> 产地</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致远楼海洋科技馆设施设备采购</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1350000.0000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1.0000</w:t>
            </w:r>
          </w:p>
        </w:tc>
        <w:tc>
          <w:tcPr>
            <w:tcW w:type="dxa" w:w="755"/>
          </w:tcPr>
          <w:p>
            <w:pPr>
              <w:pStyle w:val="null3"/>
              <w:jc w:val="left"/>
            </w:pPr>
            <w:r>
              <w:rPr/>
              <w:t xml:space="preserve"> 批</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